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B8C04" w14:textId="77777777" w:rsidR="009238AD" w:rsidRDefault="009238AD" w:rsidP="009238AD">
      <w:pPr>
        <w:spacing w:after="0" w:line="480" w:lineRule="auto"/>
        <w:contextualSpacing/>
        <w:jc w:val="both"/>
        <w:rPr>
          <w:b/>
        </w:rPr>
      </w:pPr>
      <w:r>
        <w:rPr>
          <w:b/>
        </w:rPr>
        <w:t xml:space="preserve">Supplementary material </w:t>
      </w:r>
    </w:p>
    <w:p w14:paraId="1FC76459" w14:textId="77777777" w:rsidR="009238AD" w:rsidRPr="00835F2C" w:rsidRDefault="009238AD" w:rsidP="009238AD">
      <w:pPr>
        <w:spacing w:after="0" w:line="480" w:lineRule="auto"/>
        <w:rPr>
          <w:rFonts w:eastAsia="Times New Roman" w:cs="Times New Roman"/>
          <w:b/>
        </w:rPr>
      </w:pPr>
      <w:r>
        <w:rPr>
          <w:rFonts w:eastAsia="Times New Roman" w:cs="Times New Roman"/>
          <w:b/>
        </w:rPr>
        <w:t>APPENDIX 1</w:t>
      </w:r>
    </w:p>
    <w:p w14:paraId="3F617D94" w14:textId="77777777" w:rsidR="009238AD" w:rsidRDefault="009238AD" w:rsidP="009238AD">
      <w:pPr>
        <w:spacing w:after="0" w:line="480" w:lineRule="auto"/>
        <w:rPr>
          <w:rFonts w:eastAsia="Times New Roman" w:cs="Times New Roman"/>
        </w:rPr>
      </w:pPr>
    </w:p>
    <w:p w14:paraId="1A1B690A" w14:textId="77777777" w:rsidR="009238AD" w:rsidRPr="00B300FC" w:rsidRDefault="009238AD" w:rsidP="009238AD">
      <w:pPr>
        <w:spacing w:after="0" w:line="480" w:lineRule="auto"/>
        <w:jc w:val="both"/>
        <w:rPr>
          <w:rFonts w:cs="Arial"/>
          <w:b/>
        </w:rPr>
      </w:pPr>
      <w:r w:rsidRPr="00B300FC">
        <w:rPr>
          <w:rFonts w:cs="Arial"/>
          <w:b/>
        </w:rPr>
        <w:t xml:space="preserve">Case scenario: </w:t>
      </w:r>
    </w:p>
    <w:p w14:paraId="2899690B" w14:textId="79605B4B" w:rsidR="009238AD" w:rsidRPr="00B300FC" w:rsidRDefault="009238AD" w:rsidP="009238AD">
      <w:pPr>
        <w:spacing w:after="0" w:line="480" w:lineRule="auto"/>
        <w:jc w:val="both"/>
        <w:rPr>
          <w:rFonts w:cs="Arial"/>
        </w:rPr>
      </w:pPr>
      <w:r w:rsidRPr="00B300FC">
        <w:rPr>
          <w:rFonts w:cs="Arial"/>
        </w:rPr>
        <w:t xml:space="preserve">A </w:t>
      </w:r>
      <w:bookmarkStart w:id="0" w:name="_GoBack"/>
      <w:bookmarkEnd w:id="0"/>
      <w:r w:rsidR="009303F3" w:rsidRPr="00B300FC">
        <w:rPr>
          <w:rFonts w:cs="Arial"/>
        </w:rPr>
        <w:t>38-year-old</w:t>
      </w:r>
      <w:r w:rsidRPr="00B300FC">
        <w:rPr>
          <w:rFonts w:cs="Arial"/>
        </w:rPr>
        <w:t xml:space="preserve"> woman presents to hospital at 3am on Saturday after a life-threating large mixed overdose, including paracetamol which was taken between 12 to 36 hours previously. She is drowsy and unresponsive. She has previously received psychiatric care for depression and has a history of suicide attempts but is not currently under the ca</w:t>
      </w:r>
      <w:r>
        <w:rPr>
          <w:rFonts w:cs="Arial"/>
        </w:rPr>
        <w:t xml:space="preserve">re of mental health services.  </w:t>
      </w:r>
      <w:r w:rsidRPr="004602FE">
        <w:rPr>
          <w:rFonts w:cs="Arial"/>
        </w:rPr>
        <w:t>She lives alone and prior to the overdose had not seen a health care professional or family member for the last four weeks</w:t>
      </w:r>
      <w:r>
        <w:rPr>
          <w:rFonts w:cs="Arial"/>
        </w:rPr>
        <w:t xml:space="preserve">. </w:t>
      </w:r>
    </w:p>
    <w:p w14:paraId="205F9E9E" w14:textId="77777777" w:rsidR="009238AD" w:rsidRPr="00B300FC" w:rsidRDefault="009238AD" w:rsidP="009238AD">
      <w:pPr>
        <w:spacing w:after="0" w:line="480" w:lineRule="auto"/>
        <w:jc w:val="both"/>
        <w:rPr>
          <w:rFonts w:cs="Arial"/>
        </w:rPr>
      </w:pPr>
    </w:p>
    <w:p w14:paraId="0F54E227" w14:textId="77777777" w:rsidR="009238AD" w:rsidRPr="00B300FC" w:rsidRDefault="009238AD" w:rsidP="009238AD">
      <w:pPr>
        <w:spacing w:after="0" w:line="480" w:lineRule="auto"/>
        <w:jc w:val="both"/>
        <w:rPr>
          <w:rFonts w:cs="Arial"/>
        </w:rPr>
      </w:pPr>
      <w:r w:rsidRPr="00B300FC">
        <w:rPr>
          <w:rFonts w:cs="Arial"/>
        </w:rPr>
        <w:t>A relative brings in an advance decision printed</w:t>
      </w:r>
      <w:r>
        <w:rPr>
          <w:rFonts w:cs="Arial"/>
        </w:rPr>
        <w:t xml:space="preserve"> on her lawyer’s headed paper. </w:t>
      </w:r>
      <w:r w:rsidRPr="00B300FC">
        <w:rPr>
          <w:rFonts w:cs="Arial"/>
        </w:rPr>
        <w:t xml:space="preserve">The document is signed by the patient and witnessed by the lawyer, her GP, and a family member. It clearly states that the patient does not want life-sustaining treatment (including CPR, intubation, investigations, intravenous fluids or specific antidotes) if she presents to hospital with a life-threatening overdose or other illness and lacks capacity. </w:t>
      </w:r>
    </w:p>
    <w:p w14:paraId="4674A1F9" w14:textId="77777777" w:rsidR="009238AD" w:rsidRPr="00B300FC" w:rsidRDefault="009238AD" w:rsidP="009238AD">
      <w:pPr>
        <w:spacing w:after="0" w:line="480" w:lineRule="auto"/>
        <w:jc w:val="both"/>
        <w:rPr>
          <w:rFonts w:cs="Arial"/>
        </w:rPr>
      </w:pPr>
    </w:p>
    <w:p w14:paraId="0376A2F4" w14:textId="77777777" w:rsidR="009238AD" w:rsidRDefault="009238AD" w:rsidP="009238AD">
      <w:pPr>
        <w:spacing w:after="0" w:line="480" w:lineRule="auto"/>
        <w:jc w:val="both"/>
        <w:rPr>
          <w:rFonts w:cs="Arial"/>
        </w:rPr>
      </w:pPr>
      <w:r w:rsidRPr="00B300FC">
        <w:rPr>
          <w:rFonts w:cs="Arial"/>
        </w:rPr>
        <w:t>The treating consultant judges that the advance decision is valid and applicable to the situation and a palliative approach to treatme</w:t>
      </w:r>
      <w:r>
        <w:rPr>
          <w:rFonts w:cs="Arial"/>
        </w:rPr>
        <w:t>nt is taken.  The patient dies three</w:t>
      </w:r>
      <w:r w:rsidRPr="00B300FC">
        <w:rPr>
          <w:rFonts w:cs="Arial"/>
        </w:rPr>
        <w:t xml:space="preserve"> days after admission</w:t>
      </w:r>
      <w:r>
        <w:rPr>
          <w:rFonts w:cs="Arial"/>
        </w:rPr>
        <w:t>.</w:t>
      </w:r>
    </w:p>
    <w:p w14:paraId="795627C7" w14:textId="77777777" w:rsidR="009238AD" w:rsidRDefault="009238AD" w:rsidP="009238AD">
      <w:pPr>
        <w:spacing w:after="0" w:line="480" w:lineRule="auto"/>
        <w:jc w:val="both"/>
        <w:rPr>
          <w:rFonts w:cs="Arial"/>
        </w:rPr>
      </w:pPr>
    </w:p>
    <w:p w14:paraId="794105E2" w14:textId="77777777" w:rsidR="009238AD" w:rsidRDefault="009238AD" w:rsidP="009238AD">
      <w:pPr>
        <w:spacing w:after="0" w:line="480" w:lineRule="auto"/>
        <w:jc w:val="both"/>
        <w:rPr>
          <w:rFonts w:cs="Arial"/>
        </w:rPr>
      </w:pPr>
    </w:p>
    <w:p w14:paraId="4E8BB466" w14:textId="77777777" w:rsidR="009238AD" w:rsidRDefault="009238AD" w:rsidP="009238AD">
      <w:pPr>
        <w:spacing w:after="0" w:line="480" w:lineRule="auto"/>
        <w:jc w:val="both"/>
        <w:rPr>
          <w:rFonts w:cs="Arial"/>
        </w:rPr>
      </w:pPr>
    </w:p>
    <w:p w14:paraId="60948C49" w14:textId="77777777" w:rsidR="009238AD" w:rsidRDefault="009238AD" w:rsidP="009238AD">
      <w:pPr>
        <w:spacing w:after="0" w:line="480" w:lineRule="auto"/>
        <w:jc w:val="both"/>
        <w:rPr>
          <w:rFonts w:cs="Arial"/>
        </w:rPr>
      </w:pPr>
    </w:p>
    <w:p w14:paraId="3DD6C78D" w14:textId="77777777" w:rsidR="009238AD" w:rsidRDefault="009238AD" w:rsidP="009238AD">
      <w:pPr>
        <w:spacing w:after="0" w:line="480" w:lineRule="auto"/>
        <w:jc w:val="both"/>
        <w:rPr>
          <w:rFonts w:cs="Arial"/>
        </w:rPr>
      </w:pPr>
    </w:p>
    <w:p w14:paraId="73B24FCD" w14:textId="77777777" w:rsidR="009238AD" w:rsidRDefault="009238AD" w:rsidP="009238AD">
      <w:pPr>
        <w:spacing w:after="0" w:line="480" w:lineRule="auto"/>
        <w:jc w:val="both"/>
        <w:rPr>
          <w:rFonts w:cs="Arial"/>
        </w:rPr>
      </w:pPr>
    </w:p>
    <w:p w14:paraId="1AAC54AD" w14:textId="77777777" w:rsidR="009238AD" w:rsidRDefault="009238AD" w:rsidP="009238AD">
      <w:pPr>
        <w:spacing w:after="0" w:line="480" w:lineRule="auto"/>
        <w:jc w:val="both"/>
        <w:rPr>
          <w:rFonts w:cs="Arial"/>
        </w:rPr>
      </w:pPr>
    </w:p>
    <w:p w14:paraId="60392539" w14:textId="77777777" w:rsidR="009238AD" w:rsidRDefault="009238AD" w:rsidP="009238AD">
      <w:pPr>
        <w:spacing w:after="0" w:line="480" w:lineRule="auto"/>
        <w:jc w:val="both"/>
        <w:rPr>
          <w:rFonts w:cs="Arial"/>
        </w:rPr>
      </w:pPr>
    </w:p>
    <w:p w14:paraId="0B55D447" w14:textId="77777777" w:rsidR="009238AD" w:rsidRDefault="009238AD" w:rsidP="009238AD">
      <w:pPr>
        <w:spacing w:after="0" w:line="480" w:lineRule="auto"/>
        <w:jc w:val="both"/>
        <w:rPr>
          <w:rFonts w:cs="Arial"/>
        </w:rPr>
      </w:pPr>
    </w:p>
    <w:p w14:paraId="76BD4FBA" w14:textId="77777777" w:rsidR="009238AD" w:rsidRDefault="009238AD" w:rsidP="009238AD">
      <w:pPr>
        <w:spacing w:after="0" w:line="480" w:lineRule="auto"/>
        <w:contextualSpacing/>
        <w:jc w:val="both"/>
        <w:rPr>
          <w:b/>
        </w:rPr>
      </w:pPr>
      <w:r>
        <w:rPr>
          <w:b/>
        </w:rPr>
        <w:lastRenderedPageBreak/>
        <w:t>APPENDIX 2</w:t>
      </w:r>
    </w:p>
    <w:p w14:paraId="57A88BA7" w14:textId="77777777" w:rsidR="009238AD" w:rsidRDefault="009238AD" w:rsidP="009238AD">
      <w:pPr>
        <w:spacing w:after="0" w:line="480" w:lineRule="auto"/>
        <w:contextualSpacing/>
        <w:jc w:val="both"/>
        <w:rPr>
          <w:b/>
        </w:rPr>
      </w:pPr>
    </w:p>
    <w:p w14:paraId="780273E2" w14:textId="4837C78E" w:rsidR="009238AD" w:rsidRPr="003E7AA0" w:rsidRDefault="00E436C1" w:rsidP="009238AD">
      <w:pPr>
        <w:spacing w:after="0" w:line="480" w:lineRule="auto"/>
        <w:contextualSpacing/>
        <w:jc w:val="both"/>
        <w:rPr>
          <w:b/>
        </w:rPr>
      </w:pPr>
      <w:r>
        <w:rPr>
          <w:b/>
        </w:rPr>
        <w:t>Additional a</w:t>
      </w:r>
      <w:r w:rsidR="009238AD">
        <w:rPr>
          <w:b/>
        </w:rPr>
        <w:t xml:space="preserve">nalysis </w:t>
      </w:r>
      <w:r>
        <w:rPr>
          <w:b/>
        </w:rPr>
        <w:t xml:space="preserve">information </w:t>
      </w:r>
    </w:p>
    <w:p w14:paraId="1124ACBA" w14:textId="77777777" w:rsidR="009238AD" w:rsidRDefault="009238AD" w:rsidP="009238AD">
      <w:pPr>
        <w:spacing w:after="0" w:line="480" w:lineRule="auto"/>
        <w:contextualSpacing/>
        <w:jc w:val="both"/>
      </w:pPr>
      <w:r w:rsidRPr="008B0E34">
        <w:t xml:space="preserve">Thematic </w:t>
      </w:r>
      <w:r>
        <w:t>f</w:t>
      </w:r>
      <w:r w:rsidRPr="008B0E34">
        <w:t>ramework analysis was used to analyse the data because we had pre-determined questions to explore</w:t>
      </w:r>
      <w:r>
        <w:t>,</w:t>
      </w:r>
      <w:r w:rsidRPr="008B0E34">
        <w:t xml:space="preserve"> but also because the approach enables themes to be developed from narra</w:t>
      </w:r>
      <w:r>
        <w:t>tives of research participants</w:t>
      </w:r>
      <w:r w:rsidRPr="008B0E34">
        <w:t>.</w:t>
      </w:r>
      <w:r>
        <w:t xml:space="preserve">[1,2] </w:t>
      </w:r>
      <w:r w:rsidRPr="008B0E34">
        <w:t xml:space="preserve">Focus group data </w:t>
      </w:r>
      <w:r>
        <w:t>were</w:t>
      </w:r>
      <w:r w:rsidRPr="008B0E34">
        <w:t xml:space="preserve"> analysed according to the five stages of the thematic framework analysis approach: </w:t>
      </w:r>
      <w:r>
        <w:t>(1) familiarisation, (2) identification of a thematic framework, (3) indexing, (4) charting, and (5) mapping and interpretation.[1,3]</w:t>
      </w:r>
    </w:p>
    <w:p w14:paraId="4703065B" w14:textId="77777777" w:rsidR="009238AD" w:rsidRDefault="009238AD" w:rsidP="009238AD">
      <w:pPr>
        <w:spacing w:after="0" w:line="480" w:lineRule="auto"/>
        <w:contextualSpacing/>
        <w:jc w:val="both"/>
      </w:pPr>
    </w:p>
    <w:p w14:paraId="5A17A008" w14:textId="77777777" w:rsidR="009238AD" w:rsidRDefault="009238AD" w:rsidP="009238AD">
      <w:pPr>
        <w:spacing w:after="0" w:line="480" w:lineRule="auto"/>
        <w:contextualSpacing/>
        <w:jc w:val="both"/>
      </w:pPr>
      <w:r>
        <w:t xml:space="preserve">In the </w:t>
      </w:r>
      <w:r w:rsidRPr="00E45944">
        <w:rPr>
          <w:i/>
        </w:rPr>
        <w:t>f</w:t>
      </w:r>
      <w:r w:rsidRPr="00EC03E4">
        <w:rPr>
          <w:i/>
        </w:rPr>
        <w:t>amiliarisation</w:t>
      </w:r>
      <w:r>
        <w:rPr>
          <w:i/>
        </w:rPr>
        <w:t xml:space="preserve"> </w:t>
      </w:r>
      <w:r>
        <w:t>stage,</w:t>
      </w:r>
      <w:r w:rsidRPr="008B0E34">
        <w:t xml:space="preserve"> LQ summarised the transcripts and wrote notes on non-verbal behaviour and context. LQ and RN </w:t>
      </w:r>
      <w:r>
        <w:t xml:space="preserve">then </w:t>
      </w:r>
      <w:r w:rsidRPr="008B0E34">
        <w:t>independently read the transcripts and conducted initial opening coding</w:t>
      </w:r>
      <w:r>
        <w:t xml:space="preserve">. Following this, in the </w:t>
      </w:r>
      <w:r w:rsidRPr="00E45944">
        <w:rPr>
          <w:i/>
        </w:rPr>
        <w:t>i</w:t>
      </w:r>
      <w:r w:rsidRPr="00EC03E4">
        <w:rPr>
          <w:i/>
        </w:rPr>
        <w:t>dentification of a thematic framework</w:t>
      </w:r>
      <w:r>
        <w:t xml:space="preserve"> stage,</w:t>
      </w:r>
      <w:r w:rsidRPr="008B0E34">
        <w:t xml:space="preserve"> </w:t>
      </w:r>
      <w:r>
        <w:t xml:space="preserve">a </w:t>
      </w:r>
      <w:r w:rsidRPr="008B0E34">
        <w:t xml:space="preserve">coding frame was developed deductively </w:t>
      </w:r>
      <w:r>
        <w:t xml:space="preserve">using the </w:t>
      </w:r>
      <w:r w:rsidRPr="008B0E34">
        <w:t xml:space="preserve">questions in the topic guide and the initial open coding. </w:t>
      </w:r>
      <w:r>
        <w:t>P</w:t>
      </w:r>
      <w:r w:rsidRPr="00664A08">
        <w:t xml:space="preserve">reliminary </w:t>
      </w:r>
      <w:r>
        <w:t xml:space="preserve">categories and codes in the coding framework </w:t>
      </w:r>
      <w:r w:rsidRPr="00664A08">
        <w:t>were discussed within the team (</w:t>
      </w:r>
      <w:r>
        <w:t xml:space="preserve">RN, </w:t>
      </w:r>
      <w:r w:rsidRPr="00664A08">
        <w:t>LQ, SS, and NK) and</w:t>
      </w:r>
      <w:r>
        <w:t xml:space="preserve"> revised accordingly. T</w:t>
      </w:r>
      <w:r w:rsidRPr="00664A08">
        <w:t xml:space="preserve">he transcripts were </w:t>
      </w:r>
      <w:r>
        <w:t xml:space="preserve">then </w:t>
      </w:r>
      <w:r w:rsidRPr="00664A08">
        <w:t xml:space="preserve">re-read </w:t>
      </w:r>
      <w:r>
        <w:t xml:space="preserve">and the framework tested by SS and RN for two focus groups independently </w:t>
      </w:r>
      <w:r w:rsidRPr="00664A08">
        <w:t xml:space="preserve">to ensure the </w:t>
      </w:r>
      <w:r>
        <w:t>codes</w:t>
      </w:r>
      <w:r w:rsidRPr="00664A08">
        <w:t xml:space="preserve"> adequately represented the data.</w:t>
      </w:r>
      <w:r>
        <w:t xml:space="preserve"> The </w:t>
      </w:r>
      <w:r w:rsidRPr="00C009E3">
        <w:t>framework</w:t>
      </w:r>
      <w:r>
        <w:t xml:space="preserve"> was further refined and revised following the testing.    </w:t>
      </w:r>
    </w:p>
    <w:p w14:paraId="57633DFA" w14:textId="77777777" w:rsidR="009238AD" w:rsidRDefault="009238AD" w:rsidP="009238AD">
      <w:pPr>
        <w:spacing w:after="0" w:line="480" w:lineRule="auto"/>
        <w:contextualSpacing/>
        <w:jc w:val="both"/>
      </w:pPr>
    </w:p>
    <w:p w14:paraId="154D8F51" w14:textId="77777777" w:rsidR="009238AD" w:rsidRDefault="009238AD" w:rsidP="009238AD">
      <w:pPr>
        <w:spacing w:after="0" w:line="480" w:lineRule="auto"/>
        <w:contextualSpacing/>
        <w:jc w:val="both"/>
      </w:pPr>
      <w:r>
        <w:t xml:space="preserve">Then, in the </w:t>
      </w:r>
      <w:r>
        <w:rPr>
          <w:i/>
        </w:rPr>
        <w:t>i</w:t>
      </w:r>
      <w:r w:rsidRPr="00DF4879">
        <w:rPr>
          <w:i/>
        </w:rPr>
        <w:t>ndexing</w:t>
      </w:r>
      <w:r>
        <w:rPr>
          <w:i/>
        </w:rPr>
        <w:t xml:space="preserve"> </w:t>
      </w:r>
      <w:r>
        <w:t>stage</w:t>
      </w:r>
      <w:r w:rsidRPr="00C009E3">
        <w:t xml:space="preserve"> the framework was applied to all transcripts using a qualitative data analysis management </w:t>
      </w:r>
      <w:proofErr w:type="gramStart"/>
      <w:r w:rsidRPr="00C009E3">
        <w:t>package</w:t>
      </w:r>
      <w:r>
        <w:t>[</w:t>
      </w:r>
      <w:proofErr w:type="gramEnd"/>
      <w:r>
        <w:t>4]</w:t>
      </w:r>
      <w:r w:rsidRPr="00C009E3">
        <w:t xml:space="preserve"> </w:t>
      </w:r>
      <w:r>
        <w:t>and categories and codes were assigned to the data</w:t>
      </w:r>
      <w:r w:rsidRPr="00C009E3">
        <w:t>.</w:t>
      </w:r>
      <w:r>
        <w:t xml:space="preserve"> This was followed by a c</w:t>
      </w:r>
      <w:r w:rsidRPr="0036185D">
        <w:rPr>
          <w:i/>
        </w:rPr>
        <w:t xml:space="preserve">harting </w:t>
      </w:r>
      <w:r>
        <w:t xml:space="preserve">stage, where the coded data was summarised and charted by </w:t>
      </w:r>
      <w:r w:rsidRPr="00C009E3">
        <w:t xml:space="preserve">each case (person and groups) and code. </w:t>
      </w:r>
      <w:r>
        <w:t xml:space="preserve">Three of the codes were independently charted by SS and compared with charts created by RN to ensure charting conducted was an accurate representation of the data. Finally, </w:t>
      </w:r>
      <w:r w:rsidRPr="00E45944">
        <w:rPr>
          <w:i/>
        </w:rPr>
        <w:t>m</w:t>
      </w:r>
      <w:r w:rsidRPr="00EC03E4">
        <w:rPr>
          <w:i/>
        </w:rPr>
        <w:t>apping and interpretation</w:t>
      </w:r>
      <w:r>
        <w:rPr>
          <w:i/>
        </w:rPr>
        <w:t xml:space="preserve"> </w:t>
      </w:r>
      <w:r>
        <w:t>was conducted by summarising the d</w:t>
      </w:r>
      <w:r w:rsidRPr="00664A08">
        <w:t xml:space="preserve">ata into a </w:t>
      </w:r>
      <w:r>
        <w:t>chart</w:t>
      </w:r>
      <w:r w:rsidRPr="00664A08">
        <w:t xml:space="preserve"> for each professional/</w:t>
      </w:r>
      <w:r>
        <w:t xml:space="preserve">lived experience </w:t>
      </w:r>
      <w:r w:rsidRPr="00664A08">
        <w:t xml:space="preserve">group and </w:t>
      </w:r>
      <w:r>
        <w:t>code</w:t>
      </w:r>
      <w:r w:rsidRPr="00664A08">
        <w:t xml:space="preserve"> for comparative analysis.</w:t>
      </w:r>
      <w:r>
        <w:t xml:space="preserve"> Thematic analysis of the summary charts was used to highlight themes that were reflective and narrative of summaries and was conducted by RN and SS independently. Emerging themes were refined and revised through </w:t>
      </w:r>
      <w:r>
        <w:lastRenderedPageBreak/>
        <w:t xml:space="preserve">discussion between RN, LQ and SS. </w:t>
      </w:r>
      <w:r w:rsidRPr="00664A08">
        <w:t xml:space="preserve">Saturation was indicated when no further themes emerged from the </w:t>
      </w:r>
      <w:r>
        <w:t>charts and/or discussions</w:t>
      </w:r>
      <w:r w:rsidRPr="00664A08">
        <w:t xml:space="preserve">. </w:t>
      </w:r>
      <w:r>
        <w:t xml:space="preserve"> </w:t>
      </w:r>
    </w:p>
    <w:p w14:paraId="5B7FD4B1" w14:textId="77777777" w:rsidR="009238AD" w:rsidRPr="00664A08" w:rsidRDefault="009238AD" w:rsidP="009238AD">
      <w:pPr>
        <w:spacing w:after="0" w:line="480" w:lineRule="auto"/>
        <w:contextualSpacing/>
        <w:jc w:val="both"/>
      </w:pPr>
    </w:p>
    <w:p w14:paraId="520F61F7" w14:textId="77777777" w:rsidR="009238AD" w:rsidRPr="00613E20" w:rsidRDefault="009238AD" w:rsidP="009238AD">
      <w:pPr>
        <w:spacing w:after="0" w:line="480" w:lineRule="auto"/>
        <w:contextualSpacing/>
        <w:jc w:val="both"/>
        <w:rPr>
          <w:b/>
          <w:color w:val="000000"/>
        </w:rPr>
      </w:pPr>
      <w:r w:rsidRPr="00613E20">
        <w:rPr>
          <w:b/>
          <w:color w:val="000000"/>
        </w:rPr>
        <w:t>REFERENCES</w:t>
      </w:r>
    </w:p>
    <w:p w14:paraId="332E2E80" w14:textId="77777777" w:rsidR="009238AD" w:rsidRPr="00613E20" w:rsidRDefault="009238AD" w:rsidP="009238AD">
      <w:pPr>
        <w:pStyle w:val="ListParagraph"/>
        <w:numPr>
          <w:ilvl w:val="0"/>
          <w:numId w:val="1"/>
        </w:numPr>
        <w:autoSpaceDE w:val="0"/>
        <w:autoSpaceDN w:val="0"/>
        <w:adjustRightInd w:val="0"/>
        <w:spacing w:line="480" w:lineRule="auto"/>
        <w:jc w:val="both"/>
        <w:rPr>
          <w:rFonts w:cs="Calibri"/>
          <w:color w:val="000000"/>
        </w:rPr>
      </w:pPr>
      <w:r w:rsidRPr="00613E20">
        <w:rPr>
          <w:rFonts w:cs="Helvetica"/>
          <w:color w:val="000000"/>
          <w:lang w:val="en-US"/>
        </w:rPr>
        <w:t xml:space="preserve">Ritchie J, Spencer L. Qualitative data analysis for applied policy research. </w:t>
      </w:r>
      <w:r w:rsidRPr="00613E20">
        <w:rPr>
          <w:rFonts w:cs="Helvetica"/>
          <w:iCs/>
          <w:color w:val="000000"/>
          <w:lang w:val="en-US"/>
        </w:rPr>
        <w:t>The Qualitative Researcher’s Companion</w:t>
      </w:r>
      <w:r w:rsidRPr="00613E20">
        <w:rPr>
          <w:rFonts w:cs="Helvetica"/>
          <w:color w:val="000000"/>
          <w:lang w:val="en-US"/>
        </w:rPr>
        <w:t xml:space="preserve"> 2002;573(2002):305-29.</w:t>
      </w:r>
    </w:p>
    <w:p w14:paraId="0DBAC250" w14:textId="77777777" w:rsidR="009238AD" w:rsidRPr="00613E20" w:rsidRDefault="009238AD" w:rsidP="009238AD">
      <w:pPr>
        <w:pStyle w:val="ListParagraph"/>
        <w:numPr>
          <w:ilvl w:val="0"/>
          <w:numId w:val="1"/>
        </w:numPr>
        <w:spacing w:line="480" w:lineRule="auto"/>
        <w:rPr>
          <w:rFonts w:eastAsia="Times New Roman"/>
          <w:color w:val="000000"/>
        </w:rPr>
      </w:pPr>
      <w:r w:rsidRPr="00613E20">
        <w:rPr>
          <w:rFonts w:eastAsia="Times New Roman" w:cs="Arial"/>
          <w:color w:val="000000"/>
          <w:shd w:val="clear" w:color="auto" w:fill="FFFFFF"/>
        </w:rPr>
        <w:t xml:space="preserve">Pope C, </w:t>
      </w:r>
      <w:proofErr w:type="spellStart"/>
      <w:r w:rsidRPr="00613E20">
        <w:rPr>
          <w:rFonts w:eastAsia="Times New Roman" w:cs="Arial"/>
          <w:color w:val="000000"/>
          <w:shd w:val="clear" w:color="auto" w:fill="FFFFFF"/>
        </w:rPr>
        <w:t>Ziebland</w:t>
      </w:r>
      <w:proofErr w:type="spellEnd"/>
      <w:r w:rsidRPr="00613E20">
        <w:rPr>
          <w:rFonts w:eastAsia="Times New Roman" w:cs="Arial"/>
          <w:color w:val="000000"/>
          <w:shd w:val="clear" w:color="auto" w:fill="FFFFFF"/>
        </w:rPr>
        <w:t xml:space="preserve"> S, Mays N. Analysing qualitative data. Qualitative research in health care. 2006; Jan 1:63-81.</w:t>
      </w:r>
    </w:p>
    <w:p w14:paraId="50BD3A6C" w14:textId="77777777" w:rsidR="009238AD" w:rsidRPr="00613E20" w:rsidRDefault="009238AD" w:rsidP="009238AD">
      <w:pPr>
        <w:pStyle w:val="ListParagraph"/>
        <w:widowControl w:val="0"/>
        <w:numPr>
          <w:ilvl w:val="0"/>
          <w:numId w:val="1"/>
        </w:numPr>
        <w:autoSpaceDE w:val="0"/>
        <w:autoSpaceDN w:val="0"/>
        <w:adjustRightInd w:val="0"/>
        <w:spacing w:after="200" w:line="480" w:lineRule="auto"/>
        <w:ind w:right="-720"/>
        <w:rPr>
          <w:rFonts w:cs="Helvetica"/>
          <w:color w:val="000000"/>
          <w:lang w:val="en-US"/>
        </w:rPr>
      </w:pPr>
      <w:r w:rsidRPr="00613E20">
        <w:rPr>
          <w:rFonts w:cs="Helvetica"/>
          <w:color w:val="000000"/>
          <w:lang w:val="en-US"/>
        </w:rPr>
        <w:t xml:space="preserve">Gale NK, Heath G, Cameron E, et al. Using the framework method for the analysis of qualitative data in multi-disciplinary health research. </w:t>
      </w:r>
      <w:r w:rsidRPr="00613E20">
        <w:rPr>
          <w:rFonts w:cs="Helvetica"/>
          <w:i/>
          <w:iCs/>
          <w:color w:val="000000"/>
          <w:lang w:val="en-US"/>
        </w:rPr>
        <w:t xml:space="preserve">BMC Med Res </w:t>
      </w:r>
      <w:proofErr w:type="spellStart"/>
      <w:r w:rsidRPr="00613E20">
        <w:rPr>
          <w:rFonts w:cs="Helvetica"/>
          <w:i/>
          <w:iCs/>
          <w:color w:val="000000"/>
          <w:lang w:val="en-US"/>
        </w:rPr>
        <w:t>Methodol</w:t>
      </w:r>
      <w:proofErr w:type="spellEnd"/>
      <w:r w:rsidRPr="00613E20">
        <w:rPr>
          <w:rFonts w:cs="Helvetica"/>
          <w:color w:val="000000"/>
          <w:lang w:val="en-US"/>
        </w:rPr>
        <w:t xml:space="preserve"> </w:t>
      </w:r>
      <w:proofErr w:type="gramStart"/>
      <w:r w:rsidRPr="00613E20">
        <w:rPr>
          <w:rFonts w:cs="Helvetica"/>
          <w:color w:val="000000"/>
          <w:lang w:val="en-US"/>
        </w:rPr>
        <w:t>2013;13:117</w:t>
      </w:r>
      <w:proofErr w:type="gramEnd"/>
      <w:r w:rsidRPr="00613E20">
        <w:rPr>
          <w:rFonts w:cs="Helvetica"/>
          <w:color w:val="000000"/>
          <w:lang w:val="en-US"/>
        </w:rPr>
        <w:t>.</w:t>
      </w:r>
      <w:r w:rsidRPr="00613E20">
        <w:rPr>
          <w:rFonts w:eastAsia="Times New Roman" w:cs="Arial"/>
          <w:color w:val="000000"/>
          <w:shd w:val="clear" w:color="auto" w:fill="FFFFFF"/>
        </w:rPr>
        <w:t xml:space="preserve"> </w:t>
      </w:r>
      <w:proofErr w:type="spellStart"/>
      <w:r w:rsidRPr="00613E20">
        <w:rPr>
          <w:rFonts w:eastAsia="Times New Roman" w:cs="Arial"/>
          <w:color w:val="000000"/>
          <w:shd w:val="clear" w:color="auto" w:fill="FFFFFF"/>
        </w:rPr>
        <w:t>doi</w:t>
      </w:r>
      <w:proofErr w:type="spellEnd"/>
      <w:r w:rsidRPr="00613E20">
        <w:rPr>
          <w:rFonts w:eastAsia="Times New Roman" w:cs="Arial"/>
          <w:color w:val="000000"/>
          <w:shd w:val="clear" w:color="auto" w:fill="FFFFFF"/>
        </w:rPr>
        <w:t>: 10.1186/1471-2288-13-117.</w:t>
      </w:r>
    </w:p>
    <w:p w14:paraId="06772664" w14:textId="77777777" w:rsidR="009238AD" w:rsidRPr="00A71E01" w:rsidRDefault="009238AD" w:rsidP="009238AD">
      <w:pPr>
        <w:pStyle w:val="ListParagraph"/>
        <w:numPr>
          <w:ilvl w:val="0"/>
          <w:numId w:val="1"/>
        </w:numPr>
        <w:spacing w:line="480" w:lineRule="auto"/>
        <w:rPr>
          <w:rFonts w:eastAsia="Times New Roman"/>
        </w:rPr>
      </w:pPr>
      <w:r w:rsidRPr="00A71E01">
        <w:rPr>
          <w:rFonts w:eastAsia="Times New Roman"/>
        </w:rPr>
        <w:t>NVivo qualitative data analysis Software; QSR International Pty Ltd. Version 10, 2012.</w:t>
      </w:r>
    </w:p>
    <w:p w14:paraId="2408860C" w14:textId="77777777" w:rsidR="009238AD" w:rsidRPr="00613E20" w:rsidRDefault="009238AD" w:rsidP="009238AD">
      <w:pPr>
        <w:spacing w:after="0" w:line="480" w:lineRule="auto"/>
        <w:contextualSpacing/>
        <w:jc w:val="both"/>
        <w:rPr>
          <w:b/>
          <w:color w:val="000000"/>
        </w:rPr>
      </w:pPr>
    </w:p>
    <w:p w14:paraId="760B4B47" w14:textId="77777777" w:rsidR="009238AD" w:rsidRDefault="009238AD" w:rsidP="009238AD">
      <w:pPr>
        <w:spacing w:after="0" w:line="480" w:lineRule="auto"/>
        <w:contextualSpacing/>
        <w:jc w:val="both"/>
        <w:rPr>
          <w:b/>
        </w:rPr>
      </w:pPr>
    </w:p>
    <w:p w14:paraId="2A53E997" w14:textId="77777777" w:rsidR="009238AD" w:rsidRPr="00664A08" w:rsidRDefault="009238AD" w:rsidP="009238AD">
      <w:pPr>
        <w:spacing w:after="0" w:line="480" w:lineRule="auto"/>
        <w:contextualSpacing/>
        <w:jc w:val="both"/>
        <w:rPr>
          <w:b/>
        </w:rPr>
      </w:pPr>
    </w:p>
    <w:p w14:paraId="049DE1D7" w14:textId="77777777" w:rsidR="00D078FC" w:rsidRDefault="009303F3"/>
    <w:sectPr w:rsidR="00D078FC" w:rsidSect="00AB39D8">
      <w:pgSz w:w="11900" w:h="16840"/>
      <w:pgMar w:top="1134" w:right="1440" w:bottom="1440" w:left="1440" w:header="136"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927E2"/>
    <w:multiLevelType w:val="hybridMultilevel"/>
    <w:tmpl w:val="D908ADEA"/>
    <w:lvl w:ilvl="0" w:tplc="C6C4C9BC">
      <w:start w:val="1"/>
      <w:numFmt w:val="decimalZero"/>
      <w:lvlText w:val="%1."/>
      <w:lvlJc w:val="left"/>
      <w:pPr>
        <w:ind w:left="720" w:hanging="360"/>
      </w:pPr>
      <w:rPr>
        <w:rFonts w:cs="Helvetica"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AD"/>
    <w:rsid w:val="005B009B"/>
    <w:rsid w:val="00736C84"/>
    <w:rsid w:val="00843779"/>
    <w:rsid w:val="00901E8F"/>
    <w:rsid w:val="009238AD"/>
    <w:rsid w:val="009303F3"/>
    <w:rsid w:val="00D027D9"/>
    <w:rsid w:val="00E436C1"/>
    <w:rsid w:val="00F7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F6E9"/>
  <w15:chartTrackingRefBased/>
  <w15:docId w15:val="{FD5519D0-CA9D-3548-8D8D-ECC704CE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38AD"/>
    <w:pPr>
      <w:autoSpaceDE w:val="0"/>
      <w:autoSpaceDN w:val="0"/>
      <w:adjustRightInd w:val="0"/>
      <w:spacing w:after="200" w:line="276" w:lineRule="auto"/>
    </w:pPr>
    <w:rPr>
      <w:rFonts w:ascii="Calibri" w:eastAsia="MS Mincho"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AD"/>
    <w:pPr>
      <w:autoSpaceDE/>
      <w:autoSpaceDN/>
      <w:adjustRightInd/>
      <w:spacing w:after="0" w:line="240" w:lineRule="auto"/>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3384</Characters>
  <Application>Microsoft Office Word</Application>
  <DocSecurity>0</DocSecurity>
  <Lines>28</Lines>
  <Paragraphs>7</Paragraphs>
  <ScaleCrop>false</ScaleCrop>
  <Company>University of Manchester</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Quinlivan</dc:creator>
  <cp:keywords/>
  <dc:description/>
  <cp:lastModifiedBy>Leah Quinlivan</cp:lastModifiedBy>
  <cp:revision>3</cp:revision>
  <dcterms:created xsi:type="dcterms:W3CDTF">2019-03-15T08:29:00Z</dcterms:created>
  <dcterms:modified xsi:type="dcterms:W3CDTF">2019-03-15T08:29:00Z</dcterms:modified>
</cp:coreProperties>
</file>