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6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tblCellMar>
        <w:tblLook w:val="04A0" w:firstRow="1" w:lastRow="0" w:firstColumn="1" w:lastColumn="0" w:noHBand="0" w:noVBand="1"/>
      </w:tblPr>
      <w:tblGrid>
        <w:gridCol w:w="1617"/>
        <w:gridCol w:w="1061"/>
        <w:gridCol w:w="1847"/>
        <w:gridCol w:w="4542"/>
      </w:tblGrid>
      <w:tr w:rsidR="00B0215B" w:rsidRPr="00537EDC" w:rsidTr="00B0215B">
        <w:tc>
          <w:tcPr>
            <w:tcW w:w="1617" w:type="dxa"/>
            <w:tcBorders>
              <w:top w:val="single" w:sz="6" w:space="0" w:color="00000A"/>
              <w:left w:val="single" w:sz="6" w:space="0" w:color="00000A"/>
              <w:bottom w:val="single" w:sz="6" w:space="0" w:color="00000A"/>
              <w:right w:val="nil"/>
            </w:tcBorders>
            <w:shd w:val="clear" w:color="auto" w:fill="auto"/>
            <w:tcMar>
              <w:left w:w="36" w:type="dxa"/>
            </w:tcMar>
            <w:vAlign w:val="center"/>
          </w:tcPr>
          <w:p w:rsidR="00B0215B" w:rsidRPr="00537EDC" w:rsidRDefault="00B0215B" w:rsidP="00B0215B">
            <w:pPr>
              <w:pageBreakBefore/>
              <w:spacing w:before="40" w:after="0" w:line="240" w:lineRule="auto"/>
              <w:jc w:val="center"/>
              <w:rPr>
                <w:sz w:val="20"/>
                <w:szCs w:val="20"/>
              </w:rPr>
            </w:pPr>
            <w:r w:rsidRPr="00537EDC">
              <w:rPr>
                <w:rFonts w:ascii="Times New Roman" w:hAnsi="Times New Roman"/>
                <w:i/>
                <w:sz w:val="20"/>
                <w:szCs w:val="20"/>
              </w:rPr>
              <w:t>Case Number</w:t>
            </w:r>
          </w:p>
        </w:tc>
        <w:tc>
          <w:tcPr>
            <w:tcW w:w="1061" w:type="dxa"/>
            <w:tcBorders>
              <w:top w:val="single" w:sz="6" w:space="0" w:color="00000A"/>
              <w:left w:val="nil"/>
              <w:bottom w:val="single" w:sz="6" w:space="0" w:color="00000A"/>
              <w:right w:val="nil"/>
            </w:tcBorders>
            <w:shd w:val="clear" w:color="auto" w:fill="auto"/>
            <w:tcMar>
              <w:left w:w="105" w:type="dxa"/>
            </w:tcMar>
          </w:tcPr>
          <w:p w:rsidR="00B0215B" w:rsidRPr="00537EDC" w:rsidRDefault="00B0215B" w:rsidP="00B0215B">
            <w:pPr>
              <w:spacing w:before="40" w:after="0" w:line="240" w:lineRule="auto"/>
              <w:jc w:val="center"/>
              <w:rPr>
                <w:sz w:val="20"/>
                <w:szCs w:val="20"/>
              </w:rPr>
            </w:pPr>
            <w:r w:rsidRPr="00537EDC">
              <w:rPr>
                <w:rFonts w:ascii="Times New Roman" w:hAnsi="Times New Roman"/>
                <w:i/>
                <w:sz w:val="20"/>
                <w:szCs w:val="20"/>
              </w:rPr>
              <w:t xml:space="preserve">Weeks from Case ID </w:t>
            </w:r>
          </w:p>
        </w:tc>
        <w:tc>
          <w:tcPr>
            <w:tcW w:w="1847" w:type="dxa"/>
            <w:tcBorders>
              <w:top w:val="single" w:sz="6" w:space="0" w:color="00000A"/>
              <w:left w:val="nil"/>
              <w:bottom w:val="single" w:sz="6" w:space="0" w:color="00000A"/>
              <w:right w:val="nil"/>
            </w:tcBorders>
            <w:shd w:val="clear" w:color="auto" w:fill="auto"/>
            <w:tcMar>
              <w:left w:w="105" w:type="dxa"/>
            </w:tcMar>
            <w:vAlign w:val="center"/>
          </w:tcPr>
          <w:p w:rsidR="00B0215B" w:rsidRPr="00537EDC" w:rsidRDefault="00B0215B" w:rsidP="00B0215B">
            <w:pPr>
              <w:spacing w:before="40" w:after="0" w:line="240" w:lineRule="auto"/>
              <w:rPr>
                <w:rFonts w:ascii="Times New Roman" w:hAnsi="Times New Roman"/>
                <w:i/>
                <w:sz w:val="20"/>
                <w:szCs w:val="20"/>
              </w:rPr>
            </w:pPr>
            <w:r w:rsidRPr="00537EDC">
              <w:rPr>
                <w:rFonts w:ascii="Times New Roman" w:hAnsi="Times New Roman"/>
                <w:i/>
                <w:sz w:val="20"/>
                <w:szCs w:val="20"/>
              </w:rPr>
              <w:t>DX at Case ID</w:t>
            </w:r>
          </w:p>
        </w:tc>
        <w:tc>
          <w:tcPr>
            <w:tcW w:w="4542" w:type="dxa"/>
            <w:tcBorders>
              <w:top w:val="single" w:sz="6" w:space="0" w:color="00000A"/>
              <w:left w:val="nil"/>
              <w:bottom w:val="single" w:sz="6" w:space="0" w:color="00000A"/>
              <w:right w:val="single" w:sz="6" w:space="0" w:color="00000A"/>
            </w:tcBorders>
            <w:shd w:val="clear" w:color="auto" w:fill="auto"/>
            <w:tcMar>
              <w:left w:w="105" w:type="dxa"/>
            </w:tcMar>
            <w:vAlign w:val="center"/>
          </w:tcPr>
          <w:p w:rsidR="00B0215B" w:rsidRPr="00537EDC" w:rsidRDefault="00B0215B" w:rsidP="00B0215B">
            <w:pPr>
              <w:spacing w:before="40" w:after="0" w:line="240" w:lineRule="auto"/>
              <w:rPr>
                <w:sz w:val="20"/>
                <w:szCs w:val="20"/>
              </w:rPr>
            </w:pPr>
            <w:r w:rsidRPr="00537EDC">
              <w:rPr>
                <w:rFonts w:ascii="Times New Roman" w:hAnsi="Times New Roman"/>
                <w:i/>
                <w:sz w:val="20"/>
                <w:szCs w:val="20"/>
              </w:rPr>
              <w:t>Results</w:t>
            </w:r>
          </w:p>
        </w:tc>
      </w:tr>
      <w:tr w:rsidR="00B0215B" w:rsidRPr="00537EDC" w:rsidTr="00B0215B">
        <w:tc>
          <w:tcPr>
            <w:tcW w:w="9067" w:type="dxa"/>
            <w:gridSpan w:val="4"/>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B0215B" w:rsidRPr="00537EDC" w:rsidRDefault="00B0215B" w:rsidP="00B0215B">
            <w:pPr>
              <w:spacing w:before="40" w:after="40" w:line="240" w:lineRule="auto"/>
              <w:rPr>
                <w:rFonts w:ascii="Times New Roman" w:hAnsi="Times New Roman"/>
                <w:i/>
                <w:sz w:val="20"/>
                <w:szCs w:val="20"/>
              </w:rPr>
            </w:pPr>
            <w:r w:rsidRPr="00537EDC">
              <w:rPr>
                <w:rFonts w:ascii="Times New Roman" w:hAnsi="Times New Roman"/>
                <w:i/>
                <w:sz w:val="20"/>
                <w:szCs w:val="20"/>
              </w:rPr>
              <w:t>CT Scan results</w:t>
            </w:r>
          </w:p>
        </w:tc>
      </w:tr>
      <w:tr w:rsidR="00B0215B" w:rsidRPr="00537EDC" w:rsidTr="00B0215B">
        <w:tc>
          <w:tcPr>
            <w:tcW w:w="1617" w:type="dxa"/>
            <w:tcBorders>
              <w:top w:val="single" w:sz="6" w:space="0" w:color="00000A"/>
              <w:left w:val="single" w:sz="6" w:space="0" w:color="00000A"/>
              <w:bottom w:val="nil"/>
              <w:right w:val="nil"/>
            </w:tcBorders>
            <w:shd w:val="clear" w:color="auto" w:fill="auto"/>
            <w:tcMar>
              <w:left w:w="36"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5</w:t>
            </w:r>
          </w:p>
        </w:tc>
        <w:tc>
          <w:tcPr>
            <w:tcW w:w="1061" w:type="dxa"/>
            <w:tcBorders>
              <w:top w:val="single" w:sz="6" w:space="0" w:color="00000A"/>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0.1</w:t>
            </w:r>
          </w:p>
        </w:tc>
        <w:tc>
          <w:tcPr>
            <w:tcW w:w="1847" w:type="dxa"/>
            <w:tcBorders>
              <w:top w:val="single" w:sz="6" w:space="0" w:color="00000A"/>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rPr>
                <w:rFonts w:ascii="Times New Roman" w:hAnsi="Times New Roman"/>
                <w:sz w:val="20"/>
                <w:szCs w:val="20"/>
              </w:rPr>
            </w:pPr>
            <w:r w:rsidRPr="00537EDC">
              <w:rPr>
                <w:rFonts w:ascii="Times New Roman" w:hAnsi="Times New Roman"/>
                <w:sz w:val="20"/>
                <w:szCs w:val="20"/>
              </w:rPr>
              <w:t>Delusional disorder</w:t>
            </w:r>
          </w:p>
        </w:tc>
        <w:tc>
          <w:tcPr>
            <w:tcW w:w="4542" w:type="dxa"/>
            <w:tcBorders>
              <w:top w:val="single" w:sz="6" w:space="0" w:color="00000A"/>
              <w:left w:val="nil"/>
              <w:bottom w:val="nil"/>
              <w:right w:val="single" w:sz="6" w:space="0" w:color="00000A"/>
            </w:tcBorders>
            <w:shd w:val="clear" w:color="auto" w:fill="auto"/>
            <w:tcMar>
              <w:left w:w="105" w:type="dxa"/>
            </w:tcMar>
            <w:vAlign w:val="center"/>
          </w:tcPr>
          <w:p w:rsidR="00B0215B" w:rsidRPr="00537EDC" w:rsidRDefault="00B0215B" w:rsidP="00B0215B">
            <w:pPr>
              <w:spacing w:before="96" w:after="0" w:line="240" w:lineRule="auto"/>
              <w:rPr>
                <w:sz w:val="20"/>
                <w:szCs w:val="20"/>
              </w:rPr>
            </w:pPr>
            <w:r w:rsidRPr="00537EDC">
              <w:rPr>
                <w:rFonts w:ascii="Times New Roman" w:hAnsi="Times New Roman"/>
                <w:sz w:val="20"/>
                <w:szCs w:val="20"/>
              </w:rPr>
              <w:t>Small lacunar infarct in left head of the caudate nucleus</w:t>
            </w:r>
          </w:p>
        </w:tc>
      </w:tr>
      <w:tr w:rsidR="00B0215B" w:rsidRPr="00537EDC" w:rsidTr="00B0215B">
        <w:tc>
          <w:tcPr>
            <w:tcW w:w="1617" w:type="dxa"/>
            <w:tcBorders>
              <w:top w:val="nil"/>
              <w:left w:val="single" w:sz="6" w:space="0" w:color="00000A"/>
              <w:bottom w:val="nil"/>
              <w:right w:val="nil"/>
            </w:tcBorders>
            <w:shd w:val="clear" w:color="auto" w:fill="auto"/>
            <w:tcMar>
              <w:left w:w="36"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10</w:t>
            </w:r>
          </w:p>
        </w:tc>
        <w:tc>
          <w:tcPr>
            <w:tcW w:w="1061"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0.0</w:t>
            </w:r>
          </w:p>
        </w:tc>
        <w:tc>
          <w:tcPr>
            <w:tcW w:w="1847"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rPr>
                <w:rFonts w:ascii="Times New Roman" w:hAnsi="Times New Roman"/>
                <w:sz w:val="20"/>
                <w:szCs w:val="20"/>
              </w:rPr>
            </w:pPr>
            <w:r w:rsidRPr="00537EDC">
              <w:rPr>
                <w:rFonts w:ascii="Times New Roman" w:hAnsi="Times New Roman"/>
                <w:sz w:val="20"/>
                <w:szCs w:val="20"/>
              </w:rPr>
              <w:t>Generalised anxiety disorder</w:t>
            </w:r>
          </w:p>
        </w:tc>
        <w:tc>
          <w:tcPr>
            <w:tcW w:w="4542" w:type="dxa"/>
            <w:tcBorders>
              <w:top w:val="nil"/>
              <w:left w:val="nil"/>
              <w:bottom w:val="nil"/>
              <w:right w:val="single" w:sz="6" w:space="0" w:color="00000A"/>
            </w:tcBorders>
            <w:shd w:val="clear" w:color="auto" w:fill="auto"/>
            <w:tcMar>
              <w:left w:w="105" w:type="dxa"/>
            </w:tcMar>
            <w:vAlign w:val="center"/>
          </w:tcPr>
          <w:p w:rsidR="00B0215B" w:rsidRPr="00537EDC" w:rsidRDefault="00B0215B" w:rsidP="00B0215B">
            <w:pPr>
              <w:spacing w:before="96" w:after="0" w:line="240" w:lineRule="auto"/>
              <w:rPr>
                <w:sz w:val="20"/>
                <w:szCs w:val="20"/>
              </w:rPr>
            </w:pPr>
            <w:r w:rsidRPr="00537EDC">
              <w:rPr>
                <w:rFonts w:ascii="Times New Roman" w:hAnsi="Times New Roman"/>
                <w:sz w:val="20"/>
                <w:szCs w:val="20"/>
              </w:rPr>
              <w:t>After surgical debulking of a right sphenoid wing meningioma, CT showed extensive oedema</w:t>
            </w:r>
          </w:p>
        </w:tc>
      </w:tr>
      <w:tr w:rsidR="00B0215B" w:rsidRPr="00537EDC" w:rsidTr="00B0215B">
        <w:tc>
          <w:tcPr>
            <w:tcW w:w="1617" w:type="dxa"/>
            <w:tcBorders>
              <w:top w:val="nil"/>
              <w:left w:val="single" w:sz="6" w:space="0" w:color="00000A"/>
              <w:bottom w:val="nil"/>
              <w:right w:val="nil"/>
            </w:tcBorders>
            <w:shd w:val="clear" w:color="auto" w:fill="auto"/>
            <w:tcMar>
              <w:left w:w="36"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19</w:t>
            </w:r>
          </w:p>
        </w:tc>
        <w:tc>
          <w:tcPr>
            <w:tcW w:w="1061"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1.1</w:t>
            </w:r>
          </w:p>
        </w:tc>
        <w:tc>
          <w:tcPr>
            <w:tcW w:w="1847"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rPr>
                <w:rFonts w:ascii="Times New Roman" w:hAnsi="Times New Roman"/>
                <w:sz w:val="20"/>
                <w:szCs w:val="20"/>
              </w:rPr>
            </w:pPr>
            <w:r w:rsidRPr="00537EDC">
              <w:rPr>
                <w:rFonts w:ascii="Times New Roman" w:hAnsi="Times New Roman"/>
                <w:sz w:val="20"/>
                <w:szCs w:val="20"/>
              </w:rPr>
              <w:t>Mental disorder NOS</w:t>
            </w:r>
          </w:p>
        </w:tc>
        <w:tc>
          <w:tcPr>
            <w:tcW w:w="4542" w:type="dxa"/>
            <w:tcBorders>
              <w:top w:val="nil"/>
              <w:left w:val="nil"/>
              <w:bottom w:val="nil"/>
              <w:right w:val="single" w:sz="6" w:space="0" w:color="00000A"/>
            </w:tcBorders>
            <w:shd w:val="clear" w:color="auto" w:fill="auto"/>
            <w:tcMar>
              <w:left w:w="105" w:type="dxa"/>
            </w:tcMar>
            <w:vAlign w:val="center"/>
          </w:tcPr>
          <w:p w:rsidR="00B0215B" w:rsidRPr="00537EDC" w:rsidRDefault="00B0215B" w:rsidP="00B0215B">
            <w:pPr>
              <w:spacing w:before="96" w:after="0" w:line="240" w:lineRule="auto"/>
              <w:rPr>
                <w:sz w:val="20"/>
                <w:szCs w:val="20"/>
              </w:rPr>
            </w:pPr>
            <w:r w:rsidRPr="00537EDC">
              <w:rPr>
                <w:rFonts w:ascii="Times New Roman" w:hAnsi="Times New Roman"/>
                <w:sz w:val="20"/>
                <w:szCs w:val="20"/>
              </w:rPr>
              <w:t>Moderately severe effects of small vessel disease</w:t>
            </w:r>
          </w:p>
        </w:tc>
      </w:tr>
      <w:tr w:rsidR="00B0215B" w:rsidRPr="00537EDC" w:rsidTr="00B0215B">
        <w:tc>
          <w:tcPr>
            <w:tcW w:w="1617" w:type="dxa"/>
            <w:tcBorders>
              <w:top w:val="nil"/>
              <w:left w:val="single" w:sz="6" w:space="0" w:color="00000A"/>
              <w:bottom w:val="nil"/>
              <w:right w:val="nil"/>
            </w:tcBorders>
            <w:shd w:val="clear" w:color="auto" w:fill="auto"/>
            <w:tcMar>
              <w:left w:w="36"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24</w:t>
            </w:r>
          </w:p>
        </w:tc>
        <w:tc>
          <w:tcPr>
            <w:tcW w:w="1061"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-20.7</w:t>
            </w:r>
          </w:p>
        </w:tc>
        <w:tc>
          <w:tcPr>
            <w:tcW w:w="1847"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rPr>
                <w:rFonts w:ascii="Times New Roman" w:hAnsi="Times New Roman"/>
                <w:sz w:val="20"/>
                <w:szCs w:val="20"/>
              </w:rPr>
            </w:pPr>
            <w:r w:rsidRPr="00537EDC">
              <w:rPr>
                <w:rFonts w:ascii="Times New Roman" w:hAnsi="Times New Roman"/>
                <w:sz w:val="20"/>
                <w:szCs w:val="20"/>
              </w:rPr>
              <w:t>Alzheimer’s disease</w:t>
            </w:r>
          </w:p>
        </w:tc>
        <w:tc>
          <w:tcPr>
            <w:tcW w:w="4542" w:type="dxa"/>
            <w:tcBorders>
              <w:top w:val="nil"/>
              <w:left w:val="nil"/>
              <w:bottom w:val="nil"/>
              <w:right w:val="single" w:sz="6" w:space="0" w:color="00000A"/>
            </w:tcBorders>
            <w:shd w:val="clear" w:color="auto" w:fill="auto"/>
            <w:tcMar>
              <w:left w:w="105" w:type="dxa"/>
            </w:tcMar>
            <w:vAlign w:val="center"/>
          </w:tcPr>
          <w:p w:rsidR="00B0215B" w:rsidRPr="00537EDC" w:rsidRDefault="00B0215B" w:rsidP="00B0215B">
            <w:pPr>
              <w:spacing w:before="96" w:after="0" w:line="240" w:lineRule="auto"/>
              <w:rPr>
                <w:sz w:val="20"/>
                <w:szCs w:val="20"/>
              </w:rPr>
            </w:pPr>
            <w:r w:rsidRPr="00537EDC">
              <w:rPr>
                <w:rFonts w:ascii="Times New Roman" w:hAnsi="Times New Roman"/>
                <w:sz w:val="20"/>
                <w:szCs w:val="20"/>
              </w:rPr>
              <w:t>Some atrophy, small vessel disease</w:t>
            </w:r>
          </w:p>
        </w:tc>
      </w:tr>
      <w:tr w:rsidR="00B0215B" w:rsidRPr="00537EDC" w:rsidTr="00B0215B">
        <w:tc>
          <w:tcPr>
            <w:tcW w:w="1617" w:type="dxa"/>
            <w:tcBorders>
              <w:top w:val="nil"/>
              <w:left w:val="single" w:sz="6" w:space="0" w:color="00000A"/>
              <w:bottom w:val="nil"/>
              <w:right w:val="nil"/>
            </w:tcBorders>
            <w:shd w:val="clear" w:color="auto" w:fill="auto"/>
            <w:tcMar>
              <w:left w:w="36"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31</w:t>
            </w:r>
          </w:p>
        </w:tc>
        <w:tc>
          <w:tcPr>
            <w:tcW w:w="1061"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-0.9</w:t>
            </w:r>
          </w:p>
        </w:tc>
        <w:tc>
          <w:tcPr>
            <w:tcW w:w="1847"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rPr>
                <w:rFonts w:ascii="Times New Roman" w:hAnsi="Times New Roman"/>
                <w:sz w:val="20"/>
                <w:szCs w:val="20"/>
              </w:rPr>
            </w:pPr>
            <w:r w:rsidRPr="00537EDC">
              <w:rPr>
                <w:rFonts w:ascii="Times New Roman" w:hAnsi="Times New Roman"/>
                <w:sz w:val="20"/>
                <w:szCs w:val="20"/>
              </w:rPr>
              <w:t>Unspecified nonorganic psychosis</w:t>
            </w:r>
          </w:p>
        </w:tc>
        <w:tc>
          <w:tcPr>
            <w:tcW w:w="4542" w:type="dxa"/>
            <w:tcBorders>
              <w:top w:val="nil"/>
              <w:left w:val="nil"/>
              <w:bottom w:val="nil"/>
              <w:right w:val="single" w:sz="6" w:space="0" w:color="00000A"/>
            </w:tcBorders>
            <w:shd w:val="clear" w:color="auto" w:fill="auto"/>
            <w:tcMar>
              <w:left w:w="105" w:type="dxa"/>
            </w:tcMar>
            <w:vAlign w:val="center"/>
          </w:tcPr>
          <w:p w:rsidR="00B0215B" w:rsidRPr="00537EDC" w:rsidRDefault="00B0215B" w:rsidP="00B0215B">
            <w:pPr>
              <w:spacing w:before="96" w:after="0" w:line="240" w:lineRule="auto"/>
              <w:rPr>
                <w:sz w:val="20"/>
                <w:szCs w:val="20"/>
              </w:rPr>
            </w:pPr>
            <w:r w:rsidRPr="00537EDC">
              <w:rPr>
                <w:rFonts w:ascii="Times New Roman" w:hAnsi="Times New Roman"/>
                <w:sz w:val="20"/>
                <w:szCs w:val="20"/>
              </w:rPr>
              <w:t>Chronic infarcts in periventricular white matter of left parietal lobe</w:t>
            </w:r>
          </w:p>
        </w:tc>
      </w:tr>
      <w:tr w:rsidR="00B0215B" w:rsidRPr="00537EDC" w:rsidTr="00B0215B">
        <w:tc>
          <w:tcPr>
            <w:tcW w:w="1617" w:type="dxa"/>
            <w:tcBorders>
              <w:top w:val="nil"/>
              <w:left w:val="single" w:sz="6" w:space="0" w:color="00000A"/>
              <w:bottom w:val="nil"/>
              <w:right w:val="nil"/>
            </w:tcBorders>
            <w:shd w:val="clear" w:color="auto" w:fill="auto"/>
            <w:tcMar>
              <w:left w:w="36"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46</w:t>
            </w:r>
          </w:p>
        </w:tc>
        <w:tc>
          <w:tcPr>
            <w:tcW w:w="1061"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49.4</w:t>
            </w:r>
          </w:p>
        </w:tc>
        <w:tc>
          <w:tcPr>
            <w:tcW w:w="1847"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rPr>
                <w:rFonts w:ascii="Times New Roman" w:hAnsi="Times New Roman"/>
                <w:sz w:val="20"/>
                <w:szCs w:val="20"/>
              </w:rPr>
            </w:pPr>
            <w:r w:rsidRPr="00537EDC">
              <w:rPr>
                <w:rFonts w:ascii="Times New Roman" w:hAnsi="Times New Roman"/>
                <w:sz w:val="20"/>
                <w:szCs w:val="20"/>
              </w:rPr>
              <w:t>Schizophrenia</w:t>
            </w:r>
          </w:p>
        </w:tc>
        <w:tc>
          <w:tcPr>
            <w:tcW w:w="4542" w:type="dxa"/>
            <w:tcBorders>
              <w:top w:val="nil"/>
              <w:left w:val="nil"/>
              <w:bottom w:val="nil"/>
              <w:right w:val="single" w:sz="6" w:space="0" w:color="00000A"/>
            </w:tcBorders>
            <w:shd w:val="clear" w:color="auto" w:fill="auto"/>
            <w:tcMar>
              <w:left w:w="105" w:type="dxa"/>
            </w:tcMar>
            <w:vAlign w:val="center"/>
          </w:tcPr>
          <w:p w:rsidR="00B0215B" w:rsidRPr="00537EDC" w:rsidRDefault="00B0215B" w:rsidP="00B0215B">
            <w:pPr>
              <w:spacing w:before="96" w:after="0" w:line="240" w:lineRule="auto"/>
              <w:rPr>
                <w:sz w:val="20"/>
                <w:szCs w:val="20"/>
              </w:rPr>
            </w:pPr>
            <w:r w:rsidRPr="00537EDC">
              <w:rPr>
                <w:rFonts w:ascii="Times New Roman" w:hAnsi="Times New Roman"/>
                <w:sz w:val="20"/>
                <w:szCs w:val="20"/>
              </w:rPr>
              <w:t>Posterior limb internal capsule infarct due to left MCA occlusion plus widespread cerebral small vessel disease</w:t>
            </w:r>
          </w:p>
        </w:tc>
      </w:tr>
      <w:tr w:rsidR="00B0215B" w:rsidRPr="00537EDC" w:rsidTr="00B0215B">
        <w:tc>
          <w:tcPr>
            <w:tcW w:w="1617" w:type="dxa"/>
            <w:tcBorders>
              <w:top w:val="nil"/>
              <w:left w:val="single" w:sz="6" w:space="0" w:color="00000A"/>
              <w:bottom w:val="nil"/>
              <w:right w:val="nil"/>
            </w:tcBorders>
            <w:shd w:val="clear" w:color="auto" w:fill="auto"/>
            <w:tcMar>
              <w:left w:w="36"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54</w:t>
            </w:r>
          </w:p>
        </w:tc>
        <w:tc>
          <w:tcPr>
            <w:tcW w:w="1061"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10.3</w:t>
            </w:r>
          </w:p>
        </w:tc>
        <w:tc>
          <w:tcPr>
            <w:tcW w:w="1847"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rPr>
                <w:rFonts w:ascii="Times New Roman" w:hAnsi="Times New Roman"/>
                <w:sz w:val="20"/>
                <w:szCs w:val="20"/>
              </w:rPr>
            </w:pPr>
            <w:r w:rsidRPr="00537EDC">
              <w:rPr>
                <w:rFonts w:ascii="Times New Roman" w:hAnsi="Times New Roman"/>
                <w:sz w:val="20"/>
                <w:szCs w:val="20"/>
              </w:rPr>
              <w:t>Severe depressive episode with psychotic symptoms</w:t>
            </w:r>
          </w:p>
        </w:tc>
        <w:tc>
          <w:tcPr>
            <w:tcW w:w="4542" w:type="dxa"/>
            <w:tcBorders>
              <w:top w:val="nil"/>
              <w:left w:val="nil"/>
              <w:bottom w:val="nil"/>
              <w:right w:val="single" w:sz="6" w:space="0" w:color="00000A"/>
            </w:tcBorders>
            <w:shd w:val="clear" w:color="auto" w:fill="auto"/>
            <w:tcMar>
              <w:left w:w="105" w:type="dxa"/>
            </w:tcMar>
            <w:vAlign w:val="center"/>
          </w:tcPr>
          <w:p w:rsidR="00B0215B" w:rsidRPr="00537EDC" w:rsidRDefault="00B0215B" w:rsidP="00B0215B">
            <w:pPr>
              <w:spacing w:before="96" w:after="0" w:line="240" w:lineRule="auto"/>
              <w:rPr>
                <w:sz w:val="20"/>
                <w:szCs w:val="20"/>
              </w:rPr>
            </w:pPr>
            <w:r w:rsidRPr="00537EDC">
              <w:rPr>
                <w:rFonts w:ascii="Times New Roman" w:hAnsi="Times New Roman"/>
                <w:sz w:val="20"/>
                <w:szCs w:val="20"/>
              </w:rPr>
              <w:t>Focal left cerebellar and right pontine infarcts</w:t>
            </w:r>
          </w:p>
        </w:tc>
      </w:tr>
      <w:tr w:rsidR="00B0215B" w:rsidRPr="00537EDC" w:rsidTr="00B0215B">
        <w:tc>
          <w:tcPr>
            <w:tcW w:w="1617" w:type="dxa"/>
            <w:tcBorders>
              <w:top w:val="nil"/>
              <w:left w:val="single" w:sz="6" w:space="0" w:color="00000A"/>
              <w:bottom w:val="nil"/>
              <w:right w:val="nil"/>
            </w:tcBorders>
            <w:shd w:val="clear" w:color="auto" w:fill="auto"/>
            <w:tcMar>
              <w:left w:w="36"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55</w:t>
            </w:r>
          </w:p>
        </w:tc>
        <w:tc>
          <w:tcPr>
            <w:tcW w:w="1061"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-28.0</w:t>
            </w:r>
          </w:p>
        </w:tc>
        <w:tc>
          <w:tcPr>
            <w:tcW w:w="1847"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rPr>
                <w:rFonts w:ascii="Times New Roman" w:hAnsi="Times New Roman"/>
                <w:sz w:val="20"/>
                <w:szCs w:val="20"/>
              </w:rPr>
            </w:pPr>
            <w:r w:rsidRPr="00537EDC">
              <w:rPr>
                <w:rFonts w:ascii="Times New Roman" w:hAnsi="Times New Roman"/>
                <w:sz w:val="20"/>
                <w:szCs w:val="20"/>
              </w:rPr>
              <w:t>Alzheimer’s disease</w:t>
            </w:r>
          </w:p>
        </w:tc>
        <w:tc>
          <w:tcPr>
            <w:tcW w:w="4542" w:type="dxa"/>
            <w:tcBorders>
              <w:top w:val="nil"/>
              <w:left w:val="nil"/>
              <w:bottom w:val="nil"/>
              <w:right w:val="single" w:sz="6" w:space="0" w:color="00000A"/>
            </w:tcBorders>
            <w:shd w:val="clear" w:color="auto" w:fill="auto"/>
            <w:tcMar>
              <w:left w:w="105" w:type="dxa"/>
            </w:tcMar>
            <w:vAlign w:val="center"/>
          </w:tcPr>
          <w:p w:rsidR="00B0215B" w:rsidRPr="00537EDC" w:rsidRDefault="00B0215B" w:rsidP="00B0215B">
            <w:pPr>
              <w:spacing w:before="96" w:after="0" w:line="240" w:lineRule="auto"/>
              <w:rPr>
                <w:sz w:val="20"/>
                <w:szCs w:val="20"/>
              </w:rPr>
            </w:pPr>
            <w:r w:rsidRPr="00537EDC">
              <w:rPr>
                <w:rFonts w:ascii="Times New Roman" w:hAnsi="Times New Roman"/>
                <w:sz w:val="20"/>
                <w:szCs w:val="20"/>
              </w:rPr>
              <w:t>No overall atrophy, evidence of small vessel disease</w:t>
            </w:r>
          </w:p>
        </w:tc>
      </w:tr>
      <w:tr w:rsidR="00B0215B" w:rsidRPr="00537EDC" w:rsidTr="00B0215B">
        <w:tc>
          <w:tcPr>
            <w:tcW w:w="1617" w:type="dxa"/>
            <w:tcBorders>
              <w:top w:val="nil"/>
              <w:left w:val="single" w:sz="6" w:space="0" w:color="00000A"/>
              <w:bottom w:val="nil"/>
              <w:right w:val="nil"/>
            </w:tcBorders>
            <w:shd w:val="clear" w:color="auto" w:fill="auto"/>
            <w:tcMar>
              <w:left w:w="36"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81</w:t>
            </w:r>
          </w:p>
        </w:tc>
        <w:tc>
          <w:tcPr>
            <w:tcW w:w="1061"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305.7</w:t>
            </w:r>
          </w:p>
        </w:tc>
        <w:tc>
          <w:tcPr>
            <w:tcW w:w="1847"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rPr>
                <w:rFonts w:ascii="Times New Roman" w:hAnsi="Times New Roman"/>
                <w:sz w:val="20"/>
                <w:szCs w:val="20"/>
              </w:rPr>
            </w:pPr>
            <w:r w:rsidRPr="00537EDC">
              <w:rPr>
                <w:rFonts w:ascii="Times New Roman" w:hAnsi="Times New Roman"/>
                <w:sz w:val="20"/>
                <w:szCs w:val="20"/>
              </w:rPr>
              <w:t>Acute and transient psychotic disorders</w:t>
            </w:r>
          </w:p>
        </w:tc>
        <w:tc>
          <w:tcPr>
            <w:tcW w:w="4542" w:type="dxa"/>
            <w:tcBorders>
              <w:top w:val="nil"/>
              <w:left w:val="nil"/>
              <w:bottom w:val="nil"/>
              <w:right w:val="single" w:sz="6" w:space="0" w:color="00000A"/>
            </w:tcBorders>
            <w:shd w:val="clear" w:color="auto" w:fill="auto"/>
            <w:tcMar>
              <w:left w:w="105" w:type="dxa"/>
            </w:tcMar>
            <w:vAlign w:val="center"/>
          </w:tcPr>
          <w:p w:rsidR="00B0215B" w:rsidRPr="00537EDC" w:rsidRDefault="00B0215B" w:rsidP="00B0215B">
            <w:pPr>
              <w:spacing w:before="96" w:after="0" w:line="240" w:lineRule="auto"/>
              <w:rPr>
                <w:sz w:val="20"/>
                <w:szCs w:val="20"/>
              </w:rPr>
            </w:pPr>
            <w:r w:rsidRPr="00537EDC">
              <w:rPr>
                <w:rFonts w:ascii="Times New Roman" w:hAnsi="Times New Roman"/>
                <w:sz w:val="20"/>
                <w:szCs w:val="20"/>
              </w:rPr>
              <w:t>Right cerebellar infarct and old left caudate infarct and old right thalamic nuclei infarct</w:t>
            </w:r>
          </w:p>
        </w:tc>
      </w:tr>
      <w:tr w:rsidR="00B0215B" w:rsidRPr="00537EDC" w:rsidTr="00B0215B">
        <w:tc>
          <w:tcPr>
            <w:tcW w:w="1617" w:type="dxa"/>
            <w:tcBorders>
              <w:top w:val="nil"/>
              <w:left w:val="single" w:sz="6" w:space="0" w:color="00000A"/>
              <w:bottom w:val="nil"/>
              <w:right w:val="nil"/>
            </w:tcBorders>
            <w:shd w:val="clear" w:color="auto" w:fill="auto"/>
            <w:tcMar>
              <w:left w:w="36"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82</w:t>
            </w:r>
          </w:p>
        </w:tc>
        <w:tc>
          <w:tcPr>
            <w:tcW w:w="1061"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jc w:val="center"/>
              <w:rPr>
                <w:sz w:val="20"/>
                <w:szCs w:val="20"/>
              </w:rPr>
            </w:pPr>
            <w:r w:rsidRPr="00537EDC">
              <w:rPr>
                <w:rFonts w:ascii="Times New Roman" w:hAnsi="Times New Roman"/>
                <w:sz w:val="20"/>
                <w:szCs w:val="20"/>
              </w:rPr>
              <w:t>-65.6</w:t>
            </w:r>
          </w:p>
        </w:tc>
        <w:tc>
          <w:tcPr>
            <w:tcW w:w="1847" w:type="dxa"/>
            <w:tcBorders>
              <w:top w:val="nil"/>
              <w:left w:val="nil"/>
              <w:bottom w:val="nil"/>
              <w:right w:val="nil"/>
            </w:tcBorders>
            <w:shd w:val="clear" w:color="auto" w:fill="auto"/>
            <w:tcMar>
              <w:left w:w="105" w:type="dxa"/>
            </w:tcMar>
            <w:vAlign w:val="center"/>
          </w:tcPr>
          <w:p w:rsidR="00B0215B" w:rsidRPr="00537EDC" w:rsidRDefault="00B0215B" w:rsidP="00B0215B">
            <w:pPr>
              <w:spacing w:before="96" w:after="0" w:line="240" w:lineRule="auto"/>
              <w:rPr>
                <w:rFonts w:ascii="Times New Roman" w:hAnsi="Times New Roman"/>
                <w:sz w:val="20"/>
                <w:szCs w:val="20"/>
              </w:rPr>
            </w:pPr>
            <w:r w:rsidRPr="00537EDC">
              <w:rPr>
                <w:rFonts w:ascii="Times New Roman" w:hAnsi="Times New Roman"/>
                <w:sz w:val="20"/>
                <w:szCs w:val="20"/>
              </w:rPr>
              <w:t>Bipolar affect disorder cur epi manic with psychotic symp</w:t>
            </w:r>
          </w:p>
        </w:tc>
        <w:tc>
          <w:tcPr>
            <w:tcW w:w="4542" w:type="dxa"/>
            <w:tcBorders>
              <w:top w:val="nil"/>
              <w:left w:val="nil"/>
              <w:bottom w:val="nil"/>
              <w:right w:val="single" w:sz="6" w:space="0" w:color="00000A"/>
            </w:tcBorders>
            <w:shd w:val="clear" w:color="auto" w:fill="auto"/>
            <w:tcMar>
              <w:left w:w="105" w:type="dxa"/>
            </w:tcMar>
            <w:vAlign w:val="center"/>
          </w:tcPr>
          <w:p w:rsidR="00B0215B" w:rsidRPr="00537EDC" w:rsidRDefault="00B0215B" w:rsidP="00B0215B">
            <w:pPr>
              <w:spacing w:before="96" w:after="0" w:line="240" w:lineRule="auto"/>
              <w:rPr>
                <w:sz w:val="20"/>
                <w:szCs w:val="20"/>
              </w:rPr>
            </w:pPr>
            <w:r w:rsidRPr="00537EDC">
              <w:rPr>
                <w:rFonts w:ascii="Times New Roman" w:hAnsi="Times New Roman"/>
                <w:sz w:val="20"/>
                <w:szCs w:val="20"/>
              </w:rPr>
              <w:t>Small lacunar infarct, small vessel disease, non-recent</w:t>
            </w:r>
          </w:p>
        </w:tc>
      </w:tr>
      <w:tr w:rsidR="00B0215B" w:rsidRPr="00537EDC" w:rsidTr="00B0215B">
        <w:tc>
          <w:tcPr>
            <w:tcW w:w="1617" w:type="dxa"/>
            <w:tcBorders>
              <w:top w:val="nil"/>
              <w:left w:val="single" w:sz="6" w:space="0" w:color="00000A"/>
              <w:bottom w:val="single" w:sz="6" w:space="0" w:color="00000A"/>
              <w:right w:val="nil"/>
            </w:tcBorders>
            <w:shd w:val="clear" w:color="auto" w:fill="auto"/>
            <w:tcMar>
              <w:left w:w="36" w:type="dxa"/>
            </w:tcMar>
            <w:vAlign w:val="center"/>
          </w:tcPr>
          <w:p w:rsidR="00B0215B" w:rsidRPr="00537EDC" w:rsidRDefault="00B0215B" w:rsidP="00B0215B">
            <w:pPr>
              <w:spacing w:before="96" w:after="40" w:line="240" w:lineRule="auto"/>
              <w:jc w:val="center"/>
              <w:rPr>
                <w:sz w:val="20"/>
                <w:szCs w:val="20"/>
              </w:rPr>
            </w:pPr>
            <w:r w:rsidRPr="00537EDC">
              <w:rPr>
                <w:rFonts w:ascii="Times New Roman" w:hAnsi="Times New Roman"/>
                <w:sz w:val="20"/>
                <w:szCs w:val="20"/>
              </w:rPr>
              <w:t>83</w:t>
            </w:r>
          </w:p>
        </w:tc>
        <w:tc>
          <w:tcPr>
            <w:tcW w:w="1061" w:type="dxa"/>
            <w:tcBorders>
              <w:top w:val="nil"/>
              <w:left w:val="nil"/>
              <w:bottom w:val="single" w:sz="6" w:space="0" w:color="00000A"/>
              <w:right w:val="nil"/>
            </w:tcBorders>
            <w:shd w:val="clear" w:color="auto" w:fill="auto"/>
            <w:tcMar>
              <w:left w:w="105" w:type="dxa"/>
            </w:tcMar>
            <w:vAlign w:val="center"/>
          </w:tcPr>
          <w:p w:rsidR="00B0215B" w:rsidRPr="00537EDC" w:rsidRDefault="00B0215B" w:rsidP="00B0215B">
            <w:pPr>
              <w:spacing w:before="96" w:after="40" w:line="240" w:lineRule="auto"/>
              <w:jc w:val="center"/>
              <w:rPr>
                <w:sz w:val="20"/>
                <w:szCs w:val="20"/>
              </w:rPr>
            </w:pPr>
            <w:r w:rsidRPr="00537EDC">
              <w:rPr>
                <w:rFonts w:ascii="Times New Roman" w:hAnsi="Times New Roman"/>
                <w:sz w:val="20"/>
                <w:szCs w:val="20"/>
              </w:rPr>
              <w:t>1.1</w:t>
            </w:r>
          </w:p>
        </w:tc>
        <w:tc>
          <w:tcPr>
            <w:tcW w:w="1847" w:type="dxa"/>
            <w:tcBorders>
              <w:top w:val="nil"/>
              <w:left w:val="nil"/>
              <w:bottom w:val="single" w:sz="6" w:space="0" w:color="00000A"/>
              <w:right w:val="nil"/>
            </w:tcBorders>
            <w:shd w:val="clear" w:color="auto" w:fill="auto"/>
            <w:tcMar>
              <w:left w:w="105" w:type="dxa"/>
            </w:tcMar>
            <w:vAlign w:val="center"/>
          </w:tcPr>
          <w:p w:rsidR="00B0215B" w:rsidRPr="00537EDC" w:rsidRDefault="00B0215B" w:rsidP="00B0215B">
            <w:pPr>
              <w:spacing w:before="96" w:after="40" w:line="240" w:lineRule="auto"/>
              <w:rPr>
                <w:rFonts w:ascii="Times New Roman" w:hAnsi="Times New Roman"/>
                <w:sz w:val="20"/>
                <w:szCs w:val="20"/>
              </w:rPr>
            </w:pPr>
            <w:r w:rsidRPr="00537EDC">
              <w:rPr>
                <w:rFonts w:ascii="Times New Roman" w:hAnsi="Times New Roman"/>
                <w:sz w:val="20"/>
                <w:szCs w:val="20"/>
              </w:rPr>
              <w:t>Schizophrenia</w:t>
            </w:r>
          </w:p>
        </w:tc>
        <w:tc>
          <w:tcPr>
            <w:tcW w:w="4542" w:type="dxa"/>
            <w:tcBorders>
              <w:top w:val="nil"/>
              <w:left w:val="nil"/>
              <w:bottom w:val="single" w:sz="6" w:space="0" w:color="00000A"/>
              <w:right w:val="single" w:sz="6" w:space="0" w:color="00000A"/>
            </w:tcBorders>
            <w:shd w:val="clear" w:color="auto" w:fill="auto"/>
            <w:tcMar>
              <w:left w:w="105" w:type="dxa"/>
            </w:tcMar>
            <w:vAlign w:val="center"/>
          </w:tcPr>
          <w:p w:rsidR="00B0215B" w:rsidRPr="00537EDC" w:rsidRDefault="00B0215B" w:rsidP="00B0215B">
            <w:pPr>
              <w:spacing w:before="96" w:after="40" w:line="240" w:lineRule="auto"/>
              <w:rPr>
                <w:sz w:val="20"/>
                <w:szCs w:val="20"/>
              </w:rPr>
            </w:pPr>
            <w:r w:rsidRPr="00537EDC">
              <w:rPr>
                <w:rFonts w:ascii="Times New Roman" w:hAnsi="Times New Roman"/>
                <w:sz w:val="20"/>
                <w:szCs w:val="20"/>
              </w:rPr>
              <w:t>Some small low density lesions within right corona radiata/putamen and left corpus striatum, likely small vessel disease</w:t>
            </w:r>
          </w:p>
        </w:tc>
      </w:tr>
      <w:tr w:rsidR="00B0215B" w:rsidRPr="00537EDC" w:rsidTr="00B0215B">
        <w:tc>
          <w:tcPr>
            <w:tcW w:w="9067" w:type="dxa"/>
            <w:gridSpan w:val="4"/>
            <w:tcBorders>
              <w:top w:val="single" w:sz="6" w:space="0" w:color="00000A"/>
              <w:left w:val="single" w:sz="6" w:space="0" w:color="00000A"/>
              <w:right w:val="single" w:sz="6" w:space="0" w:color="00000A"/>
            </w:tcBorders>
            <w:shd w:val="clear" w:color="auto" w:fill="auto"/>
            <w:tcMar>
              <w:left w:w="36" w:type="dxa"/>
            </w:tcMar>
          </w:tcPr>
          <w:p w:rsidR="00B0215B" w:rsidRPr="00537EDC" w:rsidRDefault="00B0215B" w:rsidP="00B0215B">
            <w:pPr>
              <w:spacing w:before="40" w:after="40" w:line="240" w:lineRule="auto"/>
              <w:rPr>
                <w:rFonts w:ascii="Times New Roman" w:hAnsi="Times New Roman"/>
                <w:i/>
                <w:sz w:val="20"/>
                <w:szCs w:val="20"/>
              </w:rPr>
            </w:pPr>
            <w:r w:rsidRPr="00537EDC">
              <w:rPr>
                <w:rFonts w:ascii="Times New Roman" w:hAnsi="Times New Roman"/>
                <w:i/>
                <w:sz w:val="20"/>
                <w:szCs w:val="20"/>
              </w:rPr>
              <w:t>MRI Scan results</w:t>
            </w:r>
          </w:p>
        </w:tc>
      </w:tr>
      <w:tr w:rsidR="00B0215B" w:rsidRPr="00537EDC" w:rsidTr="00B0215B">
        <w:tc>
          <w:tcPr>
            <w:tcW w:w="1617" w:type="dxa"/>
            <w:tcBorders>
              <w:top w:val="nil"/>
              <w:left w:val="single" w:sz="6" w:space="0" w:color="00000A"/>
              <w:bottom w:val="nil"/>
              <w:right w:val="nil"/>
            </w:tcBorders>
            <w:shd w:val="clear" w:color="auto" w:fill="auto"/>
            <w:tcMar>
              <w:left w:w="36" w:type="dxa"/>
            </w:tcMar>
            <w:vAlign w:val="center"/>
          </w:tcPr>
          <w:p w:rsidR="00B0215B" w:rsidRPr="00537EDC" w:rsidRDefault="00B0215B" w:rsidP="00B0215B">
            <w:pPr>
              <w:spacing w:before="40" w:after="0" w:line="240" w:lineRule="auto"/>
              <w:jc w:val="center"/>
              <w:rPr>
                <w:sz w:val="20"/>
                <w:szCs w:val="20"/>
              </w:rPr>
            </w:pPr>
            <w:r w:rsidRPr="00537EDC">
              <w:rPr>
                <w:rFonts w:ascii="Times New Roman" w:hAnsi="Times New Roman"/>
                <w:sz w:val="20"/>
                <w:szCs w:val="20"/>
              </w:rPr>
              <w:t>72</w:t>
            </w:r>
          </w:p>
        </w:tc>
        <w:tc>
          <w:tcPr>
            <w:tcW w:w="1061" w:type="dxa"/>
            <w:tcBorders>
              <w:top w:val="nil"/>
              <w:left w:val="nil"/>
              <w:bottom w:val="nil"/>
              <w:right w:val="nil"/>
            </w:tcBorders>
            <w:shd w:val="clear" w:color="auto" w:fill="auto"/>
            <w:tcMar>
              <w:left w:w="105" w:type="dxa"/>
            </w:tcMar>
            <w:vAlign w:val="center"/>
          </w:tcPr>
          <w:p w:rsidR="00B0215B" w:rsidRPr="00537EDC" w:rsidRDefault="00B0215B" w:rsidP="00B0215B">
            <w:pPr>
              <w:spacing w:before="40" w:after="0" w:line="240" w:lineRule="auto"/>
              <w:jc w:val="center"/>
              <w:rPr>
                <w:sz w:val="20"/>
                <w:szCs w:val="20"/>
              </w:rPr>
            </w:pPr>
            <w:r w:rsidRPr="00537EDC">
              <w:rPr>
                <w:rFonts w:ascii="Times New Roman" w:hAnsi="Times New Roman"/>
                <w:sz w:val="20"/>
                <w:szCs w:val="20"/>
              </w:rPr>
              <w:t>-172.0</w:t>
            </w:r>
          </w:p>
        </w:tc>
        <w:tc>
          <w:tcPr>
            <w:tcW w:w="1847" w:type="dxa"/>
            <w:tcBorders>
              <w:top w:val="nil"/>
              <w:left w:val="nil"/>
              <w:bottom w:val="nil"/>
              <w:right w:val="nil"/>
            </w:tcBorders>
            <w:shd w:val="clear" w:color="auto" w:fill="auto"/>
            <w:tcMar>
              <w:left w:w="105" w:type="dxa"/>
            </w:tcMar>
            <w:vAlign w:val="center"/>
          </w:tcPr>
          <w:p w:rsidR="00B0215B" w:rsidRPr="00537EDC" w:rsidRDefault="00B0215B" w:rsidP="00B0215B">
            <w:pPr>
              <w:spacing w:before="40" w:after="0" w:line="240" w:lineRule="auto"/>
              <w:rPr>
                <w:rFonts w:ascii="Times New Roman" w:hAnsi="Times New Roman"/>
                <w:sz w:val="20"/>
                <w:szCs w:val="20"/>
              </w:rPr>
            </w:pPr>
            <w:r w:rsidRPr="00537EDC">
              <w:rPr>
                <w:rFonts w:ascii="Times New Roman" w:hAnsi="Times New Roman"/>
                <w:sz w:val="20"/>
                <w:szCs w:val="20"/>
              </w:rPr>
              <w:t>Schizoaffective disorder</w:t>
            </w:r>
          </w:p>
        </w:tc>
        <w:tc>
          <w:tcPr>
            <w:tcW w:w="4542" w:type="dxa"/>
            <w:tcBorders>
              <w:top w:val="nil"/>
              <w:left w:val="nil"/>
              <w:bottom w:val="nil"/>
              <w:right w:val="single" w:sz="6" w:space="0" w:color="00000A"/>
            </w:tcBorders>
            <w:shd w:val="clear" w:color="auto" w:fill="auto"/>
            <w:tcMar>
              <w:left w:w="105" w:type="dxa"/>
            </w:tcMar>
            <w:vAlign w:val="center"/>
          </w:tcPr>
          <w:p w:rsidR="00B0215B" w:rsidRPr="00537EDC" w:rsidRDefault="00B0215B" w:rsidP="00B0215B">
            <w:pPr>
              <w:spacing w:before="40" w:after="0" w:line="240" w:lineRule="auto"/>
              <w:rPr>
                <w:sz w:val="20"/>
                <w:szCs w:val="20"/>
              </w:rPr>
            </w:pPr>
            <w:r w:rsidRPr="00537EDC">
              <w:rPr>
                <w:rFonts w:ascii="Times New Roman" w:hAnsi="Times New Roman"/>
                <w:sz w:val="20"/>
                <w:szCs w:val="20"/>
              </w:rPr>
              <w:t>Macroadenoma (Re-scanned 94 days post Case ID: adenoma decreased by 2mm)</w:t>
            </w:r>
          </w:p>
        </w:tc>
      </w:tr>
      <w:tr w:rsidR="00B0215B" w:rsidRPr="00537EDC" w:rsidTr="00B0215B">
        <w:tc>
          <w:tcPr>
            <w:tcW w:w="1617" w:type="dxa"/>
            <w:tcBorders>
              <w:top w:val="nil"/>
              <w:left w:val="single" w:sz="6" w:space="0" w:color="00000A"/>
              <w:bottom w:val="single" w:sz="6" w:space="0" w:color="00000A"/>
              <w:right w:val="nil"/>
            </w:tcBorders>
            <w:shd w:val="clear" w:color="auto" w:fill="auto"/>
            <w:tcMar>
              <w:left w:w="36" w:type="dxa"/>
            </w:tcMar>
            <w:vAlign w:val="center"/>
          </w:tcPr>
          <w:p w:rsidR="00B0215B" w:rsidRPr="00537EDC" w:rsidRDefault="00B0215B" w:rsidP="00B0215B">
            <w:pPr>
              <w:spacing w:before="40" w:after="40" w:line="240" w:lineRule="auto"/>
              <w:jc w:val="center"/>
              <w:rPr>
                <w:sz w:val="20"/>
                <w:szCs w:val="20"/>
              </w:rPr>
            </w:pPr>
            <w:r w:rsidRPr="00537EDC">
              <w:rPr>
                <w:rFonts w:ascii="Times New Roman" w:hAnsi="Times New Roman"/>
                <w:sz w:val="20"/>
                <w:szCs w:val="20"/>
              </w:rPr>
              <w:t>76</w:t>
            </w:r>
          </w:p>
        </w:tc>
        <w:tc>
          <w:tcPr>
            <w:tcW w:w="1061" w:type="dxa"/>
            <w:tcBorders>
              <w:top w:val="nil"/>
              <w:left w:val="nil"/>
              <w:bottom w:val="single" w:sz="6" w:space="0" w:color="00000A"/>
              <w:right w:val="nil"/>
            </w:tcBorders>
            <w:shd w:val="clear" w:color="auto" w:fill="auto"/>
            <w:tcMar>
              <w:left w:w="105" w:type="dxa"/>
            </w:tcMar>
            <w:vAlign w:val="center"/>
          </w:tcPr>
          <w:p w:rsidR="00B0215B" w:rsidRPr="00537EDC" w:rsidRDefault="00B0215B" w:rsidP="00B0215B">
            <w:pPr>
              <w:spacing w:before="40" w:after="40" w:line="240" w:lineRule="auto"/>
              <w:jc w:val="center"/>
              <w:rPr>
                <w:sz w:val="20"/>
                <w:szCs w:val="20"/>
              </w:rPr>
            </w:pPr>
            <w:r w:rsidRPr="00537EDC">
              <w:rPr>
                <w:rFonts w:ascii="Times New Roman" w:hAnsi="Times New Roman"/>
                <w:sz w:val="20"/>
                <w:szCs w:val="20"/>
              </w:rPr>
              <w:t>21.0</w:t>
            </w:r>
          </w:p>
        </w:tc>
        <w:tc>
          <w:tcPr>
            <w:tcW w:w="1847" w:type="dxa"/>
            <w:tcBorders>
              <w:top w:val="nil"/>
              <w:left w:val="nil"/>
              <w:bottom w:val="single" w:sz="6" w:space="0" w:color="00000A"/>
              <w:right w:val="nil"/>
            </w:tcBorders>
            <w:shd w:val="clear" w:color="auto" w:fill="auto"/>
            <w:tcMar>
              <w:left w:w="105" w:type="dxa"/>
            </w:tcMar>
            <w:vAlign w:val="center"/>
          </w:tcPr>
          <w:p w:rsidR="00B0215B" w:rsidRPr="00537EDC" w:rsidRDefault="00B0215B" w:rsidP="00B0215B">
            <w:pPr>
              <w:spacing w:before="40" w:after="40" w:line="240" w:lineRule="auto"/>
              <w:rPr>
                <w:rFonts w:ascii="Times New Roman" w:hAnsi="Times New Roman"/>
                <w:sz w:val="20"/>
                <w:szCs w:val="20"/>
              </w:rPr>
            </w:pPr>
            <w:r w:rsidRPr="00537EDC">
              <w:rPr>
                <w:rFonts w:ascii="Times New Roman" w:hAnsi="Times New Roman"/>
                <w:sz w:val="20"/>
                <w:szCs w:val="20"/>
              </w:rPr>
              <w:t>Paranoid schizophrenia</w:t>
            </w:r>
          </w:p>
        </w:tc>
        <w:tc>
          <w:tcPr>
            <w:tcW w:w="4542" w:type="dxa"/>
            <w:tcBorders>
              <w:top w:val="nil"/>
              <w:left w:val="nil"/>
              <w:bottom w:val="single" w:sz="6" w:space="0" w:color="00000A"/>
              <w:right w:val="single" w:sz="6" w:space="0" w:color="00000A"/>
            </w:tcBorders>
            <w:shd w:val="clear" w:color="auto" w:fill="auto"/>
            <w:tcMar>
              <w:left w:w="105" w:type="dxa"/>
            </w:tcMar>
            <w:vAlign w:val="center"/>
          </w:tcPr>
          <w:p w:rsidR="00B0215B" w:rsidRPr="00537EDC" w:rsidRDefault="00B0215B" w:rsidP="00B0215B">
            <w:pPr>
              <w:spacing w:before="40" w:after="40" w:line="240" w:lineRule="auto"/>
              <w:rPr>
                <w:sz w:val="20"/>
                <w:szCs w:val="20"/>
              </w:rPr>
            </w:pPr>
            <w:r w:rsidRPr="00537EDC">
              <w:rPr>
                <w:rFonts w:ascii="Times New Roman" w:hAnsi="Times New Roman"/>
                <w:sz w:val="20"/>
                <w:szCs w:val="20"/>
              </w:rPr>
              <w:t>White matter small vessel-type changes</w:t>
            </w:r>
          </w:p>
        </w:tc>
      </w:tr>
      <w:tr w:rsidR="00B0215B" w:rsidRPr="00537EDC" w:rsidTr="00B0215B">
        <w:tc>
          <w:tcPr>
            <w:tcW w:w="9067" w:type="dxa"/>
            <w:gridSpan w:val="4"/>
            <w:tcBorders>
              <w:top w:val="nil"/>
              <w:left w:val="single" w:sz="6" w:space="0" w:color="00000A"/>
              <w:bottom w:val="single" w:sz="6" w:space="0" w:color="00000A"/>
              <w:right w:val="single" w:sz="6" w:space="0" w:color="00000A"/>
            </w:tcBorders>
            <w:shd w:val="clear" w:color="auto" w:fill="auto"/>
            <w:tcMar>
              <w:left w:w="36" w:type="dxa"/>
            </w:tcMar>
            <w:vAlign w:val="center"/>
          </w:tcPr>
          <w:p w:rsidR="00B0215B" w:rsidRPr="00537EDC" w:rsidRDefault="00B0215B" w:rsidP="00B0215B">
            <w:pPr>
              <w:spacing w:before="40" w:after="40" w:line="240" w:lineRule="auto"/>
              <w:rPr>
                <w:rFonts w:ascii="Times New Roman" w:hAnsi="Times New Roman"/>
                <w:i/>
                <w:sz w:val="20"/>
                <w:szCs w:val="20"/>
              </w:rPr>
            </w:pPr>
            <w:r w:rsidRPr="00537EDC">
              <w:rPr>
                <w:rFonts w:ascii="Times New Roman" w:hAnsi="Times New Roman"/>
                <w:i/>
                <w:sz w:val="20"/>
                <w:szCs w:val="20"/>
              </w:rPr>
              <w:t>EEG Results</w:t>
            </w:r>
          </w:p>
        </w:tc>
      </w:tr>
      <w:tr w:rsidR="00B0215B" w:rsidRPr="00537EDC" w:rsidTr="00B0215B">
        <w:tc>
          <w:tcPr>
            <w:tcW w:w="1617" w:type="dxa"/>
            <w:tcBorders>
              <w:top w:val="nil"/>
              <w:left w:val="single" w:sz="6" w:space="0" w:color="00000A"/>
              <w:bottom w:val="single" w:sz="6" w:space="0" w:color="00000A"/>
              <w:right w:val="nil"/>
            </w:tcBorders>
            <w:shd w:val="clear" w:color="auto" w:fill="auto"/>
            <w:tcMar>
              <w:left w:w="36" w:type="dxa"/>
            </w:tcMar>
            <w:vAlign w:val="center"/>
          </w:tcPr>
          <w:p w:rsidR="00B0215B" w:rsidRPr="00537EDC" w:rsidRDefault="00B0215B" w:rsidP="00B0215B">
            <w:pPr>
              <w:spacing w:before="40" w:after="0" w:line="240" w:lineRule="auto"/>
              <w:jc w:val="center"/>
              <w:rPr>
                <w:sz w:val="20"/>
                <w:szCs w:val="20"/>
              </w:rPr>
            </w:pPr>
            <w:r w:rsidRPr="00537EDC">
              <w:rPr>
                <w:rFonts w:ascii="Times New Roman" w:hAnsi="Times New Roman"/>
                <w:sz w:val="20"/>
                <w:szCs w:val="20"/>
              </w:rPr>
              <w:t>34</w:t>
            </w:r>
          </w:p>
        </w:tc>
        <w:tc>
          <w:tcPr>
            <w:tcW w:w="1061" w:type="dxa"/>
            <w:tcBorders>
              <w:top w:val="nil"/>
              <w:left w:val="nil"/>
              <w:bottom w:val="single" w:sz="6" w:space="0" w:color="00000A"/>
              <w:right w:val="nil"/>
            </w:tcBorders>
            <w:shd w:val="clear" w:color="auto" w:fill="auto"/>
            <w:tcMar>
              <w:left w:w="105" w:type="dxa"/>
            </w:tcMar>
            <w:vAlign w:val="center"/>
          </w:tcPr>
          <w:p w:rsidR="00B0215B" w:rsidRPr="00537EDC" w:rsidRDefault="00B0215B" w:rsidP="00B0215B">
            <w:pPr>
              <w:spacing w:before="40" w:after="0" w:line="240" w:lineRule="auto"/>
              <w:jc w:val="center"/>
              <w:rPr>
                <w:sz w:val="20"/>
                <w:szCs w:val="20"/>
              </w:rPr>
            </w:pPr>
            <w:r w:rsidRPr="00537EDC">
              <w:rPr>
                <w:rFonts w:ascii="Times New Roman" w:hAnsi="Times New Roman"/>
                <w:sz w:val="20"/>
                <w:szCs w:val="20"/>
              </w:rPr>
              <w:t>-9.6</w:t>
            </w:r>
          </w:p>
        </w:tc>
        <w:tc>
          <w:tcPr>
            <w:tcW w:w="1847" w:type="dxa"/>
            <w:tcBorders>
              <w:top w:val="nil"/>
              <w:left w:val="nil"/>
              <w:bottom w:val="single" w:sz="6" w:space="0" w:color="00000A"/>
              <w:right w:val="nil"/>
            </w:tcBorders>
            <w:shd w:val="clear" w:color="auto" w:fill="auto"/>
            <w:tcMar>
              <w:left w:w="105" w:type="dxa"/>
            </w:tcMar>
            <w:vAlign w:val="center"/>
          </w:tcPr>
          <w:p w:rsidR="00B0215B" w:rsidRPr="00537EDC" w:rsidRDefault="00B0215B" w:rsidP="00B0215B">
            <w:pPr>
              <w:spacing w:before="40" w:after="0" w:line="240" w:lineRule="auto"/>
              <w:rPr>
                <w:rFonts w:ascii="Times New Roman" w:hAnsi="Times New Roman"/>
                <w:sz w:val="20"/>
                <w:szCs w:val="20"/>
              </w:rPr>
            </w:pPr>
            <w:r w:rsidRPr="00537EDC">
              <w:rPr>
                <w:rFonts w:ascii="Times New Roman" w:hAnsi="Times New Roman"/>
                <w:sz w:val="20"/>
                <w:szCs w:val="20"/>
              </w:rPr>
              <w:t>Delirium not superimposed on dementia</w:t>
            </w:r>
          </w:p>
        </w:tc>
        <w:tc>
          <w:tcPr>
            <w:tcW w:w="4542" w:type="dxa"/>
            <w:tcBorders>
              <w:top w:val="nil"/>
              <w:left w:val="nil"/>
              <w:bottom w:val="single" w:sz="6" w:space="0" w:color="00000A"/>
              <w:right w:val="single" w:sz="6" w:space="0" w:color="00000A"/>
            </w:tcBorders>
            <w:shd w:val="clear" w:color="auto" w:fill="auto"/>
            <w:tcMar>
              <w:left w:w="105" w:type="dxa"/>
            </w:tcMar>
            <w:vAlign w:val="center"/>
          </w:tcPr>
          <w:p w:rsidR="00B0215B" w:rsidRPr="00537EDC" w:rsidRDefault="00B0215B" w:rsidP="00B0215B">
            <w:pPr>
              <w:spacing w:before="40" w:after="0" w:line="240" w:lineRule="auto"/>
              <w:rPr>
                <w:sz w:val="20"/>
                <w:szCs w:val="20"/>
              </w:rPr>
            </w:pPr>
            <w:r w:rsidRPr="00537EDC">
              <w:rPr>
                <w:rFonts w:ascii="Times New Roman" w:hAnsi="Times New Roman"/>
                <w:sz w:val="20"/>
                <w:szCs w:val="20"/>
              </w:rPr>
              <w:t>Slowing in the left temporal area. Runs of synchronous theta which were bilateral L&gt;R and felt to be abnormal. Runs of slow waves and less alpha.</w:t>
            </w:r>
          </w:p>
        </w:tc>
      </w:tr>
      <w:tr w:rsidR="00B0215B" w:rsidRPr="00537EDC" w:rsidTr="00B0215B">
        <w:tc>
          <w:tcPr>
            <w:tcW w:w="1617" w:type="dxa"/>
            <w:tcBorders>
              <w:top w:val="nil"/>
              <w:left w:val="single" w:sz="6" w:space="0" w:color="00000A"/>
              <w:bottom w:val="single" w:sz="6" w:space="0" w:color="00000A"/>
              <w:right w:val="nil"/>
            </w:tcBorders>
            <w:shd w:val="clear" w:color="auto" w:fill="auto"/>
            <w:tcMar>
              <w:left w:w="36" w:type="dxa"/>
            </w:tcMar>
            <w:vAlign w:val="center"/>
          </w:tcPr>
          <w:p w:rsidR="00B0215B" w:rsidRPr="00537EDC" w:rsidRDefault="00B0215B" w:rsidP="00B0215B">
            <w:pPr>
              <w:spacing w:before="40" w:after="40" w:line="240" w:lineRule="auto"/>
              <w:jc w:val="center"/>
              <w:rPr>
                <w:sz w:val="20"/>
                <w:szCs w:val="20"/>
              </w:rPr>
            </w:pPr>
            <w:r w:rsidRPr="00537EDC">
              <w:rPr>
                <w:rFonts w:ascii="Times New Roman" w:hAnsi="Times New Roman"/>
                <w:sz w:val="20"/>
                <w:szCs w:val="20"/>
              </w:rPr>
              <w:t>81</w:t>
            </w:r>
          </w:p>
        </w:tc>
        <w:tc>
          <w:tcPr>
            <w:tcW w:w="1061" w:type="dxa"/>
            <w:tcBorders>
              <w:top w:val="nil"/>
              <w:left w:val="nil"/>
              <w:bottom w:val="single" w:sz="6" w:space="0" w:color="00000A"/>
              <w:right w:val="nil"/>
            </w:tcBorders>
            <w:shd w:val="clear" w:color="auto" w:fill="auto"/>
            <w:tcMar>
              <w:left w:w="105" w:type="dxa"/>
            </w:tcMar>
            <w:vAlign w:val="center"/>
          </w:tcPr>
          <w:p w:rsidR="00B0215B" w:rsidRPr="00537EDC" w:rsidRDefault="00B0215B" w:rsidP="00B0215B">
            <w:pPr>
              <w:spacing w:before="40" w:after="40" w:line="240" w:lineRule="auto"/>
              <w:jc w:val="center"/>
              <w:rPr>
                <w:sz w:val="20"/>
                <w:szCs w:val="20"/>
              </w:rPr>
            </w:pPr>
            <w:r w:rsidRPr="00537EDC">
              <w:rPr>
                <w:rFonts w:ascii="Times New Roman" w:hAnsi="Times New Roman"/>
                <w:sz w:val="20"/>
                <w:szCs w:val="20"/>
              </w:rPr>
              <w:t>1.9</w:t>
            </w:r>
          </w:p>
        </w:tc>
        <w:tc>
          <w:tcPr>
            <w:tcW w:w="1847" w:type="dxa"/>
            <w:tcBorders>
              <w:top w:val="nil"/>
              <w:left w:val="nil"/>
              <w:bottom w:val="single" w:sz="6" w:space="0" w:color="00000A"/>
              <w:right w:val="nil"/>
            </w:tcBorders>
            <w:shd w:val="clear" w:color="auto" w:fill="auto"/>
            <w:tcMar>
              <w:left w:w="105" w:type="dxa"/>
            </w:tcMar>
            <w:vAlign w:val="center"/>
          </w:tcPr>
          <w:p w:rsidR="00B0215B" w:rsidRPr="00537EDC" w:rsidRDefault="00B0215B" w:rsidP="00B0215B">
            <w:pPr>
              <w:spacing w:before="96" w:after="40" w:line="240" w:lineRule="auto"/>
              <w:rPr>
                <w:rFonts w:ascii="Times New Roman" w:hAnsi="Times New Roman"/>
                <w:sz w:val="20"/>
                <w:szCs w:val="20"/>
              </w:rPr>
            </w:pPr>
            <w:r w:rsidRPr="00537EDC">
              <w:rPr>
                <w:rFonts w:ascii="Times New Roman" w:hAnsi="Times New Roman"/>
                <w:sz w:val="20"/>
                <w:szCs w:val="20"/>
              </w:rPr>
              <w:t>Acute and transient psychotic disorders</w:t>
            </w:r>
          </w:p>
        </w:tc>
        <w:tc>
          <w:tcPr>
            <w:tcW w:w="4542" w:type="dxa"/>
            <w:tcBorders>
              <w:top w:val="nil"/>
              <w:left w:val="nil"/>
              <w:bottom w:val="single" w:sz="6" w:space="0" w:color="00000A"/>
              <w:right w:val="single" w:sz="6" w:space="0" w:color="00000A"/>
            </w:tcBorders>
            <w:shd w:val="clear" w:color="auto" w:fill="auto"/>
            <w:tcMar>
              <w:left w:w="105" w:type="dxa"/>
            </w:tcMar>
            <w:vAlign w:val="center"/>
          </w:tcPr>
          <w:p w:rsidR="00B0215B" w:rsidRPr="00537EDC" w:rsidRDefault="00B0215B" w:rsidP="00B0215B">
            <w:pPr>
              <w:spacing w:before="40" w:after="40" w:line="240" w:lineRule="auto"/>
              <w:rPr>
                <w:sz w:val="20"/>
                <w:szCs w:val="20"/>
              </w:rPr>
            </w:pPr>
            <w:r w:rsidRPr="00537EDC">
              <w:rPr>
                <w:rFonts w:ascii="Times New Roman" w:hAnsi="Times New Roman"/>
                <w:sz w:val="20"/>
                <w:szCs w:val="20"/>
              </w:rPr>
              <w:t>Changes associated with ‘cerebrovascular insufficiency’. No epileptic features.</w:t>
            </w:r>
          </w:p>
        </w:tc>
      </w:tr>
    </w:tbl>
    <w:p w:rsidR="0032265D" w:rsidRPr="00D12A8C" w:rsidRDefault="00D0626E" w:rsidP="009F47ED">
      <w:pPr>
        <w:spacing w:before="80"/>
        <w:jc w:val="center"/>
        <w:rPr>
          <w:b/>
        </w:rPr>
      </w:pPr>
      <w:r>
        <w:rPr>
          <w:b/>
        </w:rPr>
        <w:t>Supplementary Table 1</w:t>
      </w:r>
      <w:r w:rsidR="0032265D" w:rsidRPr="00D12A8C">
        <w:rPr>
          <w:b/>
        </w:rPr>
        <w:t xml:space="preserve">. Abnormal neuroimaging </w:t>
      </w:r>
      <w:r w:rsidR="004057BE">
        <w:rPr>
          <w:b/>
        </w:rPr>
        <w:t>findings</w:t>
      </w:r>
      <w:r w:rsidR="0032265D" w:rsidRPr="00D12A8C">
        <w:rPr>
          <w:b/>
        </w:rPr>
        <w:t xml:space="preserve"> from cases of Capgras delusion</w:t>
      </w:r>
    </w:p>
    <w:p w:rsidR="0032265D" w:rsidRPr="0032265D" w:rsidRDefault="0032265D" w:rsidP="0032265D">
      <w:pPr>
        <w:spacing w:after="0" w:line="240" w:lineRule="auto"/>
        <w:jc w:val="center"/>
        <w:rPr>
          <w:rFonts w:asciiTheme="minorHAnsi" w:hAnsiTheme="minorHAnsi"/>
        </w:rPr>
      </w:pPr>
      <w:r w:rsidRPr="0032265D">
        <w:rPr>
          <w:rFonts w:asciiTheme="minorHAnsi" w:hAnsiTheme="minorHAnsi"/>
        </w:rPr>
        <w:t>NB: Two cases not included in the table had ambiguous results</w:t>
      </w:r>
      <w:r w:rsidR="00E00089">
        <w:rPr>
          <w:rFonts w:asciiTheme="minorHAnsi" w:hAnsiTheme="minorHAnsi"/>
        </w:rPr>
        <w:t xml:space="preserve"> </w:t>
      </w:r>
      <w:r w:rsidR="00127FCD">
        <w:rPr>
          <w:rFonts w:asciiTheme="minorHAnsi" w:hAnsiTheme="minorHAnsi"/>
        </w:rPr>
        <w:t xml:space="preserve">which </w:t>
      </w:r>
      <w:r w:rsidR="00E00089">
        <w:rPr>
          <w:rFonts w:asciiTheme="minorHAnsi" w:hAnsiTheme="minorHAnsi"/>
        </w:rPr>
        <w:t xml:space="preserve">were not </w:t>
      </w:r>
      <w:r w:rsidR="004057BE">
        <w:rPr>
          <w:rFonts w:asciiTheme="minorHAnsi" w:hAnsiTheme="minorHAnsi"/>
        </w:rPr>
        <w:t xml:space="preserve">counted in the list of </w:t>
      </w:r>
      <w:r w:rsidR="00127FCD">
        <w:rPr>
          <w:rFonts w:asciiTheme="minorHAnsi" w:hAnsiTheme="minorHAnsi"/>
        </w:rPr>
        <w:t xml:space="preserve">clinically </w:t>
      </w:r>
      <w:r w:rsidR="00E00089">
        <w:rPr>
          <w:rFonts w:asciiTheme="minorHAnsi" w:hAnsiTheme="minorHAnsi"/>
        </w:rPr>
        <w:t>abnormal</w:t>
      </w:r>
      <w:r w:rsidR="004057BE">
        <w:rPr>
          <w:rFonts w:asciiTheme="minorHAnsi" w:hAnsiTheme="minorHAnsi"/>
        </w:rPr>
        <w:t xml:space="preserve"> results</w:t>
      </w:r>
      <w:r w:rsidRPr="0032265D">
        <w:rPr>
          <w:rFonts w:asciiTheme="minorHAnsi" w:hAnsiTheme="minorHAnsi"/>
        </w:rPr>
        <w:t xml:space="preserve">. </w:t>
      </w:r>
      <w:r w:rsidR="00645109">
        <w:rPr>
          <w:rFonts w:asciiTheme="minorHAnsi" w:hAnsiTheme="minorHAnsi"/>
        </w:rPr>
        <w:t xml:space="preserve">Case 1 </w:t>
      </w:r>
      <w:r w:rsidRPr="0032265D">
        <w:rPr>
          <w:rFonts w:asciiTheme="minorHAnsi" w:hAnsiTheme="minorHAnsi"/>
        </w:rPr>
        <w:t>was described as having a head CT “that was essentially normal” but with “involutional changes in excess of expected for age”</w:t>
      </w:r>
      <w:r w:rsidR="00645109">
        <w:rPr>
          <w:rFonts w:asciiTheme="minorHAnsi" w:hAnsiTheme="minorHAnsi"/>
        </w:rPr>
        <w:t xml:space="preserve">. Case 20 </w:t>
      </w:r>
      <w:r w:rsidRPr="0032265D">
        <w:rPr>
          <w:rFonts w:asciiTheme="minorHAnsi" w:hAnsiTheme="minorHAnsi"/>
        </w:rPr>
        <w:t>had past imaging results that indicated “minor anterior cerebral confusion [sic – probably contusion]” from a CT scan 11 years before Case ID, “falix lipoema” from a CT scan two years before Case ID, but normal CT and MRI results on the day of Case ID and 22 days after Case ID respectively.</w:t>
      </w:r>
    </w:p>
    <w:p w:rsidR="0032265D" w:rsidRPr="0032265D" w:rsidRDefault="0032265D" w:rsidP="0032265D">
      <w:pPr>
        <w:spacing w:line="240" w:lineRule="auto"/>
        <w:rPr>
          <w:rFonts w:asciiTheme="minorHAnsi" w:hAnsiTheme="minorHAnsi"/>
        </w:rPr>
      </w:pPr>
    </w:p>
    <w:tbl>
      <w:tblPr>
        <w:tblW w:w="906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tblCellMar>
        <w:tblLook w:val="04A0" w:firstRow="1" w:lastRow="0" w:firstColumn="1" w:lastColumn="0" w:noHBand="0" w:noVBand="1"/>
      </w:tblPr>
      <w:tblGrid>
        <w:gridCol w:w="1573"/>
        <w:gridCol w:w="1370"/>
        <w:gridCol w:w="1781"/>
        <w:gridCol w:w="4343"/>
      </w:tblGrid>
      <w:tr w:rsidR="00B0215B" w:rsidRPr="00537EDC" w:rsidTr="00B0215B">
        <w:tc>
          <w:tcPr>
            <w:tcW w:w="1573" w:type="dxa"/>
            <w:tcBorders>
              <w:top w:val="single" w:sz="6" w:space="0" w:color="00000A"/>
              <w:left w:val="single" w:sz="6" w:space="0" w:color="00000A"/>
              <w:bottom w:val="single" w:sz="6" w:space="0" w:color="00000A"/>
              <w:right w:val="nil"/>
            </w:tcBorders>
            <w:shd w:val="clear" w:color="auto" w:fill="auto"/>
            <w:tcMar>
              <w:left w:w="36" w:type="dxa"/>
            </w:tcMar>
            <w:vAlign w:val="center"/>
          </w:tcPr>
          <w:p w:rsidR="00B0215B" w:rsidRPr="00881C9A" w:rsidRDefault="00B0215B" w:rsidP="00C96A6F">
            <w:pPr>
              <w:pageBreakBefore/>
              <w:spacing w:before="40" w:after="0" w:line="240" w:lineRule="auto"/>
              <w:jc w:val="center"/>
              <w:rPr>
                <w:rFonts w:ascii="Times New Roman" w:hAnsi="Times New Roman"/>
                <w:sz w:val="20"/>
                <w:szCs w:val="20"/>
              </w:rPr>
            </w:pPr>
            <w:r>
              <w:lastRenderedPageBreak/>
              <w:br w:type="page"/>
            </w:r>
            <w:r w:rsidRPr="00881C9A">
              <w:rPr>
                <w:rFonts w:ascii="Times New Roman" w:hAnsi="Times New Roman"/>
                <w:i/>
                <w:sz w:val="20"/>
                <w:szCs w:val="20"/>
              </w:rPr>
              <w:t>Case Number</w:t>
            </w:r>
          </w:p>
        </w:tc>
        <w:tc>
          <w:tcPr>
            <w:tcW w:w="1370" w:type="dxa"/>
            <w:tcBorders>
              <w:top w:val="single" w:sz="6" w:space="0" w:color="00000A"/>
              <w:left w:val="nil"/>
              <w:bottom w:val="single" w:sz="6" w:space="0" w:color="00000A"/>
              <w:right w:val="nil"/>
            </w:tcBorders>
            <w:shd w:val="clear" w:color="auto" w:fill="auto"/>
            <w:tcMar>
              <w:left w:w="105" w:type="dxa"/>
            </w:tcMar>
          </w:tcPr>
          <w:p w:rsidR="00B0215B" w:rsidRPr="00881C9A" w:rsidRDefault="00B0215B" w:rsidP="00C96A6F">
            <w:pPr>
              <w:spacing w:before="40" w:after="0" w:line="240" w:lineRule="auto"/>
              <w:jc w:val="center"/>
              <w:rPr>
                <w:rFonts w:ascii="Times New Roman" w:hAnsi="Times New Roman"/>
                <w:sz w:val="20"/>
                <w:szCs w:val="20"/>
              </w:rPr>
            </w:pPr>
          </w:p>
        </w:tc>
        <w:tc>
          <w:tcPr>
            <w:tcW w:w="1781" w:type="dxa"/>
            <w:tcBorders>
              <w:top w:val="single" w:sz="6" w:space="0" w:color="00000A"/>
              <w:left w:val="nil"/>
              <w:bottom w:val="single" w:sz="6" w:space="0" w:color="00000A"/>
              <w:right w:val="nil"/>
            </w:tcBorders>
            <w:shd w:val="clear" w:color="auto" w:fill="auto"/>
            <w:tcMar>
              <w:left w:w="105" w:type="dxa"/>
            </w:tcMar>
            <w:vAlign w:val="center"/>
          </w:tcPr>
          <w:p w:rsidR="00B0215B" w:rsidRPr="00881C9A" w:rsidRDefault="00D024E9" w:rsidP="00D024E9">
            <w:pPr>
              <w:spacing w:before="40" w:after="0" w:line="240" w:lineRule="auto"/>
              <w:rPr>
                <w:rFonts w:ascii="Times New Roman" w:hAnsi="Times New Roman"/>
                <w:i/>
                <w:sz w:val="20"/>
                <w:szCs w:val="20"/>
              </w:rPr>
            </w:pPr>
            <w:r>
              <w:rPr>
                <w:rFonts w:ascii="Times New Roman" w:hAnsi="Times New Roman"/>
                <w:i/>
                <w:sz w:val="20"/>
                <w:szCs w:val="20"/>
              </w:rPr>
              <w:t>DX</w:t>
            </w:r>
          </w:p>
        </w:tc>
        <w:tc>
          <w:tcPr>
            <w:tcW w:w="4343" w:type="dxa"/>
            <w:tcBorders>
              <w:top w:val="single" w:sz="6" w:space="0" w:color="00000A"/>
              <w:left w:val="nil"/>
              <w:bottom w:val="single" w:sz="6" w:space="0" w:color="00000A"/>
              <w:right w:val="single" w:sz="6" w:space="0" w:color="00000A"/>
            </w:tcBorders>
            <w:shd w:val="clear" w:color="auto" w:fill="auto"/>
            <w:tcMar>
              <w:left w:w="105" w:type="dxa"/>
            </w:tcMar>
            <w:vAlign w:val="center"/>
          </w:tcPr>
          <w:p w:rsidR="00B0215B" w:rsidRPr="00881C9A" w:rsidRDefault="00B0215B" w:rsidP="00C96A6F">
            <w:pPr>
              <w:spacing w:before="40" w:after="0" w:line="240" w:lineRule="auto"/>
              <w:rPr>
                <w:rFonts w:ascii="Times New Roman" w:hAnsi="Times New Roman"/>
                <w:sz w:val="20"/>
                <w:szCs w:val="20"/>
              </w:rPr>
            </w:pPr>
            <w:r w:rsidRPr="00881C9A">
              <w:rPr>
                <w:rFonts w:ascii="Times New Roman" w:hAnsi="Times New Roman"/>
                <w:i/>
                <w:sz w:val="20"/>
                <w:szCs w:val="20"/>
              </w:rPr>
              <w:t>Results</w:t>
            </w:r>
          </w:p>
        </w:tc>
      </w:tr>
      <w:tr w:rsidR="00B0215B" w:rsidRPr="00537EDC" w:rsidTr="00C96A6F">
        <w:tc>
          <w:tcPr>
            <w:tcW w:w="9067" w:type="dxa"/>
            <w:gridSpan w:val="4"/>
            <w:tcBorders>
              <w:top w:val="single" w:sz="6" w:space="0" w:color="00000A"/>
              <w:left w:val="single" w:sz="6" w:space="0" w:color="00000A"/>
              <w:bottom w:val="single" w:sz="6" w:space="0" w:color="00000A"/>
              <w:right w:val="single" w:sz="6" w:space="0" w:color="00000A"/>
            </w:tcBorders>
            <w:shd w:val="clear" w:color="auto" w:fill="auto"/>
            <w:tcMar>
              <w:left w:w="36" w:type="dxa"/>
            </w:tcMar>
            <w:vAlign w:val="center"/>
          </w:tcPr>
          <w:p w:rsidR="00B0215B" w:rsidRPr="00881C9A" w:rsidRDefault="00B0215B" w:rsidP="00C96A6F">
            <w:pPr>
              <w:spacing w:before="40" w:after="40" w:line="240" w:lineRule="auto"/>
              <w:rPr>
                <w:rFonts w:ascii="Times New Roman" w:hAnsi="Times New Roman"/>
                <w:i/>
                <w:sz w:val="20"/>
                <w:szCs w:val="20"/>
              </w:rPr>
            </w:pPr>
            <w:r w:rsidRPr="00881C9A">
              <w:rPr>
                <w:rFonts w:ascii="Times New Roman" w:hAnsi="Times New Roman"/>
                <w:i/>
                <w:sz w:val="20"/>
                <w:szCs w:val="20"/>
              </w:rPr>
              <w:t>CT Scan results</w:t>
            </w:r>
          </w:p>
        </w:tc>
      </w:tr>
      <w:tr w:rsidR="00D12A8C" w:rsidRPr="00537EDC" w:rsidTr="00241711">
        <w:tc>
          <w:tcPr>
            <w:tcW w:w="1573" w:type="dxa"/>
            <w:tcBorders>
              <w:top w:val="single" w:sz="6" w:space="0" w:color="00000A"/>
              <w:left w:val="single" w:sz="6" w:space="0" w:color="00000A"/>
              <w:bottom w:val="nil"/>
              <w:right w:val="nil"/>
            </w:tcBorders>
            <w:shd w:val="clear" w:color="auto" w:fill="auto"/>
            <w:tcMar>
              <w:left w:w="36" w:type="dxa"/>
            </w:tcMar>
            <w:vAlign w:val="center"/>
          </w:tcPr>
          <w:p w:rsidR="00D12A8C" w:rsidRPr="00537EDC" w:rsidRDefault="00D12A8C" w:rsidP="00D12A8C">
            <w:pPr>
              <w:spacing w:before="96" w:after="0" w:line="240" w:lineRule="auto"/>
              <w:jc w:val="center"/>
              <w:rPr>
                <w:sz w:val="20"/>
                <w:szCs w:val="20"/>
              </w:rPr>
            </w:pPr>
            <w:r>
              <w:rPr>
                <w:rFonts w:ascii="Times New Roman" w:hAnsi="Times New Roman"/>
                <w:sz w:val="20"/>
                <w:szCs w:val="20"/>
              </w:rPr>
              <w:t>34C</w:t>
            </w:r>
          </w:p>
        </w:tc>
        <w:tc>
          <w:tcPr>
            <w:tcW w:w="1370" w:type="dxa"/>
            <w:tcBorders>
              <w:top w:val="single" w:sz="6" w:space="0" w:color="00000A"/>
              <w:left w:val="nil"/>
              <w:bottom w:val="nil"/>
              <w:right w:val="nil"/>
            </w:tcBorders>
            <w:shd w:val="clear" w:color="auto" w:fill="auto"/>
            <w:tcMar>
              <w:left w:w="105" w:type="dxa"/>
            </w:tcMar>
            <w:vAlign w:val="center"/>
          </w:tcPr>
          <w:p w:rsidR="00D12A8C" w:rsidRPr="00881C9A" w:rsidRDefault="00D12A8C" w:rsidP="00D12A8C">
            <w:pPr>
              <w:spacing w:before="96" w:after="0" w:line="240" w:lineRule="auto"/>
              <w:jc w:val="center"/>
              <w:rPr>
                <w:rFonts w:ascii="Times New Roman" w:hAnsi="Times New Roman"/>
                <w:sz w:val="20"/>
                <w:szCs w:val="20"/>
              </w:rPr>
            </w:pPr>
          </w:p>
        </w:tc>
        <w:tc>
          <w:tcPr>
            <w:tcW w:w="1781" w:type="dxa"/>
            <w:tcBorders>
              <w:top w:val="single" w:sz="6" w:space="0" w:color="00000A"/>
              <w:left w:val="nil"/>
              <w:bottom w:val="nil"/>
              <w:right w:val="nil"/>
            </w:tcBorders>
            <w:shd w:val="clear" w:color="auto" w:fill="auto"/>
            <w:tcMar>
              <w:left w:w="105" w:type="dxa"/>
            </w:tcMar>
            <w:vAlign w:val="center"/>
          </w:tcPr>
          <w:p w:rsidR="00D12A8C" w:rsidRPr="00881C9A" w:rsidRDefault="00D12A8C" w:rsidP="00FE03D4">
            <w:pPr>
              <w:spacing w:before="96" w:after="0" w:line="240" w:lineRule="auto"/>
              <w:rPr>
                <w:rFonts w:ascii="Times New Roman" w:hAnsi="Times New Roman"/>
                <w:sz w:val="20"/>
                <w:szCs w:val="20"/>
              </w:rPr>
            </w:pPr>
            <w:r w:rsidRPr="00881C9A">
              <w:rPr>
                <w:rFonts w:ascii="Times New Roman" w:hAnsi="Times New Roman"/>
                <w:sz w:val="20"/>
                <w:szCs w:val="20"/>
              </w:rPr>
              <w:t>Schizophrenia</w:t>
            </w:r>
          </w:p>
        </w:tc>
        <w:tc>
          <w:tcPr>
            <w:tcW w:w="4343" w:type="dxa"/>
            <w:tcBorders>
              <w:top w:val="single" w:sz="6" w:space="0" w:color="00000A"/>
              <w:left w:val="nil"/>
              <w:bottom w:val="nil"/>
              <w:right w:val="single" w:sz="6" w:space="0" w:color="00000A"/>
            </w:tcBorders>
            <w:shd w:val="clear" w:color="auto" w:fill="auto"/>
            <w:tcMar>
              <w:left w:w="105" w:type="dxa"/>
            </w:tcMar>
            <w:vAlign w:val="center"/>
          </w:tcPr>
          <w:p w:rsidR="00D12A8C" w:rsidRPr="00881C9A" w:rsidRDefault="00FF39CE" w:rsidP="00FE03D4">
            <w:pPr>
              <w:spacing w:before="96" w:after="0" w:line="240" w:lineRule="auto"/>
              <w:rPr>
                <w:rFonts w:ascii="Times New Roman" w:hAnsi="Times New Roman"/>
                <w:sz w:val="20"/>
                <w:szCs w:val="20"/>
              </w:rPr>
            </w:pPr>
            <w:r>
              <w:rPr>
                <w:rFonts w:ascii="Times New Roman" w:hAnsi="Times New Roman"/>
                <w:sz w:val="20"/>
                <w:szCs w:val="20"/>
              </w:rPr>
              <w:t>S</w:t>
            </w:r>
            <w:r w:rsidR="00D12A8C" w:rsidRPr="00881C9A">
              <w:rPr>
                <w:rFonts w:ascii="Times New Roman" w:hAnsi="Times New Roman"/>
                <w:sz w:val="20"/>
                <w:szCs w:val="20"/>
              </w:rPr>
              <w:t>mall vessel ischaemic changes</w:t>
            </w:r>
          </w:p>
        </w:tc>
      </w:tr>
      <w:tr w:rsidR="00D12A8C" w:rsidRPr="00537EDC" w:rsidTr="00241711">
        <w:tc>
          <w:tcPr>
            <w:tcW w:w="1573" w:type="dxa"/>
            <w:tcBorders>
              <w:top w:val="nil"/>
              <w:left w:val="single" w:sz="6" w:space="0" w:color="00000A"/>
              <w:bottom w:val="nil"/>
              <w:right w:val="nil"/>
            </w:tcBorders>
            <w:shd w:val="clear" w:color="auto" w:fill="auto"/>
            <w:tcMar>
              <w:left w:w="36" w:type="dxa"/>
            </w:tcMar>
            <w:vAlign w:val="center"/>
          </w:tcPr>
          <w:p w:rsidR="00D12A8C" w:rsidRPr="00537EDC" w:rsidRDefault="00D12A8C" w:rsidP="00D12A8C">
            <w:pPr>
              <w:spacing w:before="96" w:after="0" w:line="240" w:lineRule="auto"/>
              <w:jc w:val="center"/>
              <w:rPr>
                <w:sz w:val="20"/>
                <w:szCs w:val="20"/>
              </w:rPr>
            </w:pPr>
            <w:r>
              <w:rPr>
                <w:rFonts w:ascii="Times New Roman" w:hAnsi="Times New Roman"/>
                <w:sz w:val="20"/>
                <w:szCs w:val="20"/>
              </w:rPr>
              <w:t>43C</w:t>
            </w:r>
          </w:p>
        </w:tc>
        <w:tc>
          <w:tcPr>
            <w:tcW w:w="1370" w:type="dxa"/>
            <w:tcBorders>
              <w:top w:val="nil"/>
              <w:left w:val="nil"/>
              <w:bottom w:val="nil"/>
              <w:right w:val="nil"/>
            </w:tcBorders>
            <w:shd w:val="clear" w:color="auto" w:fill="auto"/>
            <w:tcMar>
              <w:left w:w="105" w:type="dxa"/>
            </w:tcMar>
            <w:vAlign w:val="center"/>
          </w:tcPr>
          <w:p w:rsidR="00D12A8C" w:rsidRPr="00881C9A" w:rsidRDefault="00D12A8C" w:rsidP="00D12A8C">
            <w:pPr>
              <w:spacing w:before="96" w:after="0" w:line="240" w:lineRule="auto"/>
              <w:jc w:val="center"/>
              <w:rPr>
                <w:rFonts w:ascii="Times New Roman" w:hAnsi="Times New Roman"/>
                <w:sz w:val="20"/>
                <w:szCs w:val="20"/>
              </w:rPr>
            </w:pPr>
          </w:p>
        </w:tc>
        <w:tc>
          <w:tcPr>
            <w:tcW w:w="1781" w:type="dxa"/>
            <w:tcBorders>
              <w:top w:val="nil"/>
              <w:left w:val="nil"/>
              <w:bottom w:val="nil"/>
              <w:right w:val="nil"/>
            </w:tcBorders>
            <w:shd w:val="clear" w:color="auto" w:fill="auto"/>
            <w:tcMar>
              <w:left w:w="105" w:type="dxa"/>
            </w:tcMar>
            <w:vAlign w:val="center"/>
          </w:tcPr>
          <w:p w:rsidR="00D12A8C" w:rsidRPr="00881C9A" w:rsidRDefault="00D12A8C" w:rsidP="00FE03D4">
            <w:pPr>
              <w:spacing w:before="96" w:after="0" w:line="240" w:lineRule="auto"/>
              <w:rPr>
                <w:rFonts w:ascii="Times New Roman" w:hAnsi="Times New Roman"/>
                <w:sz w:val="20"/>
                <w:szCs w:val="20"/>
              </w:rPr>
            </w:pPr>
            <w:r w:rsidRPr="00881C9A">
              <w:rPr>
                <w:rFonts w:ascii="Times New Roman" w:hAnsi="Times New Roman"/>
                <w:sz w:val="20"/>
                <w:szCs w:val="20"/>
              </w:rPr>
              <w:t>Schizophrenia</w:t>
            </w:r>
          </w:p>
        </w:tc>
        <w:tc>
          <w:tcPr>
            <w:tcW w:w="4343" w:type="dxa"/>
            <w:tcBorders>
              <w:top w:val="nil"/>
              <w:left w:val="nil"/>
              <w:bottom w:val="nil"/>
              <w:right w:val="single" w:sz="6" w:space="0" w:color="00000A"/>
            </w:tcBorders>
            <w:shd w:val="clear" w:color="auto" w:fill="auto"/>
            <w:tcMar>
              <w:left w:w="105" w:type="dxa"/>
            </w:tcMar>
            <w:vAlign w:val="center"/>
          </w:tcPr>
          <w:p w:rsidR="00D12A8C" w:rsidRPr="00881C9A" w:rsidRDefault="00FF39CE" w:rsidP="00FE03D4">
            <w:pPr>
              <w:spacing w:before="96" w:after="0" w:line="240" w:lineRule="auto"/>
              <w:rPr>
                <w:rFonts w:ascii="Times New Roman" w:hAnsi="Times New Roman"/>
                <w:sz w:val="20"/>
                <w:szCs w:val="20"/>
              </w:rPr>
            </w:pPr>
            <w:r>
              <w:rPr>
                <w:rFonts w:ascii="Times New Roman" w:hAnsi="Times New Roman"/>
                <w:sz w:val="20"/>
                <w:szCs w:val="20"/>
              </w:rPr>
              <w:t>S</w:t>
            </w:r>
            <w:r w:rsidR="00D12A8C" w:rsidRPr="00881C9A">
              <w:rPr>
                <w:rFonts w:ascii="Times New Roman" w:hAnsi="Times New Roman"/>
                <w:sz w:val="20"/>
                <w:szCs w:val="20"/>
              </w:rPr>
              <w:t>mall cortical abnormality, potentially ischaemic in origin and some other minor changes, possibly also vascular in basis</w:t>
            </w:r>
          </w:p>
        </w:tc>
      </w:tr>
      <w:tr w:rsidR="00D12A8C" w:rsidRPr="00537EDC" w:rsidTr="00241711">
        <w:tc>
          <w:tcPr>
            <w:tcW w:w="1573" w:type="dxa"/>
            <w:tcBorders>
              <w:top w:val="nil"/>
              <w:left w:val="single" w:sz="6" w:space="0" w:color="00000A"/>
              <w:bottom w:val="nil"/>
              <w:right w:val="nil"/>
            </w:tcBorders>
            <w:shd w:val="clear" w:color="auto" w:fill="auto"/>
            <w:tcMar>
              <w:left w:w="36" w:type="dxa"/>
            </w:tcMar>
            <w:vAlign w:val="center"/>
          </w:tcPr>
          <w:p w:rsidR="00D12A8C" w:rsidRPr="00537EDC" w:rsidRDefault="00D12A8C" w:rsidP="00D12A8C">
            <w:pPr>
              <w:spacing w:before="96" w:after="0" w:line="240" w:lineRule="auto"/>
              <w:jc w:val="center"/>
              <w:rPr>
                <w:sz w:val="20"/>
                <w:szCs w:val="20"/>
              </w:rPr>
            </w:pPr>
            <w:r>
              <w:rPr>
                <w:rFonts w:ascii="Times New Roman" w:hAnsi="Times New Roman"/>
                <w:sz w:val="20"/>
                <w:szCs w:val="20"/>
              </w:rPr>
              <w:t>69C</w:t>
            </w:r>
          </w:p>
        </w:tc>
        <w:tc>
          <w:tcPr>
            <w:tcW w:w="1370" w:type="dxa"/>
            <w:tcBorders>
              <w:top w:val="nil"/>
              <w:left w:val="nil"/>
              <w:bottom w:val="nil"/>
              <w:right w:val="nil"/>
            </w:tcBorders>
            <w:shd w:val="clear" w:color="auto" w:fill="auto"/>
            <w:tcMar>
              <w:left w:w="105" w:type="dxa"/>
            </w:tcMar>
            <w:vAlign w:val="center"/>
          </w:tcPr>
          <w:p w:rsidR="00D12A8C" w:rsidRPr="00881C9A" w:rsidRDefault="00D12A8C" w:rsidP="00D12A8C">
            <w:pPr>
              <w:spacing w:before="96" w:after="0" w:line="240" w:lineRule="auto"/>
              <w:jc w:val="center"/>
              <w:rPr>
                <w:rFonts w:ascii="Times New Roman" w:hAnsi="Times New Roman"/>
                <w:sz w:val="20"/>
                <w:szCs w:val="20"/>
              </w:rPr>
            </w:pPr>
          </w:p>
        </w:tc>
        <w:tc>
          <w:tcPr>
            <w:tcW w:w="1781" w:type="dxa"/>
            <w:tcBorders>
              <w:top w:val="nil"/>
              <w:left w:val="nil"/>
              <w:bottom w:val="nil"/>
              <w:right w:val="nil"/>
            </w:tcBorders>
            <w:shd w:val="clear" w:color="auto" w:fill="auto"/>
            <w:tcMar>
              <w:left w:w="105" w:type="dxa"/>
            </w:tcMar>
            <w:vAlign w:val="center"/>
          </w:tcPr>
          <w:p w:rsidR="00D12A8C" w:rsidRPr="00881C9A" w:rsidRDefault="00D12A8C" w:rsidP="00FE03D4">
            <w:pPr>
              <w:spacing w:before="96" w:after="0" w:line="240" w:lineRule="auto"/>
              <w:rPr>
                <w:rFonts w:ascii="Times New Roman" w:hAnsi="Times New Roman"/>
                <w:sz w:val="20"/>
                <w:szCs w:val="20"/>
              </w:rPr>
            </w:pPr>
            <w:r w:rsidRPr="00881C9A">
              <w:rPr>
                <w:rFonts w:ascii="Times New Roman" w:hAnsi="Times New Roman"/>
                <w:sz w:val="20"/>
                <w:szCs w:val="20"/>
              </w:rPr>
              <w:t>Major depressive disorder</w:t>
            </w:r>
          </w:p>
        </w:tc>
        <w:tc>
          <w:tcPr>
            <w:tcW w:w="4343" w:type="dxa"/>
            <w:tcBorders>
              <w:top w:val="nil"/>
              <w:left w:val="nil"/>
              <w:bottom w:val="nil"/>
              <w:right w:val="single" w:sz="6" w:space="0" w:color="00000A"/>
            </w:tcBorders>
            <w:shd w:val="clear" w:color="auto" w:fill="auto"/>
            <w:tcMar>
              <w:left w:w="105" w:type="dxa"/>
            </w:tcMar>
            <w:vAlign w:val="center"/>
          </w:tcPr>
          <w:p w:rsidR="00D12A8C" w:rsidRPr="00881C9A" w:rsidRDefault="00FF39CE" w:rsidP="00FE03D4">
            <w:pPr>
              <w:spacing w:before="96" w:after="0" w:line="240" w:lineRule="auto"/>
              <w:rPr>
                <w:rFonts w:ascii="Times New Roman" w:hAnsi="Times New Roman"/>
                <w:sz w:val="20"/>
                <w:szCs w:val="20"/>
              </w:rPr>
            </w:pPr>
            <w:r>
              <w:rPr>
                <w:rFonts w:ascii="Times New Roman" w:hAnsi="Times New Roman"/>
                <w:sz w:val="20"/>
                <w:szCs w:val="20"/>
              </w:rPr>
              <w:t>S</w:t>
            </w:r>
            <w:r w:rsidR="00D12A8C" w:rsidRPr="00881C9A">
              <w:rPr>
                <w:rFonts w:ascii="Times New Roman" w:hAnsi="Times New Roman"/>
                <w:sz w:val="20"/>
                <w:szCs w:val="20"/>
              </w:rPr>
              <w:t>mall vessel disease</w:t>
            </w:r>
          </w:p>
        </w:tc>
      </w:tr>
      <w:tr w:rsidR="00D12A8C" w:rsidRPr="00537EDC" w:rsidTr="00241711">
        <w:tc>
          <w:tcPr>
            <w:tcW w:w="1573" w:type="dxa"/>
            <w:tcBorders>
              <w:top w:val="nil"/>
              <w:left w:val="single" w:sz="6" w:space="0" w:color="00000A"/>
              <w:bottom w:val="nil"/>
              <w:right w:val="nil"/>
            </w:tcBorders>
            <w:shd w:val="clear" w:color="auto" w:fill="auto"/>
            <w:tcMar>
              <w:left w:w="36" w:type="dxa"/>
            </w:tcMar>
            <w:vAlign w:val="center"/>
          </w:tcPr>
          <w:p w:rsidR="00D12A8C" w:rsidRPr="00537EDC" w:rsidRDefault="00D12A8C" w:rsidP="00D12A8C">
            <w:pPr>
              <w:spacing w:before="96" w:after="0" w:line="240" w:lineRule="auto"/>
              <w:jc w:val="center"/>
              <w:rPr>
                <w:sz w:val="20"/>
                <w:szCs w:val="20"/>
              </w:rPr>
            </w:pPr>
            <w:r>
              <w:rPr>
                <w:rFonts w:ascii="Times New Roman" w:hAnsi="Times New Roman"/>
                <w:sz w:val="20"/>
                <w:szCs w:val="20"/>
              </w:rPr>
              <w:t>81C</w:t>
            </w:r>
          </w:p>
        </w:tc>
        <w:tc>
          <w:tcPr>
            <w:tcW w:w="1370" w:type="dxa"/>
            <w:tcBorders>
              <w:top w:val="nil"/>
              <w:left w:val="nil"/>
              <w:bottom w:val="nil"/>
              <w:right w:val="nil"/>
            </w:tcBorders>
            <w:shd w:val="clear" w:color="auto" w:fill="auto"/>
            <w:tcMar>
              <w:left w:w="105" w:type="dxa"/>
            </w:tcMar>
            <w:vAlign w:val="center"/>
          </w:tcPr>
          <w:p w:rsidR="00D12A8C" w:rsidRPr="00881C9A" w:rsidRDefault="00D12A8C" w:rsidP="00D12A8C">
            <w:pPr>
              <w:spacing w:before="96" w:after="0" w:line="240" w:lineRule="auto"/>
              <w:jc w:val="center"/>
              <w:rPr>
                <w:rFonts w:ascii="Times New Roman" w:hAnsi="Times New Roman"/>
                <w:sz w:val="20"/>
                <w:szCs w:val="20"/>
              </w:rPr>
            </w:pPr>
          </w:p>
        </w:tc>
        <w:tc>
          <w:tcPr>
            <w:tcW w:w="1781" w:type="dxa"/>
            <w:tcBorders>
              <w:top w:val="nil"/>
              <w:left w:val="nil"/>
              <w:bottom w:val="nil"/>
              <w:right w:val="nil"/>
            </w:tcBorders>
            <w:shd w:val="clear" w:color="auto" w:fill="auto"/>
            <w:tcMar>
              <w:left w:w="105" w:type="dxa"/>
            </w:tcMar>
            <w:vAlign w:val="center"/>
          </w:tcPr>
          <w:p w:rsidR="00D12A8C" w:rsidRPr="00881C9A" w:rsidRDefault="00D12A8C" w:rsidP="00FE03D4">
            <w:pPr>
              <w:spacing w:before="96" w:after="0" w:line="240" w:lineRule="auto"/>
              <w:rPr>
                <w:rFonts w:ascii="Times New Roman" w:hAnsi="Times New Roman"/>
                <w:sz w:val="20"/>
                <w:szCs w:val="20"/>
              </w:rPr>
            </w:pPr>
            <w:r w:rsidRPr="00881C9A">
              <w:rPr>
                <w:rFonts w:ascii="Times New Roman" w:hAnsi="Times New Roman"/>
                <w:sz w:val="20"/>
                <w:szCs w:val="20"/>
              </w:rPr>
              <w:t>Generalized anxiety disorder</w:t>
            </w:r>
          </w:p>
        </w:tc>
        <w:tc>
          <w:tcPr>
            <w:tcW w:w="4343" w:type="dxa"/>
            <w:tcBorders>
              <w:top w:val="nil"/>
              <w:left w:val="nil"/>
              <w:bottom w:val="nil"/>
              <w:right w:val="single" w:sz="6" w:space="0" w:color="00000A"/>
            </w:tcBorders>
            <w:shd w:val="clear" w:color="auto" w:fill="auto"/>
            <w:tcMar>
              <w:left w:w="105" w:type="dxa"/>
            </w:tcMar>
            <w:vAlign w:val="center"/>
          </w:tcPr>
          <w:p w:rsidR="00D12A8C" w:rsidRPr="00881C9A" w:rsidRDefault="00D12A8C" w:rsidP="00FE03D4">
            <w:pPr>
              <w:spacing w:before="96" w:after="0" w:line="240" w:lineRule="auto"/>
              <w:rPr>
                <w:rFonts w:ascii="Times New Roman" w:hAnsi="Times New Roman"/>
                <w:sz w:val="20"/>
                <w:szCs w:val="20"/>
              </w:rPr>
            </w:pPr>
            <w:r w:rsidRPr="00881C9A">
              <w:rPr>
                <w:rFonts w:ascii="Times New Roman" w:hAnsi="Times New Roman"/>
                <w:sz w:val="20"/>
                <w:szCs w:val="20"/>
              </w:rPr>
              <w:t>Age related periventricular lucencies in keeping with small vessel disease.</w:t>
            </w:r>
          </w:p>
        </w:tc>
      </w:tr>
      <w:tr w:rsidR="00B0215B" w:rsidRPr="00537EDC" w:rsidTr="00C96A6F">
        <w:tc>
          <w:tcPr>
            <w:tcW w:w="9067" w:type="dxa"/>
            <w:gridSpan w:val="4"/>
            <w:tcBorders>
              <w:top w:val="single" w:sz="6" w:space="0" w:color="00000A"/>
              <w:left w:val="single" w:sz="6" w:space="0" w:color="00000A"/>
              <w:right w:val="single" w:sz="6" w:space="0" w:color="00000A"/>
            </w:tcBorders>
            <w:shd w:val="clear" w:color="auto" w:fill="auto"/>
            <w:tcMar>
              <w:left w:w="36" w:type="dxa"/>
            </w:tcMar>
          </w:tcPr>
          <w:p w:rsidR="00B0215B" w:rsidRPr="00881C9A" w:rsidRDefault="00B0215B" w:rsidP="00B0215B">
            <w:pPr>
              <w:spacing w:before="40" w:after="40" w:line="240" w:lineRule="auto"/>
              <w:rPr>
                <w:rFonts w:ascii="Times New Roman" w:hAnsi="Times New Roman"/>
                <w:i/>
                <w:sz w:val="20"/>
                <w:szCs w:val="20"/>
              </w:rPr>
            </w:pPr>
            <w:r w:rsidRPr="00881C9A">
              <w:rPr>
                <w:rFonts w:ascii="Times New Roman" w:hAnsi="Times New Roman"/>
                <w:i/>
                <w:sz w:val="20"/>
                <w:szCs w:val="20"/>
              </w:rPr>
              <w:t>MRI Scan results</w:t>
            </w:r>
          </w:p>
        </w:tc>
      </w:tr>
      <w:tr w:rsidR="00B0215B" w:rsidRPr="00537EDC" w:rsidTr="00B0215B">
        <w:tc>
          <w:tcPr>
            <w:tcW w:w="1573" w:type="dxa"/>
            <w:tcBorders>
              <w:top w:val="nil"/>
              <w:left w:val="single" w:sz="6" w:space="0" w:color="00000A"/>
              <w:bottom w:val="nil"/>
              <w:right w:val="nil"/>
            </w:tcBorders>
            <w:shd w:val="clear" w:color="auto" w:fill="auto"/>
            <w:tcMar>
              <w:left w:w="36" w:type="dxa"/>
            </w:tcMar>
            <w:vAlign w:val="center"/>
          </w:tcPr>
          <w:p w:rsidR="00B0215B" w:rsidRPr="00881C9A" w:rsidRDefault="00B0215B" w:rsidP="00B0215B">
            <w:pPr>
              <w:spacing w:before="40" w:after="0" w:line="240" w:lineRule="auto"/>
              <w:jc w:val="center"/>
              <w:rPr>
                <w:rFonts w:ascii="Times New Roman" w:hAnsi="Times New Roman"/>
                <w:sz w:val="20"/>
                <w:szCs w:val="20"/>
              </w:rPr>
            </w:pPr>
            <w:r w:rsidRPr="00881C9A">
              <w:rPr>
                <w:rFonts w:ascii="Times New Roman" w:hAnsi="Times New Roman"/>
                <w:sz w:val="20"/>
                <w:szCs w:val="20"/>
              </w:rPr>
              <w:t>9</w:t>
            </w:r>
            <w:r w:rsidR="00D12A8C">
              <w:rPr>
                <w:rFonts w:ascii="Times New Roman" w:hAnsi="Times New Roman"/>
                <w:sz w:val="20"/>
                <w:szCs w:val="20"/>
              </w:rPr>
              <w:t>C</w:t>
            </w:r>
          </w:p>
        </w:tc>
        <w:tc>
          <w:tcPr>
            <w:tcW w:w="1370" w:type="dxa"/>
            <w:tcBorders>
              <w:top w:val="nil"/>
              <w:left w:val="nil"/>
              <w:bottom w:val="nil"/>
              <w:right w:val="nil"/>
            </w:tcBorders>
            <w:shd w:val="clear" w:color="auto" w:fill="auto"/>
            <w:tcMar>
              <w:left w:w="105" w:type="dxa"/>
            </w:tcMar>
            <w:vAlign w:val="center"/>
          </w:tcPr>
          <w:p w:rsidR="00B0215B" w:rsidRPr="00881C9A" w:rsidRDefault="00B0215B" w:rsidP="00B0215B">
            <w:pPr>
              <w:spacing w:before="40" w:after="0" w:line="240" w:lineRule="auto"/>
              <w:jc w:val="center"/>
              <w:rPr>
                <w:rFonts w:ascii="Times New Roman" w:hAnsi="Times New Roman"/>
                <w:sz w:val="20"/>
                <w:szCs w:val="20"/>
              </w:rPr>
            </w:pPr>
          </w:p>
        </w:tc>
        <w:tc>
          <w:tcPr>
            <w:tcW w:w="1781" w:type="dxa"/>
            <w:tcBorders>
              <w:top w:val="nil"/>
              <w:left w:val="nil"/>
              <w:bottom w:val="nil"/>
              <w:right w:val="nil"/>
            </w:tcBorders>
            <w:shd w:val="clear" w:color="auto" w:fill="auto"/>
            <w:tcMar>
              <w:left w:w="105" w:type="dxa"/>
            </w:tcMar>
            <w:vAlign w:val="center"/>
          </w:tcPr>
          <w:p w:rsidR="00B0215B" w:rsidRPr="00881C9A" w:rsidRDefault="00B0215B" w:rsidP="00FE03D4">
            <w:pPr>
              <w:spacing w:before="40" w:after="0" w:line="240" w:lineRule="auto"/>
              <w:rPr>
                <w:rFonts w:ascii="Times New Roman" w:hAnsi="Times New Roman"/>
                <w:sz w:val="20"/>
                <w:szCs w:val="20"/>
              </w:rPr>
            </w:pPr>
            <w:r w:rsidRPr="00881C9A">
              <w:rPr>
                <w:rFonts w:ascii="Times New Roman" w:hAnsi="Times New Roman"/>
                <w:sz w:val="20"/>
                <w:szCs w:val="20"/>
              </w:rPr>
              <w:t>Delirium not superimposed on dementia</w:t>
            </w:r>
          </w:p>
        </w:tc>
        <w:tc>
          <w:tcPr>
            <w:tcW w:w="4343" w:type="dxa"/>
            <w:tcBorders>
              <w:top w:val="nil"/>
              <w:left w:val="nil"/>
              <w:bottom w:val="nil"/>
              <w:right w:val="single" w:sz="6" w:space="0" w:color="00000A"/>
            </w:tcBorders>
            <w:shd w:val="clear" w:color="auto" w:fill="auto"/>
            <w:tcMar>
              <w:left w:w="105" w:type="dxa"/>
            </w:tcMar>
            <w:vAlign w:val="center"/>
          </w:tcPr>
          <w:p w:rsidR="00B0215B" w:rsidRPr="00881C9A" w:rsidRDefault="00B0215B" w:rsidP="00FE03D4">
            <w:pPr>
              <w:spacing w:before="40" w:after="0" w:line="240" w:lineRule="auto"/>
              <w:rPr>
                <w:rFonts w:ascii="Times New Roman" w:hAnsi="Times New Roman"/>
                <w:sz w:val="20"/>
                <w:szCs w:val="20"/>
              </w:rPr>
            </w:pPr>
            <w:r w:rsidRPr="00881C9A">
              <w:rPr>
                <w:rFonts w:ascii="Times New Roman" w:hAnsi="Times New Roman"/>
                <w:sz w:val="20"/>
                <w:szCs w:val="20"/>
              </w:rPr>
              <w:t>Signal change and oedema involving cortex in the left occipital region is likely to represent subacute infarct with some haemorrhagic transformation in the clinical context. There is evidence of further small foci of recent infarction in the right corona radiata and equivocal lesion left cerebellum</w:t>
            </w:r>
          </w:p>
        </w:tc>
      </w:tr>
      <w:tr w:rsidR="00B0215B" w:rsidRPr="00537EDC" w:rsidTr="00B0215B">
        <w:tc>
          <w:tcPr>
            <w:tcW w:w="1573" w:type="dxa"/>
            <w:tcBorders>
              <w:top w:val="nil"/>
              <w:left w:val="single" w:sz="6" w:space="0" w:color="00000A"/>
              <w:bottom w:val="single" w:sz="6" w:space="0" w:color="00000A"/>
              <w:right w:val="nil"/>
            </w:tcBorders>
            <w:shd w:val="clear" w:color="auto" w:fill="auto"/>
            <w:tcMar>
              <w:left w:w="36" w:type="dxa"/>
            </w:tcMar>
            <w:vAlign w:val="center"/>
          </w:tcPr>
          <w:p w:rsidR="00B0215B" w:rsidRPr="00881C9A" w:rsidRDefault="00B0215B" w:rsidP="00B0215B">
            <w:pPr>
              <w:spacing w:before="40" w:after="40" w:line="240" w:lineRule="auto"/>
              <w:jc w:val="center"/>
              <w:rPr>
                <w:rFonts w:ascii="Times New Roman" w:hAnsi="Times New Roman"/>
                <w:sz w:val="20"/>
                <w:szCs w:val="20"/>
              </w:rPr>
            </w:pPr>
            <w:r w:rsidRPr="00881C9A">
              <w:rPr>
                <w:rFonts w:ascii="Times New Roman" w:hAnsi="Times New Roman"/>
                <w:sz w:val="20"/>
                <w:szCs w:val="20"/>
              </w:rPr>
              <w:t>84</w:t>
            </w:r>
            <w:r w:rsidR="00D12A8C">
              <w:rPr>
                <w:rFonts w:ascii="Times New Roman" w:hAnsi="Times New Roman"/>
                <w:sz w:val="20"/>
                <w:szCs w:val="20"/>
              </w:rPr>
              <w:t>C</w:t>
            </w:r>
          </w:p>
        </w:tc>
        <w:tc>
          <w:tcPr>
            <w:tcW w:w="1370" w:type="dxa"/>
            <w:tcBorders>
              <w:top w:val="nil"/>
              <w:left w:val="nil"/>
              <w:bottom w:val="single" w:sz="6" w:space="0" w:color="00000A"/>
              <w:right w:val="nil"/>
            </w:tcBorders>
            <w:shd w:val="clear" w:color="auto" w:fill="auto"/>
            <w:tcMar>
              <w:left w:w="105" w:type="dxa"/>
            </w:tcMar>
            <w:vAlign w:val="center"/>
          </w:tcPr>
          <w:p w:rsidR="00B0215B" w:rsidRPr="00881C9A" w:rsidRDefault="00B0215B" w:rsidP="00B0215B">
            <w:pPr>
              <w:spacing w:before="40" w:after="40" w:line="240" w:lineRule="auto"/>
              <w:jc w:val="center"/>
              <w:rPr>
                <w:rFonts w:ascii="Times New Roman" w:hAnsi="Times New Roman"/>
                <w:sz w:val="20"/>
                <w:szCs w:val="20"/>
              </w:rPr>
            </w:pPr>
          </w:p>
        </w:tc>
        <w:tc>
          <w:tcPr>
            <w:tcW w:w="1781" w:type="dxa"/>
            <w:tcBorders>
              <w:top w:val="nil"/>
              <w:left w:val="nil"/>
              <w:bottom w:val="single" w:sz="6" w:space="0" w:color="00000A"/>
              <w:right w:val="nil"/>
            </w:tcBorders>
            <w:shd w:val="clear" w:color="auto" w:fill="auto"/>
            <w:tcMar>
              <w:left w:w="105" w:type="dxa"/>
            </w:tcMar>
            <w:vAlign w:val="center"/>
          </w:tcPr>
          <w:p w:rsidR="00B0215B" w:rsidRPr="00881C9A" w:rsidRDefault="00B0215B" w:rsidP="00FE03D4">
            <w:pPr>
              <w:spacing w:before="40" w:after="40" w:line="240" w:lineRule="auto"/>
              <w:rPr>
                <w:rFonts w:ascii="Times New Roman" w:hAnsi="Times New Roman"/>
                <w:sz w:val="20"/>
                <w:szCs w:val="20"/>
              </w:rPr>
            </w:pPr>
            <w:r w:rsidRPr="00881C9A">
              <w:rPr>
                <w:rFonts w:ascii="Times New Roman" w:hAnsi="Times New Roman"/>
                <w:sz w:val="20"/>
                <w:szCs w:val="20"/>
              </w:rPr>
              <w:t>Major depressive disorder</w:t>
            </w:r>
          </w:p>
        </w:tc>
        <w:tc>
          <w:tcPr>
            <w:tcW w:w="4343" w:type="dxa"/>
            <w:tcBorders>
              <w:top w:val="nil"/>
              <w:left w:val="nil"/>
              <w:bottom w:val="single" w:sz="6" w:space="0" w:color="00000A"/>
              <w:right w:val="single" w:sz="6" w:space="0" w:color="00000A"/>
            </w:tcBorders>
            <w:shd w:val="clear" w:color="auto" w:fill="auto"/>
            <w:tcMar>
              <w:left w:w="105" w:type="dxa"/>
            </w:tcMar>
            <w:vAlign w:val="center"/>
          </w:tcPr>
          <w:p w:rsidR="00B0215B" w:rsidRPr="00881C9A" w:rsidRDefault="00B0215B" w:rsidP="00FE03D4">
            <w:pPr>
              <w:spacing w:before="40" w:after="40" w:line="240" w:lineRule="auto"/>
              <w:rPr>
                <w:rFonts w:ascii="Times New Roman" w:hAnsi="Times New Roman"/>
                <w:sz w:val="20"/>
                <w:szCs w:val="20"/>
              </w:rPr>
            </w:pPr>
            <w:r w:rsidRPr="00881C9A">
              <w:rPr>
                <w:rFonts w:ascii="Times New Roman" w:hAnsi="Times New Roman"/>
                <w:sz w:val="20"/>
                <w:szCs w:val="20"/>
              </w:rPr>
              <w:t>left sided hippocampal atrophy strongly suggesting early AD; age related global volume loss and moderate small vessel cerebrovascular disease</w:t>
            </w:r>
          </w:p>
        </w:tc>
      </w:tr>
      <w:tr w:rsidR="00B0215B" w:rsidRPr="00537EDC" w:rsidTr="00C96A6F">
        <w:tc>
          <w:tcPr>
            <w:tcW w:w="9067" w:type="dxa"/>
            <w:gridSpan w:val="4"/>
            <w:tcBorders>
              <w:top w:val="nil"/>
              <w:left w:val="single" w:sz="6" w:space="0" w:color="00000A"/>
              <w:bottom w:val="single" w:sz="6" w:space="0" w:color="00000A"/>
              <w:right w:val="single" w:sz="6" w:space="0" w:color="00000A"/>
            </w:tcBorders>
            <w:shd w:val="clear" w:color="auto" w:fill="auto"/>
            <w:tcMar>
              <w:left w:w="36" w:type="dxa"/>
            </w:tcMar>
            <w:vAlign w:val="center"/>
          </w:tcPr>
          <w:p w:rsidR="00B0215B" w:rsidRPr="00881C9A" w:rsidRDefault="00B0215B" w:rsidP="00B0215B">
            <w:pPr>
              <w:spacing w:before="40" w:after="40" w:line="240" w:lineRule="auto"/>
              <w:rPr>
                <w:rFonts w:ascii="Times New Roman" w:hAnsi="Times New Roman"/>
                <w:i/>
                <w:sz w:val="20"/>
                <w:szCs w:val="20"/>
              </w:rPr>
            </w:pPr>
            <w:r w:rsidRPr="00881C9A">
              <w:rPr>
                <w:rFonts w:ascii="Times New Roman" w:hAnsi="Times New Roman"/>
                <w:i/>
                <w:sz w:val="20"/>
                <w:szCs w:val="20"/>
              </w:rPr>
              <w:t>EEG Results</w:t>
            </w:r>
          </w:p>
        </w:tc>
      </w:tr>
      <w:tr w:rsidR="00B0215B" w:rsidRPr="00537EDC" w:rsidTr="00B0215B">
        <w:tc>
          <w:tcPr>
            <w:tcW w:w="1573" w:type="dxa"/>
            <w:tcBorders>
              <w:top w:val="nil"/>
              <w:left w:val="single" w:sz="6" w:space="0" w:color="00000A"/>
              <w:bottom w:val="single" w:sz="6" w:space="0" w:color="00000A"/>
              <w:right w:val="nil"/>
            </w:tcBorders>
            <w:shd w:val="clear" w:color="auto" w:fill="auto"/>
            <w:tcMar>
              <w:left w:w="36" w:type="dxa"/>
            </w:tcMar>
            <w:vAlign w:val="center"/>
          </w:tcPr>
          <w:p w:rsidR="00B0215B" w:rsidRPr="00881C9A" w:rsidRDefault="00881C9A" w:rsidP="00B0215B">
            <w:pPr>
              <w:spacing w:before="40" w:after="40" w:line="240" w:lineRule="auto"/>
              <w:jc w:val="center"/>
              <w:rPr>
                <w:rFonts w:ascii="Times New Roman" w:hAnsi="Times New Roman"/>
                <w:sz w:val="20"/>
                <w:szCs w:val="20"/>
              </w:rPr>
            </w:pPr>
            <w:r w:rsidRPr="00881C9A">
              <w:rPr>
                <w:rFonts w:ascii="Times New Roman" w:hAnsi="Times New Roman"/>
                <w:sz w:val="20"/>
                <w:szCs w:val="20"/>
              </w:rPr>
              <w:t>No cases of abnormal results</w:t>
            </w:r>
          </w:p>
        </w:tc>
        <w:tc>
          <w:tcPr>
            <w:tcW w:w="1370" w:type="dxa"/>
            <w:tcBorders>
              <w:top w:val="nil"/>
              <w:left w:val="nil"/>
              <w:bottom w:val="single" w:sz="6" w:space="0" w:color="00000A"/>
              <w:right w:val="nil"/>
            </w:tcBorders>
            <w:shd w:val="clear" w:color="auto" w:fill="auto"/>
            <w:tcMar>
              <w:left w:w="105" w:type="dxa"/>
            </w:tcMar>
            <w:vAlign w:val="center"/>
          </w:tcPr>
          <w:p w:rsidR="00B0215B" w:rsidRPr="00881C9A" w:rsidRDefault="00B0215B" w:rsidP="00B0215B">
            <w:pPr>
              <w:spacing w:before="40" w:after="40" w:line="240" w:lineRule="auto"/>
              <w:jc w:val="center"/>
              <w:rPr>
                <w:rFonts w:ascii="Times New Roman" w:hAnsi="Times New Roman"/>
                <w:sz w:val="20"/>
                <w:szCs w:val="20"/>
              </w:rPr>
            </w:pPr>
          </w:p>
        </w:tc>
        <w:tc>
          <w:tcPr>
            <w:tcW w:w="1781" w:type="dxa"/>
            <w:tcBorders>
              <w:top w:val="nil"/>
              <w:left w:val="nil"/>
              <w:bottom w:val="single" w:sz="6" w:space="0" w:color="00000A"/>
              <w:right w:val="nil"/>
            </w:tcBorders>
            <w:shd w:val="clear" w:color="auto" w:fill="auto"/>
            <w:tcMar>
              <w:left w:w="105" w:type="dxa"/>
            </w:tcMar>
            <w:vAlign w:val="center"/>
          </w:tcPr>
          <w:p w:rsidR="00B0215B" w:rsidRPr="00881C9A" w:rsidRDefault="00FE03D4" w:rsidP="00FE03D4">
            <w:pPr>
              <w:spacing w:before="96" w:after="40" w:line="240" w:lineRule="auto"/>
              <w:jc w:val="center"/>
              <w:rPr>
                <w:rFonts w:ascii="Times New Roman" w:hAnsi="Times New Roman"/>
                <w:sz w:val="20"/>
                <w:szCs w:val="20"/>
              </w:rPr>
            </w:pPr>
            <w:r>
              <w:rPr>
                <w:rFonts w:ascii="Times New Roman" w:hAnsi="Times New Roman"/>
                <w:sz w:val="20"/>
                <w:szCs w:val="20"/>
              </w:rPr>
              <w:t>-</w:t>
            </w:r>
          </w:p>
        </w:tc>
        <w:tc>
          <w:tcPr>
            <w:tcW w:w="4343" w:type="dxa"/>
            <w:tcBorders>
              <w:top w:val="nil"/>
              <w:left w:val="nil"/>
              <w:bottom w:val="single" w:sz="6" w:space="0" w:color="00000A"/>
              <w:right w:val="single" w:sz="6" w:space="0" w:color="00000A"/>
            </w:tcBorders>
            <w:shd w:val="clear" w:color="auto" w:fill="auto"/>
            <w:tcMar>
              <w:left w:w="105" w:type="dxa"/>
            </w:tcMar>
            <w:vAlign w:val="center"/>
          </w:tcPr>
          <w:p w:rsidR="00B0215B" w:rsidRPr="00881C9A" w:rsidRDefault="00FE03D4" w:rsidP="00FE03D4">
            <w:pPr>
              <w:spacing w:before="40" w:after="40" w:line="240" w:lineRule="auto"/>
              <w:jc w:val="center"/>
              <w:rPr>
                <w:rFonts w:ascii="Times New Roman" w:hAnsi="Times New Roman"/>
                <w:sz w:val="20"/>
                <w:szCs w:val="20"/>
              </w:rPr>
            </w:pPr>
            <w:r>
              <w:rPr>
                <w:rFonts w:ascii="Times New Roman" w:hAnsi="Times New Roman"/>
                <w:sz w:val="20"/>
                <w:szCs w:val="20"/>
              </w:rPr>
              <w:t>-</w:t>
            </w:r>
          </w:p>
        </w:tc>
      </w:tr>
    </w:tbl>
    <w:p w:rsidR="00D12A8C" w:rsidRDefault="00D12A8C" w:rsidP="009F47ED">
      <w:pPr>
        <w:spacing w:before="80"/>
        <w:jc w:val="center"/>
        <w:rPr>
          <w:b/>
        </w:rPr>
      </w:pPr>
      <w:r w:rsidRPr="00D12A8C">
        <w:rPr>
          <w:b/>
        </w:rPr>
        <w:t xml:space="preserve">Supplementary Table </w:t>
      </w:r>
      <w:r w:rsidR="00D0626E">
        <w:rPr>
          <w:b/>
        </w:rPr>
        <w:t>2</w:t>
      </w:r>
      <w:bookmarkStart w:id="0" w:name="_GoBack"/>
      <w:bookmarkEnd w:id="0"/>
      <w:r w:rsidRPr="00D12A8C">
        <w:rPr>
          <w:b/>
        </w:rPr>
        <w:t xml:space="preserve">. Abnormal neuroimaging results from </w:t>
      </w:r>
      <w:r w:rsidR="00F41FC0">
        <w:rPr>
          <w:b/>
        </w:rPr>
        <w:t>comparison</w:t>
      </w:r>
      <w:r>
        <w:rPr>
          <w:b/>
        </w:rPr>
        <w:t xml:space="preserve"> sample</w:t>
      </w:r>
    </w:p>
    <w:p w:rsidR="0021441B" w:rsidRDefault="0021441B" w:rsidP="0021441B">
      <w:pPr>
        <w:jc w:val="center"/>
      </w:pPr>
      <w:r w:rsidRPr="0032265D">
        <w:t xml:space="preserve">NB: Case 46C had an atypical EEG result but </w:t>
      </w:r>
      <w:r w:rsidR="004057BE">
        <w:t xml:space="preserve">this </w:t>
      </w:r>
      <w:r w:rsidRPr="0032265D">
        <w:t xml:space="preserve">was attributed to drowsiness from olanzapine and so </w:t>
      </w:r>
      <w:r w:rsidR="00D26F24">
        <w:t xml:space="preserve">the results were </w:t>
      </w:r>
      <w:r w:rsidRPr="0032265D">
        <w:t>not classified as clinically abnormal.</w:t>
      </w:r>
    </w:p>
    <w:p w:rsidR="00AD5F9D" w:rsidRPr="0032265D" w:rsidRDefault="00AD5F9D" w:rsidP="0000557A"/>
    <w:sectPr w:rsidR="00AD5F9D" w:rsidRPr="0032265D" w:rsidSect="00487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2"/>
  </w:compat>
  <w:rsids>
    <w:rsidRoot w:val="00E74D58"/>
    <w:rsid w:val="0000557A"/>
    <w:rsid w:val="00127FCD"/>
    <w:rsid w:val="0021441B"/>
    <w:rsid w:val="002B2905"/>
    <w:rsid w:val="002B6398"/>
    <w:rsid w:val="00313342"/>
    <w:rsid w:val="0032265D"/>
    <w:rsid w:val="004057BE"/>
    <w:rsid w:val="004871DB"/>
    <w:rsid w:val="004A1992"/>
    <w:rsid w:val="004B712E"/>
    <w:rsid w:val="005469ED"/>
    <w:rsid w:val="005B7798"/>
    <w:rsid w:val="00645109"/>
    <w:rsid w:val="00881C9A"/>
    <w:rsid w:val="008E2610"/>
    <w:rsid w:val="009F47ED"/>
    <w:rsid w:val="009F7DAD"/>
    <w:rsid w:val="00AD5F9D"/>
    <w:rsid w:val="00B0215B"/>
    <w:rsid w:val="00B86736"/>
    <w:rsid w:val="00D024E9"/>
    <w:rsid w:val="00D0626E"/>
    <w:rsid w:val="00D12A8C"/>
    <w:rsid w:val="00D26F24"/>
    <w:rsid w:val="00D80390"/>
    <w:rsid w:val="00E00089"/>
    <w:rsid w:val="00E44D23"/>
    <w:rsid w:val="00E74D58"/>
    <w:rsid w:val="00F41FC0"/>
    <w:rsid w:val="00F46CCD"/>
    <w:rsid w:val="00FE03D4"/>
    <w:rsid w:val="00FF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8F75F-BC25-48E2-8250-92F749B4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D58"/>
    <w:rPr>
      <w:rFonts w:ascii="Calibri" w:eastAsia="Calibri" w:hAnsi="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88345">
      <w:bodyDiv w:val="1"/>
      <w:marLeft w:val="0"/>
      <w:marRight w:val="0"/>
      <w:marTop w:val="0"/>
      <w:marBottom w:val="0"/>
      <w:divBdr>
        <w:top w:val="none" w:sz="0" w:space="0" w:color="auto"/>
        <w:left w:val="none" w:sz="0" w:space="0" w:color="auto"/>
        <w:bottom w:val="none" w:sz="0" w:space="0" w:color="auto"/>
        <w:right w:val="none" w:sz="0" w:space="0" w:color="auto"/>
      </w:divBdr>
    </w:div>
    <w:div w:id="1887597506">
      <w:bodyDiv w:val="1"/>
      <w:marLeft w:val="0"/>
      <w:marRight w:val="0"/>
      <w:marTop w:val="0"/>
      <w:marBottom w:val="0"/>
      <w:divBdr>
        <w:top w:val="none" w:sz="0" w:space="0" w:color="auto"/>
        <w:left w:val="none" w:sz="0" w:space="0" w:color="auto"/>
        <w:bottom w:val="none" w:sz="0" w:space="0" w:color="auto"/>
        <w:right w:val="none" w:sz="0" w:space="0" w:color="auto"/>
      </w:divBdr>
    </w:div>
    <w:div w:id="18993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3220FB5E.dotm</Template>
  <TotalTime>143</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Bell</dc:creator>
  <cp:keywords/>
  <dc:description/>
  <cp:lastModifiedBy>Vaughan Bell</cp:lastModifiedBy>
  <cp:revision>26</cp:revision>
  <dcterms:created xsi:type="dcterms:W3CDTF">2017-01-25T12:28:00Z</dcterms:created>
  <dcterms:modified xsi:type="dcterms:W3CDTF">2017-05-03T07:26:00Z</dcterms:modified>
</cp:coreProperties>
</file>