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A2" w:rsidRDefault="00A877A2">
      <w:pPr>
        <w:spacing w:after="0" w:line="259" w:lineRule="auto"/>
        <w:ind w:left="0" w:firstLine="0"/>
        <w:rPr>
          <w:sz w:val="22"/>
        </w:rPr>
      </w:pPr>
    </w:p>
    <w:p w:rsidR="00A877A2" w:rsidRPr="00A877A2" w:rsidRDefault="00A877A2" w:rsidP="00A877A2">
      <w:pPr>
        <w:pStyle w:val="Head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83E5C3" wp14:editId="68121A3E">
            <wp:simplePos x="0" y="0"/>
            <wp:positionH relativeFrom="margin">
              <wp:align>right</wp:align>
            </wp:positionH>
            <wp:positionV relativeFrom="paragraph">
              <wp:posOffset>10627</wp:posOffset>
            </wp:positionV>
            <wp:extent cx="662940" cy="7524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6" r="15444"/>
                    <a:stretch/>
                  </pic:blipFill>
                  <pic:spPr bwMode="auto">
                    <a:xfrm>
                      <a:off x="0" y="0"/>
                      <a:ext cx="6629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APPENDIX 1</w:t>
      </w:r>
    </w:p>
    <w:p w:rsidR="00A877A2" w:rsidRDefault="00A877A2" w:rsidP="00A877A2">
      <w:pPr>
        <w:pStyle w:val="Header"/>
        <w:rPr>
          <w:bCs/>
          <w:sz w:val="16"/>
          <w:szCs w:val="16"/>
        </w:rPr>
      </w:pPr>
    </w:p>
    <w:p w:rsidR="00A877A2" w:rsidRDefault="00A877A2" w:rsidP="00A877A2">
      <w:pPr>
        <w:pStyle w:val="Header"/>
        <w:rPr>
          <w:bCs/>
          <w:sz w:val="16"/>
          <w:szCs w:val="16"/>
        </w:rPr>
      </w:pPr>
    </w:p>
    <w:p w:rsidR="00A877A2" w:rsidRPr="00A877A2" w:rsidRDefault="00A877A2" w:rsidP="00A877A2">
      <w:pPr>
        <w:pStyle w:val="Header"/>
        <w:rPr>
          <w:bCs/>
          <w:sz w:val="22"/>
        </w:rPr>
      </w:pPr>
      <w:r w:rsidRPr="00A877A2">
        <w:rPr>
          <w:bCs/>
          <w:sz w:val="22"/>
        </w:rPr>
        <w:t>Digital Depression Screening in HIV Primary Care in South Africa: Mood in Retroviral + Application Monitoring (MIR+AM)</w:t>
      </w:r>
    </w:p>
    <w:p w:rsidR="00A877A2" w:rsidRDefault="00A877A2" w:rsidP="00A877A2">
      <w:pPr>
        <w:pStyle w:val="Header"/>
        <w:ind w:left="0" w:firstLine="0"/>
        <w:rPr>
          <w:noProof/>
        </w:rPr>
      </w:pPr>
      <w:r w:rsidRPr="00A877A2">
        <w:rPr>
          <w:bCs/>
          <w:sz w:val="22"/>
        </w:rPr>
        <w:t xml:space="preserve"> </w:t>
      </w:r>
      <w:r>
        <w:tab/>
      </w:r>
      <w:r>
        <w:tab/>
      </w:r>
    </w:p>
    <w:p w:rsidR="00A877A2" w:rsidRPr="00FF50E4" w:rsidRDefault="00A877A2">
      <w:pPr>
        <w:spacing w:after="0" w:line="259" w:lineRule="auto"/>
        <w:ind w:left="0" w:firstLine="0"/>
        <w:rPr>
          <w:sz w:val="22"/>
        </w:rPr>
      </w:pPr>
    </w:p>
    <w:p w:rsidR="00E11AF8" w:rsidRPr="00FF50E4" w:rsidRDefault="005A1559">
      <w:pPr>
        <w:spacing w:after="0" w:line="259" w:lineRule="auto"/>
        <w:ind w:left="0" w:firstLine="0"/>
        <w:rPr>
          <w:sz w:val="22"/>
        </w:rPr>
      </w:pPr>
      <w:r w:rsidRPr="00FF50E4">
        <w:rPr>
          <w:b/>
          <w:sz w:val="22"/>
          <w:u w:val="single" w:color="000000"/>
        </w:rPr>
        <w:t>Question Sheet for Theory of Change Workshop/Focus Group Discussions/Interviews:</w:t>
      </w:r>
      <w:r w:rsidRPr="00FF50E4">
        <w:rPr>
          <w:b/>
          <w:sz w:val="22"/>
        </w:rPr>
        <w:t xml:space="preserve"> </w:t>
      </w:r>
    </w:p>
    <w:p w:rsidR="00FF50E4" w:rsidRDefault="005A1559" w:rsidP="00A877A2">
      <w:pPr>
        <w:jc w:val="both"/>
        <w:rPr>
          <w:sz w:val="22"/>
        </w:rPr>
      </w:pPr>
      <w:r w:rsidRPr="00FF50E4">
        <w:rPr>
          <w:sz w:val="22"/>
        </w:rPr>
        <w:t xml:space="preserve">Theory of Change </w:t>
      </w:r>
      <w:r w:rsidR="00FF50E4">
        <w:rPr>
          <w:sz w:val="22"/>
        </w:rPr>
        <w:t xml:space="preserve">(ToC) </w:t>
      </w:r>
      <w:r w:rsidRPr="00FF50E4">
        <w:rPr>
          <w:sz w:val="22"/>
        </w:rPr>
        <w:t>offers an approach to better understanding how, why and to what extent change happens as a result of the implementation of complex interventions and development programs. It can provide a rich process and impact framework to guide implementation and evaluation addressing barriers to implementation, and incorporating the rationale behind approaches taken and contextual influences</w:t>
      </w:r>
      <w:r w:rsidR="00950B3D" w:rsidRPr="00FF50E4">
        <w:rPr>
          <w:sz w:val="22"/>
        </w:rPr>
        <w:t xml:space="preserve"> </w:t>
      </w:r>
      <w:r w:rsidRPr="00FF50E4">
        <w:rPr>
          <w:sz w:val="22"/>
        </w:rPr>
        <w:t>(Mental Health Innovation Network, 2014).</w:t>
      </w:r>
      <w:r w:rsidR="00FF50E4" w:rsidRPr="00FF50E4">
        <w:rPr>
          <w:sz w:val="22"/>
        </w:rPr>
        <w:t xml:space="preserve"> </w:t>
      </w:r>
      <w:r w:rsidRPr="00FF50E4">
        <w:rPr>
          <w:sz w:val="22"/>
        </w:rPr>
        <w:t>Questions adapted f</w:t>
      </w:r>
      <w:r w:rsidR="00FF50E4">
        <w:rPr>
          <w:sz w:val="22"/>
        </w:rPr>
        <w:t>rom Theory of Change Guidelines</w:t>
      </w:r>
      <w:r w:rsidRPr="00FF50E4">
        <w:rPr>
          <w:sz w:val="22"/>
        </w:rPr>
        <w:t xml:space="preserve"> (De Silva et al., May 2015) </w:t>
      </w:r>
    </w:p>
    <w:p w:rsidR="00941DA0" w:rsidRPr="00FF50E4" w:rsidRDefault="00941DA0" w:rsidP="00A877A2">
      <w:pPr>
        <w:jc w:val="both"/>
        <w:rPr>
          <w:sz w:val="22"/>
        </w:rPr>
      </w:pPr>
      <w:bookmarkStart w:id="0" w:name="_GoBack"/>
      <w:bookmarkEnd w:id="0"/>
    </w:p>
    <w:p w:rsidR="00E11AF8" w:rsidRPr="00FF50E4" w:rsidRDefault="005A1559">
      <w:pPr>
        <w:numPr>
          <w:ilvl w:val="0"/>
          <w:numId w:val="1"/>
        </w:numPr>
        <w:ind w:hanging="360"/>
        <w:rPr>
          <w:sz w:val="22"/>
        </w:rPr>
      </w:pPr>
      <w:r w:rsidRPr="00FF50E4">
        <w:rPr>
          <w:sz w:val="22"/>
        </w:rPr>
        <w:t xml:space="preserve">IMPACT </w:t>
      </w:r>
    </w:p>
    <w:p w:rsidR="00E11AF8" w:rsidRPr="00FF50E4" w:rsidRDefault="005A1559">
      <w:pPr>
        <w:ind w:left="715" w:right="1955"/>
        <w:rPr>
          <w:sz w:val="22"/>
        </w:rPr>
      </w:pPr>
      <w:r w:rsidRPr="00FF50E4">
        <w:rPr>
          <w:sz w:val="22"/>
        </w:rPr>
        <w:t xml:space="preserve">What is the impact or change in the real world that we want to achieve? -How will communities benefit? </w:t>
      </w:r>
    </w:p>
    <w:p w:rsidR="00E11AF8" w:rsidRPr="00FF50E4" w:rsidRDefault="005A1559">
      <w:pPr>
        <w:spacing w:after="31" w:line="259" w:lineRule="auto"/>
        <w:ind w:left="720" w:firstLine="0"/>
        <w:rPr>
          <w:sz w:val="22"/>
        </w:rPr>
      </w:pPr>
      <w:r w:rsidRPr="00FF50E4">
        <w:rPr>
          <w:sz w:val="22"/>
        </w:rPr>
        <w:t xml:space="preserve"> </w:t>
      </w:r>
    </w:p>
    <w:p w:rsidR="00E11AF8" w:rsidRPr="00FF50E4" w:rsidRDefault="005A1559">
      <w:pPr>
        <w:numPr>
          <w:ilvl w:val="0"/>
          <w:numId w:val="1"/>
        </w:numPr>
        <w:ind w:hanging="360"/>
        <w:rPr>
          <w:sz w:val="22"/>
        </w:rPr>
      </w:pPr>
      <w:r w:rsidRPr="00FF50E4">
        <w:rPr>
          <w:sz w:val="22"/>
        </w:rPr>
        <w:t xml:space="preserve">OUTCOMES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-What long term, intermediate, and early outcomes are necessary to produce this impact? </w:t>
      </w:r>
    </w:p>
    <w:p w:rsidR="00E11AF8" w:rsidRPr="00FF50E4" w:rsidRDefault="005A1559">
      <w:pPr>
        <w:spacing w:after="31" w:line="259" w:lineRule="auto"/>
        <w:ind w:left="720" w:firstLine="0"/>
        <w:rPr>
          <w:sz w:val="22"/>
        </w:rPr>
      </w:pPr>
      <w:r w:rsidRPr="00FF50E4">
        <w:rPr>
          <w:sz w:val="22"/>
        </w:rPr>
        <w:t xml:space="preserve"> </w:t>
      </w:r>
    </w:p>
    <w:p w:rsidR="00E11AF8" w:rsidRPr="00FF50E4" w:rsidRDefault="005A1559">
      <w:pPr>
        <w:numPr>
          <w:ilvl w:val="0"/>
          <w:numId w:val="1"/>
        </w:numPr>
        <w:ind w:hanging="360"/>
        <w:rPr>
          <w:sz w:val="22"/>
        </w:rPr>
      </w:pPr>
      <w:r w:rsidRPr="00FF50E4">
        <w:rPr>
          <w:sz w:val="22"/>
        </w:rPr>
        <w:t xml:space="preserve">INTERVENTIONS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-What interventions should be initiated to achieve intermediate and long term outcomes? </w:t>
      </w:r>
    </w:p>
    <w:p w:rsidR="00E11AF8" w:rsidRPr="00FF50E4" w:rsidRDefault="005A1559">
      <w:pPr>
        <w:spacing w:after="28" w:line="259" w:lineRule="auto"/>
        <w:ind w:left="720" w:firstLine="0"/>
        <w:rPr>
          <w:sz w:val="22"/>
        </w:rPr>
      </w:pPr>
      <w:r w:rsidRPr="00FF50E4">
        <w:rPr>
          <w:sz w:val="22"/>
        </w:rPr>
        <w:t xml:space="preserve"> </w:t>
      </w:r>
    </w:p>
    <w:p w:rsidR="00E11AF8" w:rsidRPr="00FF50E4" w:rsidRDefault="005A1559">
      <w:pPr>
        <w:numPr>
          <w:ilvl w:val="0"/>
          <w:numId w:val="1"/>
        </w:numPr>
        <w:ind w:hanging="360"/>
        <w:rPr>
          <w:sz w:val="22"/>
        </w:rPr>
      </w:pPr>
      <w:r w:rsidRPr="00FF50E4">
        <w:rPr>
          <w:sz w:val="22"/>
        </w:rPr>
        <w:t xml:space="preserve">RESOURCES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-What resources are required to implement the intervention?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 What resources are required to maintain the contextual supports necessary for the intervention to be successful?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-How does the programme gain the commitment of those resources? </w:t>
      </w:r>
    </w:p>
    <w:p w:rsidR="00E11AF8" w:rsidRPr="00FF50E4" w:rsidRDefault="005A1559">
      <w:pPr>
        <w:spacing w:after="32" w:line="259" w:lineRule="auto"/>
        <w:ind w:left="720" w:firstLine="0"/>
        <w:rPr>
          <w:sz w:val="22"/>
        </w:rPr>
      </w:pPr>
      <w:r w:rsidRPr="00FF50E4">
        <w:rPr>
          <w:sz w:val="22"/>
        </w:rPr>
        <w:t xml:space="preserve"> </w:t>
      </w:r>
    </w:p>
    <w:p w:rsidR="00E11AF8" w:rsidRPr="00FF50E4" w:rsidRDefault="005A1559">
      <w:pPr>
        <w:numPr>
          <w:ilvl w:val="0"/>
          <w:numId w:val="1"/>
        </w:numPr>
        <w:ind w:hanging="360"/>
        <w:rPr>
          <w:sz w:val="22"/>
        </w:rPr>
      </w:pPr>
      <w:r w:rsidRPr="00FF50E4">
        <w:rPr>
          <w:sz w:val="22"/>
        </w:rPr>
        <w:t xml:space="preserve">ASSUMPTIONS: BARRIERS &amp; MEDIATORS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-What contextual conditions are necessary to achieve the intermediate outcomes?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-Describe the barriers to achieving intermediate outcomes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-Describe the facilitators to achieving intermediate outcomes </w:t>
      </w:r>
    </w:p>
    <w:p w:rsidR="00E11AF8" w:rsidRPr="00FF50E4" w:rsidRDefault="005A1559">
      <w:pPr>
        <w:spacing w:after="31" w:line="259" w:lineRule="auto"/>
        <w:ind w:left="720" w:firstLine="0"/>
        <w:rPr>
          <w:sz w:val="22"/>
        </w:rPr>
      </w:pPr>
      <w:r w:rsidRPr="00FF50E4">
        <w:rPr>
          <w:sz w:val="22"/>
        </w:rPr>
        <w:t xml:space="preserve"> </w:t>
      </w:r>
    </w:p>
    <w:p w:rsidR="00E11AF8" w:rsidRPr="00FF50E4" w:rsidRDefault="005A1559">
      <w:pPr>
        <w:numPr>
          <w:ilvl w:val="0"/>
          <w:numId w:val="1"/>
        </w:numPr>
        <w:ind w:hanging="360"/>
        <w:rPr>
          <w:sz w:val="22"/>
        </w:rPr>
      </w:pPr>
      <w:r w:rsidRPr="00FF50E4">
        <w:rPr>
          <w:sz w:val="22"/>
        </w:rPr>
        <w:t xml:space="preserve">INDICATORS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-For each intermediate outcome, what indicator can be used to measure whether that outcome has been achieved. I.e. standard outcome measures of effectiveness.  E.g. Change in PHQ-9 scores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-At what levels will indicators be measured? E.g. patient, primary health care, community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-How will each indicator be measured?  E.g. Data collected electronically </w:t>
      </w:r>
    </w:p>
    <w:p w:rsidR="00E11AF8" w:rsidRPr="00FF50E4" w:rsidRDefault="005A1559">
      <w:pPr>
        <w:ind w:left="715"/>
        <w:rPr>
          <w:sz w:val="22"/>
        </w:rPr>
      </w:pPr>
      <w:r w:rsidRPr="00FF50E4">
        <w:rPr>
          <w:sz w:val="22"/>
        </w:rPr>
        <w:t xml:space="preserve">-How much does the indicator have to change in order for us to claim that we have reached our intermediate outcome? E.g. 20% increase in diagnosis of depression in HIV clinic </w:t>
      </w:r>
    </w:p>
    <w:p w:rsidR="00E11AF8" w:rsidRPr="00FF50E4" w:rsidRDefault="005A1559">
      <w:pPr>
        <w:spacing w:after="166"/>
        <w:ind w:left="715" w:right="89"/>
        <w:rPr>
          <w:sz w:val="22"/>
        </w:rPr>
      </w:pPr>
      <w:r w:rsidRPr="00FF50E4">
        <w:rPr>
          <w:sz w:val="22"/>
        </w:rPr>
        <w:t xml:space="preserve">-How long will it take to bring about necessary change in the target population? E.g. 3 months -When will each intermediate outcome be measured? I.e. Points of measurement. E.g. monthly measurements </w:t>
      </w:r>
    </w:p>
    <w:p w:rsidR="00FF50E4" w:rsidRPr="00FF50E4" w:rsidRDefault="005A1559" w:rsidP="00FF50E4">
      <w:pPr>
        <w:spacing w:after="169"/>
        <w:rPr>
          <w:sz w:val="22"/>
        </w:rPr>
      </w:pPr>
      <w:r w:rsidRPr="00FF50E4">
        <w:rPr>
          <w:sz w:val="22"/>
        </w:rPr>
        <w:t xml:space="preserve">Participants are invited to ask questions and to freely add any further points deemed relevant. </w:t>
      </w:r>
    </w:p>
    <w:p w:rsidR="00A877A2" w:rsidRPr="00A877A2" w:rsidRDefault="00A877A2" w:rsidP="00A877A2">
      <w:pPr>
        <w:pStyle w:val="Header"/>
        <w:rPr>
          <w:bCs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F4DE25" wp14:editId="2EFB1E63">
            <wp:simplePos x="0" y="0"/>
            <wp:positionH relativeFrom="margin">
              <wp:posOffset>5339751</wp:posOffset>
            </wp:positionH>
            <wp:positionV relativeFrom="paragraph">
              <wp:posOffset>0</wp:posOffset>
            </wp:positionV>
            <wp:extent cx="662940" cy="7524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6" r="15444"/>
                    <a:stretch/>
                  </pic:blipFill>
                  <pic:spPr bwMode="auto">
                    <a:xfrm>
                      <a:off x="0" y="0"/>
                      <a:ext cx="6629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7A2">
        <w:rPr>
          <w:bCs/>
          <w:sz w:val="22"/>
        </w:rPr>
        <w:t>Digital Depression Screening in HIV Primary Care in South Africa: Mood in Retroviral + Application Monitoring (MIR+AM)</w:t>
      </w:r>
    </w:p>
    <w:p w:rsidR="00A877A2" w:rsidRDefault="00A877A2">
      <w:pPr>
        <w:spacing w:after="189" w:line="261" w:lineRule="auto"/>
        <w:ind w:left="-5"/>
        <w:rPr>
          <w:b/>
          <w:sz w:val="22"/>
        </w:rPr>
      </w:pPr>
    </w:p>
    <w:p w:rsidR="00A877A2" w:rsidRDefault="00A877A2">
      <w:pPr>
        <w:spacing w:after="189" w:line="261" w:lineRule="auto"/>
        <w:ind w:left="-5"/>
        <w:rPr>
          <w:b/>
          <w:sz w:val="22"/>
        </w:rPr>
      </w:pPr>
    </w:p>
    <w:p w:rsidR="00FF50E4" w:rsidRPr="00FF50E4" w:rsidRDefault="00FF50E4">
      <w:pPr>
        <w:spacing w:after="189" w:line="261" w:lineRule="auto"/>
        <w:ind w:left="-5"/>
        <w:rPr>
          <w:b/>
          <w:sz w:val="22"/>
        </w:rPr>
      </w:pPr>
      <w:r>
        <w:rPr>
          <w:b/>
          <w:sz w:val="22"/>
        </w:rPr>
        <w:t>The following questions were a</w:t>
      </w:r>
      <w:r w:rsidRPr="00FF50E4">
        <w:rPr>
          <w:b/>
          <w:sz w:val="22"/>
        </w:rPr>
        <w:t>dded at the request of University of Witwatersrand Human Research Ethics Committee (Medical)</w:t>
      </w:r>
      <w:r>
        <w:rPr>
          <w:b/>
          <w:sz w:val="22"/>
        </w:rPr>
        <w:t>:</w:t>
      </w:r>
    </w:p>
    <w:p w:rsidR="00E11AF8" w:rsidRDefault="005A1559">
      <w:pPr>
        <w:spacing w:after="189" w:line="261" w:lineRule="auto"/>
        <w:ind w:left="-5"/>
        <w:rPr>
          <w:i/>
          <w:sz w:val="22"/>
        </w:rPr>
      </w:pPr>
      <w:r w:rsidRPr="00FF50E4">
        <w:rPr>
          <w:i/>
          <w:sz w:val="22"/>
        </w:rPr>
        <w:t>If the following issues do not arise during th</w:t>
      </w:r>
      <w:r w:rsidR="00FF50E4">
        <w:rPr>
          <w:i/>
          <w:sz w:val="22"/>
        </w:rPr>
        <w:t>e Theory of Change process, participants in the group ToC will be asked</w:t>
      </w:r>
      <w:r w:rsidRPr="00FF50E4">
        <w:rPr>
          <w:i/>
          <w:sz w:val="22"/>
        </w:rPr>
        <w:t xml:space="preserve"> explicitly by the researcher</w:t>
      </w:r>
      <w:r w:rsidR="00FF50E4">
        <w:rPr>
          <w:i/>
          <w:sz w:val="22"/>
        </w:rPr>
        <w:t>s</w:t>
      </w:r>
      <w:r w:rsidRPr="00FF50E4">
        <w:rPr>
          <w:i/>
          <w:sz w:val="22"/>
        </w:rPr>
        <w:t xml:space="preserve">: </w:t>
      </w:r>
    </w:p>
    <w:p w:rsidR="00FF50E4" w:rsidRPr="00FF50E4" w:rsidRDefault="00FF50E4">
      <w:pPr>
        <w:spacing w:after="189" w:line="261" w:lineRule="auto"/>
        <w:ind w:left="-5"/>
        <w:rPr>
          <w:i/>
          <w:sz w:val="22"/>
        </w:rPr>
      </w:pPr>
    </w:p>
    <w:p w:rsidR="00E11AF8" w:rsidRPr="00FF50E4" w:rsidRDefault="005A1559" w:rsidP="00FF50E4">
      <w:pPr>
        <w:ind w:left="720" w:hanging="360"/>
        <w:rPr>
          <w:sz w:val="22"/>
        </w:rPr>
      </w:pPr>
      <w:r w:rsidRPr="00FF50E4">
        <w:rPr>
          <w:sz w:val="22"/>
        </w:rPr>
        <w:t>1.</w:t>
      </w:r>
      <w:r w:rsidRPr="00FF50E4">
        <w:rPr>
          <w:rFonts w:ascii="Arial" w:eastAsia="Arial" w:hAnsi="Arial" w:cs="Arial"/>
          <w:sz w:val="22"/>
        </w:rPr>
        <w:t xml:space="preserve"> </w:t>
      </w:r>
      <w:r w:rsidRPr="00FF50E4">
        <w:rPr>
          <w:sz w:val="22"/>
        </w:rPr>
        <w:t xml:space="preserve">Is the depression screening questionnaire from the English PHQ-9 culturally accessible to psychiatric patients in South Africa?  </w:t>
      </w:r>
      <w:r w:rsidRPr="00FF50E4">
        <w:rPr>
          <w:sz w:val="22"/>
        </w:rPr>
        <w:tab/>
        <w:t xml:space="preserve"> </w:t>
      </w:r>
    </w:p>
    <w:p w:rsidR="00E11AF8" w:rsidRPr="00FF50E4" w:rsidRDefault="005A1559">
      <w:pPr>
        <w:numPr>
          <w:ilvl w:val="0"/>
          <w:numId w:val="2"/>
        </w:numPr>
        <w:spacing w:after="39"/>
        <w:ind w:hanging="360"/>
        <w:rPr>
          <w:sz w:val="22"/>
        </w:rPr>
      </w:pPr>
      <w:r w:rsidRPr="00FF50E4">
        <w:rPr>
          <w:sz w:val="22"/>
        </w:rPr>
        <w:t xml:space="preserve">Would using an electronic tablet constitute a cultural barrier for certain </w:t>
      </w:r>
      <w:proofErr w:type="spellStart"/>
      <w:r w:rsidRPr="00FF50E4">
        <w:rPr>
          <w:sz w:val="22"/>
        </w:rPr>
        <w:t>subgroupds</w:t>
      </w:r>
      <w:proofErr w:type="spellEnd"/>
      <w:r w:rsidRPr="00FF50E4">
        <w:rPr>
          <w:sz w:val="22"/>
        </w:rPr>
        <w:t xml:space="preserve"> of psychiatric patients? </w:t>
      </w:r>
    </w:p>
    <w:p w:rsidR="00E11AF8" w:rsidRPr="00FF50E4" w:rsidRDefault="005A1559">
      <w:pPr>
        <w:numPr>
          <w:ilvl w:val="0"/>
          <w:numId w:val="2"/>
        </w:numPr>
        <w:spacing w:after="38"/>
        <w:ind w:hanging="360"/>
        <w:rPr>
          <w:sz w:val="22"/>
        </w:rPr>
      </w:pPr>
      <w:r w:rsidRPr="00FF50E4">
        <w:rPr>
          <w:sz w:val="22"/>
        </w:rPr>
        <w:t xml:space="preserve">How might cultural expressions and understandings of depression be made more accessible to South /African patients? </w:t>
      </w:r>
    </w:p>
    <w:p w:rsidR="00E11AF8" w:rsidRPr="00FF50E4" w:rsidRDefault="005A1559">
      <w:pPr>
        <w:numPr>
          <w:ilvl w:val="0"/>
          <w:numId w:val="2"/>
        </w:numPr>
        <w:ind w:hanging="360"/>
        <w:rPr>
          <w:sz w:val="22"/>
        </w:rPr>
      </w:pPr>
      <w:r w:rsidRPr="00FF50E4">
        <w:rPr>
          <w:sz w:val="22"/>
        </w:rPr>
        <w:t xml:space="preserve">What linguistic barriers might be embedded within the current format of the patient PHQ-9 screening for depression to suit South African patients? </w:t>
      </w: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E11AF8" w:rsidRDefault="00E11AF8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Default="00FF50E4">
      <w:pPr>
        <w:spacing w:after="102" w:line="259" w:lineRule="auto"/>
        <w:ind w:left="720" w:firstLine="0"/>
        <w:rPr>
          <w:sz w:val="22"/>
        </w:rPr>
      </w:pPr>
    </w:p>
    <w:p w:rsidR="00FF50E4" w:rsidRPr="00FF50E4" w:rsidRDefault="00FF50E4" w:rsidP="00FF50E4">
      <w:pPr>
        <w:spacing w:after="102" w:line="259" w:lineRule="auto"/>
        <w:ind w:left="720" w:firstLine="0"/>
        <w:rPr>
          <w:sz w:val="22"/>
        </w:rPr>
      </w:pPr>
    </w:p>
    <w:p w:rsidR="00E11AF8" w:rsidRPr="00FF50E4" w:rsidRDefault="005A1559" w:rsidP="00FF50E4">
      <w:pPr>
        <w:spacing w:after="163" w:line="259" w:lineRule="auto"/>
        <w:ind w:left="0" w:firstLine="0"/>
        <w:rPr>
          <w:sz w:val="22"/>
        </w:rPr>
      </w:pPr>
      <w:r w:rsidRPr="00FF50E4">
        <w:rPr>
          <w:b/>
          <w:sz w:val="22"/>
          <w:u w:val="single" w:color="000000"/>
        </w:rPr>
        <w:t>References</w:t>
      </w:r>
      <w:r w:rsidRPr="00FF50E4">
        <w:rPr>
          <w:b/>
          <w:sz w:val="22"/>
        </w:rPr>
        <w:t xml:space="preserve"> </w:t>
      </w:r>
    </w:p>
    <w:p w:rsidR="00E11AF8" w:rsidRPr="00FF50E4" w:rsidRDefault="005A1559" w:rsidP="00FF50E4">
      <w:pPr>
        <w:spacing w:after="3" w:line="239" w:lineRule="auto"/>
        <w:ind w:left="715" w:hanging="730"/>
        <w:rPr>
          <w:sz w:val="22"/>
        </w:rPr>
      </w:pPr>
      <w:r w:rsidRPr="00FF50E4">
        <w:rPr>
          <w:sz w:val="22"/>
        </w:rPr>
        <w:t xml:space="preserve">DE SILVA, M., LEE, L. &amp; RYAN, G. May 2015. </w:t>
      </w:r>
      <w:r w:rsidRPr="00FF50E4">
        <w:rPr>
          <w:i/>
          <w:sz w:val="22"/>
        </w:rPr>
        <w:t xml:space="preserve">Using Theory of Change in the development, implementation and evaluation of complex health interventions. A practical guide </w:t>
      </w:r>
      <w:r w:rsidRPr="00FF50E4">
        <w:rPr>
          <w:sz w:val="22"/>
        </w:rPr>
        <w:t xml:space="preserve">[Online]. The Centre for Global Mental Health &amp; Mental Health Innovation Network. Available: </w:t>
      </w:r>
    </w:p>
    <w:p w:rsidR="00E11AF8" w:rsidRPr="00FF50E4" w:rsidRDefault="00025F6D" w:rsidP="00FF50E4">
      <w:pPr>
        <w:spacing w:after="0" w:line="259" w:lineRule="auto"/>
        <w:ind w:left="49" w:firstLine="0"/>
        <w:rPr>
          <w:sz w:val="22"/>
        </w:rPr>
      </w:pPr>
      <w:hyperlink r:id="rId8">
        <w:r w:rsidR="005A1559" w:rsidRPr="00FF50E4">
          <w:rPr>
            <w:color w:val="0563C1"/>
            <w:sz w:val="22"/>
            <w:u w:val="single" w:color="0563C1"/>
          </w:rPr>
          <w:t>http://mhinnovation.net/sites/default/files/downloads/resource/MHIN%20ToC%20guidelines_May_2015.pdf</w:t>
        </w:r>
      </w:hyperlink>
      <w:hyperlink r:id="rId9">
        <w:r w:rsidR="005A1559" w:rsidRPr="00FF50E4">
          <w:rPr>
            <w:sz w:val="22"/>
          </w:rPr>
          <w:t xml:space="preserve"> </w:t>
        </w:r>
      </w:hyperlink>
      <w:hyperlink r:id="rId10">
        <w:r w:rsidR="005A1559" w:rsidRPr="00FF50E4">
          <w:rPr>
            <w:sz w:val="22"/>
          </w:rPr>
          <w:t>[</w:t>
        </w:r>
      </w:hyperlink>
      <w:r w:rsidR="005A1559" w:rsidRPr="00FF50E4">
        <w:rPr>
          <w:sz w:val="22"/>
        </w:rPr>
        <w:t xml:space="preserve">Accessed 29/05/2016]. </w:t>
      </w:r>
    </w:p>
    <w:p w:rsidR="00E11AF8" w:rsidRPr="00FF50E4" w:rsidRDefault="005A1559" w:rsidP="00FF50E4">
      <w:pPr>
        <w:spacing w:after="239" w:line="239" w:lineRule="auto"/>
        <w:ind w:left="715" w:hanging="730"/>
        <w:rPr>
          <w:sz w:val="22"/>
        </w:rPr>
      </w:pPr>
      <w:r w:rsidRPr="00FF50E4">
        <w:rPr>
          <w:sz w:val="22"/>
        </w:rPr>
        <w:t xml:space="preserve">MENTAL HEALTH INNOVATION NETWORK 2014. Measuring the impact of funding portfolios: An introduction to Theory of Change approach. </w:t>
      </w:r>
      <w:r w:rsidRPr="00FF50E4">
        <w:rPr>
          <w:i/>
          <w:sz w:val="22"/>
        </w:rPr>
        <w:t>In:</w:t>
      </w:r>
      <w:r w:rsidRPr="00FF50E4">
        <w:rPr>
          <w:sz w:val="22"/>
        </w:rPr>
        <w:t xml:space="preserve"> CENRE FOR GLOBAL MENTAL HEALTH (ed.). LSHTM. </w:t>
      </w:r>
    </w:p>
    <w:p w:rsidR="00E11AF8" w:rsidRPr="00FF50E4" w:rsidRDefault="005A1559" w:rsidP="00FF50E4">
      <w:pPr>
        <w:spacing w:after="0" w:line="259" w:lineRule="auto"/>
        <w:ind w:left="0" w:firstLine="0"/>
        <w:rPr>
          <w:sz w:val="22"/>
        </w:rPr>
      </w:pPr>
      <w:r w:rsidRPr="00FF50E4">
        <w:rPr>
          <w:sz w:val="22"/>
        </w:rPr>
        <w:lastRenderedPageBreak/>
        <w:t xml:space="preserve"> </w:t>
      </w:r>
    </w:p>
    <w:sectPr w:rsidR="00E11AF8" w:rsidRPr="00FF50E4">
      <w:pgSz w:w="11906" w:h="16838"/>
      <w:pgMar w:top="739" w:right="1442" w:bottom="1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6D" w:rsidRDefault="00025F6D" w:rsidP="00950B3D">
      <w:pPr>
        <w:spacing w:after="0" w:line="240" w:lineRule="auto"/>
      </w:pPr>
      <w:r>
        <w:separator/>
      </w:r>
    </w:p>
  </w:endnote>
  <w:endnote w:type="continuationSeparator" w:id="0">
    <w:p w:rsidR="00025F6D" w:rsidRDefault="00025F6D" w:rsidP="009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6D" w:rsidRDefault="00025F6D" w:rsidP="00950B3D">
      <w:pPr>
        <w:spacing w:after="0" w:line="240" w:lineRule="auto"/>
      </w:pPr>
      <w:r>
        <w:separator/>
      </w:r>
    </w:p>
  </w:footnote>
  <w:footnote w:type="continuationSeparator" w:id="0">
    <w:p w:rsidR="00025F6D" w:rsidRDefault="00025F6D" w:rsidP="009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61B"/>
    <w:multiLevelType w:val="hybridMultilevel"/>
    <w:tmpl w:val="DED66058"/>
    <w:lvl w:ilvl="0" w:tplc="7F38E4F0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07B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D632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E9C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226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6D5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4DD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4DA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EE2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B6118"/>
    <w:multiLevelType w:val="hybridMultilevel"/>
    <w:tmpl w:val="322AC316"/>
    <w:lvl w:ilvl="0" w:tplc="D090C9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C25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A78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30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A31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23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E6D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4B8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A22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F8"/>
    <w:rsid w:val="00025F6D"/>
    <w:rsid w:val="005A1559"/>
    <w:rsid w:val="00941DA0"/>
    <w:rsid w:val="00950B3D"/>
    <w:rsid w:val="00A877A2"/>
    <w:rsid w:val="00B03F45"/>
    <w:rsid w:val="00E11AF8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5685"/>
  <w15:docId w15:val="{A72B7DCD-84AA-40A4-8C3C-FA19703D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3D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3D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innovation.net/sites/default/files/downloads/resource/MHIN%20ToC%20guidelines_May_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hinnovation.net/sites/default/files/downloads/resource/MHIN%20ToC%20guidelines_May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innovation.net/sites/default/files/downloads/resource/MHIN%20ToC%20guidelines_May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Passchier, Ruth</dc:creator>
  <cp:keywords/>
  <cp:lastModifiedBy>Ruth</cp:lastModifiedBy>
  <cp:revision>5</cp:revision>
  <dcterms:created xsi:type="dcterms:W3CDTF">2018-10-03T10:17:00Z</dcterms:created>
  <dcterms:modified xsi:type="dcterms:W3CDTF">2018-10-26T20:33:00Z</dcterms:modified>
</cp:coreProperties>
</file>