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EE" w:rsidRPr="00A20885" w:rsidRDefault="0084381A" w:rsidP="004C6865">
      <w:pPr>
        <w:rPr>
          <w:rFonts w:cs="Times New Roman"/>
          <w:b/>
          <w:sz w:val="24"/>
        </w:rPr>
      </w:pPr>
      <w:r w:rsidRPr="00A20885">
        <w:rPr>
          <w:rFonts w:cs="Times New Roman"/>
          <w:b/>
          <w:sz w:val="24"/>
        </w:rPr>
        <w:t xml:space="preserve">Characterisation and correlates of stunting in a </w:t>
      </w:r>
      <w:proofErr w:type="gramStart"/>
      <w:r w:rsidRPr="00A20885">
        <w:rPr>
          <w:rFonts w:cs="Times New Roman"/>
          <w:b/>
          <w:sz w:val="24"/>
        </w:rPr>
        <w:t>Malaysian children</w:t>
      </w:r>
      <w:proofErr w:type="gramEnd"/>
      <w:r w:rsidRPr="00A20885">
        <w:rPr>
          <w:rFonts w:cs="Times New Roman"/>
          <w:b/>
          <w:sz w:val="24"/>
        </w:rPr>
        <w:t xml:space="preserve"> aged 6-19 years</w:t>
      </w:r>
    </w:p>
    <w:p w:rsidR="00622789" w:rsidRPr="00A20885" w:rsidRDefault="00622789" w:rsidP="004C6865">
      <w:pPr>
        <w:rPr>
          <w:rFonts w:cs="Times New Roman"/>
        </w:rPr>
      </w:pPr>
    </w:p>
    <w:p w:rsidR="0084381A" w:rsidRPr="00A20885" w:rsidRDefault="00F3791B" w:rsidP="004C6865">
      <w:pPr>
        <w:rPr>
          <w:rFonts w:cs="Times New Roman"/>
        </w:rPr>
      </w:pPr>
      <w:r>
        <w:rPr>
          <w:rFonts w:cs="Times New Roman"/>
          <w:b/>
          <w:sz w:val="24"/>
        </w:rPr>
        <w:t xml:space="preserve">Online supplemental material </w:t>
      </w:r>
    </w:p>
    <w:p w:rsidR="0084381A" w:rsidRPr="00A20885" w:rsidRDefault="0084381A" w:rsidP="004C6865">
      <w:pPr>
        <w:rPr>
          <w:rFonts w:cs="Times New Roman"/>
        </w:rPr>
      </w:pPr>
    </w:p>
    <w:p w:rsidR="0084381A" w:rsidRPr="00A20885" w:rsidRDefault="0084381A" w:rsidP="004C6865">
      <w:pPr>
        <w:rPr>
          <w:rFonts w:cs="Times New Roman"/>
        </w:rPr>
      </w:pPr>
    </w:p>
    <w:p w:rsidR="0084381A" w:rsidRPr="00A20885" w:rsidRDefault="0084381A" w:rsidP="004C6865">
      <w:pPr>
        <w:rPr>
          <w:rFonts w:cs="Times New Roman"/>
        </w:rPr>
      </w:pPr>
    </w:p>
    <w:p w:rsidR="0084381A" w:rsidRPr="00A20885" w:rsidRDefault="0084381A" w:rsidP="004C6865">
      <w:pPr>
        <w:rPr>
          <w:rFonts w:cs="Times New Roman"/>
        </w:rPr>
      </w:pPr>
    </w:p>
    <w:p w:rsidR="00622789" w:rsidRPr="00A20885" w:rsidRDefault="00622789" w:rsidP="004C6865">
      <w:pPr>
        <w:rPr>
          <w:rFonts w:cs="Times New Roman"/>
        </w:rPr>
      </w:pP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2608"/>
        <w:gridCol w:w="222"/>
        <w:gridCol w:w="701"/>
        <w:gridCol w:w="618"/>
        <w:gridCol w:w="222"/>
        <w:gridCol w:w="701"/>
        <w:gridCol w:w="618"/>
        <w:gridCol w:w="222"/>
        <w:gridCol w:w="701"/>
        <w:gridCol w:w="618"/>
        <w:gridCol w:w="222"/>
        <w:gridCol w:w="939"/>
      </w:tblGrid>
      <w:tr w:rsidR="00622789" w:rsidRPr="00A20885" w:rsidTr="00622789">
        <w:trPr>
          <w:trHeight w:val="240"/>
        </w:trPr>
        <w:tc>
          <w:tcPr>
            <w:tcW w:w="77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Table S1. Distribution of anthropometric indicators among the study population using the WHO 2007 and the CDC 2000 references.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Boys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Girls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WHO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5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 height-for-age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5465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(80.9)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(79.8</w:t>
            </w:r>
            <w:r w:rsidR="00E44688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81.9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Stunted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(19.1)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20.2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18.1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0.024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(5.8)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4291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(63.5)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2268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66.2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(16.6)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16.8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558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16.3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Obese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(14.2)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8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Weight-for-age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Low 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(9.0)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8.9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 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(78.2)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854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76.0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80.4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High 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(12.8)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15.0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CDC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 height-for-age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4788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(70.8)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71.2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70.5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Stunted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(29.2)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28.8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1010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29.5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0.537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(9.6)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9.4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4327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(64.0)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2044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61.3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66.7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867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(12.8)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13.4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Obese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919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(13.6)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522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11.6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Low 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(17.4)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17.6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17.3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 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5000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(74.0)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2407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72.2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2593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75.7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High weight-for-age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(8.6)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10.3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E44688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227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7.0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22789" w:rsidRPr="00A20885" w:rsidTr="00622789">
        <w:trPr>
          <w:trHeight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22789" w:rsidRPr="00A20885" w:rsidTr="00622789">
        <w:trPr>
          <w:trHeight w:val="240"/>
        </w:trPr>
        <w:tc>
          <w:tcPr>
            <w:tcW w:w="77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Differences in distributions across categories between males and females were compared using Pearson's Chi squared test. </w:t>
            </w:r>
          </w:p>
        </w:tc>
      </w:tr>
      <w:tr w:rsidR="00622789" w:rsidRPr="00A20885" w:rsidTr="00622789">
        <w:trPr>
          <w:trHeight w:val="240"/>
        </w:trPr>
        <w:tc>
          <w:tcPr>
            <w:tcW w:w="77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789" w:rsidRPr="00A20885" w:rsidRDefault="00622789" w:rsidP="00622789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Weight-for-age is calculated only up to and including age 10 years in the WHO 2007 growth reference (N = 2202 in this dataset).</w:t>
            </w:r>
          </w:p>
        </w:tc>
      </w:tr>
    </w:tbl>
    <w:p w:rsidR="0046270C" w:rsidRPr="00A20885" w:rsidRDefault="0046270C">
      <w:pPr>
        <w:rPr>
          <w:rFonts w:cs="Times New Roman"/>
        </w:rPr>
      </w:pPr>
    </w:p>
    <w:p w:rsidR="00A53273" w:rsidRPr="00A20885" w:rsidRDefault="00A53273">
      <w:pPr>
        <w:rPr>
          <w:rFonts w:cs="Times New Roman"/>
        </w:rPr>
      </w:pPr>
    </w:p>
    <w:p w:rsidR="00CB102F" w:rsidRPr="00A20885" w:rsidRDefault="00CB102F">
      <w:pPr>
        <w:rPr>
          <w:rFonts w:cs="Times New Roman"/>
        </w:rPr>
      </w:pPr>
      <w:r w:rsidRPr="00A20885">
        <w:rPr>
          <w:rFonts w:cs="Times New Roman"/>
        </w:rPr>
        <w:br w:type="page"/>
      </w:r>
    </w:p>
    <w:p w:rsidR="00CB102F" w:rsidRPr="00A20885" w:rsidRDefault="00CB102F">
      <w:pPr>
        <w:rPr>
          <w:rFonts w:cs="Times New Roman"/>
        </w:rPr>
      </w:pPr>
    </w:p>
    <w:p w:rsidR="006B6CE7" w:rsidRPr="00A20885" w:rsidRDefault="006B6CE7">
      <w:pPr>
        <w:rPr>
          <w:rFonts w:cs="Times New Roman"/>
        </w:rPr>
      </w:pPr>
    </w:p>
    <w:p w:rsidR="006B6CE7" w:rsidRPr="00A20885" w:rsidRDefault="006B6CE7">
      <w:pPr>
        <w:rPr>
          <w:rFonts w:cs="Times New Roman"/>
        </w:rPr>
      </w:pPr>
    </w:p>
    <w:p w:rsidR="006B6CE7" w:rsidRPr="00A20885" w:rsidRDefault="006B6CE7">
      <w:pPr>
        <w:rPr>
          <w:rFonts w:cs="Times New Roman"/>
        </w:rPr>
      </w:pPr>
    </w:p>
    <w:tbl>
      <w:tblPr>
        <w:tblW w:w="8807" w:type="dxa"/>
        <w:tblInd w:w="93" w:type="dxa"/>
        <w:tblLook w:val="04A0" w:firstRow="1" w:lastRow="0" w:firstColumn="1" w:lastColumn="0" w:noHBand="0" w:noVBand="1"/>
      </w:tblPr>
      <w:tblGrid>
        <w:gridCol w:w="2737"/>
        <w:gridCol w:w="291"/>
        <w:gridCol w:w="916"/>
        <w:gridCol w:w="915"/>
        <w:gridCol w:w="915"/>
        <w:gridCol w:w="291"/>
        <w:gridCol w:w="914"/>
        <w:gridCol w:w="914"/>
        <w:gridCol w:w="914"/>
      </w:tblGrid>
      <w:tr w:rsidR="00D925FA" w:rsidRPr="00A20885" w:rsidTr="00D925FA">
        <w:trPr>
          <w:trHeight w:val="220"/>
        </w:trPr>
        <w:tc>
          <w:tcPr>
            <w:tcW w:w="88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2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Clustering of height-for-age and stunting among children in the study population.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Unadjusted intraclass correlation coefficient (95% confidence interval)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Household (N = 6680)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Sub-district (N = 4739)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CDC reference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Height-for-age z-score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ED4EB6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0.42</w:t>
            </w:r>
            <w:r w:rsidR="00ED4EB6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3D7E5C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  <w:r w:rsidR="003D7E5C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Stunting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ED4EB6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0.30</w:t>
            </w:r>
            <w:r w:rsidR="00ED4EB6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3D7E5C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  <w:r w:rsidR="003D7E5C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WHO reference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Height-for-age z-score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ED4EB6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0.42</w:t>
            </w:r>
            <w:r w:rsidR="00ED4EB6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3D7E5C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  <w:r w:rsidR="003D7E5C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Stunting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ED4EB6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</w:t>
            </w:r>
            <w:r w:rsidR="00ED4EB6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3D7E5C" w:rsidP="00D925F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D925F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</w:t>
            </w:r>
            <w:r w:rsidR="003D7E5C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D925FA" w:rsidRPr="00A20885" w:rsidTr="00D925FA">
        <w:trPr>
          <w:trHeight w:val="275"/>
        </w:trPr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5FA" w:rsidRPr="00A20885" w:rsidRDefault="00D925FA" w:rsidP="00D925FA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6B6CE7" w:rsidRPr="00A20885" w:rsidRDefault="006B6CE7">
      <w:pPr>
        <w:rPr>
          <w:rFonts w:cs="Times New Roman"/>
        </w:rPr>
      </w:pPr>
    </w:p>
    <w:p w:rsidR="0046270C" w:rsidRPr="00A20885" w:rsidRDefault="0046270C" w:rsidP="004C6865">
      <w:pPr>
        <w:rPr>
          <w:rFonts w:cs="Times New Roman"/>
        </w:rPr>
      </w:pPr>
    </w:p>
    <w:p w:rsidR="006B6CE7" w:rsidRPr="00A20885" w:rsidRDefault="006B6CE7" w:rsidP="004C6865">
      <w:pPr>
        <w:rPr>
          <w:rFonts w:cs="Times New Roman"/>
        </w:rPr>
      </w:pPr>
    </w:p>
    <w:p w:rsidR="006B6CE7" w:rsidRPr="00A20885" w:rsidRDefault="006B6CE7" w:rsidP="004C6865">
      <w:pPr>
        <w:rPr>
          <w:rFonts w:cs="Times New Roman"/>
        </w:rPr>
        <w:sectPr w:rsidR="006B6CE7" w:rsidRPr="00A20885" w:rsidSect="0046270C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889" w:type="dxa"/>
        <w:tblInd w:w="-176" w:type="dxa"/>
        <w:tblLook w:val="04A0" w:firstRow="1" w:lastRow="0" w:firstColumn="1" w:lastColumn="0" w:noHBand="0" w:noVBand="1"/>
      </w:tblPr>
      <w:tblGrid>
        <w:gridCol w:w="3065"/>
        <w:gridCol w:w="300"/>
        <w:gridCol w:w="922"/>
        <w:gridCol w:w="299"/>
        <w:gridCol w:w="922"/>
        <w:gridCol w:w="815"/>
        <w:gridCol w:w="299"/>
        <w:gridCol w:w="922"/>
        <w:gridCol w:w="815"/>
        <w:gridCol w:w="299"/>
        <w:gridCol w:w="1231"/>
      </w:tblGrid>
      <w:tr w:rsidR="00986389" w:rsidRPr="00A20885" w:rsidTr="00B30C51">
        <w:trPr>
          <w:cantSplit/>
          <w:trHeight w:val="7"/>
          <w:tblHeader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BB6DC9">
            <w:pPr>
              <w:keepLines/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3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. </w:t>
            </w:r>
            <w:r w:rsidR="00BB6DC9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Sociodemographic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characteristics of population excluded from analyses versus those included. </w:t>
            </w:r>
          </w:p>
        </w:tc>
      </w:tr>
      <w:tr w:rsidR="00153B60" w:rsidRPr="00A20885" w:rsidTr="00B30C51">
        <w:trPr>
          <w:cantSplit/>
          <w:trHeight w:val="7"/>
          <w:tblHeader/>
        </w:trPr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Excluded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Included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200F0D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2968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(43.9)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2465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986389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56.1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9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Stunted, n (%)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6759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(30.1)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(28.5)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0.153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Sex,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1465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(49.4)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1870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(49.3)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(50.6)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(50.7)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0.979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Age, years, mean (SD)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0.457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(66.1)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(68.2)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(8.7)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(10.7)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(21.9)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694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(18.3)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A46BB4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  <w:r w:rsidR="00E46EE1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6759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(5.3)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1831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(61.7)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2460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(64.9)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(33.0)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1099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(29.0)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5821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881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(43.4)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(42.3)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(29.7)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(30.3)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(16.4)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(16.8)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="00942009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(10.5)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(10.6)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0.880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5038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(20.9)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(16.2)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155 - 159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(22.6)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886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(23.4)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150 - 154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(29.8)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1204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(31.8)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145-149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(18.9)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758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(20.0)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&lt; 145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330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(8.7)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4985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0.742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member, mean (SD)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5904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0.301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5898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0.566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5934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0.375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4945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(30.3)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(26.8)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(40.9)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1548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(40.8)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</w:t>
            </w:r>
            <w:r w:rsidR="007B1DE1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connected with sewerage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system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(24.5)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(29.2)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household, n (%)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4949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0.503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4949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(3.2)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1100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(95.0)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3559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(93.9)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0.193</w:t>
            </w: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disposal, n (%)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4875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(28.7)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(27.5)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(6.6)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(3.5)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(64.9)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2366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(62.4)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200F0D" w:rsidRPr="00A20885" w:rsidTr="00B30C51">
        <w:trPr>
          <w:cantSplit/>
          <w:trHeight w:val="7"/>
        </w:trPr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F0D" w:rsidRPr="00A20885" w:rsidRDefault="00200F0D" w:rsidP="00200F0D">
            <w:pPr>
              <w:keepLines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86389" w:rsidRPr="00A20885" w:rsidTr="00B30C51">
        <w:trPr>
          <w:cantSplit/>
          <w:trHeight w:val="7"/>
        </w:trPr>
        <w:tc>
          <w:tcPr>
            <w:tcW w:w="98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Differences in distributions across categories between normal height and stunted were compared using Pearson's Chi squared test, or Fisher's exact test for variables with cell frequencies &lt; 5. </w:t>
            </w:r>
          </w:p>
        </w:tc>
      </w:tr>
      <w:tr w:rsidR="00986389" w:rsidRPr="00A20885" w:rsidTr="00B30C51">
        <w:trPr>
          <w:cantSplit/>
          <w:trHeight w:val="2"/>
        </w:trPr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89" w:rsidRPr="00A20885" w:rsidRDefault="00986389" w:rsidP="00200F0D">
            <w:pPr>
              <w:keepLines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lastRenderedPageBreak/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</w:t>
            </w:r>
            <w:r w:rsidR="00E46EE1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and BMI-for-age were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classified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CB4944" w:rsidRPr="00A20885" w:rsidRDefault="00CB4944" w:rsidP="004C6865">
      <w:pPr>
        <w:rPr>
          <w:rFonts w:cs="Times New Roman"/>
        </w:rPr>
        <w:sectPr w:rsidR="00CB4944" w:rsidRPr="00A20885" w:rsidSect="00200F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736"/>
        <w:tblW w:w="9507" w:type="dxa"/>
        <w:tblLook w:val="04A0" w:firstRow="1" w:lastRow="0" w:firstColumn="1" w:lastColumn="0" w:noHBand="0" w:noVBand="1"/>
      </w:tblPr>
      <w:tblGrid>
        <w:gridCol w:w="5793"/>
        <w:gridCol w:w="226"/>
        <w:gridCol w:w="897"/>
        <w:gridCol w:w="897"/>
        <w:gridCol w:w="898"/>
        <w:gridCol w:w="796"/>
      </w:tblGrid>
      <w:tr w:rsidR="0069615F" w:rsidRPr="00A20885" w:rsidTr="0069615F">
        <w:trPr>
          <w:trHeight w:val="225"/>
        </w:trPr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A1209B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Relative risk of stunting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associated with </w:t>
            </w:r>
            <w:r w:rsidR="00A1209B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(compressed categories). 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2143AF" w:rsidP="00696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 ratio</w:t>
            </w:r>
            <w:r w:rsidR="0069615F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1.22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0.052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0.88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0.88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1.42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0.858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1.91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0.807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 status</w:t>
            </w:r>
            <w:r w:rsidR="00DC5445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="00F478B1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, n (%)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1.39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0.030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1.14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1.16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0.876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="00942009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+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1.29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0.819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150 - 159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1.26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0.628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&lt; 150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1.20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1.75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1.27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0.440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1.41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0.563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0.023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1.70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0.770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1.31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0.188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0.89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0.023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Flush toilet with septic tank or sewerage system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0.88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0.023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2.86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0.73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Piped into yard or house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0.40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1.39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0.428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0.98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1.80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0.070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9A5294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</w:t>
            </w:r>
            <w:r w:rsidR="0069615F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1.06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1.42</w:t>
            </w:r>
            <w:r w:rsidR="009A5294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</w:tr>
      <w:tr w:rsidR="0069615F" w:rsidRPr="00A20885" w:rsidTr="0069615F">
        <w:trPr>
          <w:trHeight w:val="225"/>
        </w:trPr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69615F" w:rsidRPr="00A20885" w:rsidTr="0069615F">
        <w:trPr>
          <w:trHeight w:val="225"/>
        </w:trPr>
        <w:tc>
          <w:tcPr>
            <w:tcW w:w="95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69615F" w:rsidRPr="00A20885" w:rsidTr="0069615F">
        <w:trPr>
          <w:trHeight w:val="225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15F" w:rsidRPr="00A20885" w:rsidRDefault="0069615F" w:rsidP="0069615F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</w:t>
            </w:r>
            <w:r w:rsidR="00DC5445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and BMI-for-age were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classified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172ACE" w:rsidRPr="00A20885" w:rsidRDefault="00172ACE">
      <w:pPr>
        <w:rPr>
          <w:rFonts w:cs="Times New Roman"/>
        </w:rPr>
        <w:sectPr w:rsidR="00172ACE" w:rsidRPr="00A20885" w:rsidSect="005D5D8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64"/>
        <w:tblW w:w="9043" w:type="dxa"/>
        <w:tblLook w:val="04A0" w:firstRow="1" w:lastRow="0" w:firstColumn="1" w:lastColumn="0" w:noHBand="0" w:noVBand="1"/>
      </w:tblPr>
      <w:tblGrid>
        <w:gridCol w:w="4473"/>
        <w:gridCol w:w="262"/>
        <w:gridCol w:w="1130"/>
        <w:gridCol w:w="1130"/>
        <w:gridCol w:w="1130"/>
        <w:gridCol w:w="918"/>
      </w:tblGrid>
      <w:tr w:rsidR="000C714C" w:rsidRPr="00A20885" w:rsidTr="000C714C">
        <w:trPr>
          <w:trHeight w:val="229"/>
        </w:trPr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1E4D70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5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Associations between height-for-age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and </w:t>
            </w:r>
            <w:r w:rsidR="001E4D70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. 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β (95% confidence interval)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(-0.12,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0.223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(-0.10,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(0.16,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(-0.21,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0.376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(-0.21,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0.338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 status</w:t>
            </w:r>
            <w:r w:rsidR="007A1536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="007A1536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, n (%)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(-0.09,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0.599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(0.23,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0.41)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(-0.13,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0.348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(-0.14,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0.617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="00F8514C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+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(-0.24,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0.06)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0.253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155 - 159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(-0.26,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0.168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150 - 154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(-0.33,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-0.04)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145-149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(-0.51,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-0.20)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&lt; 145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-0.59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(-0.79,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-0.39)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(-0.22,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0.597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(-0.24,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0.834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(-0.10,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0.174</w:t>
            </w: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(-0.31,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0.750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(-0.38,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0.241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(-0.02,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1.79)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0.055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0.042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</w:t>
            </w:r>
            <w:r w:rsidR="007B1DE1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connected with sewerage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system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0.043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(-1.34,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0.050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20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(-1.20,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1.92)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0.653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(-0.67,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0.267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(-0.87,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2.20)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0.396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(-0.16,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0.25)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0.641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(-0.40,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0.13)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0.315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-0.20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(-0.32,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-0.08)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0C714C" w:rsidRPr="00A20885" w:rsidTr="000C714C">
        <w:trPr>
          <w:trHeight w:val="19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C714C" w:rsidRPr="00A20885" w:rsidTr="000C714C">
        <w:trPr>
          <w:trHeight w:val="191"/>
        </w:trPr>
        <w:tc>
          <w:tcPr>
            <w:tcW w:w="90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Estimates based on mixed-effects linear regression models adjusted for all other variables above, and for clustering at the household level. </w:t>
            </w:r>
          </w:p>
        </w:tc>
      </w:tr>
      <w:tr w:rsidR="000C714C" w:rsidRPr="00A20885" w:rsidTr="000C714C">
        <w:trPr>
          <w:trHeight w:val="191"/>
        </w:trPr>
        <w:tc>
          <w:tcPr>
            <w:tcW w:w="9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4C" w:rsidRPr="00A20885" w:rsidRDefault="000C714C" w:rsidP="000C714C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Height-for-age</w:t>
            </w:r>
            <w:r w:rsidR="007A1536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and BMI-for-age</w:t>
            </w:r>
            <w:r w:rsidR="007E289A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were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expressed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BB1294" w:rsidRPr="00A20885" w:rsidRDefault="00BB1294">
      <w:pPr>
        <w:rPr>
          <w:rFonts w:cs="Times New Roman"/>
        </w:rPr>
      </w:pPr>
    </w:p>
    <w:p w:rsidR="00BC6C7B" w:rsidRPr="00A20885" w:rsidRDefault="00BC6C7B" w:rsidP="004C6865">
      <w:pPr>
        <w:rPr>
          <w:rFonts w:cs="Times New Roman"/>
        </w:rPr>
      </w:pPr>
    </w:p>
    <w:p w:rsidR="00F62F9B" w:rsidRPr="00A20885" w:rsidRDefault="00F62F9B" w:rsidP="004C6865">
      <w:pPr>
        <w:rPr>
          <w:rFonts w:cs="Times New Roman"/>
        </w:rPr>
      </w:pPr>
    </w:p>
    <w:p w:rsidR="00F62F9B" w:rsidRPr="00A20885" w:rsidRDefault="00F62F9B" w:rsidP="004C6865">
      <w:pPr>
        <w:rPr>
          <w:rFonts w:cs="Times New Roman"/>
        </w:rPr>
      </w:pPr>
    </w:p>
    <w:p w:rsidR="00F62F9B" w:rsidRPr="00A20885" w:rsidRDefault="00F62F9B" w:rsidP="004C6865">
      <w:pPr>
        <w:rPr>
          <w:rFonts w:cs="Times New Roman"/>
        </w:rPr>
      </w:pPr>
    </w:p>
    <w:p w:rsidR="00F62F9B" w:rsidRPr="00A20885" w:rsidRDefault="00F62F9B" w:rsidP="004C6865">
      <w:pPr>
        <w:rPr>
          <w:rFonts w:cs="Times New Roman"/>
        </w:rPr>
      </w:pPr>
    </w:p>
    <w:p w:rsidR="00F62F9B" w:rsidRPr="00A20885" w:rsidRDefault="00F62F9B" w:rsidP="004C6865">
      <w:pPr>
        <w:rPr>
          <w:rFonts w:cs="Times New Roman"/>
        </w:rPr>
      </w:pPr>
    </w:p>
    <w:p w:rsidR="00F62F9B" w:rsidRPr="00A20885" w:rsidRDefault="00F62F9B" w:rsidP="004C6865">
      <w:pPr>
        <w:rPr>
          <w:rFonts w:cs="Times New Roman"/>
        </w:rPr>
      </w:pPr>
    </w:p>
    <w:tbl>
      <w:tblPr>
        <w:tblW w:w="6349" w:type="dxa"/>
        <w:tblInd w:w="1348" w:type="dxa"/>
        <w:tblLook w:val="04A0" w:firstRow="1" w:lastRow="0" w:firstColumn="1" w:lastColumn="0" w:noHBand="0" w:noVBand="1"/>
      </w:tblPr>
      <w:tblGrid>
        <w:gridCol w:w="3972"/>
        <w:gridCol w:w="357"/>
        <w:gridCol w:w="957"/>
        <w:gridCol w:w="1063"/>
      </w:tblGrid>
      <w:tr w:rsidR="00D26998" w:rsidRPr="00A20885" w:rsidTr="00D26998">
        <w:trPr>
          <w:trHeight w:val="250"/>
        </w:trPr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9B47F1" w:rsidP="00D26998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6</w:t>
            </w:r>
            <w:r w:rsidR="00D26998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Exploration of interactions between sex and other variables of interest in the study population.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Variable of interest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6680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0.075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6680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0.144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 status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0.422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0.966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0.121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Maternal current underweight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0.473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 per household member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0.754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Bathrooms per household member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0.474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Living areas per household member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0.544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0.705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 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0.624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0.318</w:t>
            </w:r>
          </w:p>
        </w:tc>
      </w:tr>
      <w:tr w:rsidR="00D26998" w:rsidRPr="00A20885" w:rsidTr="00D26998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3791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0.571</w:t>
            </w:r>
          </w:p>
        </w:tc>
      </w:tr>
      <w:tr w:rsidR="00D26998" w:rsidRPr="00A20885" w:rsidTr="004B0B87">
        <w:trPr>
          <w:trHeight w:val="250"/>
        </w:trPr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4B0B87" w:rsidRPr="00A20885" w:rsidTr="004B0B87">
        <w:trPr>
          <w:trHeight w:val="250"/>
        </w:trPr>
        <w:tc>
          <w:tcPr>
            <w:tcW w:w="6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B87" w:rsidRPr="00A20885" w:rsidRDefault="004B0B87" w:rsidP="00D2699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and BMI-for-age were classified using the CDC reference. </w:t>
            </w:r>
          </w:p>
        </w:tc>
      </w:tr>
      <w:tr w:rsidR="00D26998" w:rsidRPr="00A20885" w:rsidTr="004B0B87">
        <w:trPr>
          <w:trHeight w:val="250"/>
        </w:trPr>
        <w:tc>
          <w:tcPr>
            <w:tcW w:w="634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for likelihood ratio rest comparing models with and without terms for interaction between child's sex and the variable of interest. </w:t>
            </w:r>
          </w:p>
        </w:tc>
      </w:tr>
      <w:tr w:rsidR="00D26998" w:rsidRPr="00A20885" w:rsidTr="00D26998">
        <w:trPr>
          <w:trHeight w:val="250"/>
        </w:trPr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998" w:rsidRPr="00A20885" w:rsidRDefault="00D26998" w:rsidP="00D26998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Models for age were additionally adjusted for ethnicity, and vice versa. Models for all other variables were additionally adjusted for age and ethnicity</w:t>
            </w:r>
            <w:r w:rsidR="003C348D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 and all models were adjusted for clustering at the household level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. </w:t>
            </w:r>
          </w:p>
        </w:tc>
      </w:tr>
    </w:tbl>
    <w:p w:rsidR="00D20A34" w:rsidRPr="00A20885" w:rsidRDefault="00D20A34">
      <w:pPr>
        <w:rPr>
          <w:rFonts w:cs="Times New Roman"/>
        </w:rPr>
      </w:pPr>
    </w:p>
    <w:p w:rsidR="00A81006" w:rsidRPr="00A20885" w:rsidRDefault="00A81006">
      <w:pPr>
        <w:rPr>
          <w:rFonts w:cs="Times New Roman"/>
        </w:rPr>
      </w:pPr>
    </w:p>
    <w:p w:rsidR="001E0E72" w:rsidRPr="00A20885" w:rsidRDefault="001E0E72">
      <w:pPr>
        <w:rPr>
          <w:rFonts w:cs="Times New Roman"/>
        </w:rPr>
      </w:pPr>
      <w:r w:rsidRPr="00A20885">
        <w:rPr>
          <w:rFonts w:cs="Times New Roman"/>
        </w:rPr>
        <w:br w:type="page"/>
      </w:r>
    </w:p>
    <w:tbl>
      <w:tblPr>
        <w:tblpPr w:leftFromText="180" w:rightFromText="180" w:horzAnchor="margin" w:tblpXSpec="center" w:tblpY="-435"/>
        <w:tblW w:w="10159" w:type="dxa"/>
        <w:tblLook w:val="04A0" w:firstRow="1" w:lastRow="0" w:firstColumn="1" w:lastColumn="0" w:noHBand="0" w:noVBand="1"/>
      </w:tblPr>
      <w:tblGrid>
        <w:gridCol w:w="3149"/>
        <w:gridCol w:w="249"/>
        <w:gridCol w:w="979"/>
        <w:gridCol w:w="981"/>
        <w:gridCol w:w="978"/>
        <w:gridCol w:w="715"/>
        <w:gridCol w:w="248"/>
        <w:gridCol w:w="715"/>
        <w:gridCol w:w="715"/>
        <w:gridCol w:w="715"/>
        <w:gridCol w:w="715"/>
      </w:tblGrid>
      <w:tr w:rsidR="005A0467" w:rsidRPr="00A20885" w:rsidTr="00320E44">
        <w:trPr>
          <w:trHeight w:val="193"/>
          <w:tblHeader/>
        </w:trPr>
        <w:tc>
          <w:tcPr>
            <w:tcW w:w="101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B97E8F">
            <w:pPr>
              <w:rPr>
                <w:rFonts w:eastAsia="Times New Roman" w:cs="Times New Roman"/>
                <w:b/>
                <w:bCs/>
                <w:color w:val="000000"/>
                <w:sz w:val="20"/>
                <w:highlight w:val="yellow"/>
                <w:lang w:eastAsia="en-GB"/>
              </w:rPr>
            </w:pPr>
            <w:r w:rsidRPr="00A20885">
              <w:rPr>
                <w:rFonts w:cs="Times New Roman"/>
                <w:sz w:val="20"/>
              </w:rPr>
              <w:lastRenderedPageBreak/>
              <w:br w:type="page"/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7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Sensitivity analysis: associations between stunting or height-for-age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and sociodemographic indices (WHO reference). </w:t>
            </w:r>
          </w:p>
        </w:tc>
      </w:tr>
      <w:tr w:rsidR="005A0467" w:rsidRPr="00A20885" w:rsidTr="00320E44">
        <w:trPr>
          <w:trHeight w:val="163"/>
          <w:tblHeader/>
        </w:trPr>
        <w:tc>
          <w:tcPr>
            <w:tcW w:w="314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Poisson regression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Linear regression</w:t>
            </w:r>
          </w:p>
        </w:tc>
      </w:tr>
      <w:tr w:rsidR="005A0467" w:rsidRPr="00A20885" w:rsidTr="00320E44">
        <w:trPr>
          <w:trHeight w:val="163"/>
          <w:tblHeader/>
        </w:trPr>
        <w:tc>
          <w:tcPr>
            <w:tcW w:w="31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2143AF" w:rsidP="00320E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 ratio</w:t>
            </w:r>
            <w:r w:rsidR="005A0467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β (95% confidence interval)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(-0.11,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0.385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(-0.11,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(0.18,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(0.55,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(-0.19,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0.327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(0.43,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2.53)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(-0.20,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9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status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(0.00,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0.047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(0.72,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0.060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(0.23,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0.969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(-0.12,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0.382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(0.73,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0.407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0.590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 +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(0.70,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0.761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155 - 159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0.203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150 - 154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0.306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(-0.33,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145-149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(-0.51,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-0.20)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&lt; 145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(1.09,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-0.58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(-0.78,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-0.38)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0.638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(-0.24,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0.684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(0.65,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0.716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(-0.25,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0.803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0.238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(-0.08,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0.138</w:t>
            </w:r>
          </w:p>
        </w:tc>
      </w:tr>
      <w:tr w:rsidR="005A0467" w:rsidRPr="00A20885" w:rsidTr="00320E44">
        <w:trPr>
          <w:trHeight w:val="17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(0.75,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2.63)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0.284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0.872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7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(0.13,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(-0.48,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0.325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(0.10,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(-0.09,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0.078</w:t>
            </w: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(0.10,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(-0.04,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0.062</w:t>
            </w: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connected with sewerage system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(0.11,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(-0.05,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0.063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(1.47,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4.02)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-0.71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(-1.38,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0.040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5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9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72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3.52)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(-1.26,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0.697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(0.09,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1.76)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0.228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(-0.72,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0.291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(0.12,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0.286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(-0.92,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0.424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0.763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(-0.16,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0.659</w:t>
            </w: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(0.78,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-0.12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(-0.39,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0.371</w:t>
            </w:r>
          </w:p>
        </w:tc>
      </w:tr>
      <w:tr w:rsidR="005A0467" w:rsidRPr="00A20885" w:rsidTr="00320E44">
        <w:trPr>
          <w:trHeight w:val="163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(1.04,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-0.21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(-0.34,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-0.09)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5A0467" w:rsidRPr="00A20885" w:rsidTr="00320E44">
        <w:trPr>
          <w:trHeight w:val="163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A0467" w:rsidRPr="00A20885" w:rsidTr="00320E44">
        <w:trPr>
          <w:trHeight w:val="163"/>
        </w:trPr>
        <w:tc>
          <w:tcPr>
            <w:tcW w:w="101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5A0467" w:rsidRPr="00A20885" w:rsidTr="00320E44">
        <w:trPr>
          <w:trHeight w:val="163"/>
        </w:trPr>
        <w:tc>
          <w:tcPr>
            <w:tcW w:w="10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67" w:rsidRPr="00A20885" w:rsidRDefault="005A0467" w:rsidP="00320E44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or height-for-age and BMI-for-age were classified using the WHO 2007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E51D51" w:rsidRPr="00A20885" w:rsidRDefault="00D20A34">
      <w:pPr>
        <w:rPr>
          <w:rFonts w:cs="Times New Roman"/>
        </w:rPr>
      </w:pPr>
      <w:r w:rsidRPr="00A20885">
        <w:rPr>
          <w:rFonts w:cs="Times New Roman"/>
        </w:rPr>
        <w:br w:type="page"/>
      </w:r>
    </w:p>
    <w:tbl>
      <w:tblPr>
        <w:tblW w:w="9402" w:type="dxa"/>
        <w:jc w:val="right"/>
        <w:tblLook w:val="04A0" w:firstRow="1" w:lastRow="0" w:firstColumn="1" w:lastColumn="0" w:noHBand="0" w:noVBand="1"/>
      </w:tblPr>
      <w:tblGrid>
        <w:gridCol w:w="3062"/>
        <w:gridCol w:w="222"/>
        <w:gridCol w:w="739"/>
        <w:gridCol w:w="739"/>
        <w:gridCol w:w="739"/>
        <w:gridCol w:w="715"/>
        <w:gridCol w:w="222"/>
        <w:gridCol w:w="750"/>
        <w:gridCol w:w="749"/>
        <w:gridCol w:w="750"/>
        <w:gridCol w:w="715"/>
      </w:tblGrid>
      <w:tr w:rsidR="00EA0E1C" w:rsidRPr="00A20885" w:rsidTr="0067286D">
        <w:trPr>
          <w:trHeight w:val="243"/>
          <w:tblHeader/>
          <w:jc w:val="right"/>
        </w:trPr>
        <w:tc>
          <w:tcPr>
            <w:tcW w:w="94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5A0467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Table S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8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. </w:t>
            </w:r>
            <w:r w:rsidR="005A0467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Sensitivity analysis: 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ffect of consideration of maternal age on relative risk of stunting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associated with </w:t>
            </w:r>
            <w:r w:rsidR="00845F08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(N=3337). </w:t>
            </w:r>
          </w:p>
        </w:tc>
      </w:tr>
      <w:tr w:rsidR="00EA0E1C" w:rsidRPr="00A20885" w:rsidTr="0067286D">
        <w:trPr>
          <w:trHeight w:val="194"/>
          <w:tblHeader/>
          <w:jc w:val="right"/>
        </w:trPr>
        <w:tc>
          <w:tcPr>
            <w:tcW w:w="30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age excluded (main analysis)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age included</w:t>
            </w:r>
          </w:p>
        </w:tc>
      </w:tr>
      <w:tr w:rsidR="00EA0E1C" w:rsidRPr="00A20885" w:rsidTr="0067286D">
        <w:trPr>
          <w:trHeight w:val="243"/>
          <w:tblHeader/>
          <w:jc w:val="right"/>
        </w:trPr>
        <w:tc>
          <w:tcPr>
            <w:tcW w:w="30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Risk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ratio</w:t>
            </w:r>
            <w:r w:rsidR="00EA0E1C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 (</w:t>
            </w:r>
            <w:proofErr w:type="gramEnd"/>
            <w:r w:rsidR="00EA0E1C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95% confidence interval)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(0.94,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0.317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(0.51,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(0.50,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(0.50,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(0.50,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(0.59,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(0.58,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0.917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(0.54,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0.970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status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(0.96,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(0.96,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0.117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0.005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(0.89,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(0.90,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0.528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0.715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4+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(0.90,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0.190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155 - 159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0.988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150 - 154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0.824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145-149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(1.18,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(1.19,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&lt; 145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(1.24,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(1.27,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(0.60,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(0.60,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(0.65,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0.683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(0.50,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0.342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(0.86,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(0.86,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0.159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(0.28,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(0.27,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2.97)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0.858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(0.21,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0.444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(0.19,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0.392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connected with sewerage system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(0.24,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2.38)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2.35)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0.618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3.41)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3.42)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0.143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(0.06,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(0.06,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3.33)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0.430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1.85)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0.172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(0.04,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(0.04,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2.27)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0.250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0.313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Collected irregularly by local authority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1.89)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0.073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(1.03,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(0.98,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0.306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94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EA0E1C" w:rsidRPr="00A20885" w:rsidTr="0067286D">
        <w:trPr>
          <w:trHeight w:val="243"/>
          <w:jc w:val="right"/>
        </w:trPr>
        <w:tc>
          <w:tcPr>
            <w:tcW w:w="9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EA0E1C" w:rsidRPr="00A20885" w:rsidRDefault="00EA0E1C">
      <w:pPr>
        <w:rPr>
          <w:rFonts w:cs="Times New Roman"/>
        </w:rPr>
        <w:sectPr w:rsidR="00EA0E1C" w:rsidRPr="00A20885" w:rsidSect="00D44CF8">
          <w:pgSz w:w="11906" w:h="16838"/>
          <w:pgMar w:top="851" w:right="1440" w:bottom="851" w:left="1440" w:header="709" w:footer="709" w:gutter="0"/>
          <w:cols w:space="708"/>
          <w:docGrid w:linePitch="360"/>
        </w:sectPr>
      </w:pPr>
    </w:p>
    <w:tbl>
      <w:tblPr>
        <w:tblW w:w="14866" w:type="dxa"/>
        <w:jc w:val="center"/>
        <w:tblLook w:val="04A0" w:firstRow="1" w:lastRow="0" w:firstColumn="1" w:lastColumn="0" w:noHBand="0" w:noVBand="1"/>
      </w:tblPr>
      <w:tblGrid>
        <w:gridCol w:w="3201"/>
        <w:gridCol w:w="227"/>
        <w:gridCol w:w="654"/>
        <w:gridCol w:w="654"/>
        <w:gridCol w:w="654"/>
        <w:gridCol w:w="728"/>
        <w:gridCol w:w="226"/>
        <w:gridCol w:w="654"/>
        <w:gridCol w:w="654"/>
        <w:gridCol w:w="654"/>
        <w:gridCol w:w="728"/>
        <w:gridCol w:w="226"/>
        <w:gridCol w:w="654"/>
        <w:gridCol w:w="654"/>
        <w:gridCol w:w="654"/>
        <w:gridCol w:w="728"/>
        <w:gridCol w:w="226"/>
        <w:gridCol w:w="654"/>
        <w:gridCol w:w="654"/>
        <w:gridCol w:w="654"/>
        <w:gridCol w:w="728"/>
      </w:tblGrid>
      <w:tr w:rsidR="00EA0E1C" w:rsidRPr="00A20885" w:rsidTr="0067286D">
        <w:trPr>
          <w:trHeight w:val="117"/>
          <w:tblHeader/>
          <w:jc w:val="center"/>
        </w:trPr>
        <w:tc>
          <w:tcPr>
            <w:tcW w:w="14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B97E8F">
            <w:pPr>
              <w:rPr>
                <w:rFonts w:eastAsia="Times New Roman" w:cs="Times New Roman"/>
                <w:b/>
                <w:bCs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lastRenderedPageBreak/>
              <w:t xml:space="preserve">Table </w:t>
            </w:r>
            <w:r w:rsidR="002D4EFA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</w:t>
            </w:r>
            <w:r w:rsidR="00B36FE2">
              <w:rPr>
                <w:rFonts w:eastAsia="Times New Roman" w:cs="Times New Roman"/>
                <w:b/>
                <w:bCs/>
                <w:sz w:val="20"/>
                <w:lang w:eastAsia="en-GB"/>
              </w:rPr>
              <w:t>9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. </w:t>
            </w:r>
            <w:r w:rsidR="00B97E8F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Sensitivity analysis: effect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of consideration of head of household's, maternal, and paternal education on risk of stunting</w:t>
            </w:r>
            <w:r w:rsidRPr="00A20885">
              <w:rPr>
                <w:rFonts w:eastAsia="Times New Roman" w:cs="Times New Roman"/>
                <w:b/>
                <w:bCs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associated with </w:t>
            </w:r>
            <w:r w:rsidR="00C56C51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. </w:t>
            </w:r>
          </w:p>
        </w:tc>
      </w:tr>
      <w:tr w:rsidR="00EA0E1C" w:rsidRPr="00A20885" w:rsidTr="0067286D">
        <w:trPr>
          <w:trHeight w:val="117"/>
          <w:tblHeader/>
          <w:jc w:val="center"/>
        </w:trPr>
        <w:tc>
          <w:tcPr>
            <w:tcW w:w="320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No education (N = 3791)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Head of household education (N = 3782)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Maternal education (N = 3625)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Paternal education (N = 2704) </w:t>
            </w:r>
          </w:p>
        </w:tc>
      </w:tr>
      <w:tr w:rsidR="00EA0E1C" w:rsidRPr="00A20885" w:rsidTr="0067286D">
        <w:trPr>
          <w:trHeight w:val="117"/>
          <w:tblHeader/>
          <w:jc w:val="center"/>
        </w:trPr>
        <w:tc>
          <w:tcPr>
            <w:tcW w:w="32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0.103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0.138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0.002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1.66)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0.775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0.303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BMI-for-age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status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0.460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0.007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0.661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0.947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0.893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0.899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0.774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4+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0.728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0.765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0.424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155 - 159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0.718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0.342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150 - 154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0.580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0.522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0.354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0.260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145-149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(1.18,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(1.19,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(1.25,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(1.21,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&lt; 145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(1.20,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(1.22,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1.61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(1.24,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(1.33,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2.40)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0.453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0.387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0.832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0.996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0.284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0.553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0.635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0.209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0.033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0.511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0.452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connected with sewerage system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(0.27,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2.64)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0.763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lastRenderedPageBreak/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3.32)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3.35)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1.65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3.20)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3.45)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0.140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0.375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2.22)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0.325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0.308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0.057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(0.05,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0.047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0.140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0.147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1.31)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0.128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0.582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1.38)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0.666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0.056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(1.03,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0.081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(1.04,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0.067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Head of household/maternal/paternal education 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Primary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(0.70,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1.54)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3.00)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0.625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Secondary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2.62)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1.70)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(0.61,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3.55)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0.387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Tertiary/Diploma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(0.16,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2.77)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0.581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1.87)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0.611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(0.78,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4.89)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0.153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1486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Estimates based on Poisson regression models adjusted for all other variables above. Models were not adjusted for clustering at the household level in order to facilitate convergence.</w:t>
            </w:r>
          </w:p>
        </w:tc>
      </w:tr>
      <w:tr w:rsidR="00EA0E1C" w:rsidRPr="00A20885" w:rsidTr="0067286D">
        <w:trPr>
          <w:trHeight w:val="117"/>
          <w:jc w:val="center"/>
        </w:trPr>
        <w:tc>
          <w:tcPr>
            <w:tcW w:w="148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EA0E1C" w:rsidRPr="00A20885" w:rsidRDefault="00EA0E1C">
      <w:pPr>
        <w:rPr>
          <w:rFonts w:cs="Times New Roman"/>
        </w:rPr>
      </w:pPr>
    </w:p>
    <w:p w:rsidR="00EA0E1C" w:rsidRPr="00A20885" w:rsidRDefault="00EA0E1C">
      <w:pPr>
        <w:rPr>
          <w:rFonts w:cs="Times New Roman"/>
        </w:rPr>
      </w:pPr>
      <w:r w:rsidRPr="00A20885">
        <w:rPr>
          <w:rFonts w:cs="Times New Roman"/>
        </w:rPr>
        <w:br w:type="page"/>
      </w:r>
    </w:p>
    <w:tbl>
      <w:tblPr>
        <w:tblW w:w="15308" w:type="dxa"/>
        <w:tblInd w:w="93" w:type="dxa"/>
        <w:tblLook w:val="04A0" w:firstRow="1" w:lastRow="0" w:firstColumn="1" w:lastColumn="0" w:noHBand="0" w:noVBand="1"/>
      </w:tblPr>
      <w:tblGrid>
        <w:gridCol w:w="2907"/>
        <w:gridCol w:w="239"/>
        <w:gridCol w:w="698"/>
        <w:gridCol w:w="698"/>
        <w:gridCol w:w="699"/>
        <w:gridCol w:w="767"/>
        <w:gridCol w:w="238"/>
        <w:gridCol w:w="698"/>
        <w:gridCol w:w="698"/>
        <w:gridCol w:w="699"/>
        <w:gridCol w:w="767"/>
        <w:gridCol w:w="238"/>
        <w:gridCol w:w="698"/>
        <w:gridCol w:w="698"/>
        <w:gridCol w:w="699"/>
        <w:gridCol w:w="767"/>
        <w:gridCol w:w="238"/>
        <w:gridCol w:w="698"/>
        <w:gridCol w:w="698"/>
        <w:gridCol w:w="699"/>
        <w:gridCol w:w="767"/>
      </w:tblGrid>
      <w:tr w:rsidR="00EA0E1C" w:rsidRPr="00A20885" w:rsidTr="0067286D">
        <w:trPr>
          <w:trHeight w:val="207"/>
          <w:tblHeader/>
        </w:trPr>
        <w:tc>
          <w:tcPr>
            <w:tcW w:w="1530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C9202A">
            <w:pPr>
              <w:rPr>
                <w:rFonts w:eastAsia="Times New Roman" w:cs="Times New Roman"/>
                <w:b/>
                <w:bCs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lastRenderedPageBreak/>
              <w:t>Table S1</w:t>
            </w:r>
            <w:r w:rsidR="00B36FE2">
              <w:rPr>
                <w:rFonts w:eastAsia="Times New Roman" w:cs="Times New Roman"/>
                <w:b/>
                <w:bCs/>
                <w:sz w:val="20"/>
                <w:lang w:eastAsia="en-GB"/>
              </w:rPr>
              <w:t>0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. </w:t>
            </w:r>
            <w:r w:rsidR="00C9202A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Sensitivity analysis: effect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of consideration of maternal and paternal height on risk of stunting</w:t>
            </w:r>
            <w:r w:rsidRPr="00A20885">
              <w:rPr>
                <w:rFonts w:eastAsia="Times New Roman" w:cs="Times New Roman"/>
                <w:b/>
                <w:bCs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associated with </w:t>
            </w:r>
            <w:r w:rsidR="0072467D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(I). </w:t>
            </w:r>
          </w:p>
        </w:tc>
      </w:tr>
      <w:tr w:rsidR="00EA0E1C" w:rsidRPr="00A20885" w:rsidTr="0067286D">
        <w:trPr>
          <w:trHeight w:val="165"/>
          <w:tblHeader/>
        </w:trPr>
        <w:tc>
          <w:tcPr>
            <w:tcW w:w="290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height (N = 3791)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Paternal height (N = 2719)</w:t>
            </w:r>
          </w:p>
        </w:tc>
      </w:tr>
      <w:tr w:rsidR="00EA0E1C" w:rsidRPr="00A20885" w:rsidTr="0067286D">
        <w:trPr>
          <w:trHeight w:val="165"/>
          <w:tblHeader/>
        </w:trPr>
        <w:tc>
          <w:tcPr>
            <w:tcW w:w="2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Excluding maternal height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Including maternal height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Excluding paternal height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Including paternal height</w:t>
            </w:r>
          </w:p>
        </w:tc>
      </w:tr>
      <w:tr w:rsidR="00EA0E1C" w:rsidRPr="00A20885" w:rsidTr="0067286D">
        <w:trPr>
          <w:trHeight w:val="207"/>
          <w:tblHeader/>
        </w:trPr>
        <w:tc>
          <w:tcPr>
            <w:tcW w:w="290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0.139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(0.39,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0.203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0.320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0.309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status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0.343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0.007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0.660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0.620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0.714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0.900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4+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0.956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0.596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or paternal height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0.435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0.599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0.988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0.208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0.669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0.912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0.474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0.087</w:t>
            </w: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0.038</w:t>
            </w: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connected with sewerage system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0.89)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0.376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0.520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(1.15,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2.98)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(1.14,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(1.19,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3.22)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0.008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lastRenderedPageBreak/>
              <w:t>Main source of drinking water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(0.40,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(0.32,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0.026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0.51)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(0.29,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0.608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(0.78,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(0.75,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0.990</w:t>
            </w: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1.84)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1.87)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(1.07,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1.92)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0.044</w:t>
            </w:r>
          </w:p>
        </w:tc>
      </w:tr>
      <w:tr w:rsidR="00EA0E1C" w:rsidRPr="00A20885" w:rsidTr="0067286D">
        <w:trPr>
          <w:trHeight w:val="207"/>
        </w:trPr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(1.03,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(1.01,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1.45)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1.46)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0.026</w:t>
            </w:r>
          </w:p>
        </w:tc>
      </w:tr>
      <w:tr w:rsidR="00EA0E1C" w:rsidRPr="00A20885" w:rsidTr="0067286D">
        <w:trPr>
          <w:trHeight w:val="207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7"/>
        </w:trPr>
        <w:tc>
          <w:tcPr>
            <w:tcW w:w="1530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EA0E1C" w:rsidRPr="00A20885" w:rsidTr="0067286D">
        <w:trPr>
          <w:trHeight w:val="207"/>
        </w:trPr>
        <w:tc>
          <w:tcPr>
            <w:tcW w:w="153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EA0E1C" w:rsidRPr="00A20885" w:rsidRDefault="00EA0E1C">
      <w:pPr>
        <w:rPr>
          <w:rFonts w:cs="Times New Roman"/>
        </w:rPr>
      </w:pPr>
    </w:p>
    <w:p w:rsidR="00EA0E1C" w:rsidRPr="00A20885" w:rsidRDefault="00EA0E1C">
      <w:pPr>
        <w:rPr>
          <w:rFonts w:cs="Times New Roman"/>
        </w:rPr>
      </w:pPr>
      <w:r w:rsidRPr="00A20885">
        <w:rPr>
          <w:rFonts w:cs="Times New Roman"/>
        </w:rPr>
        <w:br w:type="page"/>
      </w:r>
    </w:p>
    <w:tbl>
      <w:tblPr>
        <w:tblW w:w="14550" w:type="dxa"/>
        <w:tblInd w:w="93" w:type="dxa"/>
        <w:tblLook w:val="04A0" w:firstRow="1" w:lastRow="0" w:firstColumn="1" w:lastColumn="0" w:noHBand="0" w:noVBand="1"/>
      </w:tblPr>
      <w:tblGrid>
        <w:gridCol w:w="2989"/>
        <w:gridCol w:w="222"/>
        <w:gridCol w:w="711"/>
        <w:gridCol w:w="710"/>
        <w:gridCol w:w="710"/>
        <w:gridCol w:w="660"/>
        <w:gridCol w:w="222"/>
        <w:gridCol w:w="710"/>
        <w:gridCol w:w="710"/>
        <w:gridCol w:w="710"/>
        <w:gridCol w:w="660"/>
        <w:gridCol w:w="222"/>
        <w:gridCol w:w="710"/>
        <w:gridCol w:w="710"/>
        <w:gridCol w:w="710"/>
        <w:gridCol w:w="660"/>
        <w:gridCol w:w="222"/>
        <w:gridCol w:w="710"/>
        <w:gridCol w:w="710"/>
        <w:gridCol w:w="710"/>
        <w:gridCol w:w="714"/>
      </w:tblGrid>
      <w:tr w:rsidR="00EA0E1C" w:rsidRPr="00A20885" w:rsidTr="0067286D">
        <w:trPr>
          <w:trHeight w:val="240"/>
          <w:tblHeader/>
        </w:trPr>
        <w:tc>
          <w:tcPr>
            <w:tcW w:w="145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996CB3">
            <w:pPr>
              <w:rPr>
                <w:rFonts w:eastAsia="Times New Roman" w:cs="Times New Roman"/>
                <w:b/>
                <w:bCs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lastRenderedPageBreak/>
              <w:t>Table S1</w:t>
            </w:r>
            <w:r w:rsidR="00B36FE2">
              <w:rPr>
                <w:rFonts w:eastAsia="Times New Roman" w:cs="Times New Roman"/>
                <w:b/>
                <w:bCs/>
                <w:sz w:val="20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. </w:t>
            </w:r>
            <w:r w:rsidR="00996CB3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Sensitivity analysis: effect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of consideration of maternal and paternal height on risk of stunting</w:t>
            </w:r>
            <w:r w:rsidRPr="00A20885">
              <w:rPr>
                <w:rFonts w:eastAsia="Times New Roman" w:cs="Times New Roman"/>
                <w:b/>
                <w:bCs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associated with </w:t>
            </w:r>
            <w:r w:rsidR="00921F87"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sz w:val="20"/>
                <w:lang w:eastAsia="en-GB"/>
              </w:rPr>
              <w:t xml:space="preserve"> (II). </w:t>
            </w:r>
          </w:p>
        </w:tc>
      </w:tr>
      <w:tr w:rsidR="00EA0E1C" w:rsidRPr="00A20885" w:rsidTr="0067286D">
        <w:trPr>
          <w:trHeight w:val="202"/>
          <w:tblHeader/>
        </w:trPr>
        <w:tc>
          <w:tcPr>
            <w:tcW w:w="29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height (N = 3791)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Maternal height (N = 2719)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Paternal height (N = 2719)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+ paternal height (N = 2719)</w:t>
            </w:r>
          </w:p>
        </w:tc>
      </w:tr>
      <w:tr w:rsidR="00EA0E1C" w:rsidRPr="00A20885" w:rsidTr="0067286D">
        <w:trPr>
          <w:trHeight w:val="252"/>
          <w:tblHeader/>
        </w:trPr>
        <w:tc>
          <w:tcPr>
            <w:tcW w:w="298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2143AF" w:rsidP="0067286D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Risk ratio</w:t>
            </w:r>
            <w:r w:rsidR="00EA0E1C"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en-GB"/>
              </w:rPr>
              <w:t>P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(1.00,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0.240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0.83)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(0.54,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(0.49,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0.886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0.255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1.51)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0.293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BMI-for-age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status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1.38)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0.415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0.015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0.643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0.818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4+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1.45)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0.532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height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0.002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Paternal height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1.30)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0.465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0.779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(0.69,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0.845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0.250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1.25)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0.269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2.21)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(0.57,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(0.62,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2.03)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0.713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lastRenderedPageBreak/>
              <w:t>Bore hole toilet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0.146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(0.24,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2.74)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2.82)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0.781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(0.19,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2.19)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2.16)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0.522</w:t>
            </w: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0.458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2.06)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0.471</w:t>
            </w: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Flush toilet connected with sewerage system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2.73)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2.74)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(0.28,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2.81)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0.844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(1.09,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2.80)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3.55)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3.96)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(0.90,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3.69)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0.094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(0.40,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0.78)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4.11)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0.557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4.41)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0.604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(0.08,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4.44)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0.608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1.95)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1.95)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0.189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(0.32,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2.71)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2.92)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(0.05,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2.88)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0.359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1.32)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0.688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(0.72,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0.905</w:t>
            </w: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(1.01,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1.87)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2.16)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2.05)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0.077</w:t>
            </w:r>
          </w:p>
        </w:tc>
      </w:tr>
      <w:tr w:rsidR="00EA0E1C" w:rsidRPr="00A20885" w:rsidTr="0067286D">
        <w:trPr>
          <w:trHeight w:val="252"/>
        </w:trPr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1.48)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1.47)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(1.03,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1.48)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0.022</w:t>
            </w:r>
          </w:p>
        </w:tc>
      </w:tr>
      <w:tr w:rsidR="00EA0E1C" w:rsidRPr="00A20885" w:rsidTr="0067286D">
        <w:trPr>
          <w:trHeight w:val="252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EA0E1C" w:rsidRPr="00A20885" w:rsidTr="0067286D">
        <w:trPr>
          <w:trHeight w:val="202"/>
        </w:trPr>
        <w:tc>
          <w:tcPr>
            <w:tcW w:w="1455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EA0E1C" w:rsidRPr="00A20885" w:rsidTr="0067286D">
        <w:trPr>
          <w:trHeight w:val="202"/>
        </w:trPr>
        <w:tc>
          <w:tcPr>
            <w:tcW w:w="145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E1C" w:rsidRPr="00A20885" w:rsidRDefault="00EA0E1C" w:rsidP="0067286D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Protected sources: protected dug well or spring, or water from bottles or tanker truck.</w:t>
            </w:r>
          </w:p>
        </w:tc>
      </w:tr>
    </w:tbl>
    <w:p w:rsidR="00EA0E1C" w:rsidRPr="00A20885" w:rsidRDefault="00EA0E1C">
      <w:pPr>
        <w:rPr>
          <w:rFonts w:cs="Times New Roman"/>
        </w:rPr>
        <w:sectPr w:rsidR="00EA0E1C" w:rsidRPr="00A20885" w:rsidSect="00D2498A">
          <w:pgSz w:w="16838" w:h="11906" w:orient="landscape"/>
          <w:pgMar w:top="680" w:right="851" w:bottom="680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9394" w:type="dxa"/>
        <w:tblLook w:val="04A0" w:firstRow="1" w:lastRow="0" w:firstColumn="1" w:lastColumn="0" w:noHBand="0" w:noVBand="1"/>
      </w:tblPr>
      <w:tblGrid>
        <w:gridCol w:w="5926"/>
        <w:gridCol w:w="222"/>
        <w:gridCol w:w="845"/>
        <w:gridCol w:w="845"/>
        <w:gridCol w:w="847"/>
        <w:gridCol w:w="711"/>
      </w:tblGrid>
      <w:tr w:rsidR="00200F0D" w:rsidRPr="00A20885" w:rsidTr="0084381A">
        <w:trPr>
          <w:trHeight w:val="1"/>
        </w:trPr>
        <w:tc>
          <w:tcPr>
            <w:tcW w:w="9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F05766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Table S</w:t>
            </w:r>
            <w:r w:rsidR="002D4EFA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1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2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Sensitivity analysis: relative risk of stunting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associated with </w:t>
            </w:r>
            <w:r w:rsidR="00F05766"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sociodemographic indices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and theoretically uncorrelated variables (N = 3434). </w:t>
            </w:r>
          </w:p>
        </w:tc>
      </w:tr>
      <w:tr w:rsidR="006E76E2" w:rsidRPr="00A20885" w:rsidTr="0084381A">
        <w:trPr>
          <w:trHeight w:val="1"/>
        </w:trPr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143AF" w:rsidP="006E76E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 ratio</w:t>
            </w:r>
            <w:r w:rsidR="00200F0D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Orthogonal variables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 xml:space="preserve">Maternal heart rate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(0.99,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0.888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Maternal diastolic blood pressure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(1.00,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0.547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Household Streamyx internet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(0.86,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0.860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Motorcycles per household member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1.59)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0.380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(1.00,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1.23)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0.046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1.10)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Malay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Indian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(0.53,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Chinese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(0.52,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Bumiputera/Orang Asli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(0.61,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0.741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Other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(0.42,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2.17)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0.913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BMI-for-age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status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Underweight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(1.01,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0.036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Overweight or obese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(0.70,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0.93)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(0.91,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0.720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(0.85,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0.868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 +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0.378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height (cm) category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160 +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155 - 159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(0.82,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0.834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150 - 154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(0.87,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0.533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145-149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(1.17,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&lt; 145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(1.15,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(0.59,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0.575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(0.85,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0.432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(0.42,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0.92)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0.017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 xml:space="preserve">2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(0.66,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1.74)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0.795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Type of toilet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None, bucket or hanging latrine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Bore hole toilet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(0.24,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1.40)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0.226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Pour flush toilet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(0.17,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0.030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with septic tank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(0.16,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0.85)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0.020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Flush toilet connected with sewerage system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(0.20,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1.07)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0.073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Toilet shared with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household (versus not shared)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(0.78,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2.28)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0.289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source of drinking water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Unprotected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Public standpipe or other protected source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(0.33,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Piped into yard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(0.13,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0.36)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Piped into house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(0.29,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0.41)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sz w:val="16"/>
                <w:szCs w:val="16"/>
                <w:lang w:eastAsia="en-GB"/>
              </w:rPr>
              <w:t>&lt;0.001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0.904</w:t>
            </w:r>
          </w:p>
        </w:tc>
      </w:tr>
      <w:tr w:rsidR="00112661" w:rsidRPr="00A20885" w:rsidTr="0084381A">
        <w:trPr>
          <w:trHeight w:val="190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0.035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(1.02,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1.39)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0.029</w:t>
            </w:r>
          </w:p>
        </w:tc>
      </w:tr>
      <w:tr w:rsidR="00112661" w:rsidRPr="00A20885" w:rsidTr="0084381A">
        <w:trPr>
          <w:trHeight w:val="175"/>
        </w:trPr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00F0D" w:rsidRPr="00A20885" w:rsidTr="0084381A">
        <w:trPr>
          <w:trHeight w:val="175"/>
        </w:trPr>
        <w:tc>
          <w:tcPr>
            <w:tcW w:w="93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200F0D" w:rsidRPr="00A20885" w:rsidTr="0084381A">
        <w:trPr>
          <w:trHeight w:val="1"/>
        </w:trPr>
        <w:tc>
          <w:tcPr>
            <w:tcW w:w="9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F0D" w:rsidRPr="00A20885" w:rsidRDefault="00200F0D" w:rsidP="006E76E2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Living areas include dining rooms but not kitchens;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Bore hole toilet both with or without cover;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4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Unprotected sources: unprotected dug well, or water taken directly from pond or stream;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5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Protected sources: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lastRenderedPageBreak/>
              <w:t>protected dug well or spring, or water from bottles or tanker truck.</w:t>
            </w:r>
          </w:p>
        </w:tc>
      </w:tr>
    </w:tbl>
    <w:p w:rsidR="005046D7" w:rsidRPr="00A20885" w:rsidRDefault="005046D7">
      <w:pPr>
        <w:rPr>
          <w:rFonts w:cs="Times New Roman"/>
        </w:rPr>
      </w:pPr>
    </w:p>
    <w:p w:rsidR="005046D7" w:rsidRPr="00A20885" w:rsidRDefault="005046D7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267443" w:rsidRPr="00A20885" w:rsidRDefault="00267443">
      <w:pPr>
        <w:rPr>
          <w:rFonts w:cs="Times New Roman"/>
        </w:rPr>
      </w:pPr>
    </w:p>
    <w:p w:rsidR="005D588A" w:rsidRPr="00A20885" w:rsidRDefault="005D588A">
      <w:pPr>
        <w:rPr>
          <w:rFonts w:cs="Times New Roman"/>
        </w:rPr>
      </w:pPr>
    </w:p>
    <w:tbl>
      <w:tblPr>
        <w:tblW w:w="8650" w:type="dxa"/>
        <w:tblInd w:w="93" w:type="dxa"/>
        <w:tblLook w:val="04A0" w:firstRow="1" w:lastRow="0" w:firstColumn="1" w:lastColumn="0" w:noHBand="0" w:noVBand="1"/>
      </w:tblPr>
      <w:tblGrid>
        <w:gridCol w:w="3127"/>
        <w:gridCol w:w="253"/>
        <w:gridCol w:w="749"/>
        <w:gridCol w:w="661"/>
        <w:gridCol w:w="749"/>
        <w:gridCol w:w="661"/>
        <w:gridCol w:w="580"/>
        <w:gridCol w:w="661"/>
        <w:gridCol w:w="253"/>
        <w:gridCol w:w="997"/>
      </w:tblGrid>
      <w:tr w:rsidR="00267443" w:rsidRPr="00A20885" w:rsidTr="005620E5">
        <w:trPr>
          <w:trHeight w:val="283"/>
        </w:trPr>
        <w:tc>
          <w:tcPr>
            <w:tcW w:w="8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267443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Table S1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3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Crude prevalence of stunting across categories of number of risk factors.</w:t>
            </w: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Overall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Normal height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Stunted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Number of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factors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1003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(26.5)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784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(78.2)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219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(21.8)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2275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(60.0)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1610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(70.8)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665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(29.2)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479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(12.6)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(62.8)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(37.2)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(50.0)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(50.0)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267443" w:rsidRPr="00A20885" w:rsidTr="005620E5">
        <w:trPr>
          <w:trHeight w:val="283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267443" w:rsidRPr="00A20885" w:rsidTr="005620E5">
        <w:trPr>
          <w:trHeight w:val="283"/>
        </w:trPr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Differences between categories by stunting status were compared using Pearson's Chi squared test. </w:t>
            </w:r>
          </w:p>
        </w:tc>
      </w:tr>
      <w:tr w:rsidR="00267443" w:rsidRPr="00A20885" w:rsidTr="005620E5">
        <w:trPr>
          <w:trHeight w:val="283"/>
        </w:trPr>
        <w:tc>
          <w:tcPr>
            <w:tcW w:w="8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443" w:rsidRPr="00A20885" w:rsidRDefault="00267443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Risk factors include any of the following: Malay ethnicity, child underweight, maternal height less than 145 cm, living in a household with unprotected drinking water source (unprotected dug well, or water taken directly from pond or stream), living in household with no bucket or hanging latrine, and living in a household with a shared toilet.</w:t>
            </w:r>
          </w:p>
        </w:tc>
      </w:tr>
    </w:tbl>
    <w:p w:rsidR="00C5623A" w:rsidRPr="00A20885" w:rsidRDefault="00C5623A">
      <w:pPr>
        <w:rPr>
          <w:rFonts w:cs="Times New Roman"/>
        </w:rPr>
      </w:pPr>
      <w:r w:rsidRPr="00A20885">
        <w:rPr>
          <w:rFonts w:cs="Times New Roman"/>
        </w:rPr>
        <w:br w:type="page"/>
      </w:r>
    </w:p>
    <w:tbl>
      <w:tblPr>
        <w:tblW w:w="7628" w:type="dxa"/>
        <w:tblInd w:w="392" w:type="dxa"/>
        <w:tblLook w:val="04A0" w:firstRow="1" w:lastRow="0" w:firstColumn="1" w:lastColumn="0" w:noHBand="0" w:noVBand="1"/>
      </w:tblPr>
      <w:tblGrid>
        <w:gridCol w:w="3708"/>
        <w:gridCol w:w="222"/>
        <w:gridCol w:w="937"/>
        <w:gridCol w:w="937"/>
        <w:gridCol w:w="938"/>
        <w:gridCol w:w="886"/>
      </w:tblGrid>
      <w:tr w:rsidR="002D2626" w:rsidRPr="00A20885" w:rsidTr="005620E5">
        <w:trPr>
          <w:trHeight w:val="271"/>
        </w:trPr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lastRenderedPageBreak/>
              <w:t>Table S1</w:t>
            </w:r>
            <w:r w:rsidR="00B36FE2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4</w:t>
            </w:r>
            <w:bookmarkStart w:id="0" w:name="_GoBack"/>
            <w:bookmarkEnd w:id="0"/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>. Relative risk of stunting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20"/>
                <w:lang w:eastAsia="en-GB"/>
              </w:rPr>
              <w:t xml:space="preserve"> associated with co-occurring risk factors. 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143AF" w:rsidP="005620E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 ratio</w:t>
            </w:r>
            <w:r w:rsidR="002D2626"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(95% confidence interval)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Number of </w:t>
            </w:r>
            <w:proofErr w:type="gramStart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risk</w:t>
            </w:r>
            <w:proofErr w:type="gramEnd"/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factors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(1.22,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(1.50,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2.27)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2.48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(1.51,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4.09)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&lt;0.001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Female sex (versus male)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(0.99,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0.074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(1.06,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Birth order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(0.88,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0.774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1.18)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0.753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4+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(0.77,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1.26)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0.906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Maternal current underweight (versus BMI ≥ 18.5)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(0.57,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0.501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Rooms per household member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Bedrooms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(0.84,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1.49)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0.452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Bathrooms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(0.43,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0.055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Living areas</w:t>
            </w: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(0.61,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1.65)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0.994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Main method of garbage disposal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Buried, burned or thrown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1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and thrown for recycling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(0.80,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1.34)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0.800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irregularly by local authority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(0.90,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1.71)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0.180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Collected regularly by local authority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(0.98,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1.31)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0.087</w:t>
            </w:r>
          </w:p>
        </w:tc>
      </w:tr>
      <w:tr w:rsidR="002D2626" w:rsidRPr="00A20885" w:rsidTr="005620E5">
        <w:trPr>
          <w:trHeight w:val="27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2D2626" w:rsidRPr="00A20885" w:rsidTr="005620E5">
        <w:trPr>
          <w:trHeight w:val="217"/>
        </w:trPr>
        <w:tc>
          <w:tcPr>
            <w:tcW w:w="7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Estimates based on mixed-effects Poisson regression models adjusted for all other variables above, and for clustering at the household level. </w:t>
            </w:r>
          </w:p>
        </w:tc>
      </w:tr>
      <w:tr w:rsidR="002D2626" w:rsidRPr="00A20885" w:rsidTr="005620E5">
        <w:trPr>
          <w:trHeight w:val="217"/>
        </w:trPr>
        <w:tc>
          <w:tcPr>
            <w:tcW w:w="7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1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Stunting and BMI-for-age were classified using the CDC 2000 reference.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2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Risk factors include any of the following: Malay ethnicity, child underweight, maternal height less than 145 cm, living in a household with unprotected drinking water source (unprotected dug well, or water taken directly from pond or stream), living in household with no bucket or hanging latrine, and living in a household with a shared toilet. 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3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Living areas include dining rooms but not kitchens.</w:t>
            </w:r>
          </w:p>
        </w:tc>
      </w:tr>
      <w:tr w:rsidR="002D2626" w:rsidRPr="00A20885" w:rsidTr="005620E5">
        <w:trPr>
          <w:trHeight w:val="217"/>
        </w:trPr>
        <w:tc>
          <w:tcPr>
            <w:tcW w:w="7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26" w:rsidRPr="00A20885" w:rsidRDefault="002D2626" w:rsidP="005620E5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20885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en-GB"/>
              </w:rPr>
              <w:t>P</w:t>
            </w:r>
            <w:r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for likelihood ratio test comparing this model with an identical model including number of risk factors as a continuous covariate: 0.704.</w:t>
            </w:r>
            <w:r w:rsidR="007D1B15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 In the continuous model, the linear increase in risk of stunting with each additional risk factor was 1.35 (95% confidence interval: 1.23, 1.49</w:t>
            </w:r>
            <w:r w:rsidR="007839E7" w:rsidRPr="00A20885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, P &lt; 0.001).</w:t>
            </w:r>
          </w:p>
        </w:tc>
      </w:tr>
    </w:tbl>
    <w:p w:rsidR="00B93272" w:rsidRPr="00A20885" w:rsidRDefault="00B93272" w:rsidP="00F8333C">
      <w:pPr>
        <w:rPr>
          <w:rFonts w:cs="Times New Roman"/>
        </w:rPr>
      </w:pPr>
    </w:p>
    <w:p w:rsidR="00B93272" w:rsidRPr="00A20885" w:rsidRDefault="00B93272" w:rsidP="00F8333C">
      <w:pPr>
        <w:rPr>
          <w:rFonts w:cs="Times New Roman"/>
        </w:rPr>
      </w:pPr>
    </w:p>
    <w:sectPr w:rsidR="00B93272" w:rsidRPr="00A20885" w:rsidSect="00582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1A" w:rsidRDefault="00A6501A" w:rsidP="00622789">
      <w:r>
        <w:separator/>
      </w:r>
    </w:p>
  </w:endnote>
  <w:endnote w:type="continuationSeparator" w:id="0">
    <w:p w:rsidR="00A6501A" w:rsidRDefault="00A6501A" w:rsidP="0062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</w:rPr>
      <w:id w:val="-329607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E44" w:rsidRPr="0084381A" w:rsidRDefault="00320E44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84381A">
          <w:rPr>
            <w:rFonts w:ascii="Times New Roman" w:hAnsi="Times New Roman" w:cs="Times New Roman"/>
            <w:sz w:val="20"/>
          </w:rPr>
          <w:fldChar w:fldCharType="begin"/>
        </w:r>
        <w:r w:rsidRPr="0084381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84381A">
          <w:rPr>
            <w:rFonts w:ascii="Times New Roman" w:hAnsi="Times New Roman" w:cs="Times New Roman"/>
            <w:sz w:val="20"/>
          </w:rPr>
          <w:fldChar w:fldCharType="separate"/>
        </w:r>
        <w:r w:rsidR="00F3791B">
          <w:rPr>
            <w:rFonts w:ascii="Times New Roman" w:hAnsi="Times New Roman" w:cs="Times New Roman"/>
            <w:noProof/>
            <w:sz w:val="20"/>
          </w:rPr>
          <w:t>1</w:t>
        </w:r>
        <w:r w:rsidRPr="0084381A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20E44" w:rsidRDefault="00320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1A" w:rsidRDefault="00A6501A" w:rsidP="00622789">
      <w:r>
        <w:separator/>
      </w:r>
    </w:p>
  </w:footnote>
  <w:footnote w:type="continuationSeparator" w:id="0">
    <w:p w:rsidR="00A6501A" w:rsidRDefault="00A6501A" w:rsidP="0062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 Light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se99tx22sdwaee9r85tpdwav00fs9zsevw&quot;&gt;My EndNote Library-Saved&lt;record-ids&gt;&lt;item&gt;1539&lt;/item&gt;&lt;/record-ids&gt;&lt;/item&gt;&lt;/Libraries&gt;"/>
  </w:docVars>
  <w:rsids>
    <w:rsidRoot w:val="00B60323"/>
    <w:rsid w:val="00004D32"/>
    <w:rsid w:val="00013A64"/>
    <w:rsid w:val="0002485A"/>
    <w:rsid w:val="00025CAE"/>
    <w:rsid w:val="00045B07"/>
    <w:rsid w:val="00045FD2"/>
    <w:rsid w:val="0004631C"/>
    <w:rsid w:val="000468E7"/>
    <w:rsid w:val="00064F28"/>
    <w:rsid w:val="00067A1D"/>
    <w:rsid w:val="00071CE2"/>
    <w:rsid w:val="00072EF6"/>
    <w:rsid w:val="000737E2"/>
    <w:rsid w:val="00074C53"/>
    <w:rsid w:val="00082C18"/>
    <w:rsid w:val="00087F5B"/>
    <w:rsid w:val="00095FE4"/>
    <w:rsid w:val="000C714C"/>
    <w:rsid w:val="000C7C9F"/>
    <w:rsid w:val="000D5936"/>
    <w:rsid w:val="000E063D"/>
    <w:rsid w:val="000E52E4"/>
    <w:rsid w:val="000F1CF2"/>
    <w:rsid w:val="000F2082"/>
    <w:rsid w:val="000F7490"/>
    <w:rsid w:val="00112661"/>
    <w:rsid w:val="00117118"/>
    <w:rsid w:val="0012305B"/>
    <w:rsid w:val="001324BF"/>
    <w:rsid w:val="00134EF5"/>
    <w:rsid w:val="00137ACE"/>
    <w:rsid w:val="00142FEC"/>
    <w:rsid w:val="00153B60"/>
    <w:rsid w:val="00155E33"/>
    <w:rsid w:val="00156A37"/>
    <w:rsid w:val="00171FD7"/>
    <w:rsid w:val="00171FF9"/>
    <w:rsid w:val="00172ACE"/>
    <w:rsid w:val="00172AD1"/>
    <w:rsid w:val="00173DA3"/>
    <w:rsid w:val="00181212"/>
    <w:rsid w:val="001941A5"/>
    <w:rsid w:val="001A7304"/>
    <w:rsid w:val="001C2E46"/>
    <w:rsid w:val="001C597B"/>
    <w:rsid w:val="001E0E72"/>
    <w:rsid w:val="001E15D7"/>
    <w:rsid w:val="001E2141"/>
    <w:rsid w:val="001E4D70"/>
    <w:rsid w:val="001E6787"/>
    <w:rsid w:val="001F45DE"/>
    <w:rsid w:val="00200F0D"/>
    <w:rsid w:val="002143AF"/>
    <w:rsid w:val="00220C5F"/>
    <w:rsid w:val="0022109F"/>
    <w:rsid w:val="002407F4"/>
    <w:rsid w:val="00242833"/>
    <w:rsid w:val="0024650D"/>
    <w:rsid w:val="002465B9"/>
    <w:rsid w:val="00260CBC"/>
    <w:rsid w:val="00264EFF"/>
    <w:rsid w:val="00267443"/>
    <w:rsid w:val="0027784D"/>
    <w:rsid w:val="002A0F3E"/>
    <w:rsid w:val="002B120B"/>
    <w:rsid w:val="002B1F4E"/>
    <w:rsid w:val="002D2626"/>
    <w:rsid w:val="002D2FB7"/>
    <w:rsid w:val="002D37C6"/>
    <w:rsid w:val="002D4EFA"/>
    <w:rsid w:val="002D7F27"/>
    <w:rsid w:val="002F1B84"/>
    <w:rsid w:val="00302D3F"/>
    <w:rsid w:val="003122BA"/>
    <w:rsid w:val="00317BC2"/>
    <w:rsid w:val="00320E44"/>
    <w:rsid w:val="00322844"/>
    <w:rsid w:val="003272B6"/>
    <w:rsid w:val="00345F21"/>
    <w:rsid w:val="003462ED"/>
    <w:rsid w:val="0037306C"/>
    <w:rsid w:val="00373FDE"/>
    <w:rsid w:val="003871C6"/>
    <w:rsid w:val="00390CB5"/>
    <w:rsid w:val="00394FC4"/>
    <w:rsid w:val="003A1DD5"/>
    <w:rsid w:val="003A2ABB"/>
    <w:rsid w:val="003A47FF"/>
    <w:rsid w:val="003B62E8"/>
    <w:rsid w:val="003B632C"/>
    <w:rsid w:val="003C348D"/>
    <w:rsid w:val="003D2577"/>
    <w:rsid w:val="003D7E5C"/>
    <w:rsid w:val="003E039B"/>
    <w:rsid w:val="003F088D"/>
    <w:rsid w:val="003F1FDA"/>
    <w:rsid w:val="003F5701"/>
    <w:rsid w:val="004044A1"/>
    <w:rsid w:val="00405446"/>
    <w:rsid w:val="004070FB"/>
    <w:rsid w:val="00416020"/>
    <w:rsid w:val="0042500A"/>
    <w:rsid w:val="00431144"/>
    <w:rsid w:val="00440FB1"/>
    <w:rsid w:val="00447C5B"/>
    <w:rsid w:val="0045088E"/>
    <w:rsid w:val="00455F2C"/>
    <w:rsid w:val="0045601F"/>
    <w:rsid w:val="0046270C"/>
    <w:rsid w:val="00465E63"/>
    <w:rsid w:val="00467876"/>
    <w:rsid w:val="0049445E"/>
    <w:rsid w:val="004A01A4"/>
    <w:rsid w:val="004A0D9E"/>
    <w:rsid w:val="004B02C7"/>
    <w:rsid w:val="004B0B87"/>
    <w:rsid w:val="004C111C"/>
    <w:rsid w:val="004C6865"/>
    <w:rsid w:val="004E7AB0"/>
    <w:rsid w:val="004F0BA5"/>
    <w:rsid w:val="005021E7"/>
    <w:rsid w:val="005046D7"/>
    <w:rsid w:val="00510281"/>
    <w:rsid w:val="0051373A"/>
    <w:rsid w:val="005312B8"/>
    <w:rsid w:val="005441D7"/>
    <w:rsid w:val="00553DEE"/>
    <w:rsid w:val="0055738C"/>
    <w:rsid w:val="00567964"/>
    <w:rsid w:val="00581E09"/>
    <w:rsid w:val="005824C2"/>
    <w:rsid w:val="00582B5D"/>
    <w:rsid w:val="00591A6A"/>
    <w:rsid w:val="005A0467"/>
    <w:rsid w:val="005A122A"/>
    <w:rsid w:val="005D588A"/>
    <w:rsid w:val="005D5D84"/>
    <w:rsid w:val="005E55FA"/>
    <w:rsid w:val="005F45C8"/>
    <w:rsid w:val="00600F9C"/>
    <w:rsid w:val="006051C1"/>
    <w:rsid w:val="00607548"/>
    <w:rsid w:val="00615D7D"/>
    <w:rsid w:val="00620499"/>
    <w:rsid w:val="00622789"/>
    <w:rsid w:val="0062623C"/>
    <w:rsid w:val="00630358"/>
    <w:rsid w:val="0063481D"/>
    <w:rsid w:val="00637B82"/>
    <w:rsid w:val="00656E2A"/>
    <w:rsid w:val="006671E4"/>
    <w:rsid w:val="00670ACD"/>
    <w:rsid w:val="0067286D"/>
    <w:rsid w:val="0067492F"/>
    <w:rsid w:val="006815DB"/>
    <w:rsid w:val="00683780"/>
    <w:rsid w:val="0069615F"/>
    <w:rsid w:val="006966DD"/>
    <w:rsid w:val="006A5B3E"/>
    <w:rsid w:val="006B3EB0"/>
    <w:rsid w:val="006B6CE7"/>
    <w:rsid w:val="006C44B1"/>
    <w:rsid w:val="006C688B"/>
    <w:rsid w:val="006D6A70"/>
    <w:rsid w:val="006E76E2"/>
    <w:rsid w:val="00711DEE"/>
    <w:rsid w:val="0072467D"/>
    <w:rsid w:val="00724881"/>
    <w:rsid w:val="007258EA"/>
    <w:rsid w:val="007501B9"/>
    <w:rsid w:val="007709FC"/>
    <w:rsid w:val="00776F26"/>
    <w:rsid w:val="0078005E"/>
    <w:rsid w:val="007839E7"/>
    <w:rsid w:val="007843CB"/>
    <w:rsid w:val="00786DAE"/>
    <w:rsid w:val="0078722F"/>
    <w:rsid w:val="00793F47"/>
    <w:rsid w:val="00795881"/>
    <w:rsid w:val="007971DB"/>
    <w:rsid w:val="007A1536"/>
    <w:rsid w:val="007A7A18"/>
    <w:rsid w:val="007B1DE1"/>
    <w:rsid w:val="007B4667"/>
    <w:rsid w:val="007D1B15"/>
    <w:rsid w:val="007D638A"/>
    <w:rsid w:val="007E1EDA"/>
    <w:rsid w:val="007E289A"/>
    <w:rsid w:val="007E4FB0"/>
    <w:rsid w:val="007E5E2D"/>
    <w:rsid w:val="007F724A"/>
    <w:rsid w:val="00801A3A"/>
    <w:rsid w:val="008059BE"/>
    <w:rsid w:val="00811169"/>
    <w:rsid w:val="00815F86"/>
    <w:rsid w:val="00822F67"/>
    <w:rsid w:val="0083430F"/>
    <w:rsid w:val="0084012B"/>
    <w:rsid w:val="0084381A"/>
    <w:rsid w:val="00845609"/>
    <w:rsid w:val="00845F08"/>
    <w:rsid w:val="00851ABB"/>
    <w:rsid w:val="008575D7"/>
    <w:rsid w:val="00866572"/>
    <w:rsid w:val="00877C2C"/>
    <w:rsid w:val="0088726F"/>
    <w:rsid w:val="008C322F"/>
    <w:rsid w:val="008E3A26"/>
    <w:rsid w:val="008E6C1C"/>
    <w:rsid w:val="008E6DD0"/>
    <w:rsid w:val="00906BFB"/>
    <w:rsid w:val="009209B5"/>
    <w:rsid w:val="00921F87"/>
    <w:rsid w:val="00922C37"/>
    <w:rsid w:val="00942009"/>
    <w:rsid w:val="00977F44"/>
    <w:rsid w:val="009856B7"/>
    <w:rsid w:val="00986389"/>
    <w:rsid w:val="00992CFE"/>
    <w:rsid w:val="00993313"/>
    <w:rsid w:val="00996CB3"/>
    <w:rsid w:val="009A5294"/>
    <w:rsid w:val="009B47F1"/>
    <w:rsid w:val="009B74D8"/>
    <w:rsid w:val="009C21D6"/>
    <w:rsid w:val="009D4412"/>
    <w:rsid w:val="009E045C"/>
    <w:rsid w:val="009E22CF"/>
    <w:rsid w:val="009E3E7C"/>
    <w:rsid w:val="009E5665"/>
    <w:rsid w:val="009E6E96"/>
    <w:rsid w:val="009F2F8C"/>
    <w:rsid w:val="00A01F8B"/>
    <w:rsid w:val="00A0735E"/>
    <w:rsid w:val="00A12012"/>
    <w:rsid w:val="00A1209B"/>
    <w:rsid w:val="00A20885"/>
    <w:rsid w:val="00A340B5"/>
    <w:rsid w:val="00A46BB4"/>
    <w:rsid w:val="00A53273"/>
    <w:rsid w:val="00A6501A"/>
    <w:rsid w:val="00A73169"/>
    <w:rsid w:val="00A81006"/>
    <w:rsid w:val="00A819DE"/>
    <w:rsid w:val="00A838D9"/>
    <w:rsid w:val="00AB4EEC"/>
    <w:rsid w:val="00AB509F"/>
    <w:rsid w:val="00AC52E3"/>
    <w:rsid w:val="00AE7ABB"/>
    <w:rsid w:val="00B065CE"/>
    <w:rsid w:val="00B06727"/>
    <w:rsid w:val="00B17ABD"/>
    <w:rsid w:val="00B25A3C"/>
    <w:rsid w:val="00B30C51"/>
    <w:rsid w:val="00B31380"/>
    <w:rsid w:val="00B3633B"/>
    <w:rsid w:val="00B36FE2"/>
    <w:rsid w:val="00B37F14"/>
    <w:rsid w:val="00B436DC"/>
    <w:rsid w:val="00B458A2"/>
    <w:rsid w:val="00B60323"/>
    <w:rsid w:val="00B75B89"/>
    <w:rsid w:val="00B76F37"/>
    <w:rsid w:val="00B86460"/>
    <w:rsid w:val="00B90E69"/>
    <w:rsid w:val="00B91460"/>
    <w:rsid w:val="00B93272"/>
    <w:rsid w:val="00B97E8F"/>
    <w:rsid w:val="00BA67B9"/>
    <w:rsid w:val="00BB02BC"/>
    <w:rsid w:val="00BB1294"/>
    <w:rsid w:val="00BB20FF"/>
    <w:rsid w:val="00BB6DC9"/>
    <w:rsid w:val="00BC1A2D"/>
    <w:rsid w:val="00BC6331"/>
    <w:rsid w:val="00BC67A0"/>
    <w:rsid w:val="00BC6C7B"/>
    <w:rsid w:val="00BE47D0"/>
    <w:rsid w:val="00BE4F50"/>
    <w:rsid w:val="00BF2932"/>
    <w:rsid w:val="00BF44CC"/>
    <w:rsid w:val="00C17AF1"/>
    <w:rsid w:val="00C31FCD"/>
    <w:rsid w:val="00C341F4"/>
    <w:rsid w:val="00C377D9"/>
    <w:rsid w:val="00C44E8C"/>
    <w:rsid w:val="00C53422"/>
    <w:rsid w:val="00C545C7"/>
    <w:rsid w:val="00C5623A"/>
    <w:rsid w:val="00C56C51"/>
    <w:rsid w:val="00C57704"/>
    <w:rsid w:val="00C612D6"/>
    <w:rsid w:val="00C62F3E"/>
    <w:rsid w:val="00C84A69"/>
    <w:rsid w:val="00C9202A"/>
    <w:rsid w:val="00C9339E"/>
    <w:rsid w:val="00CB102F"/>
    <w:rsid w:val="00CB4944"/>
    <w:rsid w:val="00CD36E4"/>
    <w:rsid w:val="00CF382B"/>
    <w:rsid w:val="00CF66CF"/>
    <w:rsid w:val="00D032F1"/>
    <w:rsid w:val="00D125AB"/>
    <w:rsid w:val="00D14DE7"/>
    <w:rsid w:val="00D20A34"/>
    <w:rsid w:val="00D2498A"/>
    <w:rsid w:val="00D26998"/>
    <w:rsid w:val="00D37263"/>
    <w:rsid w:val="00D4458D"/>
    <w:rsid w:val="00D44CF8"/>
    <w:rsid w:val="00D506DD"/>
    <w:rsid w:val="00D50DAE"/>
    <w:rsid w:val="00D612CF"/>
    <w:rsid w:val="00D62E75"/>
    <w:rsid w:val="00D64438"/>
    <w:rsid w:val="00D925FA"/>
    <w:rsid w:val="00D92973"/>
    <w:rsid w:val="00D929D3"/>
    <w:rsid w:val="00D92F2C"/>
    <w:rsid w:val="00D95029"/>
    <w:rsid w:val="00DB49FC"/>
    <w:rsid w:val="00DC5445"/>
    <w:rsid w:val="00DE7E14"/>
    <w:rsid w:val="00DF4830"/>
    <w:rsid w:val="00DF7E86"/>
    <w:rsid w:val="00E11B86"/>
    <w:rsid w:val="00E132FD"/>
    <w:rsid w:val="00E20A09"/>
    <w:rsid w:val="00E231F2"/>
    <w:rsid w:val="00E3515A"/>
    <w:rsid w:val="00E44688"/>
    <w:rsid w:val="00E44A23"/>
    <w:rsid w:val="00E46EE1"/>
    <w:rsid w:val="00E51D51"/>
    <w:rsid w:val="00E6012C"/>
    <w:rsid w:val="00E80220"/>
    <w:rsid w:val="00E80AFF"/>
    <w:rsid w:val="00EA0E1C"/>
    <w:rsid w:val="00EA5583"/>
    <w:rsid w:val="00EB03C4"/>
    <w:rsid w:val="00EB3524"/>
    <w:rsid w:val="00EC4E7D"/>
    <w:rsid w:val="00EC5CE4"/>
    <w:rsid w:val="00ED4EB6"/>
    <w:rsid w:val="00EE2D84"/>
    <w:rsid w:val="00F05766"/>
    <w:rsid w:val="00F151D1"/>
    <w:rsid w:val="00F314A8"/>
    <w:rsid w:val="00F3791B"/>
    <w:rsid w:val="00F4349D"/>
    <w:rsid w:val="00F46AE8"/>
    <w:rsid w:val="00F478B1"/>
    <w:rsid w:val="00F54A57"/>
    <w:rsid w:val="00F62F9B"/>
    <w:rsid w:val="00F74BF9"/>
    <w:rsid w:val="00F81685"/>
    <w:rsid w:val="00F8333C"/>
    <w:rsid w:val="00F8503A"/>
    <w:rsid w:val="00F8514C"/>
    <w:rsid w:val="00F9163C"/>
    <w:rsid w:val="00FA1D2B"/>
    <w:rsid w:val="00FB7B44"/>
    <w:rsid w:val="00FC4FC2"/>
    <w:rsid w:val="00FE154D"/>
    <w:rsid w:val="00FE167A"/>
    <w:rsid w:val="00FE63B6"/>
    <w:rsid w:val="00FF09F2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26DD"/>
  <w15:docId w15:val="{B25C133F-6CFC-ED40-B19A-FA21CEC2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9B5"/>
  </w:style>
  <w:style w:type="paragraph" w:styleId="BalloonText">
    <w:name w:val="Balloon Text"/>
    <w:basedOn w:val="Normal"/>
    <w:link w:val="BalloonTextChar"/>
    <w:uiPriority w:val="99"/>
    <w:semiHidden/>
    <w:unhideWhenUsed/>
    <w:rsid w:val="00072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7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789"/>
  </w:style>
  <w:style w:type="paragraph" w:styleId="Footer">
    <w:name w:val="footer"/>
    <w:basedOn w:val="Normal"/>
    <w:link w:val="FooterChar"/>
    <w:uiPriority w:val="99"/>
    <w:unhideWhenUsed/>
    <w:rsid w:val="006227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789"/>
  </w:style>
  <w:style w:type="paragraph" w:styleId="NormalWeb">
    <w:name w:val="Normal (Web)"/>
    <w:basedOn w:val="Normal"/>
    <w:uiPriority w:val="99"/>
    <w:semiHidden/>
    <w:unhideWhenUsed/>
    <w:rsid w:val="007258E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11B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B86"/>
    <w:rPr>
      <w:color w:val="800080"/>
      <w:u w:val="single"/>
    </w:rPr>
  </w:style>
  <w:style w:type="paragraph" w:customStyle="1" w:styleId="font5">
    <w:name w:val="font5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font8">
    <w:name w:val="font8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4"/>
      <w:szCs w:val="14"/>
      <w:lang w:eastAsia="en-GB"/>
    </w:rPr>
  </w:style>
  <w:style w:type="paragraph" w:customStyle="1" w:styleId="font9">
    <w:name w:val="font9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4"/>
      <w:szCs w:val="14"/>
      <w:lang w:eastAsia="en-GB"/>
    </w:rPr>
  </w:style>
  <w:style w:type="paragraph" w:customStyle="1" w:styleId="font10">
    <w:name w:val="font10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font11">
    <w:name w:val="font11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font12">
    <w:name w:val="font12"/>
    <w:basedOn w:val="Normal"/>
    <w:rsid w:val="00E11B86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en-GB"/>
    </w:rPr>
  </w:style>
  <w:style w:type="paragraph" w:customStyle="1" w:styleId="font13">
    <w:name w:val="font13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65">
    <w:name w:val="xl65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en-GB"/>
    </w:rPr>
  </w:style>
  <w:style w:type="paragraph" w:customStyle="1" w:styleId="xl67">
    <w:name w:val="xl67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71">
    <w:name w:val="xl71"/>
    <w:basedOn w:val="Normal"/>
    <w:rsid w:val="00E11B86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2">
    <w:name w:val="xl72"/>
    <w:basedOn w:val="Normal"/>
    <w:rsid w:val="00E11B86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3">
    <w:name w:val="xl73"/>
    <w:basedOn w:val="Normal"/>
    <w:rsid w:val="00E11B86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E11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75">
    <w:name w:val="xl75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76">
    <w:name w:val="xl76"/>
    <w:basedOn w:val="Normal"/>
    <w:rsid w:val="00E11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E11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E11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i/>
      <w:iCs/>
      <w:sz w:val="18"/>
      <w:szCs w:val="18"/>
      <w:lang w:eastAsia="en-GB"/>
    </w:rPr>
  </w:style>
  <w:style w:type="paragraph" w:customStyle="1" w:styleId="xl79">
    <w:name w:val="xl79"/>
    <w:basedOn w:val="Normal"/>
    <w:rsid w:val="00E11B8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81">
    <w:name w:val="xl81"/>
    <w:basedOn w:val="Normal"/>
    <w:rsid w:val="00E11B86"/>
    <w:pPr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83">
    <w:name w:val="xl83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E11B86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xl85">
    <w:name w:val="xl85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4"/>
      <w:szCs w:val="14"/>
      <w:lang w:eastAsia="en-GB"/>
    </w:rPr>
  </w:style>
  <w:style w:type="paragraph" w:customStyle="1" w:styleId="xl86">
    <w:name w:val="xl86"/>
    <w:basedOn w:val="Normal"/>
    <w:rsid w:val="00E11B86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4"/>
      <w:szCs w:val="14"/>
      <w:lang w:eastAsia="en-GB"/>
    </w:rPr>
  </w:style>
  <w:style w:type="paragraph" w:customStyle="1" w:styleId="xl87">
    <w:name w:val="xl87"/>
    <w:basedOn w:val="Normal"/>
    <w:rsid w:val="00E11B86"/>
    <w:pPr>
      <w:spacing w:before="100" w:beforeAutospacing="1" w:after="100" w:afterAutospacing="1"/>
    </w:pPr>
    <w:rPr>
      <w:rFonts w:eastAsia="Times New Roman" w:cs="Times New Roman"/>
      <w:sz w:val="14"/>
      <w:szCs w:val="14"/>
      <w:lang w:eastAsia="en-GB"/>
    </w:rPr>
  </w:style>
  <w:style w:type="paragraph" w:customStyle="1" w:styleId="xl88">
    <w:name w:val="xl88"/>
    <w:basedOn w:val="Normal"/>
    <w:rsid w:val="00E11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89">
    <w:name w:val="xl89"/>
    <w:basedOn w:val="Normal"/>
    <w:rsid w:val="00E11B86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90">
    <w:name w:val="xl90"/>
    <w:basedOn w:val="Normal"/>
    <w:rsid w:val="00E11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91">
    <w:name w:val="xl91"/>
    <w:basedOn w:val="Normal"/>
    <w:rsid w:val="003E03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3E039B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en-GB"/>
    </w:rPr>
  </w:style>
  <w:style w:type="paragraph" w:customStyle="1" w:styleId="xl93">
    <w:name w:val="xl93"/>
    <w:basedOn w:val="Normal"/>
    <w:rsid w:val="003E039B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94">
    <w:name w:val="xl94"/>
    <w:basedOn w:val="Normal"/>
    <w:rsid w:val="00317BC2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en-GB"/>
    </w:rPr>
  </w:style>
  <w:style w:type="paragraph" w:customStyle="1" w:styleId="xl95">
    <w:name w:val="xl95"/>
    <w:basedOn w:val="Normal"/>
    <w:rsid w:val="00317BC2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96">
    <w:name w:val="xl96"/>
    <w:basedOn w:val="Normal"/>
    <w:rsid w:val="00317BC2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97">
    <w:name w:val="xl97"/>
    <w:basedOn w:val="Normal"/>
    <w:rsid w:val="00317BC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98">
    <w:name w:val="xl98"/>
    <w:basedOn w:val="Normal"/>
    <w:rsid w:val="00317B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99">
    <w:name w:val="xl99"/>
    <w:basedOn w:val="Normal"/>
    <w:rsid w:val="00317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317BC2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F4349D"/>
    <w:pPr>
      <w:spacing w:before="100" w:beforeAutospacing="1" w:after="100" w:afterAutospacing="1"/>
    </w:pPr>
    <w:rPr>
      <w:rFonts w:eastAsia="Times New Roman" w:cs="Times New Roman"/>
      <w:b/>
      <w:bCs/>
      <w:sz w:val="18"/>
      <w:szCs w:val="18"/>
      <w:lang w:eastAsia="en-GB"/>
    </w:rPr>
  </w:style>
  <w:style w:type="paragraph" w:customStyle="1" w:styleId="xl64">
    <w:name w:val="xl64"/>
    <w:basedOn w:val="Normal"/>
    <w:rsid w:val="00F4349D"/>
    <w:pPr>
      <w:spacing w:before="100" w:beforeAutospacing="1" w:after="100" w:afterAutospacing="1"/>
    </w:pPr>
    <w:rPr>
      <w:rFonts w:eastAsia="Times New Roman" w:cs="Times New Roman"/>
      <w:b/>
      <w:bCs/>
      <w:sz w:val="16"/>
      <w:szCs w:val="16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B9327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327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3272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3272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A064-640C-7D4C-8D98-0F2CFE5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40631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Uttara Partap</dc:creator>
  <cp:lastModifiedBy>Uttara Partap</cp:lastModifiedBy>
  <cp:revision>6</cp:revision>
  <cp:lastPrinted>2017-04-27T07:45:00Z</cp:lastPrinted>
  <dcterms:created xsi:type="dcterms:W3CDTF">2017-07-19T09:22:00Z</dcterms:created>
  <dcterms:modified xsi:type="dcterms:W3CDTF">2018-11-29T18:01:00Z</dcterms:modified>
</cp:coreProperties>
</file>