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47D8" w14:textId="77777777" w:rsidR="00E3132E" w:rsidRDefault="00E3132E" w:rsidP="00E3132E">
      <w:pPr>
        <w:pStyle w:val="Heading1"/>
        <w:adjustRightInd w:val="0"/>
        <w:snapToGrid w:val="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Appendix 1</w:t>
      </w:r>
    </w:p>
    <w:p w14:paraId="7A8706D3" w14:textId="77777777" w:rsidR="00E3132E" w:rsidRPr="00EF2C71" w:rsidRDefault="00E3132E" w:rsidP="00E3132E">
      <w:pPr>
        <w:pStyle w:val="Caption"/>
        <w:spacing w:line="360" w:lineRule="auto"/>
        <w:rPr>
          <w:rFonts w:cstheme="majorBidi"/>
          <w:color w:val="auto"/>
          <w:sz w:val="20"/>
          <w:szCs w:val="20"/>
        </w:rPr>
      </w:pPr>
      <w:bookmarkStart w:id="0" w:name="_Ref531690519"/>
      <w:r w:rsidRPr="00EF2C71">
        <w:rPr>
          <w:rFonts w:cstheme="majorBidi"/>
          <w:color w:val="auto"/>
          <w:sz w:val="20"/>
          <w:szCs w:val="20"/>
        </w:rPr>
        <w:t xml:space="preserve">Figure </w:t>
      </w:r>
      <w:bookmarkEnd w:id="0"/>
      <w:r>
        <w:rPr>
          <w:rFonts w:cstheme="majorBidi"/>
          <w:color w:val="auto"/>
          <w:sz w:val="20"/>
          <w:szCs w:val="20"/>
        </w:rPr>
        <w:t>A.1</w:t>
      </w:r>
      <w:r w:rsidRPr="00EF2C71">
        <w:rPr>
          <w:rFonts w:cstheme="majorBidi"/>
          <w:color w:val="auto"/>
          <w:sz w:val="20"/>
          <w:szCs w:val="20"/>
        </w:rPr>
        <w:t>: Total number of children (top figure) and number of children born alive by age group and year (1990, 2006, 2012 and 2017-2018)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3132E" w:rsidRPr="00DB731F" w14:paraId="7925E9D6" w14:textId="77777777" w:rsidTr="00AE1B4B">
        <w:trPr>
          <w:trHeight w:val="145"/>
          <w:jc w:val="center"/>
        </w:trPr>
        <w:tc>
          <w:tcPr>
            <w:tcW w:w="6804" w:type="dxa"/>
          </w:tcPr>
          <w:p w14:paraId="291DD94B" w14:textId="77777777" w:rsidR="00E3132E" w:rsidRPr="00DB731F" w:rsidRDefault="00E3132E" w:rsidP="00AE1B4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12DA997" wp14:editId="6FCFD62D">
                  <wp:extent cx="4069080" cy="2339340"/>
                  <wp:effectExtent l="0" t="0" r="7620" b="3810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3847DC-B811-4FBF-BD27-71C7D2BE5E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E3132E" w:rsidRPr="00DB731F" w14:paraId="1A10BF6E" w14:textId="77777777" w:rsidTr="00AE1B4B">
        <w:trPr>
          <w:trHeight w:val="145"/>
          <w:jc w:val="center"/>
        </w:trPr>
        <w:tc>
          <w:tcPr>
            <w:tcW w:w="6804" w:type="dxa"/>
          </w:tcPr>
          <w:p w14:paraId="3E889D8B" w14:textId="77777777" w:rsidR="00E3132E" w:rsidRPr="00DB731F" w:rsidRDefault="00E3132E" w:rsidP="00AE1B4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135871C3" wp14:editId="43111198">
                  <wp:extent cx="4091940" cy="2209800"/>
                  <wp:effectExtent l="0" t="0" r="3810" b="0"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D9977A-51FF-46C6-BFF6-0F7F6D1B0E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14:paraId="0F8CA1F3" w14:textId="77777777" w:rsidR="00E3132E" w:rsidRPr="00EF2C71" w:rsidRDefault="00E3132E" w:rsidP="00E3132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EF2C71">
        <w:rPr>
          <w:i/>
          <w:iCs/>
          <w:sz w:val="20"/>
          <w:szCs w:val="20"/>
        </w:rPr>
        <w:t xml:space="preserve">Note: Authors’ calculation based on DHS surveys from 1991, 2006,2012 and 2017-2018. The histograms refer to women in different age groups; from left to right: 15-19, 20-24, 25-29, 30-34, 35-39, 40-44, 45-49. </w:t>
      </w:r>
      <w:bookmarkStart w:id="1" w:name="_Hlk82090500"/>
      <w:r w:rsidRPr="002F2F7D">
        <w:rPr>
          <w:i/>
          <w:iCs/>
          <w:sz w:val="20"/>
          <w:szCs w:val="20"/>
        </w:rPr>
        <w:t>The figures on the total fertility rate stemming from the DHS are comparable with the figures from the WDI, with the only difference being in 1990. DHS data indicate a total fertility rate of 4.63 whereas WDI of 6.02</w:t>
      </w:r>
      <w:r w:rsidRPr="00EF2C71">
        <w:rPr>
          <w:i/>
          <w:iCs/>
          <w:sz w:val="20"/>
          <w:szCs w:val="20"/>
        </w:rPr>
        <w:t xml:space="preserve">. </w:t>
      </w:r>
      <w:bookmarkEnd w:id="1"/>
    </w:p>
    <w:p w14:paraId="411C402D" w14:textId="77777777" w:rsidR="00983C69" w:rsidRDefault="00983C69"/>
    <w:sectPr w:rsidR="00983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6F"/>
    <w:rsid w:val="00983C69"/>
    <w:rsid w:val="00D5136F"/>
    <w:rsid w:val="00E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9E060-C19E-48BD-9D4B-2B8048B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3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E3132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132E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t5907r\Dropbox\papers\Paper\Fertility%20and%20tv%20series%20Pakistan\Data\Summary%20statistics\Summary%20statistics_Pakistan%20and%20fertili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t5907r\Dropbox\papers\Paper\Fertility%20and%20tv%20series%20Pakistan\Data\Summary%20statistics\Summary%20statistics_Pakistan%20and%20fertili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Children!$X$6:$X$9</c:f>
              <c:numCache>
                <c:formatCode>General</c:formatCode>
                <c:ptCount val="4"/>
                <c:pt idx="0">
                  <c:v>1.33</c:v>
                </c:pt>
                <c:pt idx="1">
                  <c:v>1.26</c:v>
                </c:pt>
                <c:pt idx="2">
                  <c:v>1.17</c:v>
                </c:pt>
                <c:pt idx="3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1-4D47-AA93-489C2CF42BBA}"/>
            </c:ext>
          </c:extLst>
        </c:ser>
        <c:ser>
          <c:idx val="1"/>
          <c:order val="1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Children!$Y$6:$Y$9</c:f>
              <c:numCache>
                <c:formatCode>General</c:formatCode>
                <c:ptCount val="4"/>
                <c:pt idx="0">
                  <c:v>2.1800000000000002</c:v>
                </c:pt>
                <c:pt idx="1">
                  <c:v>1.99</c:v>
                </c:pt>
                <c:pt idx="2">
                  <c:v>1.88</c:v>
                </c:pt>
                <c:pt idx="3">
                  <c:v>1.86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E1-4D47-AA93-489C2CF42BBA}"/>
            </c:ext>
          </c:extLst>
        </c:ser>
        <c:ser>
          <c:idx val="2"/>
          <c:order val="2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Children!$Z$6:$Z$9</c:f>
              <c:numCache>
                <c:formatCode>General</c:formatCode>
                <c:ptCount val="4"/>
                <c:pt idx="0">
                  <c:v>3.45</c:v>
                </c:pt>
                <c:pt idx="1">
                  <c:v>3.06</c:v>
                </c:pt>
                <c:pt idx="2">
                  <c:v>2.92</c:v>
                </c:pt>
                <c:pt idx="3">
                  <c:v>2.77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E1-4D47-AA93-489C2CF42BBA}"/>
            </c:ext>
          </c:extLst>
        </c:ser>
        <c:ser>
          <c:idx val="3"/>
          <c:order val="3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Children!$AA$6:$AA$9</c:f>
              <c:numCache>
                <c:formatCode>General</c:formatCode>
                <c:ptCount val="4"/>
                <c:pt idx="0">
                  <c:v>4.79</c:v>
                </c:pt>
                <c:pt idx="1">
                  <c:v>4.3499999999999996</c:v>
                </c:pt>
                <c:pt idx="2">
                  <c:v>4.2300000000000004</c:v>
                </c:pt>
                <c:pt idx="3">
                  <c:v>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E1-4D47-AA93-489C2CF42BBA}"/>
            </c:ext>
          </c:extLst>
        </c:ser>
        <c:ser>
          <c:idx val="4"/>
          <c:order val="4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Children!$AB$6:$AB$9</c:f>
              <c:numCache>
                <c:formatCode>General</c:formatCode>
                <c:ptCount val="4"/>
                <c:pt idx="0">
                  <c:v>5.81</c:v>
                </c:pt>
                <c:pt idx="1">
                  <c:v>5.36</c:v>
                </c:pt>
                <c:pt idx="2">
                  <c:v>5.57</c:v>
                </c:pt>
                <c:pt idx="3">
                  <c:v>4.58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E1-4D47-AA93-489C2CF42BBA}"/>
            </c:ext>
          </c:extLst>
        </c:ser>
        <c:ser>
          <c:idx val="5"/>
          <c:order val="5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Children!$AC$6:$AC$9</c:f>
              <c:numCache>
                <c:formatCode>General</c:formatCode>
                <c:ptCount val="4"/>
                <c:pt idx="0">
                  <c:v>6.59</c:v>
                </c:pt>
                <c:pt idx="1">
                  <c:v>6.12</c:v>
                </c:pt>
                <c:pt idx="2">
                  <c:v>6.89</c:v>
                </c:pt>
                <c:pt idx="3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E1-4D47-AA93-489C2CF42BBA}"/>
            </c:ext>
          </c:extLst>
        </c:ser>
        <c:ser>
          <c:idx val="6"/>
          <c:order val="6"/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Children!$W$6:$W$9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Children!$AD$6:$AD$9</c:f>
              <c:numCache>
                <c:formatCode>General</c:formatCode>
                <c:ptCount val="4"/>
                <c:pt idx="0">
                  <c:v>6.84</c:v>
                </c:pt>
                <c:pt idx="1">
                  <c:v>6.66</c:v>
                </c:pt>
                <c:pt idx="2">
                  <c:v>6.69</c:v>
                </c:pt>
                <c:pt idx="3">
                  <c:v>5.66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E1-4D47-AA93-489C2CF42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210095"/>
        <c:axId val="1464992927"/>
      </c:barChart>
      <c:catAx>
        <c:axId val="1135210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4992927"/>
        <c:crossesAt val="0"/>
        <c:auto val="1"/>
        <c:lblAlgn val="ctr"/>
        <c:lblOffset val="100"/>
        <c:noMultiLvlLbl val="0"/>
      </c:catAx>
      <c:valAx>
        <c:axId val="1464992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210095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Children!$X$29:$X$32</c:f>
              <c:numCache>
                <c:formatCode>General</c:formatCode>
                <c:ptCount val="4"/>
                <c:pt idx="0">
                  <c:v>1.18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3-44AB-B28B-484B17381A23}"/>
            </c:ext>
          </c:extLst>
        </c:ser>
        <c:ser>
          <c:idx val="1"/>
          <c:order val="1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Children!$Y$29:$Y$32</c:f>
              <c:numCache>
                <c:formatCode>General</c:formatCode>
                <c:ptCount val="4"/>
                <c:pt idx="0">
                  <c:v>1.95</c:v>
                </c:pt>
                <c:pt idx="1">
                  <c:v>1.81</c:v>
                </c:pt>
                <c:pt idx="2">
                  <c:v>1.73</c:v>
                </c:pt>
                <c:pt idx="3">
                  <c:v>1.73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C3-44AB-B28B-484B17381A23}"/>
            </c:ext>
          </c:extLst>
        </c:ser>
        <c:ser>
          <c:idx val="2"/>
          <c:order val="2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Children!$Z$29:$Z$32</c:f>
              <c:numCache>
                <c:formatCode>General</c:formatCode>
                <c:ptCount val="4"/>
                <c:pt idx="0">
                  <c:v>3.07</c:v>
                </c:pt>
                <c:pt idx="1">
                  <c:v>2.75</c:v>
                </c:pt>
                <c:pt idx="2">
                  <c:v>2.68</c:v>
                </c:pt>
                <c:pt idx="3">
                  <c:v>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C3-44AB-B28B-484B17381A23}"/>
            </c:ext>
          </c:extLst>
        </c:ser>
        <c:ser>
          <c:idx val="3"/>
          <c:order val="3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Children!$AA$29:$AA$32</c:f>
              <c:numCache>
                <c:formatCode>General</c:formatCode>
                <c:ptCount val="4"/>
                <c:pt idx="0">
                  <c:v>4.2300000000000004</c:v>
                </c:pt>
                <c:pt idx="1">
                  <c:v>3.91</c:v>
                </c:pt>
                <c:pt idx="2">
                  <c:v>3.82</c:v>
                </c:pt>
                <c:pt idx="3">
                  <c:v>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C3-44AB-B28B-484B17381A23}"/>
            </c:ext>
          </c:extLst>
        </c:ser>
        <c:ser>
          <c:idx val="4"/>
          <c:order val="4"/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Children!$AB$29:$AB$32</c:f>
              <c:numCache>
                <c:formatCode>General</c:formatCode>
                <c:ptCount val="4"/>
                <c:pt idx="0">
                  <c:v>5.21</c:v>
                </c:pt>
                <c:pt idx="1">
                  <c:v>4.82</c:v>
                </c:pt>
                <c:pt idx="2">
                  <c:v>5.03</c:v>
                </c:pt>
                <c:pt idx="3">
                  <c:v>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C3-44AB-B28B-484B17381A23}"/>
            </c:ext>
          </c:extLst>
        </c:ser>
        <c:ser>
          <c:idx val="5"/>
          <c:order val="5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Children!$AC$29:$AC$32</c:f>
              <c:numCache>
                <c:formatCode>General</c:formatCode>
                <c:ptCount val="4"/>
                <c:pt idx="0">
                  <c:v>5.75</c:v>
                </c:pt>
                <c:pt idx="1">
                  <c:v>5.44</c:v>
                </c:pt>
                <c:pt idx="2">
                  <c:v>6.12</c:v>
                </c:pt>
                <c:pt idx="3">
                  <c:v>5.12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C3-44AB-B28B-484B17381A23}"/>
            </c:ext>
          </c:extLst>
        </c:ser>
        <c:ser>
          <c:idx val="6"/>
          <c:order val="6"/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strRef>
              <c:f>Children!$W$29:$W$32</c:f>
              <c:strCache>
                <c:ptCount val="4"/>
                <c:pt idx="0">
                  <c:v>1990</c:v>
                </c:pt>
                <c:pt idx="1">
                  <c:v>2006</c:v>
                </c:pt>
                <c:pt idx="2">
                  <c:v>2012</c:v>
                </c:pt>
                <c:pt idx="3">
                  <c:v>2017-2018</c:v>
                </c:pt>
              </c:strCache>
            </c:strRef>
          </c:cat>
          <c:val>
            <c:numRef>
              <c:f>Children!$AD$29:$AD$32</c:f>
              <c:numCache>
                <c:formatCode>General</c:formatCode>
                <c:ptCount val="4"/>
                <c:pt idx="0">
                  <c:v>5.96</c:v>
                </c:pt>
                <c:pt idx="1">
                  <c:v>5.89</c:v>
                </c:pt>
                <c:pt idx="2">
                  <c:v>6.17</c:v>
                </c:pt>
                <c:pt idx="3">
                  <c:v>5.17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C3-44AB-B28B-484B17381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210095"/>
        <c:axId val="1464992927"/>
      </c:barChart>
      <c:catAx>
        <c:axId val="1135210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4992927"/>
        <c:crossesAt val="0"/>
        <c:auto val="1"/>
        <c:lblAlgn val="ctr"/>
        <c:lblOffset val="100"/>
        <c:noMultiLvlLbl val="0"/>
      </c:catAx>
      <c:valAx>
        <c:axId val="1464992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210095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Tasciotti</dc:creator>
  <cp:keywords/>
  <dc:description/>
  <cp:lastModifiedBy>Luca Tasciotti</cp:lastModifiedBy>
  <cp:revision>2</cp:revision>
  <dcterms:created xsi:type="dcterms:W3CDTF">2022-02-07T09:01:00Z</dcterms:created>
  <dcterms:modified xsi:type="dcterms:W3CDTF">2022-02-07T09:01:00Z</dcterms:modified>
</cp:coreProperties>
</file>