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1652" w14:textId="77777777" w:rsidR="00614C09" w:rsidRPr="00614C09" w:rsidRDefault="00BA2F43" w:rsidP="00614C09">
      <w:pPr>
        <w:jc w:val="center"/>
        <w:rPr>
          <w:rFonts w:ascii="Garamond" w:hAnsi="Garamond"/>
          <w:sz w:val="40"/>
        </w:rPr>
      </w:pPr>
      <w:r w:rsidRPr="006A1FCD">
        <w:rPr>
          <w:rFonts w:ascii="Garamond" w:hAnsi="Garamond"/>
          <w:sz w:val="40"/>
        </w:rPr>
        <w:t>Supplementary Materials</w:t>
      </w:r>
    </w:p>
    <w:sdt>
      <w:sdtPr>
        <w:rPr>
          <w:rFonts w:ascii="Garamond" w:eastAsiaTheme="minorHAnsi" w:hAnsi="Garamond" w:cstheme="minorBidi"/>
          <w:color w:val="auto"/>
          <w:sz w:val="22"/>
          <w:szCs w:val="22"/>
        </w:rPr>
        <w:id w:val="1868568653"/>
        <w:docPartObj>
          <w:docPartGallery w:val="Table of Contents"/>
          <w:docPartUnique/>
        </w:docPartObj>
      </w:sdtPr>
      <w:sdtEndPr>
        <w:rPr>
          <w:rFonts w:asciiTheme="minorHAnsi" w:hAnsiTheme="minorHAnsi"/>
          <w:b/>
          <w:bCs/>
          <w:noProof/>
        </w:rPr>
      </w:sdtEndPr>
      <w:sdtContent>
        <w:p w14:paraId="085E1653" w14:textId="77777777" w:rsidR="00614C09" w:rsidRPr="00383633" w:rsidRDefault="00614C09">
          <w:pPr>
            <w:pStyle w:val="TOCHeading"/>
            <w:rPr>
              <w:rFonts w:ascii="Garamond" w:hAnsi="Garamond"/>
            </w:rPr>
          </w:pPr>
          <w:r w:rsidRPr="00383633">
            <w:rPr>
              <w:rFonts w:ascii="Garamond" w:hAnsi="Garamond"/>
            </w:rPr>
            <w:t>Table of Contents</w:t>
          </w:r>
        </w:p>
        <w:p w14:paraId="16DEF390" w14:textId="01ABF78A" w:rsidR="00AE65D9" w:rsidRDefault="00614C09">
          <w:pPr>
            <w:pStyle w:val="TOC2"/>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129961277" w:history="1">
            <w:r w:rsidR="00AE65D9" w:rsidRPr="00793F8D">
              <w:rPr>
                <w:rStyle w:val="Hyperlink"/>
                <w:rFonts w:ascii="Garamond" w:eastAsiaTheme="majorEastAsia" w:hAnsi="Garamond" w:cstheme="majorBidi"/>
                <w:b/>
                <w:i/>
                <w:noProof/>
              </w:rPr>
              <w:t>1.</w:t>
            </w:r>
            <w:r w:rsidR="00AE65D9">
              <w:rPr>
                <w:rFonts w:eastAsiaTheme="minorEastAsia"/>
                <w:noProof/>
              </w:rPr>
              <w:tab/>
            </w:r>
            <w:r w:rsidR="00AE65D9" w:rsidRPr="00793F8D">
              <w:rPr>
                <w:rStyle w:val="Hyperlink"/>
                <w:rFonts w:ascii="Garamond" w:eastAsiaTheme="majorEastAsia" w:hAnsi="Garamond" w:cstheme="majorBidi"/>
                <w:b/>
                <w:i/>
                <w:noProof/>
              </w:rPr>
              <w:t>Theoretical Framework: The Calculus of Voting</w:t>
            </w:r>
            <w:r w:rsidR="00AE65D9">
              <w:rPr>
                <w:noProof/>
                <w:webHidden/>
              </w:rPr>
              <w:tab/>
            </w:r>
            <w:r w:rsidR="00AE65D9">
              <w:rPr>
                <w:noProof/>
                <w:webHidden/>
              </w:rPr>
              <w:fldChar w:fldCharType="begin"/>
            </w:r>
            <w:r w:rsidR="00AE65D9">
              <w:rPr>
                <w:noProof/>
                <w:webHidden/>
              </w:rPr>
              <w:instrText xml:space="preserve"> PAGEREF _Toc129961277 \h </w:instrText>
            </w:r>
            <w:r w:rsidR="00AE65D9">
              <w:rPr>
                <w:noProof/>
                <w:webHidden/>
              </w:rPr>
            </w:r>
            <w:r w:rsidR="00AE65D9">
              <w:rPr>
                <w:noProof/>
                <w:webHidden/>
              </w:rPr>
              <w:fldChar w:fldCharType="separate"/>
            </w:r>
            <w:r w:rsidR="000A6E5D">
              <w:rPr>
                <w:noProof/>
                <w:webHidden/>
              </w:rPr>
              <w:t>1</w:t>
            </w:r>
            <w:r w:rsidR="00AE65D9">
              <w:rPr>
                <w:noProof/>
                <w:webHidden/>
              </w:rPr>
              <w:fldChar w:fldCharType="end"/>
            </w:r>
          </w:hyperlink>
        </w:p>
        <w:p w14:paraId="02329C34" w14:textId="38E04FD7" w:rsidR="00AE65D9" w:rsidRDefault="00DE3D72">
          <w:pPr>
            <w:pStyle w:val="TOC2"/>
            <w:tabs>
              <w:tab w:val="left" w:pos="660"/>
              <w:tab w:val="right" w:leader="dot" w:pos="9350"/>
            </w:tabs>
            <w:rPr>
              <w:rFonts w:eastAsiaTheme="minorEastAsia"/>
              <w:noProof/>
            </w:rPr>
          </w:pPr>
          <w:hyperlink w:anchor="_Toc129961278" w:history="1">
            <w:r w:rsidR="00AE65D9" w:rsidRPr="00793F8D">
              <w:rPr>
                <w:rStyle w:val="Hyperlink"/>
                <w:rFonts w:ascii="Garamond" w:eastAsiaTheme="majorEastAsia" w:hAnsi="Garamond" w:cstheme="majorBidi"/>
                <w:b/>
                <w:i/>
                <w:noProof/>
              </w:rPr>
              <w:t xml:space="preserve">2. </w:t>
            </w:r>
            <w:r w:rsidR="00AE65D9">
              <w:rPr>
                <w:rFonts w:eastAsiaTheme="minorEastAsia"/>
                <w:noProof/>
              </w:rPr>
              <w:tab/>
            </w:r>
            <w:r w:rsidR="00AE65D9" w:rsidRPr="00793F8D">
              <w:rPr>
                <w:rStyle w:val="Hyperlink"/>
                <w:rFonts w:ascii="Garamond" w:eastAsiaTheme="majorEastAsia" w:hAnsi="Garamond" w:cstheme="majorBidi"/>
                <w:b/>
                <w:i/>
                <w:noProof/>
              </w:rPr>
              <w:t>Theoretical Framework: “Voting-as-a-Habit” Literature and the PMBC Model</w:t>
            </w:r>
            <w:r w:rsidR="00AE65D9">
              <w:rPr>
                <w:noProof/>
                <w:webHidden/>
              </w:rPr>
              <w:tab/>
            </w:r>
            <w:r w:rsidR="00AE65D9">
              <w:rPr>
                <w:noProof/>
                <w:webHidden/>
              </w:rPr>
              <w:fldChar w:fldCharType="begin"/>
            </w:r>
            <w:r w:rsidR="00AE65D9">
              <w:rPr>
                <w:noProof/>
                <w:webHidden/>
              </w:rPr>
              <w:instrText xml:space="preserve"> PAGEREF _Toc129961278 \h </w:instrText>
            </w:r>
            <w:r w:rsidR="00AE65D9">
              <w:rPr>
                <w:noProof/>
                <w:webHidden/>
              </w:rPr>
            </w:r>
            <w:r w:rsidR="00AE65D9">
              <w:rPr>
                <w:noProof/>
                <w:webHidden/>
              </w:rPr>
              <w:fldChar w:fldCharType="separate"/>
            </w:r>
            <w:r w:rsidR="000A6E5D">
              <w:rPr>
                <w:noProof/>
                <w:webHidden/>
              </w:rPr>
              <w:t>5</w:t>
            </w:r>
            <w:r w:rsidR="00AE65D9">
              <w:rPr>
                <w:noProof/>
                <w:webHidden/>
              </w:rPr>
              <w:fldChar w:fldCharType="end"/>
            </w:r>
          </w:hyperlink>
        </w:p>
        <w:p w14:paraId="6A9F35E7" w14:textId="5FFCF8C6" w:rsidR="00AE65D9" w:rsidRDefault="00DE3D72">
          <w:pPr>
            <w:pStyle w:val="TOC2"/>
            <w:tabs>
              <w:tab w:val="left" w:pos="660"/>
              <w:tab w:val="right" w:leader="dot" w:pos="9350"/>
            </w:tabs>
            <w:rPr>
              <w:rFonts w:eastAsiaTheme="minorEastAsia"/>
              <w:noProof/>
            </w:rPr>
          </w:pPr>
          <w:hyperlink w:anchor="_Toc129961279" w:history="1">
            <w:r w:rsidR="00AE65D9" w:rsidRPr="00793F8D">
              <w:rPr>
                <w:rStyle w:val="Hyperlink"/>
                <w:rFonts w:ascii="Garamond" w:eastAsiaTheme="majorEastAsia" w:hAnsi="Garamond" w:cstheme="majorBidi"/>
                <w:b/>
                <w:i/>
                <w:noProof/>
              </w:rPr>
              <w:t>3.</w:t>
            </w:r>
            <w:r w:rsidR="00AE65D9">
              <w:rPr>
                <w:rFonts w:eastAsiaTheme="minorEastAsia"/>
                <w:noProof/>
              </w:rPr>
              <w:tab/>
            </w:r>
            <w:r w:rsidR="00AE65D9" w:rsidRPr="00793F8D">
              <w:rPr>
                <w:rStyle w:val="Hyperlink"/>
                <w:rFonts w:ascii="Garamond" w:eastAsiaTheme="majorEastAsia" w:hAnsi="Garamond" w:cstheme="majorBidi"/>
                <w:b/>
                <w:i/>
                <w:noProof/>
              </w:rPr>
              <w:t>Data</w:t>
            </w:r>
            <w:r w:rsidR="00AE65D9">
              <w:rPr>
                <w:noProof/>
                <w:webHidden/>
              </w:rPr>
              <w:tab/>
            </w:r>
            <w:r w:rsidR="00AE65D9">
              <w:rPr>
                <w:noProof/>
                <w:webHidden/>
              </w:rPr>
              <w:fldChar w:fldCharType="begin"/>
            </w:r>
            <w:r w:rsidR="00AE65D9">
              <w:rPr>
                <w:noProof/>
                <w:webHidden/>
              </w:rPr>
              <w:instrText xml:space="preserve"> PAGEREF _Toc129961279 \h </w:instrText>
            </w:r>
            <w:r w:rsidR="00AE65D9">
              <w:rPr>
                <w:noProof/>
                <w:webHidden/>
              </w:rPr>
            </w:r>
            <w:r w:rsidR="00AE65D9">
              <w:rPr>
                <w:noProof/>
                <w:webHidden/>
              </w:rPr>
              <w:fldChar w:fldCharType="separate"/>
            </w:r>
            <w:r w:rsidR="000A6E5D">
              <w:rPr>
                <w:noProof/>
                <w:webHidden/>
              </w:rPr>
              <w:t>13</w:t>
            </w:r>
            <w:r w:rsidR="00AE65D9">
              <w:rPr>
                <w:noProof/>
                <w:webHidden/>
              </w:rPr>
              <w:fldChar w:fldCharType="end"/>
            </w:r>
          </w:hyperlink>
        </w:p>
        <w:p w14:paraId="78E3D5E7" w14:textId="7233DEAF" w:rsidR="00AE65D9" w:rsidRDefault="00DE3D72">
          <w:pPr>
            <w:pStyle w:val="TOC2"/>
            <w:tabs>
              <w:tab w:val="left" w:pos="660"/>
              <w:tab w:val="right" w:leader="dot" w:pos="9350"/>
            </w:tabs>
            <w:rPr>
              <w:rFonts w:eastAsiaTheme="minorEastAsia"/>
              <w:noProof/>
            </w:rPr>
          </w:pPr>
          <w:hyperlink w:anchor="_Toc129961280" w:history="1">
            <w:r w:rsidR="00AE65D9" w:rsidRPr="00793F8D">
              <w:rPr>
                <w:rStyle w:val="Hyperlink"/>
                <w:rFonts w:ascii="Garamond" w:eastAsiaTheme="majorEastAsia" w:hAnsi="Garamond" w:cstheme="majorBidi"/>
                <w:b/>
                <w:i/>
                <w:noProof/>
              </w:rPr>
              <w:t>4.</w:t>
            </w:r>
            <w:r w:rsidR="00AE65D9">
              <w:rPr>
                <w:rFonts w:eastAsiaTheme="minorEastAsia"/>
                <w:noProof/>
              </w:rPr>
              <w:tab/>
            </w:r>
            <w:r w:rsidR="00AE65D9" w:rsidRPr="00793F8D">
              <w:rPr>
                <w:rStyle w:val="Hyperlink"/>
                <w:rFonts w:ascii="Garamond" w:eastAsiaTheme="majorEastAsia" w:hAnsi="Garamond" w:cstheme="majorBidi"/>
                <w:b/>
                <w:i/>
                <w:noProof/>
              </w:rPr>
              <w:t>Justifying the Lack of Pre-Registration</w:t>
            </w:r>
            <w:r w:rsidR="00AE65D9">
              <w:rPr>
                <w:noProof/>
                <w:webHidden/>
              </w:rPr>
              <w:tab/>
            </w:r>
            <w:r w:rsidR="00AE65D9">
              <w:rPr>
                <w:noProof/>
                <w:webHidden/>
              </w:rPr>
              <w:fldChar w:fldCharType="begin"/>
            </w:r>
            <w:r w:rsidR="00AE65D9">
              <w:rPr>
                <w:noProof/>
                <w:webHidden/>
              </w:rPr>
              <w:instrText xml:space="preserve"> PAGEREF _Toc129961280 \h </w:instrText>
            </w:r>
            <w:r w:rsidR="00AE65D9">
              <w:rPr>
                <w:noProof/>
                <w:webHidden/>
              </w:rPr>
            </w:r>
            <w:r w:rsidR="00AE65D9">
              <w:rPr>
                <w:noProof/>
                <w:webHidden/>
              </w:rPr>
              <w:fldChar w:fldCharType="separate"/>
            </w:r>
            <w:r w:rsidR="000A6E5D">
              <w:rPr>
                <w:noProof/>
                <w:webHidden/>
              </w:rPr>
              <w:t>18</w:t>
            </w:r>
            <w:r w:rsidR="00AE65D9">
              <w:rPr>
                <w:noProof/>
                <w:webHidden/>
              </w:rPr>
              <w:fldChar w:fldCharType="end"/>
            </w:r>
          </w:hyperlink>
        </w:p>
        <w:p w14:paraId="579200D8" w14:textId="60C4FAF4" w:rsidR="00AE65D9" w:rsidRDefault="00DE3D72">
          <w:pPr>
            <w:pStyle w:val="TOC2"/>
            <w:tabs>
              <w:tab w:val="left" w:pos="660"/>
              <w:tab w:val="right" w:leader="dot" w:pos="9350"/>
            </w:tabs>
            <w:rPr>
              <w:rFonts w:eastAsiaTheme="minorEastAsia"/>
              <w:noProof/>
            </w:rPr>
          </w:pPr>
          <w:hyperlink w:anchor="_Toc129961281" w:history="1">
            <w:r w:rsidR="00AE65D9" w:rsidRPr="00793F8D">
              <w:rPr>
                <w:rStyle w:val="Hyperlink"/>
                <w:rFonts w:ascii="Garamond" w:eastAsiaTheme="majorEastAsia" w:hAnsi="Garamond" w:cstheme="majorBidi"/>
                <w:b/>
                <w:i/>
                <w:noProof/>
              </w:rPr>
              <w:t>5.</w:t>
            </w:r>
            <w:r w:rsidR="00AE65D9">
              <w:rPr>
                <w:rFonts w:eastAsiaTheme="minorEastAsia"/>
                <w:noProof/>
              </w:rPr>
              <w:tab/>
            </w:r>
            <w:r w:rsidR="00AE65D9" w:rsidRPr="00793F8D">
              <w:rPr>
                <w:rStyle w:val="Hyperlink"/>
                <w:rFonts w:ascii="Garamond" w:eastAsiaTheme="majorEastAsia" w:hAnsi="Garamond" w:cstheme="majorBidi"/>
                <w:b/>
                <w:i/>
                <w:noProof/>
              </w:rPr>
              <w:t>Analysis</w:t>
            </w:r>
            <w:r w:rsidR="00AE65D9">
              <w:rPr>
                <w:noProof/>
                <w:webHidden/>
              </w:rPr>
              <w:tab/>
            </w:r>
            <w:r w:rsidR="00AE65D9">
              <w:rPr>
                <w:noProof/>
                <w:webHidden/>
              </w:rPr>
              <w:fldChar w:fldCharType="begin"/>
            </w:r>
            <w:r w:rsidR="00AE65D9">
              <w:rPr>
                <w:noProof/>
                <w:webHidden/>
              </w:rPr>
              <w:instrText xml:space="preserve"> PAGEREF _Toc129961281 \h </w:instrText>
            </w:r>
            <w:r w:rsidR="00AE65D9">
              <w:rPr>
                <w:noProof/>
                <w:webHidden/>
              </w:rPr>
            </w:r>
            <w:r w:rsidR="00AE65D9">
              <w:rPr>
                <w:noProof/>
                <w:webHidden/>
              </w:rPr>
              <w:fldChar w:fldCharType="separate"/>
            </w:r>
            <w:r w:rsidR="000A6E5D">
              <w:rPr>
                <w:noProof/>
                <w:webHidden/>
              </w:rPr>
              <w:t>20</w:t>
            </w:r>
            <w:r w:rsidR="00AE65D9">
              <w:rPr>
                <w:noProof/>
                <w:webHidden/>
              </w:rPr>
              <w:fldChar w:fldCharType="end"/>
            </w:r>
          </w:hyperlink>
        </w:p>
        <w:p w14:paraId="1737371D" w14:textId="43223D27" w:rsidR="00AE65D9" w:rsidRDefault="00DE3D72">
          <w:pPr>
            <w:pStyle w:val="TOC3"/>
            <w:tabs>
              <w:tab w:val="right" w:leader="dot" w:pos="9350"/>
            </w:tabs>
            <w:rPr>
              <w:rFonts w:eastAsiaTheme="minorEastAsia"/>
              <w:noProof/>
            </w:rPr>
          </w:pPr>
          <w:hyperlink w:anchor="_Toc129961282" w:history="1">
            <w:r w:rsidR="00AE65D9" w:rsidRPr="00793F8D">
              <w:rPr>
                <w:rStyle w:val="Hyperlink"/>
                <w:rFonts w:ascii="Garamond" w:hAnsi="Garamond"/>
                <w:i/>
                <w:noProof/>
              </w:rPr>
              <w:t>5.1: Upstream Effects</w:t>
            </w:r>
            <w:r w:rsidR="00AE65D9">
              <w:rPr>
                <w:noProof/>
                <w:webHidden/>
              </w:rPr>
              <w:tab/>
            </w:r>
            <w:r w:rsidR="00AE65D9">
              <w:rPr>
                <w:noProof/>
                <w:webHidden/>
              </w:rPr>
              <w:fldChar w:fldCharType="begin"/>
            </w:r>
            <w:r w:rsidR="00AE65D9">
              <w:rPr>
                <w:noProof/>
                <w:webHidden/>
              </w:rPr>
              <w:instrText xml:space="preserve"> PAGEREF _Toc129961282 \h </w:instrText>
            </w:r>
            <w:r w:rsidR="00AE65D9">
              <w:rPr>
                <w:noProof/>
                <w:webHidden/>
              </w:rPr>
            </w:r>
            <w:r w:rsidR="00AE65D9">
              <w:rPr>
                <w:noProof/>
                <w:webHidden/>
              </w:rPr>
              <w:fldChar w:fldCharType="separate"/>
            </w:r>
            <w:r w:rsidR="000A6E5D">
              <w:rPr>
                <w:noProof/>
                <w:webHidden/>
              </w:rPr>
              <w:t>20</w:t>
            </w:r>
            <w:r w:rsidR="00AE65D9">
              <w:rPr>
                <w:noProof/>
                <w:webHidden/>
              </w:rPr>
              <w:fldChar w:fldCharType="end"/>
            </w:r>
          </w:hyperlink>
        </w:p>
        <w:p w14:paraId="3C4A0271" w14:textId="35ECBBE2" w:rsidR="00AE65D9" w:rsidRDefault="00DE3D72">
          <w:pPr>
            <w:pStyle w:val="TOC3"/>
            <w:tabs>
              <w:tab w:val="right" w:leader="dot" w:pos="9350"/>
            </w:tabs>
            <w:rPr>
              <w:rFonts w:eastAsiaTheme="minorEastAsia"/>
              <w:noProof/>
            </w:rPr>
          </w:pPr>
          <w:hyperlink w:anchor="_Toc129961283" w:history="1">
            <w:r w:rsidR="00AE65D9" w:rsidRPr="00793F8D">
              <w:rPr>
                <w:rStyle w:val="Hyperlink"/>
                <w:rFonts w:ascii="Garamond" w:hAnsi="Garamond"/>
                <w:i/>
                <w:noProof/>
              </w:rPr>
              <w:t>5.2: Checking for Weak Instruments</w:t>
            </w:r>
            <w:r w:rsidR="00AE65D9">
              <w:rPr>
                <w:noProof/>
                <w:webHidden/>
              </w:rPr>
              <w:tab/>
            </w:r>
            <w:r w:rsidR="00AE65D9">
              <w:rPr>
                <w:noProof/>
                <w:webHidden/>
              </w:rPr>
              <w:fldChar w:fldCharType="begin"/>
            </w:r>
            <w:r w:rsidR="00AE65D9">
              <w:rPr>
                <w:noProof/>
                <w:webHidden/>
              </w:rPr>
              <w:instrText xml:space="preserve"> PAGEREF _Toc129961283 \h </w:instrText>
            </w:r>
            <w:r w:rsidR="00AE65D9">
              <w:rPr>
                <w:noProof/>
                <w:webHidden/>
              </w:rPr>
            </w:r>
            <w:r w:rsidR="00AE65D9">
              <w:rPr>
                <w:noProof/>
                <w:webHidden/>
              </w:rPr>
              <w:fldChar w:fldCharType="separate"/>
            </w:r>
            <w:r w:rsidR="000A6E5D">
              <w:rPr>
                <w:noProof/>
                <w:webHidden/>
              </w:rPr>
              <w:t>21</w:t>
            </w:r>
            <w:r w:rsidR="00AE65D9">
              <w:rPr>
                <w:noProof/>
                <w:webHidden/>
              </w:rPr>
              <w:fldChar w:fldCharType="end"/>
            </w:r>
          </w:hyperlink>
        </w:p>
        <w:p w14:paraId="7E4C77A6" w14:textId="0C5DFBEF" w:rsidR="00AE65D9" w:rsidRDefault="00DE3D72">
          <w:pPr>
            <w:pStyle w:val="TOC3"/>
            <w:tabs>
              <w:tab w:val="right" w:leader="dot" w:pos="9350"/>
            </w:tabs>
            <w:rPr>
              <w:rFonts w:eastAsiaTheme="minorEastAsia"/>
              <w:noProof/>
            </w:rPr>
          </w:pPr>
          <w:hyperlink w:anchor="_Toc129961284" w:history="1">
            <w:r w:rsidR="00AE65D9" w:rsidRPr="00793F8D">
              <w:rPr>
                <w:rStyle w:val="Hyperlink"/>
                <w:rFonts w:ascii="Garamond" w:hAnsi="Garamond"/>
                <w:i/>
                <w:noProof/>
              </w:rPr>
              <w:t>5.3: Additional Predictions</w:t>
            </w:r>
            <w:r w:rsidR="00AE65D9">
              <w:rPr>
                <w:noProof/>
                <w:webHidden/>
              </w:rPr>
              <w:tab/>
            </w:r>
            <w:r w:rsidR="00AE65D9">
              <w:rPr>
                <w:noProof/>
                <w:webHidden/>
              </w:rPr>
              <w:fldChar w:fldCharType="begin"/>
            </w:r>
            <w:r w:rsidR="00AE65D9">
              <w:rPr>
                <w:noProof/>
                <w:webHidden/>
              </w:rPr>
              <w:instrText xml:space="preserve"> PAGEREF _Toc129961284 \h </w:instrText>
            </w:r>
            <w:r w:rsidR="00AE65D9">
              <w:rPr>
                <w:noProof/>
                <w:webHidden/>
              </w:rPr>
            </w:r>
            <w:r w:rsidR="00AE65D9">
              <w:rPr>
                <w:noProof/>
                <w:webHidden/>
              </w:rPr>
              <w:fldChar w:fldCharType="separate"/>
            </w:r>
            <w:r w:rsidR="000A6E5D">
              <w:rPr>
                <w:noProof/>
                <w:webHidden/>
              </w:rPr>
              <w:t>24</w:t>
            </w:r>
            <w:r w:rsidR="00AE65D9">
              <w:rPr>
                <w:noProof/>
                <w:webHidden/>
              </w:rPr>
              <w:fldChar w:fldCharType="end"/>
            </w:r>
          </w:hyperlink>
        </w:p>
        <w:p w14:paraId="569709E6" w14:textId="0BEAE857" w:rsidR="00AE65D9" w:rsidRDefault="00DE3D72">
          <w:pPr>
            <w:pStyle w:val="TOC3"/>
            <w:tabs>
              <w:tab w:val="right" w:leader="dot" w:pos="9350"/>
            </w:tabs>
            <w:rPr>
              <w:rFonts w:eastAsiaTheme="minorEastAsia"/>
              <w:noProof/>
            </w:rPr>
          </w:pPr>
          <w:hyperlink w:anchor="_Toc129961285" w:history="1">
            <w:r w:rsidR="00AE65D9" w:rsidRPr="00793F8D">
              <w:rPr>
                <w:rStyle w:val="Hyperlink"/>
                <w:rFonts w:ascii="Garamond" w:hAnsi="Garamond"/>
                <w:i/>
                <w:noProof/>
              </w:rPr>
              <w:t>5.4: Robustness Checks</w:t>
            </w:r>
            <w:r w:rsidR="00AE65D9">
              <w:rPr>
                <w:noProof/>
                <w:webHidden/>
              </w:rPr>
              <w:tab/>
            </w:r>
            <w:r w:rsidR="00AE65D9">
              <w:rPr>
                <w:noProof/>
                <w:webHidden/>
              </w:rPr>
              <w:fldChar w:fldCharType="begin"/>
            </w:r>
            <w:r w:rsidR="00AE65D9">
              <w:rPr>
                <w:noProof/>
                <w:webHidden/>
              </w:rPr>
              <w:instrText xml:space="preserve"> PAGEREF _Toc129961285 \h </w:instrText>
            </w:r>
            <w:r w:rsidR="00AE65D9">
              <w:rPr>
                <w:noProof/>
                <w:webHidden/>
              </w:rPr>
            </w:r>
            <w:r w:rsidR="00AE65D9">
              <w:rPr>
                <w:noProof/>
                <w:webHidden/>
              </w:rPr>
              <w:fldChar w:fldCharType="separate"/>
            </w:r>
            <w:r w:rsidR="000A6E5D">
              <w:rPr>
                <w:noProof/>
                <w:webHidden/>
              </w:rPr>
              <w:t>25</w:t>
            </w:r>
            <w:r w:rsidR="00AE65D9">
              <w:rPr>
                <w:noProof/>
                <w:webHidden/>
              </w:rPr>
              <w:fldChar w:fldCharType="end"/>
            </w:r>
          </w:hyperlink>
        </w:p>
        <w:p w14:paraId="7B639A49" w14:textId="248C1B2F" w:rsidR="00AE65D9" w:rsidRDefault="00DE3D72">
          <w:pPr>
            <w:pStyle w:val="TOC2"/>
            <w:tabs>
              <w:tab w:val="left" w:pos="660"/>
              <w:tab w:val="right" w:leader="dot" w:pos="9350"/>
            </w:tabs>
            <w:rPr>
              <w:rFonts w:eastAsiaTheme="minorEastAsia"/>
              <w:noProof/>
            </w:rPr>
          </w:pPr>
          <w:hyperlink w:anchor="_Toc129961286" w:history="1">
            <w:r w:rsidR="00AE65D9" w:rsidRPr="00793F8D">
              <w:rPr>
                <w:rStyle w:val="Hyperlink"/>
                <w:rFonts w:ascii="Garamond" w:eastAsiaTheme="majorEastAsia" w:hAnsi="Garamond" w:cstheme="majorBidi"/>
                <w:b/>
                <w:i/>
                <w:noProof/>
              </w:rPr>
              <w:t>6.</w:t>
            </w:r>
            <w:r w:rsidR="00AE65D9">
              <w:rPr>
                <w:rFonts w:eastAsiaTheme="minorEastAsia"/>
                <w:noProof/>
              </w:rPr>
              <w:tab/>
            </w:r>
            <w:r w:rsidR="00AE65D9" w:rsidRPr="00793F8D">
              <w:rPr>
                <w:rStyle w:val="Hyperlink"/>
                <w:rFonts w:ascii="Garamond" w:eastAsiaTheme="majorEastAsia" w:hAnsi="Garamond" w:cstheme="majorBidi"/>
                <w:b/>
                <w:i/>
                <w:noProof/>
              </w:rPr>
              <w:t>Additional Discussion</w:t>
            </w:r>
            <w:r w:rsidR="00AE65D9">
              <w:rPr>
                <w:noProof/>
                <w:webHidden/>
              </w:rPr>
              <w:tab/>
            </w:r>
            <w:r w:rsidR="00AE65D9">
              <w:rPr>
                <w:noProof/>
                <w:webHidden/>
              </w:rPr>
              <w:fldChar w:fldCharType="begin"/>
            </w:r>
            <w:r w:rsidR="00AE65D9">
              <w:rPr>
                <w:noProof/>
                <w:webHidden/>
              </w:rPr>
              <w:instrText xml:space="preserve"> PAGEREF _Toc129961286 \h </w:instrText>
            </w:r>
            <w:r w:rsidR="00AE65D9">
              <w:rPr>
                <w:noProof/>
                <w:webHidden/>
              </w:rPr>
            </w:r>
            <w:r w:rsidR="00AE65D9">
              <w:rPr>
                <w:noProof/>
                <w:webHidden/>
              </w:rPr>
              <w:fldChar w:fldCharType="separate"/>
            </w:r>
            <w:r w:rsidR="000A6E5D">
              <w:rPr>
                <w:noProof/>
                <w:webHidden/>
              </w:rPr>
              <w:t>27</w:t>
            </w:r>
            <w:r w:rsidR="00AE65D9">
              <w:rPr>
                <w:noProof/>
                <w:webHidden/>
              </w:rPr>
              <w:fldChar w:fldCharType="end"/>
            </w:r>
          </w:hyperlink>
        </w:p>
        <w:p w14:paraId="3722EBA4" w14:textId="2A4EFF68" w:rsidR="00AE65D9" w:rsidRDefault="00DE3D72">
          <w:pPr>
            <w:pStyle w:val="TOC2"/>
            <w:tabs>
              <w:tab w:val="left" w:pos="660"/>
              <w:tab w:val="right" w:leader="dot" w:pos="9350"/>
            </w:tabs>
            <w:rPr>
              <w:rFonts w:eastAsiaTheme="minorEastAsia"/>
              <w:noProof/>
            </w:rPr>
          </w:pPr>
          <w:hyperlink w:anchor="_Toc129961287" w:history="1">
            <w:r w:rsidR="00AE65D9" w:rsidRPr="00793F8D">
              <w:rPr>
                <w:rStyle w:val="Hyperlink"/>
                <w:rFonts w:ascii="Garamond" w:eastAsiaTheme="majorEastAsia" w:hAnsi="Garamond" w:cstheme="majorBidi"/>
                <w:b/>
                <w:i/>
                <w:noProof/>
              </w:rPr>
              <w:t>7.</w:t>
            </w:r>
            <w:r w:rsidR="00AE65D9">
              <w:rPr>
                <w:rFonts w:eastAsiaTheme="minorEastAsia"/>
                <w:noProof/>
              </w:rPr>
              <w:tab/>
            </w:r>
            <w:r w:rsidR="00AE65D9" w:rsidRPr="00793F8D">
              <w:rPr>
                <w:rStyle w:val="Hyperlink"/>
                <w:rFonts w:ascii="Garamond" w:eastAsiaTheme="majorEastAsia" w:hAnsi="Garamond" w:cstheme="majorBidi"/>
                <w:b/>
                <w:i/>
                <w:noProof/>
              </w:rPr>
              <w:t>Additional Tables and Figures</w:t>
            </w:r>
            <w:r w:rsidR="00AE65D9">
              <w:rPr>
                <w:noProof/>
                <w:webHidden/>
              </w:rPr>
              <w:tab/>
            </w:r>
            <w:r w:rsidR="00AE65D9">
              <w:rPr>
                <w:noProof/>
                <w:webHidden/>
              </w:rPr>
              <w:fldChar w:fldCharType="begin"/>
            </w:r>
            <w:r w:rsidR="00AE65D9">
              <w:rPr>
                <w:noProof/>
                <w:webHidden/>
              </w:rPr>
              <w:instrText xml:space="preserve"> PAGEREF _Toc129961287 \h </w:instrText>
            </w:r>
            <w:r w:rsidR="00AE65D9">
              <w:rPr>
                <w:noProof/>
                <w:webHidden/>
              </w:rPr>
            </w:r>
            <w:r w:rsidR="00AE65D9">
              <w:rPr>
                <w:noProof/>
                <w:webHidden/>
              </w:rPr>
              <w:fldChar w:fldCharType="separate"/>
            </w:r>
            <w:r w:rsidR="000A6E5D">
              <w:rPr>
                <w:noProof/>
                <w:webHidden/>
              </w:rPr>
              <w:t>28</w:t>
            </w:r>
            <w:r w:rsidR="00AE65D9">
              <w:rPr>
                <w:noProof/>
                <w:webHidden/>
              </w:rPr>
              <w:fldChar w:fldCharType="end"/>
            </w:r>
          </w:hyperlink>
        </w:p>
        <w:p w14:paraId="51B6B5A3" w14:textId="786FED1A" w:rsidR="00AE65D9" w:rsidRDefault="00DE3D72">
          <w:pPr>
            <w:pStyle w:val="TOC2"/>
            <w:tabs>
              <w:tab w:val="left" w:pos="660"/>
              <w:tab w:val="right" w:leader="dot" w:pos="9350"/>
            </w:tabs>
            <w:rPr>
              <w:rFonts w:eastAsiaTheme="minorEastAsia"/>
              <w:noProof/>
            </w:rPr>
          </w:pPr>
          <w:hyperlink w:anchor="_Toc129961288" w:history="1">
            <w:r w:rsidR="00AE65D9" w:rsidRPr="00793F8D">
              <w:rPr>
                <w:rStyle w:val="Hyperlink"/>
                <w:rFonts w:ascii="Garamond" w:eastAsiaTheme="majorEastAsia" w:hAnsi="Garamond" w:cstheme="majorBidi"/>
                <w:b/>
                <w:i/>
                <w:noProof/>
              </w:rPr>
              <w:t>8.</w:t>
            </w:r>
            <w:r w:rsidR="00AE65D9">
              <w:rPr>
                <w:rFonts w:eastAsiaTheme="minorEastAsia"/>
                <w:noProof/>
              </w:rPr>
              <w:tab/>
            </w:r>
            <w:r w:rsidR="00AE65D9" w:rsidRPr="00793F8D">
              <w:rPr>
                <w:rStyle w:val="Hyperlink"/>
                <w:rFonts w:ascii="Garamond" w:eastAsiaTheme="majorEastAsia" w:hAnsi="Garamond" w:cstheme="majorBidi"/>
                <w:b/>
                <w:i/>
                <w:noProof/>
              </w:rPr>
              <w:t>Anonymized Canvasser Script and Training Documents</w:t>
            </w:r>
            <w:r w:rsidR="00AE65D9">
              <w:rPr>
                <w:noProof/>
                <w:webHidden/>
              </w:rPr>
              <w:tab/>
            </w:r>
            <w:r w:rsidR="00AE65D9">
              <w:rPr>
                <w:noProof/>
                <w:webHidden/>
              </w:rPr>
              <w:fldChar w:fldCharType="begin"/>
            </w:r>
            <w:r w:rsidR="00AE65D9">
              <w:rPr>
                <w:noProof/>
                <w:webHidden/>
              </w:rPr>
              <w:instrText xml:space="preserve"> PAGEREF _Toc129961288 \h </w:instrText>
            </w:r>
            <w:r w:rsidR="00AE65D9">
              <w:rPr>
                <w:noProof/>
                <w:webHidden/>
              </w:rPr>
            </w:r>
            <w:r w:rsidR="00AE65D9">
              <w:rPr>
                <w:noProof/>
                <w:webHidden/>
              </w:rPr>
              <w:fldChar w:fldCharType="separate"/>
            </w:r>
            <w:r w:rsidR="000A6E5D">
              <w:rPr>
                <w:noProof/>
                <w:webHidden/>
              </w:rPr>
              <w:t>32</w:t>
            </w:r>
            <w:r w:rsidR="00AE65D9">
              <w:rPr>
                <w:noProof/>
                <w:webHidden/>
              </w:rPr>
              <w:fldChar w:fldCharType="end"/>
            </w:r>
          </w:hyperlink>
        </w:p>
        <w:p w14:paraId="69631DDB" w14:textId="7771746D" w:rsidR="00AE65D9" w:rsidRDefault="00DE3D72">
          <w:pPr>
            <w:pStyle w:val="TOC2"/>
            <w:tabs>
              <w:tab w:val="left" w:pos="660"/>
              <w:tab w:val="right" w:leader="dot" w:pos="9350"/>
            </w:tabs>
            <w:rPr>
              <w:rFonts w:eastAsiaTheme="minorEastAsia"/>
              <w:noProof/>
            </w:rPr>
          </w:pPr>
          <w:hyperlink w:anchor="_Toc129961289" w:history="1">
            <w:r w:rsidR="00AE65D9" w:rsidRPr="00793F8D">
              <w:rPr>
                <w:rStyle w:val="Hyperlink"/>
                <w:rFonts w:ascii="Garamond" w:eastAsiaTheme="majorEastAsia" w:hAnsi="Garamond" w:cstheme="majorBidi"/>
                <w:b/>
                <w:i/>
                <w:noProof/>
              </w:rPr>
              <w:t>9.</w:t>
            </w:r>
            <w:r w:rsidR="00AE65D9">
              <w:rPr>
                <w:rFonts w:eastAsiaTheme="minorEastAsia"/>
                <w:noProof/>
              </w:rPr>
              <w:tab/>
            </w:r>
            <w:r w:rsidR="00AE65D9" w:rsidRPr="00793F8D">
              <w:rPr>
                <w:rStyle w:val="Hyperlink"/>
                <w:rFonts w:ascii="Garamond" w:eastAsiaTheme="majorEastAsia" w:hAnsi="Garamond" w:cstheme="majorBidi"/>
                <w:b/>
                <w:i/>
                <w:noProof/>
              </w:rPr>
              <w:t>Additional References</w:t>
            </w:r>
            <w:r w:rsidR="00AE65D9">
              <w:rPr>
                <w:noProof/>
                <w:webHidden/>
              </w:rPr>
              <w:tab/>
            </w:r>
            <w:r w:rsidR="00AE65D9">
              <w:rPr>
                <w:noProof/>
                <w:webHidden/>
              </w:rPr>
              <w:fldChar w:fldCharType="begin"/>
            </w:r>
            <w:r w:rsidR="00AE65D9">
              <w:rPr>
                <w:noProof/>
                <w:webHidden/>
              </w:rPr>
              <w:instrText xml:space="preserve"> PAGEREF _Toc129961289 \h </w:instrText>
            </w:r>
            <w:r w:rsidR="00AE65D9">
              <w:rPr>
                <w:noProof/>
                <w:webHidden/>
              </w:rPr>
            </w:r>
            <w:r w:rsidR="00AE65D9">
              <w:rPr>
                <w:noProof/>
                <w:webHidden/>
              </w:rPr>
              <w:fldChar w:fldCharType="separate"/>
            </w:r>
            <w:r w:rsidR="000A6E5D">
              <w:rPr>
                <w:noProof/>
                <w:webHidden/>
              </w:rPr>
              <w:t>41</w:t>
            </w:r>
            <w:r w:rsidR="00AE65D9">
              <w:rPr>
                <w:noProof/>
                <w:webHidden/>
              </w:rPr>
              <w:fldChar w:fldCharType="end"/>
            </w:r>
          </w:hyperlink>
        </w:p>
        <w:p w14:paraId="085E165F" w14:textId="322D81F2" w:rsidR="00614C09" w:rsidRDefault="00614C09">
          <w:r>
            <w:rPr>
              <w:b/>
              <w:bCs/>
              <w:noProof/>
            </w:rPr>
            <w:fldChar w:fldCharType="end"/>
          </w:r>
        </w:p>
      </w:sdtContent>
    </w:sdt>
    <w:p w14:paraId="085E1660" w14:textId="77777777" w:rsidR="00614C09" w:rsidRPr="00127C36" w:rsidRDefault="00614C09" w:rsidP="00127C36">
      <w:pPr>
        <w:pStyle w:val="ListParagraph"/>
        <w:keepNext/>
        <w:keepLines/>
        <w:numPr>
          <w:ilvl w:val="0"/>
          <w:numId w:val="3"/>
        </w:numPr>
        <w:spacing w:before="40" w:after="0" w:line="480" w:lineRule="auto"/>
        <w:outlineLvl w:val="1"/>
        <w:rPr>
          <w:rFonts w:ascii="Garamond" w:eastAsiaTheme="majorEastAsia" w:hAnsi="Garamond" w:cstheme="majorBidi"/>
          <w:b/>
          <w:i/>
          <w:sz w:val="28"/>
          <w:szCs w:val="26"/>
        </w:rPr>
      </w:pPr>
      <w:bookmarkStart w:id="0" w:name="_Toc83912418"/>
      <w:bookmarkStart w:id="1" w:name="_Toc129961277"/>
      <w:r w:rsidRPr="00127C36">
        <w:rPr>
          <w:rFonts w:ascii="Garamond" w:eastAsiaTheme="majorEastAsia" w:hAnsi="Garamond" w:cstheme="majorBidi"/>
          <w:b/>
          <w:i/>
          <w:sz w:val="28"/>
          <w:szCs w:val="26"/>
        </w:rPr>
        <w:t>T</w:t>
      </w:r>
      <w:r w:rsidR="00127C36" w:rsidRPr="00127C36">
        <w:rPr>
          <w:rFonts w:ascii="Garamond" w:eastAsiaTheme="majorEastAsia" w:hAnsi="Garamond" w:cstheme="majorBidi"/>
          <w:b/>
          <w:i/>
          <w:sz w:val="28"/>
          <w:szCs w:val="26"/>
        </w:rPr>
        <w:t>heoretical Framework</w:t>
      </w:r>
      <w:r w:rsidRPr="00127C36">
        <w:rPr>
          <w:rFonts w:ascii="Garamond" w:eastAsiaTheme="majorEastAsia" w:hAnsi="Garamond" w:cstheme="majorBidi"/>
          <w:b/>
          <w:i/>
          <w:sz w:val="28"/>
          <w:szCs w:val="26"/>
        </w:rPr>
        <w:t>: The Calculus of Voting</w:t>
      </w:r>
      <w:bookmarkEnd w:id="0"/>
      <w:bookmarkEnd w:id="1"/>
      <w:r w:rsidRPr="00127C36">
        <w:rPr>
          <w:rFonts w:ascii="Garamond" w:eastAsiaTheme="majorEastAsia" w:hAnsi="Garamond" w:cstheme="majorBidi"/>
          <w:b/>
          <w:i/>
          <w:sz w:val="28"/>
          <w:szCs w:val="26"/>
        </w:rPr>
        <w:tab/>
      </w:r>
    </w:p>
    <w:p w14:paraId="085E1661" w14:textId="77777777" w:rsidR="00614C09" w:rsidRPr="00614C09" w:rsidRDefault="00614C09" w:rsidP="00614C09">
      <w:pPr>
        <w:spacing w:line="480" w:lineRule="auto"/>
        <w:ind w:firstLine="720"/>
        <w:rPr>
          <w:rFonts w:ascii="Garamond" w:hAnsi="Garamond"/>
          <w:sz w:val="24"/>
        </w:rPr>
      </w:pPr>
      <w:r w:rsidRPr="00614C09">
        <w:rPr>
          <w:rFonts w:ascii="Garamond" w:hAnsi="Garamond"/>
          <w:sz w:val="24"/>
        </w:rPr>
        <w:t xml:space="preserve">To construct a theoretical model of why casting a vote makes an individual more likely to vote in subsequent election, we must first establish the mechanism for why any citizen votes in the first place. Our understanding of why voters turn out to the polls has developed considerably since the canonical formalizations of Riker and </w:t>
      </w:r>
      <w:proofErr w:type="spellStart"/>
      <w:r w:rsidRPr="00614C09">
        <w:rPr>
          <w:rFonts w:ascii="Garamond" w:hAnsi="Garamond"/>
          <w:sz w:val="24"/>
        </w:rPr>
        <w:t>Ordershook</w:t>
      </w:r>
      <w:proofErr w:type="spellEnd"/>
      <w:r w:rsidRPr="00614C09">
        <w:rPr>
          <w:rFonts w:ascii="Garamond" w:hAnsi="Garamond"/>
          <w:sz w:val="24"/>
        </w:rPr>
        <w:t xml:space="preserve"> (1968) and Downs (1957). Their pioneering work noted that there is some cost of voting and, in large elections, a single vote is highly unlikely to matter, so what is the benefit of turning out to vote? Why do so many people still incur the personal cost (e.g., time costs, transportation costs, etc.) of voting even though it is highly improbable that their vote will decide the outcome of an election? Downs (1957) wrote of the perceived likelihood of being the pivotal voter and Riker and </w:t>
      </w:r>
      <w:proofErr w:type="spellStart"/>
      <w:r w:rsidRPr="00614C09">
        <w:rPr>
          <w:rFonts w:ascii="Garamond" w:hAnsi="Garamond"/>
          <w:sz w:val="24"/>
        </w:rPr>
        <w:t>Ordershook</w:t>
      </w:r>
      <w:proofErr w:type="spellEnd"/>
      <w:r w:rsidRPr="00614C09">
        <w:rPr>
          <w:rFonts w:ascii="Garamond" w:hAnsi="Garamond"/>
          <w:sz w:val="24"/>
        </w:rPr>
        <w:t xml:space="preserve"> (1968) added the “warm glow” variable to the model. In other words, a voter considers how close the election will be in their mental calculus, but also anticipates a warm glow after fulfilling one’s civic duty at the polls. And so, the voter may incur </w:t>
      </w:r>
      <w:r w:rsidRPr="00614C09">
        <w:rPr>
          <w:rFonts w:ascii="Garamond" w:hAnsi="Garamond"/>
          <w:sz w:val="24"/>
        </w:rPr>
        <w:lastRenderedPageBreak/>
        <w:t>the cost of voting even in elections that aren’t close. Their reliance on the concept of the “rational voter” and insistence on including a “</w:t>
      </w:r>
      <w:proofErr w:type="spellStart"/>
      <w:r w:rsidRPr="00614C09">
        <w:rPr>
          <w:rFonts w:ascii="Garamond" w:hAnsi="Garamond"/>
          <w:sz w:val="24"/>
        </w:rPr>
        <w:t>pivotality</w:t>
      </w:r>
      <w:proofErr w:type="spellEnd"/>
      <w:r w:rsidRPr="00614C09">
        <w:rPr>
          <w:rFonts w:ascii="Garamond" w:hAnsi="Garamond"/>
          <w:sz w:val="24"/>
        </w:rPr>
        <w:t xml:space="preserve">” variable (i.e., the expected probability that one’s vote will decide an election) set off a heated debate between the </w:t>
      </w:r>
      <w:proofErr w:type="spellStart"/>
      <w:r w:rsidRPr="00614C09">
        <w:rPr>
          <w:rFonts w:ascii="Garamond" w:hAnsi="Garamond"/>
          <w:sz w:val="24"/>
        </w:rPr>
        <w:t>Downsian</w:t>
      </w:r>
      <w:proofErr w:type="spellEnd"/>
      <w:r w:rsidRPr="00614C09">
        <w:rPr>
          <w:rFonts w:ascii="Garamond" w:hAnsi="Garamond"/>
          <w:sz w:val="24"/>
        </w:rPr>
        <w:t xml:space="preserve"> political economists and psychology-influenced political scientists (for summaries see </w:t>
      </w:r>
      <w:proofErr w:type="spellStart"/>
      <w:r w:rsidRPr="00614C09">
        <w:rPr>
          <w:rFonts w:ascii="Garamond" w:hAnsi="Garamond"/>
          <w:sz w:val="24"/>
        </w:rPr>
        <w:t>Blais</w:t>
      </w:r>
      <w:proofErr w:type="spellEnd"/>
      <w:r w:rsidRPr="00614C09">
        <w:rPr>
          <w:rFonts w:ascii="Garamond" w:hAnsi="Garamond"/>
          <w:sz w:val="24"/>
        </w:rPr>
        <w:t xml:space="preserve">, 2000; Green and Shapiro, 1996). As such, there was a proliferation of theoretical models and empirical research that attempted to better understand what the </w:t>
      </w:r>
      <w:proofErr w:type="spellStart"/>
      <w:r w:rsidRPr="00614C09">
        <w:rPr>
          <w:rFonts w:ascii="Garamond" w:hAnsi="Garamond"/>
          <w:sz w:val="24"/>
        </w:rPr>
        <w:t>Downsian</w:t>
      </w:r>
      <w:proofErr w:type="spellEnd"/>
      <w:r w:rsidRPr="00614C09">
        <w:rPr>
          <w:rFonts w:ascii="Garamond" w:hAnsi="Garamond"/>
          <w:sz w:val="24"/>
        </w:rPr>
        <w:t xml:space="preserve"> school called the “paradox of voting” (for a summary of the relevant approaches and a meta-analysis of empirical research, see </w:t>
      </w:r>
      <w:proofErr w:type="spellStart"/>
      <w:r w:rsidRPr="00614C09">
        <w:rPr>
          <w:rFonts w:ascii="Garamond" w:hAnsi="Garamond"/>
          <w:sz w:val="24"/>
        </w:rPr>
        <w:t>Smets</w:t>
      </w:r>
      <w:proofErr w:type="spellEnd"/>
      <w:r w:rsidRPr="00614C09">
        <w:rPr>
          <w:rFonts w:ascii="Garamond" w:hAnsi="Garamond"/>
          <w:sz w:val="24"/>
        </w:rPr>
        <w:t xml:space="preserve"> &amp; Van Hem, 2013). But though some elements of the original model continue to be controversial (i.e., do people really think about the probability that they can swing a presidential election?), even some of the leading critics of the rational voter model came to use cost-benefit equations to model an individual’s decision to vote or abstain in their own work (e.g., see Gerber, Green and Larimer, 2008). Therefore, as a first step, I assume that a cost-benefit equation is one key determinant of a would-be voter’s decision-making process. </w:t>
      </w:r>
    </w:p>
    <w:p w14:paraId="085E1662" w14:textId="77777777" w:rsidR="00614C09" w:rsidRPr="00614C09" w:rsidRDefault="00614C09" w:rsidP="00614C09">
      <w:pPr>
        <w:spacing w:line="480" w:lineRule="auto"/>
        <w:ind w:firstLine="720"/>
        <w:rPr>
          <w:rFonts w:ascii="Garamond" w:hAnsi="Garamond"/>
          <w:sz w:val="24"/>
        </w:rPr>
      </w:pPr>
      <w:r w:rsidRPr="00614C09">
        <w:rPr>
          <w:rFonts w:ascii="Garamond" w:hAnsi="Garamond"/>
          <w:sz w:val="24"/>
        </w:rPr>
        <w:t xml:space="preserve">There is also some consensus as to several of the variables included in that equation: there likely exists some cost of voting and that there may be some </w:t>
      </w:r>
      <w:r w:rsidRPr="00614C09">
        <w:rPr>
          <w:rFonts w:ascii="Garamond" w:hAnsi="Garamond"/>
          <w:i/>
          <w:sz w:val="24"/>
        </w:rPr>
        <w:t>intrinsic</w:t>
      </w:r>
      <w:r w:rsidRPr="00614C09">
        <w:rPr>
          <w:rFonts w:ascii="Garamond" w:hAnsi="Garamond"/>
          <w:sz w:val="24"/>
        </w:rPr>
        <w:t xml:space="preserve"> benefit of voting (e.g., Gerber, Green &amp; Larimer, 2008; Meredith, 2009; </w:t>
      </w:r>
      <w:proofErr w:type="spellStart"/>
      <w:r w:rsidRPr="00614C09">
        <w:rPr>
          <w:rFonts w:ascii="Garamond" w:hAnsi="Garamond"/>
          <w:sz w:val="24"/>
        </w:rPr>
        <w:t>DellaVigna</w:t>
      </w:r>
      <w:proofErr w:type="spellEnd"/>
      <w:r w:rsidRPr="00614C09">
        <w:rPr>
          <w:rFonts w:ascii="Garamond" w:hAnsi="Garamond"/>
          <w:sz w:val="24"/>
        </w:rPr>
        <w:t xml:space="preserve"> et al., 2016; Fujiwara, </w:t>
      </w:r>
      <w:proofErr w:type="spellStart"/>
      <w:r w:rsidRPr="00614C09">
        <w:rPr>
          <w:rFonts w:ascii="Garamond" w:hAnsi="Garamond"/>
          <w:sz w:val="24"/>
        </w:rPr>
        <w:t>Meng</w:t>
      </w:r>
      <w:proofErr w:type="spellEnd"/>
      <w:r w:rsidRPr="00614C09">
        <w:rPr>
          <w:rFonts w:ascii="Garamond" w:hAnsi="Garamond"/>
          <w:sz w:val="24"/>
        </w:rPr>
        <w:t xml:space="preserve"> and </w:t>
      </w:r>
      <w:proofErr w:type="spellStart"/>
      <w:r w:rsidRPr="00614C09">
        <w:rPr>
          <w:rFonts w:ascii="Garamond" w:hAnsi="Garamond"/>
          <w:sz w:val="24"/>
        </w:rPr>
        <w:t>Vogl</w:t>
      </w:r>
      <w:proofErr w:type="spellEnd"/>
      <w:r w:rsidRPr="00614C09">
        <w:rPr>
          <w:rFonts w:ascii="Garamond" w:hAnsi="Garamond"/>
          <w:sz w:val="24"/>
        </w:rPr>
        <w:t xml:space="preserve">, 2016) which we conceptualize as the original “warm glow” variable from Riker and </w:t>
      </w:r>
      <w:proofErr w:type="spellStart"/>
      <w:r w:rsidRPr="00614C09">
        <w:rPr>
          <w:rFonts w:ascii="Garamond" w:hAnsi="Garamond"/>
          <w:sz w:val="24"/>
        </w:rPr>
        <w:t>Ordershook</w:t>
      </w:r>
      <w:proofErr w:type="spellEnd"/>
      <w:r w:rsidRPr="00614C09">
        <w:rPr>
          <w:rFonts w:ascii="Garamond" w:hAnsi="Garamond"/>
          <w:sz w:val="24"/>
        </w:rPr>
        <w:t xml:space="preserve"> (1968).</w:t>
      </w:r>
      <w:r w:rsidRPr="00614C09">
        <w:rPr>
          <w:rFonts w:ascii="Garamond" w:hAnsi="Garamond"/>
          <w:sz w:val="24"/>
          <w:vertAlign w:val="superscript"/>
        </w:rPr>
        <w:footnoteReference w:id="1"/>
      </w:r>
      <w:r w:rsidRPr="00614C09">
        <w:rPr>
          <w:rFonts w:ascii="Garamond" w:hAnsi="Garamond"/>
          <w:sz w:val="24"/>
        </w:rPr>
        <w:t xml:space="preserve"> Critics of the “</w:t>
      </w:r>
      <w:proofErr w:type="spellStart"/>
      <w:r w:rsidRPr="00614C09">
        <w:rPr>
          <w:rFonts w:ascii="Garamond" w:hAnsi="Garamond"/>
          <w:sz w:val="24"/>
        </w:rPr>
        <w:t>pivotality</w:t>
      </w:r>
      <w:proofErr w:type="spellEnd"/>
      <w:r w:rsidRPr="00614C09">
        <w:rPr>
          <w:rFonts w:ascii="Garamond" w:hAnsi="Garamond"/>
          <w:sz w:val="24"/>
        </w:rPr>
        <w:t xml:space="preserve">” variable (i.e., the variable that denotes the expected probability of casting the vote that swings an election) maintain that it is likely so small that it could be treated as zero (e.g., Gerber, Green, &amp; Larimer, 2008), but because this variable is still included in many economic models of voting (e.g., </w:t>
      </w:r>
      <w:proofErr w:type="spellStart"/>
      <w:r w:rsidRPr="00614C09">
        <w:rPr>
          <w:rFonts w:ascii="Garamond" w:hAnsi="Garamond"/>
          <w:sz w:val="24"/>
        </w:rPr>
        <w:t>DellaVigna</w:t>
      </w:r>
      <w:proofErr w:type="spellEnd"/>
      <w:r w:rsidRPr="00614C09">
        <w:rPr>
          <w:rFonts w:ascii="Garamond" w:hAnsi="Garamond"/>
          <w:sz w:val="24"/>
        </w:rPr>
        <w:t xml:space="preserve"> et al., 2016; Fujiwara, </w:t>
      </w:r>
      <w:proofErr w:type="spellStart"/>
      <w:r w:rsidRPr="00614C09">
        <w:rPr>
          <w:rFonts w:ascii="Garamond" w:hAnsi="Garamond"/>
          <w:sz w:val="24"/>
        </w:rPr>
        <w:t>Meng</w:t>
      </w:r>
      <w:proofErr w:type="spellEnd"/>
      <w:r w:rsidRPr="00614C09">
        <w:rPr>
          <w:rFonts w:ascii="Garamond" w:hAnsi="Garamond"/>
          <w:sz w:val="24"/>
        </w:rPr>
        <w:t xml:space="preserve"> and </w:t>
      </w:r>
      <w:proofErr w:type="spellStart"/>
      <w:r w:rsidRPr="00614C09">
        <w:rPr>
          <w:rFonts w:ascii="Garamond" w:hAnsi="Garamond"/>
          <w:sz w:val="24"/>
        </w:rPr>
        <w:t>Vogl</w:t>
      </w:r>
      <w:proofErr w:type="spellEnd"/>
      <w:r w:rsidRPr="00614C09">
        <w:rPr>
          <w:rFonts w:ascii="Garamond" w:hAnsi="Garamond"/>
          <w:sz w:val="24"/>
        </w:rPr>
        <w:t xml:space="preserve">, 2016), I include it in my </w:t>
      </w:r>
      <w:r w:rsidRPr="00614C09">
        <w:rPr>
          <w:rFonts w:ascii="Garamond" w:hAnsi="Garamond"/>
          <w:sz w:val="24"/>
        </w:rPr>
        <w:lastRenderedPageBreak/>
        <w:t xml:space="preserve">cost-benefit equation with the acknowledgement that it may be zero (for a complete formalization, see </w:t>
      </w:r>
      <w:proofErr w:type="spellStart"/>
      <w:r w:rsidRPr="00614C09">
        <w:rPr>
          <w:rFonts w:ascii="Garamond" w:hAnsi="Garamond"/>
          <w:sz w:val="24"/>
        </w:rPr>
        <w:t>DellaVigna</w:t>
      </w:r>
      <w:proofErr w:type="spellEnd"/>
      <w:r w:rsidRPr="00614C09">
        <w:rPr>
          <w:rFonts w:ascii="Garamond" w:hAnsi="Garamond"/>
          <w:sz w:val="24"/>
        </w:rPr>
        <w:t xml:space="preserve"> et al., 2016). </w:t>
      </w:r>
    </w:p>
    <w:p w14:paraId="085E1663" w14:textId="77777777" w:rsidR="00614C09" w:rsidRPr="00614C09" w:rsidRDefault="00614C09" w:rsidP="00614C09">
      <w:pPr>
        <w:spacing w:line="480" w:lineRule="auto"/>
        <w:ind w:firstLine="720"/>
        <w:rPr>
          <w:rFonts w:ascii="Garamond" w:hAnsi="Garamond"/>
          <w:sz w:val="24"/>
        </w:rPr>
      </w:pPr>
      <w:r w:rsidRPr="00614C09">
        <w:rPr>
          <w:rFonts w:ascii="Garamond" w:hAnsi="Garamond"/>
          <w:sz w:val="24"/>
        </w:rPr>
        <w:t>Aside from considering these well-established cost and benefits of voting, it has become increasingly clear that there is a powerful social element to voting. Gerber, Green and Larimer (2008) experimentally induced prospective voters to turn out via social pressure by publicizing their neighbors’ voting records.</w:t>
      </w:r>
      <w:r w:rsidRPr="00614C09">
        <w:rPr>
          <w:rFonts w:ascii="Garamond" w:hAnsi="Garamond"/>
          <w:sz w:val="24"/>
          <w:vertAlign w:val="superscript"/>
        </w:rPr>
        <w:footnoteReference w:id="2"/>
      </w:r>
      <w:r w:rsidRPr="00614C09">
        <w:rPr>
          <w:rFonts w:ascii="Garamond" w:hAnsi="Garamond"/>
          <w:sz w:val="24"/>
        </w:rPr>
        <w:t xml:space="preserve"> The social pressure intervention has been replicated in many other field experiments (for overviews and meta-analyses, see Green &amp; Gerber, 2019; Green, McGrath and </w:t>
      </w:r>
      <w:proofErr w:type="spellStart"/>
      <w:r w:rsidRPr="00614C09">
        <w:rPr>
          <w:rFonts w:ascii="Garamond" w:hAnsi="Garamond"/>
          <w:sz w:val="24"/>
        </w:rPr>
        <w:t>Aronow</w:t>
      </w:r>
      <w:proofErr w:type="spellEnd"/>
      <w:r w:rsidRPr="00614C09">
        <w:rPr>
          <w:rFonts w:ascii="Garamond" w:hAnsi="Garamond"/>
          <w:sz w:val="24"/>
        </w:rPr>
        <w:t xml:space="preserve">, 2013) and the concept of “social image” was finally incorporated into formal models of voting (e.g., </w:t>
      </w:r>
      <w:proofErr w:type="spellStart"/>
      <w:r w:rsidRPr="00614C09">
        <w:rPr>
          <w:rFonts w:ascii="Garamond" w:hAnsi="Garamond"/>
          <w:sz w:val="24"/>
        </w:rPr>
        <w:t>DellaVigna</w:t>
      </w:r>
      <w:proofErr w:type="spellEnd"/>
      <w:r w:rsidRPr="00614C09">
        <w:rPr>
          <w:rFonts w:ascii="Garamond" w:hAnsi="Garamond"/>
          <w:sz w:val="24"/>
        </w:rPr>
        <w:t xml:space="preserve"> et al., 2016). In other words, there is a widespread belief that voting is an important part of what it means to be a good citizen,</w:t>
      </w:r>
      <w:r w:rsidRPr="00614C09">
        <w:rPr>
          <w:rFonts w:ascii="Garamond" w:hAnsi="Garamond"/>
          <w:sz w:val="24"/>
          <w:vertAlign w:val="superscript"/>
        </w:rPr>
        <w:footnoteReference w:id="3"/>
      </w:r>
      <w:r w:rsidRPr="00614C09">
        <w:rPr>
          <w:rFonts w:ascii="Garamond" w:hAnsi="Garamond"/>
          <w:sz w:val="24"/>
        </w:rPr>
        <w:t xml:space="preserve"> so there may be negative social repercussions for abstaining and potentially positive social rewards for turning out to the polls. And indeed, scholars have found that voters relinquish monetary rewards to tell others that they vote (</w:t>
      </w:r>
      <w:proofErr w:type="spellStart"/>
      <w:r w:rsidRPr="00614C09">
        <w:rPr>
          <w:rFonts w:ascii="Garamond" w:hAnsi="Garamond"/>
          <w:sz w:val="24"/>
        </w:rPr>
        <w:t>DellaVigna</w:t>
      </w:r>
      <w:proofErr w:type="spellEnd"/>
      <w:r w:rsidRPr="00614C09">
        <w:rPr>
          <w:rFonts w:ascii="Garamond" w:hAnsi="Garamond"/>
          <w:sz w:val="24"/>
        </w:rPr>
        <w:t xml:space="preserve"> et al., 2016) and pay to find out if others voted (Gerber et al., 2016). This is all to say that there are strong norms that citizens should vote, so people may turn out to vote because they perceive or anticipate some form of real or imagined social sanctions for being a non-voter (Fujiwara, </w:t>
      </w:r>
      <w:proofErr w:type="spellStart"/>
      <w:r w:rsidRPr="00614C09">
        <w:rPr>
          <w:rFonts w:ascii="Garamond" w:hAnsi="Garamond"/>
          <w:sz w:val="24"/>
        </w:rPr>
        <w:t>Meng</w:t>
      </w:r>
      <w:proofErr w:type="spellEnd"/>
      <w:r w:rsidRPr="00614C09">
        <w:rPr>
          <w:rFonts w:ascii="Garamond" w:hAnsi="Garamond"/>
          <w:sz w:val="24"/>
        </w:rPr>
        <w:t xml:space="preserve">, and </w:t>
      </w:r>
      <w:proofErr w:type="spellStart"/>
      <w:r w:rsidRPr="00614C09">
        <w:rPr>
          <w:rFonts w:ascii="Garamond" w:hAnsi="Garamond"/>
          <w:sz w:val="24"/>
        </w:rPr>
        <w:t>Vogl</w:t>
      </w:r>
      <w:proofErr w:type="spellEnd"/>
      <w:r w:rsidRPr="00614C09">
        <w:rPr>
          <w:rFonts w:ascii="Garamond" w:hAnsi="Garamond"/>
          <w:sz w:val="24"/>
        </w:rPr>
        <w:t xml:space="preserve">, 2016; </w:t>
      </w:r>
      <w:proofErr w:type="spellStart"/>
      <w:r w:rsidRPr="00614C09">
        <w:rPr>
          <w:rFonts w:ascii="Garamond" w:hAnsi="Garamond"/>
          <w:sz w:val="24"/>
        </w:rPr>
        <w:t>DellaVigna</w:t>
      </w:r>
      <w:proofErr w:type="spellEnd"/>
      <w:r w:rsidRPr="00614C09">
        <w:rPr>
          <w:rFonts w:ascii="Garamond" w:hAnsi="Garamond"/>
          <w:sz w:val="24"/>
        </w:rPr>
        <w:t xml:space="preserve">, 2016; Gerber et al., 2016). </w:t>
      </w:r>
    </w:p>
    <w:p w14:paraId="085E1664" w14:textId="77777777" w:rsidR="00614C09" w:rsidRPr="00614C09" w:rsidRDefault="00614C09" w:rsidP="00614C09">
      <w:pPr>
        <w:spacing w:line="480" w:lineRule="auto"/>
        <w:ind w:firstLine="720"/>
        <w:rPr>
          <w:rFonts w:ascii="Garamond" w:hAnsi="Garamond"/>
          <w:sz w:val="24"/>
        </w:rPr>
      </w:pPr>
      <w:r w:rsidRPr="00614C09">
        <w:rPr>
          <w:rFonts w:ascii="Garamond" w:hAnsi="Garamond"/>
          <w:sz w:val="24"/>
        </w:rPr>
        <w:t xml:space="preserve">For the purposes of this paper, I use the </w:t>
      </w:r>
      <w:proofErr w:type="spellStart"/>
      <w:r w:rsidRPr="00614C09">
        <w:rPr>
          <w:rFonts w:ascii="Garamond" w:hAnsi="Garamond"/>
          <w:sz w:val="24"/>
        </w:rPr>
        <w:t>DellaVigna</w:t>
      </w:r>
      <w:proofErr w:type="spellEnd"/>
      <w:r w:rsidRPr="00614C09">
        <w:rPr>
          <w:rFonts w:ascii="Garamond" w:hAnsi="Garamond"/>
          <w:sz w:val="24"/>
        </w:rPr>
        <w:t xml:space="preserve"> et al. (2016) model as the core cost-benefit model</w:t>
      </w:r>
      <w:r w:rsidRPr="00614C09">
        <w:rPr>
          <w:rFonts w:ascii="Garamond" w:hAnsi="Garamond"/>
          <w:sz w:val="24"/>
          <w:vertAlign w:val="superscript"/>
        </w:rPr>
        <w:footnoteReference w:id="4"/>
      </w:r>
      <w:r w:rsidRPr="00614C09">
        <w:rPr>
          <w:rFonts w:ascii="Garamond" w:hAnsi="Garamond"/>
          <w:sz w:val="24"/>
        </w:rPr>
        <w:t xml:space="preserve"> for three reasons: the costs and benefits in this model are commonly used in other formalizations, it has extensive empirical validation backing its assertions, and it is parsimonious. </w:t>
      </w:r>
      <w:r w:rsidRPr="00614C09">
        <w:rPr>
          <w:rFonts w:ascii="Garamond" w:hAnsi="Garamond"/>
          <w:sz w:val="24"/>
        </w:rPr>
        <w:lastRenderedPageBreak/>
        <w:t xml:space="preserve">However, this paper does not hinge on the choice of cost-benefit models and alternative models could easily supplant the </w:t>
      </w:r>
      <w:proofErr w:type="spellStart"/>
      <w:r w:rsidRPr="00614C09">
        <w:rPr>
          <w:rFonts w:ascii="Garamond" w:hAnsi="Garamond"/>
          <w:sz w:val="24"/>
        </w:rPr>
        <w:t>DellaVigna</w:t>
      </w:r>
      <w:proofErr w:type="spellEnd"/>
      <w:r w:rsidRPr="00614C09">
        <w:rPr>
          <w:rFonts w:ascii="Garamond" w:hAnsi="Garamond"/>
          <w:sz w:val="24"/>
        </w:rPr>
        <w:t xml:space="preserve"> et al. (2016) model in my analyses.</w:t>
      </w:r>
      <w:r w:rsidRPr="00614C09">
        <w:rPr>
          <w:rFonts w:ascii="Garamond" w:hAnsi="Garamond"/>
          <w:sz w:val="24"/>
          <w:vertAlign w:val="superscript"/>
        </w:rPr>
        <w:footnoteReference w:id="5"/>
      </w:r>
      <w:r w:rsidRPr="00614C09">
        <w:rPr>
          <w:rFonts w:ascii="Garamond" w:hAnsi="Garamond"/>
          <w:sz w:val="24"/>
        </w:rPr>
        <w:t xml:space="preserve">  </w:t>
      </w:r>
    </w:p>
    <w:p w14:paraId="085E1665" w14:textId="77777777" w:rsidR="00614C09" w:rsidRPr="00614C09" w:rsidRDefault="00614C09" w:rsidP="00614C09">
      <w:pPr>
        <w:spacing w:line="480" w:lineRule="auto"/>
        <w:ind w:firstLine="720"/>
        <w:rPr>
          <w:rFonts w:ascii="Garamond" w:hAnsi="Garamond"/>
          <w:sz w:val="24"/>
        </w:rPr>
      </w:pPr>
      <w:r w:rsidRPr="00614C09">
        <w:rPr>
          <w:rFonts w:ascii="Garamond" w:hAnsi="Garamond"/>
          <w:sz w:val="24"/>
        </w:rPr>
        <w:t xml:space="preserve">In the </w:t>
      </w:r>
      <w:proofErr w:type="spellStart"/>
      <w:r w:rsidRPr="00614C09">
        <w:rPr>
          <w:rFonts w:ascii="Garamond" w:hAnsi="Garamond"/>
          <w:sz w:val="24"/>
        </w:rPr>
        <w:t>DellaVigna</w:t>
      </w:r>
      <w:proofErr w:type="spellEnd"/>
      <w:r w:rsidRPr="00614C09">
        <w:rPr>
          <w:rFonts w:ascii="Garamond" w:hAnsi="Garamond"/>
          <w:sz w:val="24"/>
        </w:rPr>
        <w:t xml:space="preserve"> et al. (2016) model, there are three benefits and two costs. The benefits are </w:t>
      </w:r>
    </w:p>
    <w:p w14:paraId="085E1666" w14:textId="77777777" w:rsidR="00614C09" w:rsidRPr="00614C09" w:rsidRDefault="00614C09" w:rsidP="00614C09">
      <w:pPr>
        <w:numPr>
          <w:ilvl w:val="0"/>
          <w:numId w:val="1"/>
        </w:numPr>
        <w:spacing w:line="480" w:lineRule="auto"/>
        <w:contextualSpacing/>
        <w:rPr>
          <w:rFonts w:ascii="Garamond" w:hAnsi="Garamond"/>
          <w:sz w:val="24"/>
        </w:rPr>
      </w:pPr>
      <w:r w:rsidRPr="00614C09">
        <w:rPr>
          <w:rFonts w:ascii="Garamond" w:hAnsi="Garamond"/>
          <w:sz w:val="24"/>
        </w:rPr>
        <w:t>the expected utility of being the pivotal voter (i.e., your vote decides the election),</w:t>
      </w:r>
    </w:p>
    <w:p w14:paraId="085E1667" w14:textId="77777777" w:rsidR="00614C09" w:rsidRPr="00614C09" w:rsidRDefault="00614C09" w:rsidP="00614C09">
      <w:pPr>
        <w:numPr>
          <w:ilvl w:val="0"/>
          <w:numId w:val="1"/>
        </w:numPr>
        <w:spacing w:line="480" w:lineRule="auto"/>
        <w:contextualSpacing/>
        <w:rPr>
          <w:rFonts w:ascii="Garamond" w:hAnsi="Garamond"/>
          <w:sz w:val="24"/>
        </w:rPr>
      </w:pPr>
      <w:r w:rsidRPr="00614C09">
        <w:rPr>
          <w:rFonts w:ascii="Garamond" w:hAnsi="Garamond"/>
          <w:sz w:val="24"/>
        </w:rPr>
        <w:t>the “warm glow” of voting,</w:t>
      </w:r>
    </w:p>
    <w:p w14:paraId="085E1668" w14:textId="77777777" w:rsidR="00614C09" w:rsidRPr="00614C09" w:rsidRDefault="00614C09" w:rsidP="00614C09">
      <w:pPr>
        <w:numPr>
          <w:ilvl w:val="0"/>
          <w:numId w:val="1"/>
        </w:numPr>
        <w:spacing w:line="480" w:lineRule="auto"/>
        <w:contextualSpacing/>
        <w:rPr>
          <w:rFonts w:ascii="Garamond" w:hAnsi="Garamond"/>
          <w:sz w:val="24"/>
        </w:rPr>
      </w:pPr>
      <w:r w:rsidRPr="00614C09">
        <w:rPr>
          <w:rFonts w:ascii="Garamond" w:hAnsi="Garamond"/>
          <w:sz w:val="24"/>
        </w:rPr>
        <w:t xml:space="preserve"> and the social utility of voting (e.g., being able to truthfully report having had voted to peers and family)</w:t>
      </w:r>
    </w:p>
    <w:p w14:paraId="085E1669" w14:textId="77777777" w:rsidR="00614C09" w:rsidRPr="00614C09" w:rsidRDefault="00614C09" w:rsidP="00614C09">
      <w:pPr>
        <w:spacing w:line="480" w:lineRule="auto"/>
        <w:rPr>
          <w:rFonts w:ascii="Garamond" w:hAnsi="Garamond"/>
          <w:sz w:val="24"/>
        </w:rPr>
      </w:pPr>
      <w:proofErr w:type="gramStart"/>
      <w:r w:rsidRPr="00614C09">
        <w:rPr>
          <w:rFonts w:ascii="Garamond" w:hAnsi="Garamond"/>
          <w:sz w:val="24"/>
        </w:rPr>
        <w:t>whereas</w:t>
      </w:r>
      <w:proofErr w:type="gramEnd"/>
      <w:r w:rsidRPr="00614C09">
        <w:rPr>
          <w:rFonts w:ascii="Garamond" w:hAnsi="Garamond"/>
          <w:sz w:val="24"/>
        </w:rPr>
        <w:t xml:space="preserve"> the costs are:</w:t>
      </w:r>
    </w:p>
    <w:p w14:paraId="085E166A" w14:textId="77777777" w:rsidR="00614C09" w:rsidRPr="00614C09" w:rsidRDefault="00614C09" w:rsidP="00614C09">
      <w:pPr>
        <w:numPr>
          <w:ilvl w:val="0"/>
          <w:numId w:val="2"/>
        </w:numPr>
        <w:spacing w:line="480" w:lineRule="auto"/>
        <w:contextualSpacing/>
        <w:rPr>
          <w:rFonts w:ascii="Garamond" w:hAnsi="Garamond"/>
          <w:sz w:val="24"/>
        </w:rPr>
      </w:pPr>
      <w:proofErr w:type="gramStart"/>
      <w:r w:rsidRPr="00614C09">
        <w:rPr>
          <w:rFonts w:ascii="Garamond" w:hAnsi="Garamond"/>
          <w:sz w:val="24"/>
        </w:rPr>
        <w:t>the</w:t>
      </w:r>
      <w:proofErr w:type="gramEnd"/>
      <w:r w:rsidRPr="00614C09">
        <w:rPr>
          <w:rFonts w:ascii="Garamond" w:hAnsi="Garamond"/>
          <w:sz w:val="24"/>
        </w:rPr>
        <w:t xml:space="preserve"> transactional cost of voting (time, transportation costs, opportunity cost, etc.), </w:t>
      </w:r>
    </w:p>
    <w:p w14:paraId="085E166B" w14:textId="77777777" w:rsidR="00614C09" w:rsidRDefault="00614C09" w:rsidP="00614C09">
      <w:pPr>
        <w:numPr>
          <w:ilvl w:val="0"/>
          <w:numId w:val="2"/>
        </w:numPr>
        <w:spacing w:line="480" w:lineRule="auto"/>
        <w:contextualSpacing/>
        <w:rPr>
          <w:rFonts w:ascii="Garamond" w:hAnsi="Garamond"/>
          <w:sz w:val="24"/>
        </w:rPr>
      </w:pPr>
      <w:proofErr w:type="gramStart"/>
      <w:r w:rsidRPr="00614C09">
        <w:rPr>
          <w:rFonts w:ascii="Garamond" w:hAnsi="Garamond"/>
          <w:sz w:val="24"/>
        </w:rPr>
        <w:t>and</w:t>
      </w:r>
      <w:proofErr w:type="gramEnd"/>
      <w:r w:rsidRPr="00614C09">
        <w:rPr>
          <w:rFonts w:ascii="Garamond" w:hAnsi="Garamond"/>
          <w:sz w:val="24"/>
        </w:rPr>
        <w:t xml:space="preserve"> the social cost of not voting (e.g., either telling the truth and being socially sanctioned for not voting or the cognitive cost of lying about one’s abstention).</w:t>
      </w:r>
      <w:r w:rsidRPr="00614C09">
        <w:rPr>
          <w:rFonts w:ascii="Garamond" w:hAnsi="Garamond"/>
          <w:sz w:val="24"/>
          <w:vertAlign w:val="superscript"/>
        </w:rPr>
        <w:footnoteReference w:id="6"/>
      </w:r>
    </w:p>
    <w:p w14:paraId="085E166C" w14:textId="77777777" w:rsidR="00127C36" w:rsidRDefault="00127C36" w:rsidP="00127C36">
      <w:pPr>
        <w:spacing w:line="480" w:lineRule="auto"/>
        <w:contextualSpacing/>
        <w:rPr>
          <w:rFonts w:ascii="Garamond" w:hAnsi="Garamond"/>
          <w:sz w:val="24"/>
        </w:rPr>
      </w:pPr>
    </w:p>
    <w:p w14:paraId="085E166D" w14:textId="77777777" w:rsidR="00CC6E1E" w:rsidRDefault="00CC6E1E" w:rsidP="00127C36">
      <w:pPr>
        <w:spacing w:line="480" w:lineRule="auto"/>
        <w:contextualSpacing/>
        <w:rPr>
          <w:rFonts w:ascii="Garamond" w:hAnsi="Garamond"/>
          <w:sz w:val="24"/>
        </w:rPr>
      </w:pPr>
    </w:p>
    <w:p w14:paraId="085E166E" w14:textId="77777777" w:rsidR="00830DD6" w:rsidRDefault="00830DD6" w:rsidP="00127C36">
      <w:pPr>
        <w:spacing w:line="480" w:lineRule="auto"/>
        <w:contextualSpacing/>
        <w:rPr>
          <w:rFonts w:ascii="Garamond" w:hAnsi="Garamond"/>
          <w:sz w:val="24"/>
        </w:rPr>
      </w:pPr>
    </w:p>
    <w:p w14:paraId="085E166F" w14:textId="77777777" w:rsidR="00CC6E1E" w:rsidRDefault="00CC6E1E" w:rsidP="00127C36">
      <w:pPr>
        <w:spacing w:line="480" w:lineRule="auto"/>
        <w:contextualSpacing/>
        <w:rPr>
          <w:rFonts w:ascii="Garamond" w:hAnsi="Garamond"/>
          <w:sz w:val="24"/>
        </w:rPr>
      </w:pPr>
    </w:p>
    <w:p w14:paraId="085E1670" w14:textId="79E3ADF5" w:rsidR="00127C36" w:rsidRPr="00127C36" w:rsidRDefault="00127C36" w:rsidP="00127C36">
      <w:pPr>
        <w:keepNext/>
        <w:keepLines/>
        <w:spacing w:before="40" w:after="0" w:line="480" w:lineRule="auto"/>
        <w:outlineLvl w:val="1"/>
        <w:rPr>
          <w:rFonts w:ascii="Garamond" w:eastAsiaTheme="majorEastAsia" w:hAnsi="Garamond" w:cstheme="majorBidi"/>
          <w:b/>
          <w:i/>
          <w:sz w:val="28"/>
          <w:szCs w:val="26"/>
        </w:rPr>
      </w:pPr>
      <w:bookmarkStart w:id="2" w:name="_Toc129961278"/>
      <w:r>
        <w:rPr>
          <w:rFonts w:ascii="Garamond" w:eastAsiaTheme="majorEastAsia" w:hAnsi="Garamond" w:cstheme="majorBidi"/>
          <w:b/>
          <w:i/>
          <w:sz w:val="28"/>
          <w:szCs w:val="26"/>
        </w:rPr>
        <w:lastRenderedPageBreak/>
        <w:t xml:space="preserve">2. </w:t>
      </w:r>
      <w:bookmarkStart w:id="3" w:name="_Toc83912421"/>
      <w:r w:rsidR="00AA5887">
        <w:rPr>
          <w:rFonts w:ascii="Garamond" w:eastAsiaTheme="majorEastAsia" w:hAnsi="Garamond" w:cstheme="majorBidi"/>
          <w:b/>
          <w:i/>
          <w:sz w:val="28"/>
          <w:szCs w:val="26"/>
        </w:rPr>
        <w:tab/>
      </w:r>
      <w:r>
        <w:rPr>
          <w:rFonts w:ascii="Garamond" w:eastAsiaTheme="majorEastAsia" w:hAnsi="Garamond" w:cstheme="majorBidi"/>
          <w:b/>
          <w:i/>
          <w:sz w:val="28"/>
          <w:szCs w:val="26"/>
        </w:rPr>
        <w:t>Theoretical Framework</w:t>
      </w:r>
      <w:r w:rsidRPr="00127C36">
        <w:rPr>
          <w:rFonts w:ascii="Garamond" w:eastAsiaTheme="majorEastAsia" w:hAnsi="Garamond" w:cstheme="majorBidi"/>
          <w:b/>
          <w:i/>
          <w:sz w:val="28"/>
          <w:szCs w:val="26"/>
        </w:rPr>
        <w:t>: “Voting-as-a-Habit” Literature and the PMBC Model</w:t>
      </w:r>
      <w:bookmarkEnd w:id="2"/>
      <w:bookmarkEnd w:id="3"/>
    </w:p>
    <w:p w14:paraId="062F2647" w14:textId="2F06AB64" w:rsidR="000B1D56" w:rsidRPr="00E54821" w:rsidRDefault="000B1D56" w:rsidP="00C64A31">
      <w:pPr>
        <w:spacing w:after="0" w:line="480" w:lineRule="auto"/>
        <w:ind w:firstLine="720"/>
        <w:rPr>
          <w:rFonts w:ascii="Garamond" w:hAnsi="Garamond"/>
          <w:sz w:val="24"/>
        </w:rPr>
      </w:pPr>
      <w:r>
        <w:rPr>
          <w:rFonts w:ascii="Garamond" w:hAnsi="Garamond"/>
          <w:sz w:val="24"/>
        </w:rPr>
        <w:t>H</w:t>
      </w:r>
      <w:r w:rsidRPr="00E54821">
        <w:rPr>
          <w:rFonts w:ascii="Garamond" w:hAnsi="Garamond"/>
          <w:sz w:val="24"/>
        </w:rPr>
        <w:t>abitual actions are “automatic,” which implies an “absence of awareness, conscious control, mental effort and deliberation” (</w:t>
      </w:r>
      <w:proofErr w:type="spellStart"/>
      <w:r w:rsidRPr="00E54821">
        <w:rPr>
          <w:rFonts w:ascii="Garamond" w:hAnsi="Garamond"/>
          <w:sz w:val="24"/>
        </w:rPr>
        <w:t>Lally</w:t>
      </w:r>
      <w:proofErr w:type="spellEnd"/>
      <w:r w:rsidRPr="00E54821">
        <w:rPr>
          <w:rFonts w:ascii="Garamond" w:hAnsi="Garamond"/>
          <w:sz w:val="24"/>
        </w:rPr>
        <w:t xml:space="preserve"> and Gardner, 2013; 137). It is unlikely that even the most consistent of voters are “unaware” going to the polls as one would drive down a familiar route.</w:t>
      </w:r>
      <w:r w:rsidRPr="00E54821">
        <w:rPr>
          <w:rFonts w:ascii="Garamond" w:hAnsi="Garamond"/>
          <w:sz w:val="24"/>
          <w:vertAlign w:val="superscript"/>
        </w:rPr>
        <w:footnoteReference w:id="7"/>
      </w:r>
      <w:r w:rsidRPr="00E54821">
        <w:rPr>
          <w:rFonts w:ascii="Garamond" w:hAnsi="Garamond"/>
          <w:sz w:val="24"/>
        </w:rPr>
        <w:t xml:space="preserve"> The second issue is that to translate a deliberative behavior to an automatic behavior, substantial repetition is required to achieve any level of automaticity—for instance, a study looking at the adoption of healthy daily behaviors found that the behavior became automatic only after 66 days on average (</w:t>
      </w:r>
      <w:proofErr w:type="spellStart"/>
      <w:r w:rsidRPr="00E54821">
        <w:rPr>
          <w:rFonts w:ascii="Garamond" w:hAnsi="Garamond"/>
          <w:sz w:val="24"/>
        </w:rPr>
        <w:t>Lally</w:t>
      </w:r>
      <w:proofErr w:type="spellEnd"/>
      <w:r w:rsidRPr="00E54821">
        <w:rPr>
          <w:rFonts w:ascii="Garamond" w:hAnsi="Garamond"/>
          <w:sz w:val="24"/>
        </w:rPr>
        <w:t xml:space="preserve"> et al., 2010). </w:t>
      </w:r>
      <w:r w:rsidR="00991468">
        <w:rPr>
          <w:rFonts w:ascii="Garamond" w:hAnsi="Garamond"/>
          <w:sz w:val="24"/>
        </w:rPr>
        <w:t xml:space="preserve">If we assume any habitual action needs to be repeated 66 times, even the individual who </w:t>
      </w:r>
      <w:r w:rsidRPr="00E54821">
        <w:rPr>
          <w:rFonts w:ascii="Garamond" w:hAnsi="Garamond"/>
          <w:sz w:val="24"/>
        </w:rPr>
        <w:t xml:space="preserve">votes in three elections every two years (e.g., a municipal election, a party primary, and a general election) would only be expected to develop a voting “habit” after 44 years of being a voter. This stands in stark contrast to the fact that much of the voting-as-a-habit literature examined much shorter time horizons but still found turnout persistence. </w:t>
      </w:r>
      <w:r w:rsidR="00991468">
        <w:rPr>
          <w:rFonts w:ascii="Garamond" w:hAnsi="Garamond"/>
          <w:sz w:val="24"/>
        </w:rPr>
        <w:t>T</w:t>
      </w:r>
      <w:r w:rsidRPr="00E54821">
        <w:rPr>
          <w:rFonts w:ascii="Garamond" w:hAnsi="Garamond"/>
          <w:sz w:val="24"/>
        </w:rPr>
        <w:t xml:space="preserve">he economic model </w:t>
      </w:r>
      <w:r w:rsidR="00991468">
        <w:rPr>
          <w:rFonts w:ascii="Garamond" w:hAnsi="Garamond"/>
          <w:sz w:val="24"/>
        </w:rPr>
        <w:t>is compatible with vote persistence (i.e., if it incorporates past election turnout in the cost-benefit calculus described in Section 1), but it</w:t>
      </w:r>
      <w:r w:rsidRPr="00E54821">
        <w:rPr>
          <w:rFonts w:ascii="Garamond" w:hAnsi="Garamond"/>
          <w:sz w:val="24"/>
        </w:rPr>
        <w:t xml:space="preserve"> so narrow that it provides no guidance as to the mechanism behind why one vote is more likely to lead to </w:t>
      </w:r>
      <w:r>
        <w:rPr>
          <w:rFonts w:ascii="Garamond" w:hAnsi="Garamond"/>
          <w:sz w:val="24"/>
        </w:rPr>
        <w:t>another</w:t>
      </w:r>
      <w:r w:rsidRPr="00E54821">
        <w:rPr>
          <w:rFonts w:ascii="Garamond" w:hAnsi="Garamond"/>
          <w:sz w:val="24"/>
        </w:rPr>
        <w:t>.</w:t>
      </w:r>
      <w:r w:rsidRPr="00E54821">
        <w:rPr>
          <w:rFonts w:ascii="Garamond" w:hAnsi="Garamond"/>
          <w:sz w:val="24"/>
          <w:vertAlign w:val="superscript"/>
        </w:rPr>
        <w:t xml:space="preserve"> </w:t>
      </w:r>
      <w:r w:rsidRPr="00E54821">
        <w:rPr>
          <w:rFonts w:ascii="Garamond" w:hAnsi="Garamond"/>
          <w:sz w:val="24"/>
          <w:vertAlign w:val="superscript"/>
        </w:rPr>
        <w:footnoteReference w:id="8"/>
      </w:r>
      <w:r w:rsidRPr="00E54821">
        <w:rPr>
          <w:rFonts w:ascii="Garamond" w:hAnsi="Garamond"/>
          <w:sz w:val="24"/>
        </w:rPr>
        <w:t xml:space="preserve"> </w:t>
      </w:r>
    </w:p>
    <w:p w14:paraId="4BE585B8" w14:textId="1064443C" w:rsidR="000B1D56" w:rsidRPr="00E54821" w:rsidRDefault="00C64A31" w:rsidP="000B1D56">
      <w:pPr>
        <w:spacing w:after="0" w:line="480" w:lineRule="auto"/>
        <w:ind w:firstLine="720"/>
        <w:rPr>
          <w:rFonts w:ascii="Garamond" w:hAnsi="Garamond"/>
          <w:sz w:val="24"/>
        </w:rPr>
      </w:pPr>
      <w:r>
        <w:rPr>
          <w:rFonts w:ascii="Garamond" w:hAnsi="Garamond"/>
          <w:sz w:val="24"/>
        </w:rPr>
        <w:t xml:space="preserve">The PMBC is able to bridge the </w:t>
      </w:r>
      <w:r w:rsidR="0055535B">
        <w:rPr>
          <w:rFonts w:ascii="Garamond" w:hAnsi="Garamond"/>
          <w:sz w:val="24"/>
        </w:rPr>
        <w:t>two literatures by incorporating</w:t>
      </w:r>
      <w:r w:rsidR="000B1D56" w:rsidRPr="00E54821">
        <w:rPr>
          <w:rFonts w:ascii="Garamond" w:hAnsi="Garamond"/>
          <w:sz w:val="24"/>
        </w:rPr>
        <w:t xml:space="preserve"> both </w:t>
      </w:r>
      <w:r w:rsidR="000B1D56">
        <w:rPr>
          <w:rFonts w:ascii="Garamond" w:hAnsi="Garamond"/>
          <w:sz w:val="24"/>
        </w:rPr>
        <w:t>deliberate and heuristic</w:t>
      </w:r>
      <w:r w:rsidR="0055535B" w:rsidRPr="00E54821">
        <w:rPr>
          <w:rFonts w:ascii="Garamond" w:hAnsi="Garamond"/>
          <w:sz w:val="24"/>
          <w:vertAlign w:val="superscript"/>
        </w:rPr>
        <w:footnoteReference w:id="9"/>
      </w:r>
      <w:r w:rsidR="000B1D56">
        <w:rPr>
          <w:rFonts w:ascii="Garamond" w:hAnsi="Garamond"/>
          <w:sz w:val="24"/>
        </w:rPr>
        <w:t xml:space="preserve"> behaviors</w:t>
      </w:r>
      <w:r w:rsidR="0055535B">
        <w:rPr>
          <w:rFonts w:ascii="Garamond" w:hAnsi="Garamond"/>
          <w:sz w:val="24"/>
        </w:rPr>
        <w:t xml:space="preserve"> in a more generalized way</w:t>
      </w:r>
      <w:r w:rsidR="000B1D56">
        <w:rPr>
          <w:rFonts w:ascii="Garamond" w:hAnsi="Garamond"/>
          <w:sz w:val="24"/>
        </w:rPr>
        <w:t>.</w:t>
      </w:r>
      <w:r w:rsidR="000B1D56" w:rsidRPr="00E54821">
        <w:rPr>
          <w:rFonts w:ascii="Garamond" w:hAnsi="Garamond"/>
          <w:sz w:val="24"/>
        </w:rPr>
        <w:t xml:space="preserve"> </w:t>
      </w:r>
      <w:r w:rsidR="000B1D56">
        <w:rPr>
          <w:rFonts w:ascii="Garamond" w:hAnsi="Garamond"/>
          <w:sz w:val="24"/>
        </w:rPr>
        <w:t xml:space="preserve">The advantages of applying the </w:t>
      </w:r>
      <w:r w:rsidR="000B1D56" w:rsidRPr="00E54821">
        <w:rPr>
          <w:rFonts w:ascii="Garamond" w:hAnsi="Garamond"/>
          <w:sz w:val="24"/>
        </w:rPr>
        <w:t xml:space="preserve">PMBC </w:t>
      </w:r>
      <w:r w:rsidR="000B1D56">
        <w:rPr>
          <w:rFonts w:ascii="Garamond" w:hAnsi="Garamond"/>
          <w:sz w:val="24"/>
        </w:rPr>
        <w:t>to turnout persistence a</w:t>
      </w:r>
      <w:r w:rsidR="000B1D56" w:rsidRPr="00E54821">
        <w:rPr>
          <w:rFonts w:ascii="Garamond" w:hAnsi="Garamond"/>
          <w:sz w:val="24"/>
        </w:rPr>
        <w:t xml:space="preserve">re as follows. First, unlike narrow definitions of </w:t>
      </w:r>
      <w:r w:rsidR="000B1D56">
        <w:rPr>
          <w:rFonts w:ascii="Garamond" w:hAnsi="Garamond"/>
          <w:sz w:val="24"/>
        </w:rPr>
        <w:t>turnout persistence</w:t>
      </w:r>
      <w:r w:rsidR="000B1D56" w:rsidRPr="00E54821">
        <w:rPr>
          <w:rFonts w:ascii="Garamond" w:hAnsi="Garamond"/>
          <w:sz w:val="24"/>
        </w:rPr>
        <w:t>, the PMBC provides clear, testable predictions as to which circumstances are more favorable for</w:t>
      </w:r>
      <w:bookmarkStart w:id="4" w:name="_Hlk83841323"/>
      <w:r w:rsidR="000B1D56" w:rsidRPr="00E54821">
        <w:rPr>
          <w:rFonts w:ascii="Garamond" w:hAnsi="Garamond"/>
          <w:sz w:val="24"/>
        </w:rPr>
        <w:t xml:space="preserve"> turnout </w:t>
      </w:r>
      <w:r w:rsidR="000B1D56" w:rsidRPr="00E54821">
        <w:rPr>
          <w:rFonts w:ascii="Garamond" w:hAnsi="Garamond"/>
          <w:sz w:val="24"/>
        </w:rPr>
        <w:lastRenderedPageBreak/>
        <w:t>persistence</w:t>
      </w:r>
      <w:bookmarkEnd w:id="4"/>
      <w:r w:rsidR="000B1D56" w:rsidRPr="00E54821">
        <w:rPr>
          <w:rFonts w:ascii="Garamond" w:hAnsi="Garamond"/>
          <w:sz w:val="24"/>
        </w:rPr>
        <w:t xml:space="preserve">. Second, the PMBC avoids the paradox of how such an infrequent and clearly non-automatic behavior can be construed as habitual in the strict psychological sense. Third, the PMBC is a parsimonious, rich, and coherently self-contained theoretical framework. </w:t>
      </w:r>
      <w:r w:rsidR="000B1D56">
        <w:rPr>
          <w:rFonts w:ascii="Garamond" w:hAnsi="Garamond"/>
          <w:sz w:val="24"/>
        </w:rPr>
        <w:t>A</w:t>
      </w:r>
      <w:r w:rsidR="000B1D56" w:rsidRPr="00E54821">
        <w:rPr>
          <w:rFonts w:ascii="Garamond" w:hAnsi="Garamond"/>
          <w:sz w:val="24"/>
        </w:rPr>
        <w:t xml:space="preserve">pplying the PMBC to </w:t>
      </w:r>
      <w:r w:rsidR="000B1D56">
        <w:rPr>
          <w:rFonts w:ascii="Garamond" w:hAnsi="Garamond"/>
          <w:sz w:val="24"/>
        </w:rPr>
        <w:t>turnout persistence</w:t>
      </w:r>
      <w:r w:rsidR="000B1D56" w:rsidRPr="00E54821">
        <w:rPr>
          <w:rFonts w:ascii="Garamond" w:hAnsi="Garamond"/>
          <w:sz w:val="24"/>
        </w:rPr>
        <w:t xml:space="preserve"> allows us to reconcile inconsistencies in the </w:t>
      </w:r>
      <w:r w:rsidR="000B1D56">
        <w:rPr>
          <w:rFonts w:ascii="Garamond" w:hAnsi="Garamond"/>
          <w:sz w:val="24"/>
        </w:rPr>
        <w:t xml:space="preserve">empirical </w:t>
      </w:r>
      <w:r w:rsidR="000B1D56" w:rsidRPr="00E54821">
        <w:rPr>
          <w:rFonts w:ascii="Garamond" w:hAnsi="Garamond"/>
          <w:sz w:val="24"/>
        </w:rPr>
        <w:t xml:space="preserve">voting-as-a-habit literature. For instance, some studies found that previous voting in one type of election does not translate to downstream voting in a different type of election (Michelson, 2003; Hill &amp; </w:t>
      </w:r>
      <w:proofErr w:type="spellStart"/>
      <w:r w:rsidR="000B1D56" w:rsidRPr="00E54821">
        <w:rPr>
          <w:rFonts w:ascii="Garamond" w:hAnsi="Garamond"/>
          <w:sz w:val="24"/>
        </w:rPr>
        <w:t>Kousser</w:t>
      </w:r>
      <w:proofErr w:type="spellEnd"/>
      <w:r w:rsidR="000B1D56" w:rsidRPr="00E54821">
        <w:rPr>
          <w:rFonts w:ascii="Garamond" w:hAnsi="Garamond"/>
          <w:sz w:val="24"/>
        </w:rPr>
        <w:t>, 2016),</w:t>
      </w:r>
      <w:r w:rsidR="000B1D56">
        <w:rPr>
          <w:rFonts w:ascii="Garamond" w:hAnsi="Garamond"/>
          <w:sz w:val="24"/>
        </w:rPr>
        <w:t xml:space="preserve"> but other studies found turnout persistence</w:t>
      </w:r>
      <w:r w:rsidR="000B1D56" w:rsidRPr="00E54821">
        <w:rPr>
          <w:rFonts w:ascii="Garamond" w:hAnsi="Garamond"/>
          <w:sz w:val="24"/>
        </w:rPr>
        <w:t xml:space="preserve"> </w:t>
      </w:r>
      <w:r w:rsidR="000B1D56">
        <w:rPr>
          <w:rFonts w:ascii="Garamond" w:hAnsi="Garamond"/>
          <w:sz w:val="24"/>
        </w:rPr>
        <w:t>across</w:t>
      </w:r>
      <w:r w:rsidR="000B1D56" w:rsidRPr="00E54821">
        <w:rPr>
          <w:rFonts w:ascii="Garamond" w:hAnsi="Garamond"/>
          <w:sz w:val="24"/>
        </w:rPr>
        <w:t xml:space="preserve"> different types of elections (Garcia </w:t>
      </w:r>
      <w:proofErr w:type="spellStart"/>
      <w:r w:rsidR="000B1D56" w:rsidRPr="00E54821">
        <w:rPr>
          <w:rFonts w:ascii="Garamond" w:hAnsi="Garamond"/>
          <w:sz w:val="24"/>
        </w:rPr>
        <w:t>Bedolla</w:t>
      </w:r>
      <w:proofErr w:type="spellEnd"/>
      <w:r w:rsidR="000B1D56" w:rsidRPr="00E54821">
        <w:rPr>
          <w:rFonts w:ascii="Garamond" w:hAnsi="Garamond"/>
          <w:sz w:val="24"/>
        </w:rPr>
        <w:t xml:space="preserve"> and Michelson, 2012; G</w:t>
      </w:r>
      <w:r w:rsidR="000B1D56">
        <w:rPr>
          <w:rFonts w:ascii="Garamond" w:hAnsi="Garamond"/>
          <w:sz w:val="24"/>
        </w:rPr>
        <w:t xml:space="preserve">erber, Green, &amp; </w:t>
      </w:r>
      <w:proofErr w:type="spellStart"/>
      <w:r w:rsidR="000B1D56">
        <w:rPr>
          <w:rFonts w:ascii="Garamond" w:hAnsi="Garamond"/>
          <w:sz w:val="24"/>
        </w:rPr>
        <w:t>Shachar</w:t>
      </w:r>
      <w:proofErr w:type="spellEnd"/>
      <w:r w:rsidR="000B1D56">
        <w:rPr>
          <w:rFonts w:ascii="Garamond" w:hAnsi="Garamond"/>
          <w:sz w:val="24"/>
        </w:rPr>
        <w:t xml:space="preserve"> 2003).</w:t>
      </w:r>
      <w:r w:rsidR="000B1D56" w:rsidRPr="00E54821">
        <w:rPr>
          <w:rFonts w:ascii="Garamond" w:hAnsi="Garamond"/>
          <w:sz w:val="24"/>
        </w:rPr>
        <w:t xml:space="preserve"> </w:t>
      </w:r>
    </w:p>
    <w:p w14:paraId="085E1671" w14:textId="3581591B"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There have been two major approaches to isolating </w:t>
      </w:r>
      <w:r w:rsidR="006A1256">
        <w:rPr>
          <w:rFonts w:ascii="Garamond" w:hAnsi="Garamond"/>
          <w:sz w:val="24"/>
        </w:rPr>
        <w:t>turnout persistence</w:t>
      </w:r>
      <w:r w:rsidRPr="00127C36">
        <w:rPr>
          <w:rFonts w:ascii="Garamond" w:hAnsi="Garamond"/>
          <w:sz w:val="24"/>
        </w:rPr>
        <w:t xml:space="preserve"> from confounding variables: 1) a regression discontinuity at the point when a voter becomes eligible to vote, 2) a 2SLS regression on downstream turnout among compliers in randomized (e.g., GOTV nudges) or natural experiments (e.g., rainfall). I discuss each of these approaches in turn and apply the PMBC model to make sense of their findings.   </w:t>
      </w:r>
    </w:p>
    <w:p w14:paraId="085E1672"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The first approach is a temporal regression discontinuity design that uses the date at which a voter becomes eligible to vote (Meredith, 2009; Franklin &amp; </w:t>
      </w:r>
      <w:proofErr w:type="spellStart"/>
      <w:r w:rsidRPr="00127C36">
        <w:rPr>
          <w:rFonts w:ascii="Garamond" w:hAnsi="Garamond"/>
          <w:sz w:val="24"/>
        </w:rPr>
        <w:t>Hobolt</w:t>
      </w:r>
      <w:proofErr w:type="spellEnd"/>
      <w:r w:rsidRPr="00127C36">
        <w:rPr>
          <w:rFonts w:ascii="Garamond" w:hAnsi="Garamond"/>
          <w:sz w:val="24"/>
        </w:rPr>
        <w:t xml:space="preserve">, 2011; </w:t>
      </w:r>
      <w:proofErr w:type="spellStart"/>
      <w:r w:rsidRPr="00127C36">
        <w:rPr>
          <w:rFonts w:ascii="Garamond" w:hAnsi="Garamond"/>
          <w:sz w:val="24"/>
        </w:rPr>
        <w:t>Dinas</w:t>
      </w:r>
      <w:proofErr w:type="spellEnd"/>
      <w:r w:rsidRPr="00127C36">
        <w:rPr>
          <w:rFonts w:ascii="Garamond" w:hAnsi="Garamond"/>
          <w:sz w:val="24"/>
        </w:rPr>
        <w:t xml:space="preserve">, 2012; </w:t>
      </w:r>
      <w:proofErr w:type="spellStart"/>
      <w:r w:rsidRPr="00127C36">
        <w:rPr>
          <w:rFonts w:ascii="Garamond" w:hAnsi="Garamond"/>
          <w:sz w:val="24"/>
        </w:rPr>
        <w:t>Coppock</w:t>
      </w:r>
      <w:proofErr w:type="spellEnd"/>
      <w:r w:rsidRPr="00127C36">
        <w:rPr>
          <w:rFonts w:ascii="Garamond" w:hAnsi="Garamond"/>
          <w:sz w:val="24"/>
        </w:rPr>
        <w:t xml:space="preserve"> and Green, 2016). In other words, this approach compares the long-term vote record of the voter who turned 18 just before an election to the long-term vote record of the voter who turned 18 just after the same election. This design exploits the fact that people cannot self-select to either group and assumes that the only meaningful difference between the two groups is eligibility to vote. With this approach, researchers have found that voting habits persist for at least twenty years (</w:t>
      </w:r>
      <w:proofErr w:type="spellStart"/>
      <w:r w:rsidRPr="00127C36">
        <w:rPr>
          <w:rFonts w:ascii="Garamond" w:hAnsi="Garamond"/>
          <w:sz w:val="24"/>
        </w:rPr>
        <w:t>Coppock</w:t>
      </w:r>
      <w:proofErr w:type="spellEnd"/>
      <w:r w:rsidRPr="00127C36">
        <w:rPr>
          <w:rFonts w:ascii="Garamond" w:hAnsi="Garamond"/>
          <w:sz w:val="24"/>
        </w:rPr>
        <w:t xml:space="preserve"> and Green, 2016), which is consistent with the broader psychological literature on habit-formation—repeated habitual actions should be self-reinforcing (e.g., </w:t>
      </w:r>
      <w:proofErr w:type="spellStart"/>
      <w:r w:rsidRPr="00127C36">
        <w:rPr>
          <w:rFonts w:ascii="Garamond" w:hAnsi="Garamond"/>
          <w:sz w:val="24"/>
        </w:rPr>
        <w:t>Lally</w:t>
      </w:r>
      <w:proofErr w:type="spellEnd"/>
      <w:r w:rsidRPr="00127C36">
        <w:rPr>
          <w:rFonts w:ascii="Garamond" w:hAnsi="Garamond"/>
          <w:sz w:val="24"/>
        </w:rPr>
        <w:t xml:space="preserve"> and Gardner, 2013). </w:t>
      </w:r>
    </w:p>
    <w:p w14:paraId="085E1673"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lastRenderedPageBreak/>
        <w:t xml:space="preserve">To better see how this research would be interpreted by the proposed PMBC model, it is useful to explicate each step for a young voter who becomes eligible to vote shortly before an election. Under the PMBC model the Situation Stage is the upcoming election that a young voter will be eligible for. Next, that young voter may be made aware of the upcoming elections via campaign and non-profit outreach, media coverage, and conversations with friends and family (i.e., the Attention Stage). If they are not made aware of the upcoming election, they will therefore abstain without ever assessing the costs and benefits of voting. If they are made aware of the upcoming election that they are eligible to vote in, the young voter will proceed to the Appraisal Stage, since they have not voted before and, thus, have no cognitive shortcuts past the Appraisal Stage. As mentioned earlier, for the Appraisal Stage, I use a variant of </w:t>
      </w:r>
      <w:proofErr w:type="spellStart"/>
      <w:r w:rsidRPr="00127C36">
        <w:rPr>
          <w:rFonts w:ascii="Garamond" w:hAnsi="Garamond"/>
          <w:sz w:val="24"/>
        </w:rPr>
        <w:t>DellaVigna</w:t>
      </w:r>
      <w:proofErr w:type="spellEnd"/>
      <w:r w:rsidRPr="00127C36">
        <w:rPr>
          <w:rFonts w:ascii="Garamond" w:hAnsi="Garamond"/>
          <w:sz w:val="24"/>
        </w:rPr>
        <w:t xml:space="preserve"> et al.’s (2016) model, which has three benefits and two costs. The benefits are the expected utility of being the pivotal voter (i.e., your vote decides the election), the “warm glow” of voting, and the social utility of voting (e.g., being able to truthfully report having had voted to peers and family). The costs are the transactional cost of voting (time, transportation costs, opportunity cost, etc.) and the social cost of not voting (e.g., </w:t>
      </w:r>
      <w:proofErr w:type="gramStart"/>
      <w:r w:rsidRPr="00127C36">
        <w:rPr>
          <w:rFonts w:ascii="Garamond" w:hAnsi="Garamond"/>
          <w:sz w:val="24"/>
        </w:rPr>
        <w:t>either telling the truth and</w:t>
      </w:r>
      <w:proofErr w:type="gramEnd"/>
      <w:r w:rsidRPr="00127C36">
        <w:rPr>
          <w:rFonts w:ascii="Garamond" w:hAnsi="Garamond"/>
          <w:sz w:val="24"/>
        </w:rPr>
        <w:t xml:space="preserve"> being socially sanctioned for not voting or the cognitive cost of lying about one’s abstention).</w:t>
      </w:r>
    </w:p>
    <w:p w14:paraId="085E1674"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What is important to note is that the new voters must estimate these variables with limited information and those estimates may be wildly inaccurate. Additionally, these variables can be manipulated exogenously. For instance, social pressure GOTV outreach explicitly (e.g., Gerber, Green and Larimer, 2008) or implicitly (e.g., Rogers, Ternovski and </w:t>
      </w:r>
      <w:proofErr w:type="spellStart"/>
      <w:r w:rsidRPr="00127C36">
        <w:rPr>
          <w:rFonts w:ascii="Garamond" w:hAnsi="Garamond"/>
          <w:sz w:val="24"/>
        </w:rPr>
        <w:t>Yoeli</w:t>
      </w:r>
      <w:proofErr w:type="spellEnd"/>
      <w:r w:rsidRPr="00127C36">
        <w:rPr>
          <w:rFonts w:ascii="Garamond" w:hAnsi="Garamond"/>
          <w:sz w:val="24"/>
        </w:rPr>
        <w:t>, 201</w:t>
      </w:r>
      <w:r w:rsidR="00E3152B">
        <w:rPr>
          <w:rFonts w:ascii="Garamond" w:hAnsi="Garamond"/>
          <w:sz w:val="24"/>
        </w:rPr>
        <w:t>6</w:t>
      </w:r>
      <w:r w:rsidRPr="00127C36">
        <w:rPr>
          <w:rFonts w:ascii="Garamond" w:hAnsi="Garamond"/>
          <w:sz w:val="24"/>
        </w:rPr>
        <w:t xml:space="preserve">) emphasizes that whether or not someone voted is public record and this tactic has consistently increased turnout even in competitive elections (e.g., Green, McGrath and </w:t>
      </w:r>
      <w:proofErr w:type="spellStart"/>
      <w:r w:rsidRPr="00127C36">
        <w:rPr>
          <w:rFonts w:ascii="Garamond" w:hAnsi="Garamond"/>
          <w:sz w:val="24"/>
        </w:rPr>
        <w:t>Aronow</w:t>
      </w:r>
      <w:proofErr w:type="spellEnd"/>
      <w:r w:rsidRPr="00127C36">
        <w:rPr>
          <w:rFonts w:ascii="Garamond" w:hAnsi="Garamond"/>
          <w:sz w:val="24"/>
        </w:rPr>
        <w:t xml:space="preserve">, 2013). This is to say that, under this theoretical model, receiving a piece of mail that emphasizes that whether or not you voted is public record and people may ask you about it is likely to increase the expected cost of not voting. </w:t>
      </w:r>
      <w:r w:rsidRPr="00127C36">
        <w:rPr>
          <w:rFonts w:ascii="Garamond" w:hAnsi="Garamond"/>
          <w:sz w:val="24"/>
        </w:rPr>
        <w:lastRenderedPageBreak/>
        <w:t>The key takeaway is that social and campaign outreach that calls attention to an upcoming election can also affect the perceived variables in the cost-benefit model used in the Appraisal stage of the PMBC decision-making model. Hence, the young voter in our example would either choose to vote or abstain and proceed to the Situation Stage of the PMBC model. In this example, the Situation Stage can be construed as encompassing both the experience at the polls and the subsequent social interactions about voting.</w:t>
      </w:r>
      <w:r w:rsidRPr="00127C36">
        <w:rPr>
          <w:rFonts w:ascii="Garamond" w:hAnsi="Garamond"/>
          <w:sz w:val="24"/>
          <w:vertAlign w:val="superscript"/>
        </w:rPr>
        <w:footnoteReference w:id="10"/>
      </w:r>
      <w:r w:rsidRPr="00127C36">
        <w:rPr>
          <w:rFonts w:ascii="Garamond" w:hAnsi="Garamond"/>
          <w:sz w:val="24"/>
        </w:rPr>
        <w:t xml:space="preserve"> </w:t>
      </w:r>
    </w:p>
    <w:p w14:paraId="085E1675"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At the Situation Stage, the voter will therefore get important information that updates the values of each variable used in the cost-benefit analysis, but the voter and the non-voter have systematically different sets of information. For one, the voter can update the “warm glow” variable depending on one’s experiences at the polls. Someone who had a positive experience may assign a higher value to their “warm glow” benefit, while someone who waited in a long line and was affected by voter ID laws (e.g., they cast a “provisional” ballot because their identification did not meet state requirements), may decrease the value assigned to the “warm glow” variable.</w:t>
      </w:r>
      <w:r w:rsidRPr="00127C36">
        <w:rPr>
          <w:rFonts w:ascii="Garamond" w:hAnsi="Garamond"/>
          <w:sz w:val="24"/>
          <w:vertAlign w:val="superscript"/>
        </w:rPr>
        <w:footnoteReference w:id="11"/>
      </w:r>
      <w:r w:rsidRPr="00127C36">
        <w:rPr>
          <w:rFonts w:ascii="Garamond" w:hAnsi="Garamond"/>
          <w:sz w:val="24"/>
        </w:rPr>
        <w:t xml:space="preserve"> The non-voter would thus only be able to update this variable through second-hand information (e.g., talking to friends and family who voted). And as Meredith (2009) points out, the voter may also be able to reduce the transaction cost of voting by getting important first-hand logistical information about voting (e.g., knowing where to go, what the ballot looks like, how voting machines work, knowing more about the candidates). The non-voter would not get the benefit of this cost reduction. The voter and non-voter will get markedly different pieces of information that affect the social cost and </w:t>
      </w:r>
      <w:r w:rsidRPr="00127C36">
        <w:rPr>
          <w:rFonts w:ascii="Garamond" w:hAnsi="Garamond"/>
          <w:sz w:val="24"/>
        </w:rPr>
        <w:lastRenderedPageBreak/>
        <w:t>social benefit of voting. The non-voter will get more information about the social cost of not voting and the voter will get more information about the social benefit.</w:t>
      </w:r>
    </w:p>
    <w:p w14:paraId="085E1676"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On the next election day (which may be years later), our example youth voter encounters a similar situation and must again get some reminder to bring their attention to the election. If they are made aware of the election they may again proceed to the Appraisal stage with updated cost-benefit values, which may be updated again in a similar way. Ultimately, this updating of cost-benefit terms can also be considered in a reduced form: was the decision to vote or not vote “correct”? In other words, in casting a vote did the voter feel that the benefits justified the costs and vice versa. This aspect is critical in habit-formation because a desirable behavior (i.e., voting) only starts to become a habit if there is a positive benefit to that behavior and the contextual cues drawing attention to the upcoming election are similar (Duckworth and Gross, 2020). At some point, an individual can therefore sidestep the Appraisal Stage because the cost-benefit maximization equation has led to positive results in the past. </w:t>
      </w:r>
    </w:p>
    <w:p w14:paraId="085E1677" w14:textId="4F8DAF9A" w:rsidR="00127C36" w:rsidRPr="00127C36" w:rsidRDefault="00127C36" w:rsidP="00127C36">
      <w:pPr>
        <w:spacing w:line="480" w:lineRule="auto"/>
        <w:ind w:firstLine="720"/>
        <w:rPr>
          <w:rFonts w:ascii="Garamond" w:hAnsi="Garamond"/>
          <w:sz w:val="24"/>
        </w:rPr>
      </w:pPr>
      <w:r w:rsidRPr="00127C36">
        <w:rPr>
          <w:rFonts w:ascii="Garamond" w:hAnsi="Garamond"/>
          <w:sz w:val="24"/>
        </w:rPr>
        <w:t>The results from this RDD literature could imply that over the course of multiple elections, newly eligible voters develop a persistent heuristic-driven shortcut past the Appraisal stage. But there does remain one alternative explanation that I alluded to earlier: divergences in the voting record of the voter who became eligible to vote just before an election versus that of the voter who didn’t may be driven by d</w:t>
      </w:r>
      <w:r w:rsidR="00A81AE8">
        <w:rPr>
          <w:rFonts w:ascii="Garamond" w:hAnsi="Garamond"/>
          <w:sz w:val="24"/>
        </w:rPr>
        <w:t xml:space="preserve">ivergences in the information </w:t>
      </w:r>
      <w:r w:rsidR="004E4C00">
        <w:rPr>
          <w:rFonts w:ascii="Garamond" w:hAnsi="Garamond"/>
          <w:sz w:val="24"/>
        </w:rPr>
        <w:t xml:space="preserve">boluses </w:t>
      </w:r>
      <w:r w:rsidRPr="00127C36">
        <w:rPr>
          <w:rFonts w:ascii="Garamond" w:hAnsi="Garamond"/>
          <w:sz w:val="24"/>
        </w:rPr>
        <w:t xml:space="preserve">the two types of individuals receive (i.e., this is an exclusion violation). The key part is that newly eligible voters may have highly inaccurate estimates of the costs and benefits of turning out to the polls and voting for the first time could potentially provide a major correction to a misestimated cost or benefit. The amount of information a new voter receives from voting in each successive election is likely diminishing on average. As such, to better disentangle whether it is the act of voting or the information received from the </w:t>
      </w:r>
      <w:r w:rsidRPr="00127C36">
        <w:rPr>
          <w:rFonts w:ascii="Garamond" w:hAnsi="Garamond"/>
          <w:sz w:val="24"/>
        </w:rPr>
        <w:lastRenderedPageBreak/>
        <w:t xml:space="preserve">voting experience that is responsible for future votes, it would be useful to examine the development of heuristic shortcuts among more seasoned voters. </w:t>
      </w:r>
    </w:p>
    <w:p w14:paraId="085E1678"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Some of the empirical research in the voting-as-a-habit literature does indeed make use of randomized controlled experiments to include the development of </w:t>
      </w:r>
      <w:r w:rsidR="006A1256">
        <w:rPr>
          <w:rFonts w:ascii="Garamond" w:hAnsi="Garamond"/>
          <w:sz w:val="24"/>
        </w:rPr>
        <w:t>turnout persistence</w:t>
      </w:r>
      <w:r w:rsidRPr="00127C36">
        <w:rPr>
          <w:rFonts w:ascii="Garamond" w:hAnsi="Garamond"/>
          <w:sz w:val="24"/>
        </w:rPr>
        <w:t xml:space="preserve"> among older voters (e.g., </w:t>
      </w:r>
      <w:proofErr w:type="spellStart"/>
      <w:r w:rsidRPr="00127C36">
        <w:rPr>
          <w:rFonts w:ascii="Garamond" w:hAnsi="Garamond"/>
          <w:sz w:val="24"/>
        </w:rPr>
        <w:t>Coppock</w:t>
      </w:r>
      <w:proofErr w:type="spellEnd"/>
      <w:r w:rsidRPr="00127C36">
        <w:rPr>
          <w:rFonts w:ascii="Garamond" w:hAnsi="Garamond"/>
          <w:sz w:val="24"/>
        </w:rPr>
        <w:t xml:space="preserve"> &amp; Green, 2016). This population is composed of people who have already made it a habit to abstain in elections or those individuals who have gotten a good sense of the costs and benefits of voting but did not become frequent voters. It is worth emphasizing that the PMBC model was constructed to gain a better understanding of how to modify existing, undesirable behaviors and supplant them with healthy, desirable behaviors (e.g., healthier eating choices) (Duckworth and Gross, 2020), which makes the PMBC model particularly suitable for studying the long-term implications of inducements to vote among a broader population of individuals who have “unhealthy voting habits.” </w:t>
      </w:r>
    </w:p>
    <w:p w14:paraId="085E1679"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For this population of infrequent voters, the voting-as-a-habit literature makes use of 2SLS regression to look at the long-term vote histories of individuals who were induced to vote due to random or as-if random interventions. Most of this literature using this approach made use of randomized field experiments that were originally conducted not to build a voting habit but to simply get voters to vote in a particular upstream election (e.g., Gerber, Green, </w:t>
      </w:r>
      <w:proofErr w:type="spellStart"/>
      <w:r w:rsidRPr="00127C36">
        <w:rPr>
          <w:rFonts w:ascii="Garamond" w:hAnsi="Garamond"/>
          <w:sz w:val="24"/>
        </w:rPr>
        <w:t>Shachar</w:t>
      </w:r>
      <w:proofErr w:type="spellEnd"/>
      <w:r w:rsidRPr="00127C36">
        <w:rPr>
          <w:rFonts w:ascii="Garamond" w:hAnsi="Garamond"/>
          <w:sz w:val="24"/>
        </w:rPr>
        <w:t xml:space="preserve">, 2003; Michelson, 2003; Garcia </w:t>
      </w:r>
      <w:proofErr w:type="spellStart"/>
      <w:r w:rsidRPr="00127C36">
        <w:rPr>
          <w:rFonts w:ascii="Garamond" w:hAnsi="Garamond"/>
          <w:sz w:val="24"/>
        </w:rPr>
        <w:t>Bedolla</w:t>
      </w:r>
      <w:proofErr w:type="spellEnd"/>
      <w:r w:rsidRPr="00127C36">
        <w:rPr>
          <w:rFonts w:ascii="Garamond" w:hAnsi="Garamond"/>
          <w:sz w:val="24"/>
        </w:rPr>
        <w:t xml:space="preserve"> and Michelson, 2012; </w:t>
      </w:r>
      <w:proofErr w:type="spellStart"/>
      <w:r w:rsidRPr="00127C36">
        <w:rPr>
          <w:rFonts w:ascii="Garamond" w:hAnsi="Garamond"/>
          <w:sz w:val="24"/>
        </w:rPr>
        <w:t>Coppock</w:t>
      </w:r>
      <w:proofErr w:type="spellEnd"/>
      <w:r w:rsidRPr="00127C36">
        <w:rPr>
          <w:rFonts w:ascii="Garamond" w:hAnsi="Garamond"/>
          <w:sz w:val="24"/>
        </w:rPr>
        <w:t xml:space="preserve"> and Green, 2016). Among the most successful of these interventions is the social pressure nudge (Green, McGrath, and </w:t>
      </w:r>
      <w:proofErr w:type="spellStart"/>
      <w:r w:rsidRPr="00127C36">
        <w:rPr>
          <w:rFonts w:ascii="Garamond" w:hAnsi="Garamond"/>
          <w:sz w:val="24"/>
        </w:rPr>
        <w:t>Aronow</w:t>
      </w:r>
      <w:proofErr w:type="spellEnd"/>
      <w:r w:rsidRPr="00127C36">
        <w:rPr>
          <w:rFonts w:ascii="Garamond" w:hAnsi="Garamond"/>
          <w:sz w:val="24"/>
        </w:rPr>
        <w:t xml:space="preserve">, 2013) and this outreach explicitly targets the social cost and social benefit terms in the cost-benefit equation at the Appraisal Stage. </w:t>
      </w:r>
    </w:p>
    <w:p w14:paraId="085E167A" w14:textId="38D1431A" w:rsidR="00127C36" w:rsidRPr="00127C36" w:rsidRDefault="00127C36" w:rsidP="00127C36">
      <w:pPr>
        <w:spacing w:line="480" w:lineRule="auto"/>
        <w:ind w:firstLine="720"/>
        <w:rPr>
          <w:rFonts w:ascii="Garamond" w:hAnsi="Garamond"/>
          <w:sz w:val="24"/>
        </w:rPr>
      </w:pPr>
      <w:r w:rsidRPr="00127C36">
        <w:rPr>
          <w:rFonts w:ascii="Garamond" w:hAnsi="Garamond"/>
          <w:sz w:val="24"/>
        </w:rPr>
        <w:t>While these experiments analyze a more experienced voting base and therefore likely avoid th</w:t>
      </w:r>
      <w:r w:rsidR="00B41AC4">
        <w:rPr>
          <w:rFonts w:ascii="Garamond" w:hAnsi="Garamond"/>
          <w:sz w:val="24"/>
        </w:rPr>
        <w:t>e problem of large information</w:t>
      </w:r>
      <w:r w:rsidRPr="00127C36">
        <w:rPr>
          <w:rFonts w:ascii="Garamond" w:hAnsi="Garamond"/>
          <w:sz w:val="24"/>
        </w:rPr>
        <w:t xml:space="preserve"> boluses from turning up at the polls for the first time, they may </w:t>
      </w:r>
      <w:r w:rsidRPr="00127C36">
        <w:rPr>
          <w:rFonts w:ascii="Garamond" w:hAnsi="Garamond"/>
          <w:sz w:val="24"/>
        </w:rPr>
        <w:lastRenderedPageBreak/>
        <w:t xml:space="preserve">have a different exclusion restriction violation. As Fujiwara, </w:t>
      </w:r>
      <w:proofErr w:type="spellStart"/>
      <w:r w:rsidRPr="00127C36">
        <w:rPr>
          <w:rFonts w:ascii="Garamond" w:hAnsi="Garamond"/>
          <w:sz w:val="24"/>
        </w:rPr>
        <w:t>Meng</w:t>
      </w:r>
      <w:proofErr w:type="spellEnd"/>
      <w:r w:rsidRPr="00127C36">
        <w:rPr>
          <w:rFonts w:ascii="Garamond" w:hAnsi="Garamond"/>
          <w:sz w:val="24"/>
        </w:rPr>
        <w:t xml:space="preserve">, and </w:t>
      </w:r>
      <w:proofErr w:type="spellStart"/>
      <w:r w:rsidRPr="00127C36">
        <w:rPr>
          <w:rFonts w:ascii="Garamond" w:hAnsi="Garamond"/>
          <w:sz w:val="24"/>
        </w:rPr>
        <w:t>Vogl</w:t>
      </w:r>
      <w:proofErr w:type="spellEnd"/>
      <w:r w:rsidRPr="00127C36">
        <w:rPr>
          <w:rFonts w:ascii="Garamond" w:hAnsi="Garamond"/>
          <w:sz w:val="24"/>
        </w:rPr>
        <w:t xml:space="preserve"> (2016) note, it is possible that the observed downstream effects of these nudges are due to lasting changes in the cost-benefit equation during the Appraisal Stage as opposed to a cognitive shortcut past the Appraisal Stage. To be clear, social pressure nudges aim to increase both the social cost and social benefit of voting by emphasizing that whether or not someone voted is public record. The treated individual may thus anticipate more people asking about whether they voted, but after a few elections they may realize that being asked about voting is not as frequent a situation as they expect, which may lead to cessation of voting after just a few elections. And indeed, this is what </w:t>
      </w:r>
      <w:proofErr w:type="spellStart"/>
      <w:r w:rsidRPr="00127C36">
        <w:rPr>
          <w:rFonts w:ascii="Garamond" w:hAnsi="Garamond"/>
          <w:sz w:val="24"/>
        </w:rPr>
        <w:t>Coppock</w:t>
      </w:r>
      <w:proofErr w:type="spellEnd"/>
      <w:r w:rsidRPr="00127C36">
        <w:rPr>
          <w:rFonts w:ascii="Garamond" w:hAnsi="Garamond"/>
          <w:sz w:val="24"/>
        </w:rPr>
        <w:t xml:space="preserve"> and Green (2016) see in their analysis of downstream voting among compliers of GOTV field experiments, which stands in stark contrast to their findings using eligibility criteria of young voters (where frequent voting persists two decades later).</w:t>
      </w:r>
      <w:r w:rsidRPr="00127C36">
        <w:rPr>
          <w:rFonts w:ascii="Garamond" w:hAnsi="Garamond"/>
          <w:sz w:val="24"/>
          <w:vertAlign w:val="superscript"/>
        </w:rPr>
        <w:footnoteReference w:id="12"/>
      </w:r>
      <w:r w:rsidRPr="00127C36">
        <w:rPr>
          <w:rFonts w:ascii="Garamond" w:hAnsi="Garamond"/>
          <w:sz w:val="24"/>
        </w:rPr>
        <w:t xml:space="preserve"> It is also worth noting that the initial social pressure outreach studied in the experiments analyzed by </w:t>
      </w:r>
      <w:proofErr w:type="spellStart"/>
      <w:r w:rsidRPr="00127C36">
        <w:rPr>
          <w:rFonts w:ascii="Garamond" w:hAnsi="Garamond"/>
          <w:sz w:val="24"/>
        </w:rPr>
        <w:t>Coppock</w:t>
      </w:r>
      <w:proofErr w:type="spellEnd"/>
      <w:r w:rsidRPr="00127C36">
        <w:rPr>
          <w:rFonts w:ascii="Garamond" w:hAnsi="Garamond"/>
          <w:sz w:val="24"/>
        </w:rPr>
        <w:t xml:space="preserve"> and Green (2016) had some level of novelty and may have triggered awareness at the Attention Stage in a way that temporarily broke a habit of non-voting, by both providing a different contextual cue and changing the expected social costs of continuing to abstain. </w:t>
      </w:r>
    </w:p>
    <w:p w14:paraId="085E167B" w14:textId="77777777" w:rsidR="00127C36" w:rsidRPr="00127C36" w:rsidRDefault="00127C36" w:rsidP="00127C36">
      <w:pPr>
        <w:spacing w:line="480" w:lineRule="auto"/>
        <w:ind w:firstLine="720"/>
        <w:rPr>
          <w:rFonts w:ascii="Garamond" w:hAnsi="Garamond"/>
          <w:sz w:val="24"/>
        </w:rPr>
      </w:pPr>
      <w:r w:rsidRPr="00127C36">
        <w:rPr>
          <w:rFonts w:ascii="Garamond" w:hAnsi="Garamond"/>
          <w:sz w:val="24"/>
        </w:rPr>
        <w:t xml:space="preserve">One additional strategy used in the past to overcome this exclusion restriction is the use of unexpected shocks like rainfall (Fujiwara, </w:t>
      </w:r>
      <w:proofErr w:type="spellStart"/>
      <w:r w:rsidRPr="00127C36">
        <w:rPr>
          <w:rFonts w:ascii="Garamond" w:hAnsi="Garamond"/>
          <w:sz w:val="24"/>
        </w:rPr>
        <w:t>Meng</w:t>
      </w:r>
      <w:proofErr w:type="spellEnd"/>
      <w:r w:rsidRPr="00127C36">
        <w:rPr>
          <w:rFonts w:ascii="Garamond" w:hAnsi="Garamond"/>
          <w:sz w:val="24"/>
        </w:rPr>
        <w:t xml:space="preserve"> and </w:t>
      </w:r>
      <w:proofErr w:type="spellStart"/>
      <w:r w:rsidRPr="00127C36">
        <w:rPr>
          <w:rFonts w:ascii="Garamond" w:hAnsi="Garamond"/>
          <w:sz w:val="24"/>
        </w:rPr>
        <w:t>Vogl</w:t>
      </w:r>
      <w:proofErr w:type="spellEnd"/>
      <w:r w:rsidRPr="00127C36">
        <w:rPr>
          <w:rFonts w:ascii="Garamond" w:hAnsi="Garamond"/>
          <w:sz w:val="24"/>
        </w:rPr>
        <w:t>, 2016), but as the authors themselves note, it is still very possible that people will still commit a misattribution error and allow an obviously unrelated event color their perceptions of future events.</w:t>
      </w:r>
      <w:r w:rsidRPr="00127C36">
        <w:rPr>
          <w:rFonts w:ascii="Garamond" w:hAnsi="Garamond"/>
          <w:sz w:val="24"/>
          <w:vertAlign w:val="superscript"/>
        </w:rPr>
        <w:footnoteReference w:id="13"/>
      </w:r>
      <w:r w:rsidRPr="00127C36">
        <w:rPr>
          <w:rFonts w:ascii="Garamond" w:hAnsi="Garamond"/>
          <w:sz w:val="24"/>
        </w:rPr>
        <w:t xml:space="preserve"> This rain study is also limited by the fact that the unit of observation was county-level data and as the authors note their habit effects may be amplified by social interactions among voters. Indeed, it is worth noting that anticipated social costs </w:t>
      </w:r>
      <w:r w:rsidRPr="00127C36">
        <w:rPr>
          <w:rFonts w:ascii="Garamond" w:hAnsi="Garamond"/>
          <w:sz w:val="24"/>
        </w:rPr>
        <w:lastRenderedPageBreak/>
        <w:t xml:space="preserve">of abstention correlate strongly with local turnout rates (Gerber et al., 2016), so a lower-than-anticipated turnout in a county after heavy rain may be communicated by peers and the media, thereby causing an adjustment of the social value of voting in the Appraisal Stage of the PMBC model. </w:t>
      </w:r>
    </w:p>
    <w:p w14:paraId="085E167F" w14:textId="5CCE0EA8" w:rsidR="003A4D84" w:rsidRDefault="00127C36" w:rsidP="00AA5887">
      <w:pPr>
        <w:spacing w:line="480" w:lineRule="auto"/>
        <w:rPr>
          <w:rFonts w:ascii="Garamond" w:hAnsi="Garamond"/>
          <w:sz w:val="40"/>
        </w:rPr>
      </w:pPr>
      <w:r w:rsidRPr="00127C36">
        <w:rPr>
          <w:rFonts w:ascii="Garamond" w:hAnsi="Garamond"/>
          <w:sz w:val="24"/>
        </w:rPr>
        <w:tab/>
        <w:t>The data used in this paper does not necessarily circumvent all potential violations of the exclusion restriction, but it does provide a different perspective in that the exogenous shock is not solely focused on increasing upstream turnout (as with social pressure nudges),</w:t>
      </w:r>
      <w:r w:rsidRPr="00127C36">
        <w:rPr>
          <w:rFonts w:ascii="Garamond" w:hAnsi="Garamond"/>
          <w:sz w:val="24"/>
          <w:vertAlign w:val="superscript"/>
        </w:rPr>
        <w:footnoteReference w:id="14"/>
      </w:r>
      <w:r w:rsidRPr="00127C36">
        <w:rPr>
          <w:rFonts w:ascii="Garamond" w:hAnsi="Garamond"/>
          <w:sz w:val="24"/>
        </w:rPr>
        <w:t xml:space="preserve"> but also cultivating a habit in the same way public health interventions attempt to make health behaviors automatic for individuals (e.g., </w:t>
      </w:r>
      <w:proofErr w:type="spellStart"/>
      <w:r w:rsidRPr="00127C36">
        <w:rPr>
          <w:rFonts w:ascii="Garamond" w:hAnsi="Garamond"/>
          <w:sz w:val="24"/>
        </w:rPr>
        <w:t>Lally</w:t>
      </w:r>
      <w:proofErr w:type="spellEnd"/>
      <w:r w:rsidRPr="00127C36">
        <w:rPr>
          <w:rFonts w:ascii="Garamond" w:hAnsi="Garamond"/>
          <w:sz w:val="24"/>
        </w:rPr>
        <w:t xml:space="preserve"> et al 2010). How the cost-benefit equation of voting would change from this intervention is less clear aside from potentially reducing the transaction cost of voting.</w:t>
      </w:r>
      <w:r w:rsidRPr="00127C36">
        <w:rPr>
          <w:rFonts w:ascii="Garamond" w:hAnsi="Garamond"/>
          <w:sz w:val="24"/>
          <w:vertAlign w:val="superscript"/>
        </w:rPr>
        <w:footnoteReference w:id="15"/>
      </w:r>
      <w:r w:rsidRPr="00127C36">
        <w:rPr>
          <w:rFonts w:ascii="Garamond" w:hAnsi="Garamond"/>
          <w:sz w:val="24"/>
        </w:rPr>
        <w:t xml:space="preserve"> </w:t>
      </w:r>
    </w:p>
    <w:p w14:paraId="085E1680" w14:textId="77777777" w:rsidR="003A4D84" w:rsidRDefault="003A4D84" w:rsidP="00127C36">
      <w:pPr>
        <w:rPr>
          <w:rFonts w:ascii="Garamond" w:hAnsi="Garamond"/>
          <w:sz w:val="40"/>
        </w:rPr>
      </w:pPr>
    </w:p>
    <w:p w14:paraId="085E1681" w14:textId="77777777" w:rsidR="003A4D84" w:rsidRDefault="003A4D84" w:rsidP="00127C36">
      <w:pPr>
        <w:rPr>
          <w:rFonts w:ascii="Garamond" w:hAnsi="Garamond"/>
          <w:sz w:val="40"/>
        </w:rPr>
      </w:pPr>
    </w:p>
    <w:p w14:paraId="085E1682" w14:textId="77777777" w:rsidR="003A4D84" w:rsidRDefault="003A4D84" w:rsidP="00127C36">
      <w:pPr>
        <w:rPr>
          <w:rFonts w:ascii="Garamond" w:hAnsi="Garamond"/>
          <w:sz w:val="40"/>
        </w:rPr>
      </w:pPr>
    </w:p>
    <w:p w14:paraId="085E1683" w14:textId="77777777" w:rsidR="00830DD6" w:rsidRDefault="00830DD6" w:rsidP="00127C36">
      <w:pPr>
        <w:rPr>
          <w:rFonts w:ascii="Garamond" w:hAnsi="Garamond"/>
          <w:sz w:val="40"/>
        </w:rPr>
      </w:pPr>
    </w:p>
    <w:p w14:paraId="085E1684" w14:textId="77777777" w:rsidR="00830DD6" w:rsidRDefault="00830DD6" w:rsidP="00127C36">
      <w:pPr>
        <w:rPr>
          <w:rFonts w:ascii="Garamond" w:hAnsi="Garamond"/>
          <w:sz w:val="40"/>
        </w:rPr>
      </w:pPr>
    </w:p>
    <w:p w14:paraId="085E1685" w14:textId="77777777" w:rsidR="00830DD6" w:rsidRDefault="00830DD6" w:rsidP="00127C36">
      <w:pPr>
        <w:rPr>
          <w:rFonts w:ascii="Garamond" w:hAnsi="Garamond"/>
          <w:sz w:val="40"/>
        </w:rPr>
      </w:pPr>
    </w:p>
    <w:p w14:paraId="085E1686" w14:textId="77777777" w:rsidR="003A4D84" w:rsidRPr="00614C09" w:rsidRDefault="003A4D84" w:rsidP="00127C36">
      <w:pPr>
        <w:rPr>
          <w:rFonts w:ascii="Garamond" w:hAnsi="Garamond"/>
          <w:sz w:val="40"/>
        </w:rPr>
      </w:pPr>
    </w:p>
    <w:p w14:paraId="085E1687" w14:textId="77777777" w:rsidR="006A1FCD" w:rsidRPr="00CC6E1E" w:rsidRDefault="006A1FCD" w:rsidP="00CC6E1E">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5" w:name="_Toc129961279"/>
      <w:r w:rsidRPr="00CC6E1E">
        <w:rPr>
          <w:rFonts w:ascii="Garamond" w:eastAsiaTheme="majorEastAsia" w:hAnsi="Garamond" w:cstheme="majorBidi"/>
          <w:b/>
          <w:i/>
          <w:sz w:val="28"/>
          <w:szCs w:val="26"/>
        </w:rPr>
        <w:lastRenderedPageBreak/>
        <w:t>Data</w:t>
      </w:r>
      <w:bookmarkEnd w:id="5"/>
    </w:p>
    <w:p w14:paraId="085E1688" w14:textId="77777777" w:rsidR="006A1FCD" w:rsidRPr="006A1FCD" w:rsidRDefault="006A1FCD" w:rsidP="006A1FCD">
      <w:pPr>
        <w:spacing w:line="480" w:lineRule="auto"/>
        <w:rPr>
          <w:rFonts w:ascii="Garamond" w:hAnsi="Garamond"/>
          <w:sz w:val="24"/>
        </w:rPr>
      </w:pPr>
      <w:r w:rsidRPr="006A1FCD">
        <w:rPr>
          <w:rFonts w:ascii="Garamond" w:hAnsi="Garamond"/>
          <w:sz w:val="24"/>
        </w:rPr>
        <w:tab/>
      </w:r>
      <w:bookmarkStart w:id="6" w:name="_Hlk95658227"/>
      <w:r w:rsidRPr="006A1FCD">
        <w:rPr>
          <w:rFonts w:ascii="Garamond" w:hAnsi="Garamond"/>
          <w:sz w:val="24"/>
        </w:rPr>
        <w:t xml:space="preserve">I partnered with a large-scale US labor organization that continually runs door-to-door outreach programs with millions of working class Americans. </w:t>
      </w:r>
      <w:bookmarkEnd w:id="6"/>
      <w:r w:rsidRPr="006A1FCD">
        <w:rPr>
          <w:rFonts w:ascii="Garamond" w:hAnsi="Garamond"/>
          <w:sz w:val="24"/>
        </w:rPr>
        <w:t>Their outreach strategy focuses on building a relationship with voters through recurring contact via in-person conversations; importantly, both individuals in the control and treatment groups get subsequent in-person contact.</w:t>
      </w:r>
      <w:r w:rsidRPr="006A1FCD">
        <w:rPr>
          <w:rFonts w:ascii="Garamond" w:hAnsi="Garamond"/>
          <w:sz w:val="24"/>
          <w:vertAlign w:val="superscript"/>
        </w:rPr>
        <w:footnoteReference w:id="16"/>
      </w:r>
      <w:r w:rsidRPr="006A1FCD">
        <w:rPr>
          <w:rFonts w:ascii="Garamond" w:hAnsi="Garamond"/>
          <w:sz w:val="24"/>
        </w:rPr>
        <w:t xml:space="preserve"> Aside from recurring non-election contact ranging from attempts to increase health insurance uptake to issue-based advocacy, the organization also does voter mobilization during election years. Election year contact consists of freeform conversations at the door with several guiding questions, a Get-Out-the-Vote (GOTV) component, and a persuasion component regarding some issue and/or candidate. The GOTV component is rooted in behavioral psychology research on encouraging habit-formation. Particularly, the script has the canvasser ask about the voter’s plan to vote (i.e., “When do you normally go- on your way to work? When you get off? Just before dinner?”), which has proven to be an effective GOTV intervention even in high salience election contexts (Nickerson and Rogers, 2010).</w:t>
      </w:r>
      <w:r w:rsidRPr="006A1FCD">
        <w:rPr>
          <w:rFonts w:ascii="Garamond" w:hAnsi="Garamond"/>
          <w:sz w:val="24"/>
          <w:vertAlign w:val="superscript"/>
        </w:rPr>
        <w:footnoteReference w:id="17"/>
      </w:r>
      <w:r w:rsidRPr="006A1FCD">
        <w:rPr>
          <w:rFonts w:ascii="Garamond" w:hAnsi="Garamond"/>
          <w:sz w:val="24"/>
        </w:rPr>
        <w:t xml:space="preserve"> The script also includes a component encouraging voters to talk to their friends and family about the election. (A de-identified sample script can be found in </w:t>
      </w:r>
      <w:r w:rsidR="00830DD6">
        <w:rPr>
          <w:rFonts w:ascii="Garamond" w:hAnsi="Garamond"/>
          <w:sz w:val="24"/>
        </w:rPr>
        <w:t>Section 7</w:t>
      </w:r>
      <w:r w:rsidRPr="006A1FCD">
        <w:rPr>
          <w:rFonts w:ascii="Garamond" w:hAnsi="Garamond"/>
          <w:sz w:val="24"/>
        </w:rPr>
        <w:t xml:space="preserve">.) </w:t>
      </w:r>
    </w:p>
    <w:p w14:paraId="085E1689" w14:textId="77777777" w:rsidR="006A1FCD" w:rsidRPr="006A1FCD" w:rsidRDefault="006A1FCD" w:rsidP="006A1FCD">
      <w:pPr>
        <w:spacing w:line="480" w:lineRule="auto"/>
        <w:rPr>
          <w:rFonts w:ascii="Garamond" w:hAnsi="Garamond"/>
          <w:sz w:val="24"/>
        </w:rPr>
      </w:pPr>
      <w:r w:rsidRPr="006A1FCD">
        <w:rPr>
          <w:rFonts w:ascii="Garamond" w:hAnsi="Garamond"/>
          <w:sz w:val="24"/>
        </w:rPr>
        <w:tab/>
        <w:t>This treatment is distinct from prior analyses of downstream turnout effects for three reasons. First, the treatments are specifically tailored around building a voting-habit. Implementation intentions (commonly known as “plan-making nudges”) have proven to have medium to large effects on translating intentions to actions (</w:t>
      </w:r>
      <w:proofErr w:type="spellStart"/>
      <w:r w:rsidRPr="006A1FCD">
        <w:rPr>
          <w:rFonts w:ascii="Garamond" w:hAnsi="Garamond"/>
          <w:sz w:val="24"/>
        </w:rPr>
        <w:t>Gollwitzer</w:t>
      </w:r>
      <w:proofErr w:type="spellEnd"/>
      <w:r w:rsidRPr="006A1FCD">
        <w:rPr>
          <w:rFonts w:ascii="Garamond" w:hAnsi="Garamond"/>
          <w:sz w:val="24"/>
        </w:rPr>
        <w:t xml:space="preserve"> and </w:t>
      </w:r>
      <w:proofErr w:type="spellStart"/>
      <w:r w:rsidRPr="006A1FCD">
        <w:rPr>
          <w:rFonts w:ascii="Garamond" w:hAnsi="Garamond"/>
          <w:sz w:val="24"/>
        </w:rPr>
        <w:t>Sheeran</w:t>
      </w:r>
      <w:proofErr w:type="spellEnd"/>
      <w:r w:rsidRPr="006A1FCD">
        <w:rPr>
          <w:rFonts w:ascii="Garamond" w:hAnsi="Garamond"/>
          <w:sz w:val="24"/>
        </w:rPr>
        <w:t xml:space="preserve">, 2008). This component is therefore designed to affect the formation of a cognitive shortcut unlike many of the prior field </w:t>
      </w:r>
      <w:r w:rsidRPr="006A1FCD">
        <w:rPr>
          <w:rFonts w:ascii="Garamond" w:hAnsi="Garamond"/>
          <w:sz w:val="24"/>
        </w:rPr>
        <w:lastRenderedPageBreak/>
        <w:t>experiments in the voting-as-a-habit literature.</w:t>
      </w:r>
      <w:r w:rsidRPr="006A1FCD">
        <w:rPr>
          <w:rFonts w:ascii="Garamond" w:hAnsi="Garamond"/>
          <w:sz w:val="24"/>
          <w:vertAlign w:val="superscript"/>
        </w:rPr>
        <w:footnoteReference w:id="18"/>
      </w:r>
      <w:r w:rsidRPr="006A1FCD">
        <w:rPr>
          <w:rFonts w:ascii="Garamond" w:hAnsi="Garamond"/>
          <w:sz w:val="24"/>
        </w:rPr>
        <w:t xml:space="preserve"> That said, it should be noted that the component of the script that encourages participants to talk to their friends and family about the election could conceivably alter one’s social cost/benefit of voting in the Appraisal Stage. Still, because it does not explicitly reference that whether or not someone votes is public record, it is less likely to affect the cost-benefit equation as compared to social pressure GOTV nudges. Social pressure nudges, in contrast, may illustrate that the cost of not voting is higher than expected. An encouragement to simply talk about the election is only likely to affect the social cost of not voting in very indirect ways and is therefore much less likely to affect the cost-benefit calculation than the social pressure intervention. Additionally, recurring contact by the same organization</w:t>
      </w:r>
      <w:r w:rsidRPr="006A1FCD">
        <w:rPr>
          <w:rFonts w:ascii="Garamond" w:hAnsi="Garamond"/>
          <w:sz w:val="24"/>
          <w:vertAlign w:val="superscript"/>
        </w:rPr>
        <w:footnoteReference w:id="19"/>
      </w:r>
      <w:r w:rsidRPr="006A1FCD">
        <w:rPr>
          <w:rFonts w:ascii="Garamond" w:hAnsi="Garamond"/>
          <w:sz w:val="24"/>
        </w:rPr>
        <w:t xml:space="preserve"> and encouragement to talk about the election with friends and family attempts to keep the same contextual cues for the Attention Stage in future elections, so that the Appraisal stage can more easily be sidestepped. In summary, one key goal of this program was to affect long-term voting behavior of individuals; this stands in contrast to most field experiments in the voting-as-a-habit literature, which were designed to maximize short-term (i.e., upstream) voting behavior.</w:t>
      </w:r>
    </w:p>
    <w:p w14:paraId="085E168A" w14:textId="7DB74414" w:rsidR="00127C36" w:rsidRDefault="00127C36" w:rsidP="006A1FCD">
      <w:pPr>
        <w:spacing w:line="480" w:lineRule="auto"/>
        <w:ind w:firstLine="720"/>
        <w:rPr>
          <w:rFonts w:ascii="Garamond" w:hAnsi="Garamond"/>
          <w:sz w:val="24"/>
        </w:rPr>
      </w:pPr>
      <w:bookmarkStart w:id="7" w:name="_Hlk95658379"/>
      <w:r w:rsidRPr="00127C36">
        <w:rPr>
          <w:rFonts w:ascii="Garamond" w:hAnsi="Garamond"/>
          <w:sz w:val="24"/>
        </w:rPr>
        <w:t>The sample is balanced across treatment and control conditions in terms of household income, age</w:t>
      </w:r>
      <w:r w:rsidR="00F05C1E">
        <w:rPr>
          <w:rFonts w:ascii="Garamond" w:hAnsi="Garamond"/>
          <w:sz w:val="24"/>
        </w:rPr>
        <w:t>, marriage status</w:t>
      </w:r>
      <w:r w:rsidRPr="00127C36">
        <w:rPr>
          <w:rFonts w:ascii="Garamond" w:hAnsi="Garamond"/>
          <w:sz w:val="24"/>
        </w:rPr>
        <w:t>, sex, race, political party, and whether they voted in the 2012, 20</w:t>
      </w:r>
      <w:r w:rsidR="00502DA5">
        <w:rPr>
          <w:rFonts w:ascii="Garamond" w:hAnsi="Garamond"/>
          <w:sz w:val="24"/>
        </w:rPr>
        <w:t>10, and 2008 general elections. W</w:t>
      </w:r>
      <w:r w:rsidR="005D5F63">
        <w:rPr>
          <w:rFonts w:ascii="Garamond" w:hAnsi="Garamond"/>
          <w:sz w:val="24"/>
        </w:rPr>
        <w:t>hen treatment condition is regressed against these covariates</w:t>
      </w:r>
      <w:r w:rsidR="00502DA5">
        <w:rPr>
          <w:rFonts w:ascii="Garamond" w:hAnsi="Garamond"/>
          <w:sz w:val="24"/>
        </w:rPr>
        <w:t xml:space="preserve"> for each experiment</w:t>
      </w:r>
      <w:r w:rsidR="005D5F63">
        <w:rPr>
          <w:rFonts w:ascii="Garamond" w:hAnsi="Garamond"/>
          <w:sz w:val="24"/>
        </w:rPr>
        <w:t xml:space="preserve">, the </w:t>
      </w:r>
      <w:r w:rsidR="006D3002">
        <w:rPr>
          <w:rFonts w:ascii="Garamond" w:hAnsi="Garamond"/>
          <w:sz w:val="24"/>
        </w:rPr>
        <w:t>joint</w:t>
      </w:r>
      <w:r w:rsidR="00502DA5">
        <w:rPr>
          <w:rFonts w:ascii="Garamond" w:hAnsi="Garamond"/>
          <w:sz w:val="24"/>
        </w:rPr>
        <w:t xml:space="preserve"> p-value</w:t>
      </w:r>
      <w:r w:rsidRPr="00127C36">
        <w:rPr>
          <w:rFonts w:ascii="Garamond" w:hAnsi="Garamond"/>
          <w:sz w:val="24"/>
        </w:rPr>
        <w:t xml:space="preserve"> do</w:t>
      </w:r>
      <w:r w:rsidR="00DE3D72">
        <w:rPr>
          <w:rFonts w:ascii="Garamond" w:hAnsi="Garamond"/>
          <w:sz w:val="24"/>
        </w:rPr>
        <w:t>es</w:t>
      </w:r>
      <w:r w:rsidRPr="00127C36">
        <w:rPr>
          <w:rFonts w:ascii="Garamond" w:hAnsi="Garamond"/>
          <w:sz w:val="24"/>
        </w:rPr>
        <w:t xml:space="preserve"> not exceed 0.05</w:t>
      </w:r>
      <w:r w:rsidR="00502DA5">
        <w:rPr>
          <w:rFonts w:ascii="Garamond" w:hAnsi="Garamond"/>
          <w:sz w:val="24"/>
        </w:rPr>
        <w:t>,</w:t>
      </w:r>
      <w:r w:rsidR="005D5F63">
        <w:rPr>
          <w:rFonts w:ascii="Garamond" w:hAnsi="Garamond"/>
          <w:sz w:val="24"/>
        </w:rPr>
        <w:t xml:space="preserve"> with the exception of Washin</w:t>
      </w:r>
      <w:r w:rsidR="00DE3D72">
        <w:rPr>
          <w:rFonts w:ascii="Garamond" w:hAnsi="Garamond"/>
          <w:sz w:val="24"/>
        </w:rPr>
        <w:t xml:space="preserve">gton, which is </w:t>
      </w:r>
      <w:r w:rsidR="00C62C92">
        <w:rPr>
          <w:rFonts w:ascii="Garamond" w:hAnsi="Garamond"/>
          <w:sz w:val="24"/>
        </w:rPr>
        <w:t xml:space="preserve">already </w:t>
      </w:r>
      <w:r w:rsidR="00DE3D72">
        <w:rPr>
          <w:rFonts w:ascii="Garamond" w:hAnsi="Garamond"/>
          <w:sz w:val="24"/>
        </w:rPr>
        <w:t>excluded from all</w:t>
      </w:r>
      <w:r w:rsidR="005D5F63">
        <w:rPr>
          <w:rFonts w:ascii="Garamond" w:hAnsi="Garamond"/>
          <w:sz w:val="24"/>
        </w:rPr>
        <w:t xml:space="preserve"> </w:t>
      </w:r>
      <w:r w:rsidR="00C62C92">
        <w:rPr>
          <w:rFonts w:ascii="Garamond" w:hAnsi="Garamond"/>
          <w:sz w:val="24"/>
        </w:rPr>
        <w:t>primary analyse</w:t>
      </w:r>
      <w:r w:rsidR="005D5F63">
        <w:rPr>
          <w:rFonts w:ascii="Garamond" w:hAnsi="Garamond"/>
          <w:sz w:val="24"/>
        </w:rPr>
        <w:t>s</w:t>
      </w:r>
      <w:r w:rsidR="00C62C92">
        <w:rPr>
          <w:rFonts w:ascii="Garamond" w:hAnsi="Garamond"/>
          <w:sz w:val="24"/>
        </w:rPr>
        <w:t xml:space="preserve"> </w:t>
      </w:r>
      <w:r w:rsidR="005D5F63">
        <w:rPr>
          <w:rFonts w:ascii="Garamond" w:hAnsi="Garamond"/>
          <w:sz w:val="24"/>
        </w:rPr>
        <w:t>beca</w:t>
      </w:r>
      <w:r w:rsidR="00480693">
        <w:rPr>
          <w:rFonts w:ascii="Garamond" w:hAnsi="Garamond"/>
          <w:sz w:val="24"/>
        </w:rPr>
        <w:t>use the upstream effect i</w:t>
      </w:r>
      <w:r w:rsidR="00502DA5">
        <w:rPr>
          <w:rFonts w:ascii="Garamond" w:hAnsi="Garamond"/>
          <w:sz w:val="24"/>
        </w:rPr>
        <w:t>s null</w:t>
      </w:r>
      <w:r w:rsidR="00C62C92">
        <w:rPr>
          <w:rFonts w:ascii="Garamond" w:hAnsi="Garamond"/>
          <w:sz w:val="24"/>
        </w:rPr>
        <w:t xml:space="preserve"> (see SM, S</w:t>
      </w:r>
      <w:r w:rsidR="00480693">
        <w:rPr>
          <w:rFonts w:ascii="Garamond" w:hAnsi="Garamond"/>
          <w:sz w:val="24"/>
        </w:rPr>
        <w:t>ection 5.2</w:t>
      </w:r>
      <w:r w:rsidR="00C62C92">
        <w:rPr>
          <w:rFonts w:ascii="Garamond" w:hAnsi="Garamond"/>
          <w:sz w:val="24"/>
        </w:rPr>
        <w:t>)</w:t>
      </w:r>
      <w:r w:rsidRPr="00127C36">
        <w:rPr>
          <w:rFonts w:ascii="Garamond" w:hAnsi="Garamond"/>
          <w:sz w:val="24"/>
        </w:rPr>
        <w:t xml:space="preserve">. Some precincts were not canvassed due to programmatic and/or logistical reasons after </w:t>
      </w:r>
      <w:r w:rsidRPr="00127C36">
        <w:rPr>
          <w:rFonts w:ascii="Garamond" w:hAnsi="Garamond"/>
          <w:sz w:val="24"/>
        </w:rPr>
        <w:lastRenderedPageBreak/>
        <w:t>randomization but before treatment implementation. Since treatment and control units were balanced within precinct, we can exclude these units from the analysis without biasing our results.</w:t>
      </w:r>
    </w:p>
    <w:bookmarkEnd w:id="7"/>
    <w:p w14:paraId="085E168D" w14:textId="3C2E7FA6" w:rsidR="006A1FCD" w:rsidRPr="006A1FCD" w:rsidRDefault="00127C36" w:rsidP="006A1FCD">
      <w:pPr>
        <w:spacing w:line="480" w:lineRule="auto"/>
        <w:ind w:firstLine="720"/>
        <w:rPr>
          <w:rFonts w:ascii="Garamond" w:hAnsi="Garamond"/>
          <w:sz w:val="24"/>
        </w:rPr>
      </w:pPr>
      <w:r>
        <w:rPr>
          <w:rFonts w:ascii="Garamond" w:hAnsi="Garamond"/>
          <w:sz w:val="24"/>
        </w:rPr>
        <w:t>As seen in Tables 3.1-3.2</w:t>
      </w:r>
      <w:r w:rsidR="006A1FCD" w:rsidRPr="006A1FCD">
        <w:rPr>
          <w:rFonts w:ascii="Garamond" w:hAnsi="Garamond"/>
          <w:sz w:val="24"/>
        </w:rPr>
        <w:t xml:space="preserve">, the demographics of the sample in each experiment differed substantially. These differences are partially an artifact of geography. (e.g., individuals randomized in the Philadelphia experiment are predominantly black, because Philadelphia is a black majority city). But a major part of these differences is due to strategic considerations: namely, the organization is tasked with engaging with working class voters and so their targets will not be representative of the wider electorate. Furthermore, the organization’s sampling criteria reflected their expectations as to people who are likely to be receptive to their GOTV outreach (which explains why such a high proportion of individuals across all experiments voted in the 2012 general election). To account for </w:t>
      </w:r>
      <w:r w:rsidR="00F82029">
        <w:rPr>
          <w:rFonts w:ascii="Garamond" w:hAnsi="Garamond"/>
          <w:sz w:val="24"/>
        </w:rPr>
        <w:t xml:space="preserve">the influence of </w:t>
      </w:r>
      <w:r w:rsidR="006A1FCD" w:rsidRPr="006A1FCD">
        <w:rPr>
          <w:rFonts w:ascii="Garamond" w:hAnsi="Garamond"/>
          <w:sz w:val="24"/>
        </w:rPr>
        <w:t>demographic</w:t>
      </w:r>
      <w:r w:rsidR="00F82029">
        <w:rPr>
          <w:rFonts w:ascii="Garamond" w:hAnsi="Garamond"/>
          <w:sz w:val="24"/>
        </w:rPr>
        <w:t>s</w:t>
      </w:r>
      <w:r w:rsidR="005A649B">
        <w:rPr>
          <w:rFonts w:ascii="Garamond" w:hAnsi="Garamond"/>
          <w:sz w:val="24"/>
        </w:rPr>
        <w:t xml:space="preserve"> on turnout persistence</w:t>
      </w:r>
      <w:r w:rsidR="006A1FCD" w:rsidRPr="006A1FCD">
        <w:rPr>
          <w:rFonts w:ascii="Garamond" w:hAnsi="Garamond"/>
          <w:sz w:val="24"/>
        </w:rPr>
        <w:t xml:space="preserve"> </w:t>
      </w:r>
      <w:r w:rsidR="00F82029">
        <w:rPr>
          <w:rFonts w:ascii="Garamond" w:hAnsi="Garamond"/>
          <w:sz w:val="24"/>
        </w:rPr>
        <w:t>in my analyses</w:t>
      </w:r>
      <w:r w:rsidR="006A1FCD" w:rsidRPr="006A1FCD">
        <w:rPr>
          <w:rFonts w:ascii="Garamond" w:hAnsi="Garamond"/>
          <w:sz w:val="24"/>
        </w:rPr>
        <w:t>, I control for all</w:t>
      </w:r>
      <w:r w:rsidR="00F82029">
        <w:rPr>
          <w:rFonts w:ascii="Garamond" w:hAnsi="Garamond"/>
          <w:sz w:val="24"/>
        </w:rPr>
        <w:t xml:space="preserve"> available observable covariates</w:t>
      </w:r>
      <w:r w:rsidR="006A1FCD" w:rsidRPr="006A1FCD">
        <w:rPr>
          <w:rFonts w:ascii="Garamond" w:hAnsi="Garamond"/>
          <w:sz w:val="24"/>
        </w:rPr>
        <w:t>.</w:t>
      </w:r>
      <w:r w:rsidR="006A1FCD" w:rsidRPr="006A1FCD">
        <w:rPr>
          <w:rFonts w:ascii="Garamond" w:hAnsi="Garamond"/>
          <w:sz w:val="24"/>
          <w:vertAlign w:val="superscript"/>
        </w:rPr>
        <w:footnoteReference w:id="20"/>
      </w:r>
      <w:r w:rsidR="006A1FCD" w:rsidRPr="006A1FCD">
        <w:rPr>
          <w:rFonts w:ascii="Garamond" w:hAnsi="Garamond"/>
          <w:sz w:val="24"/>
        </w:rPr>
        <w:t xml:space="preserve"> </w:t>
      </w:r>
      <w:r w:rsidR="00C7421F" w:rsidRPr="00C7421F">
        <w:rPr>
          <w:rFonts w:ascii="Garamond" w:hAnsi="Garamond"/>
          <w:sz w:val="24"/>
        </w:rPr>
        <w:t>I also note that there may be intrinsic differences between populations in the subsequent subgroup analyses. For example, if all targets in low salience elections happen to be people who never take cognitive shortcuts, while all targets in the high salience elections happen to always take cognitive shortcuts, we would observe turnout persistence in high salience elections not because of the salience of the election but because of certain unobservable, intrinsic characteristics of the population</w:t>
      </w:r>
      <w:r w:rsidR="00124E1E">
        <w:rPr>
          <w:rFonts w:ascii="Garamond" w:hAnsi="Garamond"/>
          <w:sz w:val="24"/>
        </w:rPr>
        <w:t>s</w:t>
      </w:r>
      <w:r w:rsidR="00C7421F" w:rsidRPr="00C7421F">
        <w:rPr>
          <w:rFonts w:ascii="Garamond" w:hAnsi="Garamond"/>
          <w:sz w:val="24"/>
        </w:rPr>
        <w:t xml:space="preserve"> being </w:t>
      </w:r>
      <w:r w:rsidR="00504063">
        <w:rPr>
          <w:rFonts w:ascii="Garamond" w:hAnsi="Garamond"/>
          <w:sz w:val="24"/>
        </w:rPr>
        <w:t>studied</w:t>
      </w:r>
      <w:r w:rsidR="00C7421F" w:rsidRPr="00C7421F">
        <w:rPr>
          <w:rFonts w:ascii="Garamond" w:hAnsi="Garamond"/>
          <w:sz w:val="24"/>
        </w:rPr>
        <w:t>.</w:t>
      </w:r>
      <w:r w:rsidR="00E626D1">
        <w:rPr>
          <w:rFonts w:ascii="Garamond" w:hAnsi="Garamond"/>
          <w:sz w:val="24"/>
        </w:rPr>
        <w:t xml:space="preserve"> </w:t>
      </w:r>
      <w:r w:rsidR="00E626D1" w:rsidRPr="00E626D1">
        <w:rPr>
          <w:rFonts w:ascii="Garamond" w:hAnsi="Garamond"/>
          <w:sz w:val="24"/>
        </w:rPr>
        <w:t>However, there is no concrete evidence to indicate that this may be the case.</w:t>
      </w:r>
    </w:p>
    <w:p w14:paraId="085E168E" w14:textId="77777777" w:rsidR="006A1FCD" w:rsidRPr="006A1FCD" w:rsidRDefault="006A1FCD" w:rsidP="006A1FCD">
      <w:pPr>
        <w:spacing w:line="480" w:lineRule="auto"/>
        <w:ind w:firstLine="720"/>
        <w:rPr>
          <w:rFonts w:ascii="Garamond" w:hAnsi="Garamond"/>
          <w:sz w:val="24"/>
        </w:rPr>
      </w:pPr>
    </w:p>
    <w:p w14:paraId="085E168F" w14:textId="77777777" w:rsidR="006A1FCD" w:rsidRPr="006A1FCD" w:rsidRDefault="006A1FCD" w:rsidP="006A1FCD">
      <w:pPr>
        <w:spacing w:line="480" w:lineRule="auto"/>
        <w:ind w:firstLine="720"/>
        <w:rPr>
          <w:rFonts w:ascii="Garamond" w:hAnsi="Garamond"/>
          <w:sz w:val="24"/>
        </w:rPr>
      </w:pPr>
      <w:bookmarkStart w:id="8" w:name="_GoBack"/>
      <w:bookmarkEnd w:id="8"/>
    </w:p>
    <w:p w14:paraId="085E1690" w14:textId="77777777" w:rsidR="006A1FCD" w:rsidRPr="006A1FCD" w:rsidRDefault="006A1FCD" w:rsidP="006A1FCD">
      <w:pPr>
        <w:spacing w:line="480" w:lineRule="auto"/>
        <w:ind w:firstLine="720"/>
        <w:rPr>
          <w:rFonts w:ascii="Garamond" w:hAnsi="Garamond"/>
          <w:sz w:val="24"/>
        </w:rPr>
      </w:pPr>
    </w:p>
    <w:p w14:paraId="085E1691" w14:textId="77777777" w:rsidR="006A1FCD" w:rsidRPr="006A1FCD" w:rsidRDefault="006A1FCD" w:rsidP="006A1FCD">
      <w:pPr>
        <w:spacing w:line="480" w:lineRule="auto"/>
        <w:rPr>
          <w:rFonts w:ascii="Garamond" w:hAnsi="Garamond"/>
          <w:b/>
          <w:noProof/>
          <w:sz w:val="24"/>
          <w:szCs w:val="24"/>
        </w:rPr>
        <w:sectPr w:rsidR="006A1FCD" w:rsidRPr="006A1FCD" w:rsidSect="00CC6E1E">
          <w:footerReference w:type="default" r:id="rId11"/>
          <w:type w:val="continuous"/>
          <w:pgSz w:w="12240" w:h="15840"/>
          <w:pgMar w:top="1440" w:right="1440" w:bottom="1440" w:left="1440" w:header="720" w:footer="720" w:gutter="0"/>
          <w:cols w:space="720"/>
          <w:docGrid w:linePitch="360"/>
        </w:sectPr>
      </w:pPr>
    </w:p>
    <w:p w14:paraId="085E1692" w14:textId="77777777" w:rsidR="006A1FCD" w:rsidRPr="006A1FCD" w:rsidRDefault="006A1FCD" w:rsidP="006A1FCD">
      <w:pPr>
        <w:spacing w:line="480" w:lineRule="auto"/>
        <w:rPr>
          <w:rFonts w:ascii="Garamond" w:hAnsi="Garamond"/>
          <w:noProof/>
          <w:sz w:val="24"/>
          <w:szCs w:val="24"/>
        </w:rPr>
      </w:pPr>
      <w:bookmarkStart w:id="9" w:name="_Toc83753719"/>
      <w:r w:rsidRPr="006A1FCD">
        <w:rPr>
          <w:rFonts w:ascii="Garamond" w:hAnsi="Garamond"/>
          <w:b/>
          <w:noProof/>
          <w:sz w:val="24"/>
          <w:szCs w:val="24"/>
        </w:rPr>
        <w:lastRenderedPageBreak/>
        <w:t xml:space="preserve">Table </w:t>
      </w:r>
      <w:r w:rsidR="00127C36">
        <w:rPr>
          <w:rFonts w:ascii="Garamond" w:hAnsi="Garamond"/>
          <w:b/>
          <w:noProof/>
          <w:sz w:val="24"/>
          <w:szCs w:val="24"/>
        </w:rPr>
        <w:t>3</w:t>
      </w:r>
      <w:r w:rsidRPr="006A1FCD">
        <w:rPr>
          <w:rFonts w:ascii="Garamond" w:hAnsi="Garamond"/>
          <w:b/>
          <w:noProof/>
          <w:sz w:val="24"/>
          <w:szCs w:val="24"/>
        </w:rPr>
        <w:t>.</w:t>
      </w:r>
      <w:r w:rsidR="00127C36">
        <w:rPr>
          <w:rFonts w:ascii="Garamond" w:hAnsi="Garamond"/>
          <w:b/>
          <w:noProof/>
          <w:sz w:val="24"/>
          <w:szCs w:val="24"/>
        </w:rPr>
        <w:t>1</w:t>
      </w:r>
      <w:r w:rsidRPr="006A1FCD">
        <w:rPr>
          <w:rFonts w:ascii="Garamond" w:hAnsi="Garamond"/>
          <w:noProof/>
          <w:sz w:val="24"/>
          <w:szCs w:val="24"/>
        </w:rPr>
        <w:t>: Summary statistics (demographics)</w:t>
      </w:r>
      <w:bookmarkEnd w:id="9"/>
    </w:p>
    <w:tbl>
      <w:tblPr>
        <w:tblW w:w="12986" w:type="dxa"/>
        <w:tblLook w:val="04A0" w:firstRow="1" w:lastRow="0" w:firstColumn="1" w:lastColumn="0" w:noHBand="0" w:noVBand="1"/>
      </w:tblPr>
      <w:tblGrid>
        <w:gridCol w:w="2307"/>
        <w:gridCol w:w="1908"/>
        <w:gridCol w:w="1107"/>
        <w:gridCol w:w="851"/>
        <w:gridCol w:w="855"/>
        <w:gridCol w:w="851"/>
        <w:gridCol w:w="851"/>
        <w:gridCol w:w="851"/>
        <w:gridCol w:w="851"/>
        <w:gridCol w:w="851"/>
        <w:gridCol w:w="851"/>
        <w:gridCol w:w="852"/>
      </w:tblGrid>
      <w:tr w:rsidR="006A1FCD" w:rsidRPr="006A1FCD" w14:paraId="085E1696" w14:textId="77777777" w:rsidTr="00F361CB">
        <w:trPr>
          <w:trHeight w:val="310"/>
        </w:trPr>
        <w:tc>
          <w:tcPr>
            <w:tcW w:w="2307" w:type="dxa"/>
            <w:tcBorders>
              <w:top w:val="nil"/>
              <w:left w:val="nil"/>
              <w:bottom w:val="nil"/>
              <w:right w:val="nil"/>
            </w:tcBorders>
            <w:shd w:val="clear" w:color="auto" w:fill="auto"/>
            <w:noWrap/>
            <w:vAlign w:val="center"/>
            <w:hideMark/>
          </w:tcPr>
          <w:p w14:paraId="085E1693" w14:textId="77777777" w:rsidR="006A1FCD" w:rsidRPr="006A1FCD" w:rsidRDefault="006A1FCD" w:rsidP="006A1FCD">
            <w:pPr>
              <w:spacing w:after="0" w:line="240" w:lineRule="auto"/>
              <w:rPr>
                <w:rFonts w:ascii="Times New Roman" w:eastAsia="Times New Roman" w:hAnsi="Times New Roman" w:cs="Times New Roman"/>
                <w:sz w:val="20"/>
                <w:szCs w:val="24"/>
              </w:rPr>
            </w:pPr>
          </w:p>
        </w:tc>
        <w:tc>
          <w:tcPr>
            <w:tcW w:w="1908" w:type="dxa"/>
            <w:tcBorders>
              <w:top w:val="nil"/>
              <w:left w:val="nil"/>
              <w:bottom w:val="nil"/>
              <w:right w:val="nil"/>
            </w:tcBorders>
            <w:shd w:val="clear" w:color="auto" w:fill="auto"/>
            <w:noWrap/>
            <w:vAlign w:val="center"/>
            <w:hideMark/>
          </w:tcPr>
          <w:p w14:paraId="085E1694" w14:textId="77777777" w:rsidR="006A1FCD" w:rsidRPr="006A1FCD" w:rsidRDefault="006A1FCD" w:rsidP="006A1FCD">
            <w:pPr>
              <w:spacing w:after="0" w:line="240" w:lineRule="auto"/>
              <w:jc w:val="center"/>
              <w:rPr>
                <w:rFonts w:ascii="Times New Roman" w:eastAsia="Times New Roman" w:hAnsi="Times New Roman" w:cs="Times New Roman"/>
                <w:sz w:val="20"/>
                <w:szCs w:val="20"/>
              </w:rPr>
            </w:pPr>
          </w:p>
        </w:tc>
        <w:tc>
          <w:tcPr>
            <w:tcW w:w="8771" w:type="dxa"/>
            <w:gridSpan w:val="10"/>
            <w:tcBorders>
              <w:top w:val="single" w:sz="12" w:space="0" w:color="auto"/>
              <w:left w:val="single" w:sz="12" w:space="0" w:color="auto"/>
              <w:bottom w:val="single" w:sz="12" w:space="0" w:color="auto"/>
              <w:right w:val="single" w:sz="12" w:space="0" w:color="000000"/>
            </w:tcBorders>
            <w:shd w:val="clear" w:color="auto" w:fill="auto"/>
            <w:vAlign w:val="center"/>
            <w:hideMark/>
          </w:tcPr>
          <w:p w14:paraId="085E1695"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Which experiment?</w:t>
            </w:r>
          </w:p>
        </w:tc>
      </w:tr>
      <w:tr w:rsidR="006A1FCD" w:rsidRPr="006A1FCD" w14:paraId="085E16A3" w14:textId="77777777" w:rsidTr="00F361CB">
        <w:trPr>
          <w:trHeight w:val="310"/>
        </w:trPr>
        <w:tc>
          <w:tcPr>
            <w:tcW w:w="2307" w:type="dxa"/>
            <w:tcBorders>
              <w:top w:val="nil"/>
              <w:left w:val="nil"/>
              <w:bottom w:val="nil"/>
              <w:right w:val="nil"/>
            </w:tcBorders>
            <w:shd w:val="clear" w:color="auto" w:fill="auto"/>
            <w:noWrap/>
            <w:vAlign w:val="center"/>
            <w:hideMark/>
          </w:tcPr>
          <w:p w14:paraId="085E1697" w14:textId="77777777" w:rsidR="006A1FCD" w:rsidRPr="006A1FCD" w:rsidRDefault="006A1FCD" w:rsidP="006A1FCD">
            <w:pPr>
              <w:spacing w:after="0" w:line="240" w:lineRule="auto"/>
              <w:jc w:val="center"/>
              <w:rPr>
                <w:rFonts w:ascii="Garamond" w:eastAsia="Times New Roman" w:hAnsi="Garamond" w:cs="Calibri"/>
                <w:b/>
                <w:bCs/>
                <w:sz w:val="20"/>
              </w:rPr>
            </w:pPr>
          </w:p>
        </w:tc>
        <w:tc>
          <w:tcPr>
            <w:tcW w:w="1908" w:type="dxa"/>
            <w:tcBorders>
              <w:top w:val="nil"/>
              <w:left w:val="nil"/>
              <w:bottom w:val="nil"/>
              <w:right w:val="nil"/>
            </w:tcBorders>
            <w:shd w:val="clear" w:color="auto" w:fill="auto"/>
            <w:noWrap/>
            <w:vAlign w:val="center"/>
            <w:hideMark/>
          </w:tcPr>
          <w:p w14:paraId="085E1698" w14:textId="77777777" w:rsidR="006A1FCD" w:rsidRPr="006A1FCD" w:rsidRDefault="006A1FCD" w:rsidP="006A1FCD">
            <w:pPr>
              <w:spacing w:after="0" w:line="240" w:lineRule="auto"/>
              <w:jc w:val="center"/>
              <w:rPr>
                <w:rFonts w:ascii="Times New Roman" w:eastAsia="Times New Roman" w:hAnsi="Times New Roman" w:cs="Times New Roman"/>
                <w:sz w:val="20"/>
                <w:szCs w:val="20"/>
              </w:rPr>
            </w:pPr>
          </w:p>
        </w:tc>
        <w:tc>
          <w:tcPr>
            <w:tcW w:w="1107" w:type="dxa"/>
            <w:tcBorders>
              <w:top w:val="nil"/>
              <w:left w:val="single" w:sz="12" w:space="0" w:color="auto"/>
              <w:bottom w:val="single" w:sz="12" w:space="0" w:color="auto"/>
              <w:right w:val="dashed" w:sz="8" w:space="0" w:color="auto"/>
            </w:tcBorders>
            <w:shd w:val="clear" w:color="auto" w:fill="auto"/>
            <w:noWrap/>
            <w:vAlign w:val="center"/>
            <w:hideMark/>
          </w:tcPr>
          <w:p w14:paraId="085E1699"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Whole Sample</w:t>
            </w:r>
          </w:p>
        </w:tc>
        <w:tc>
          <w:tcPr>
            <w:tcW w:w="851" w:type="dxa"/>
            <w:tcBorders>
              <w:top w:val="nil"/>
              <w:left w:val="nil"/>
              <w:bottom w:val="single" w:sz="12" w:space="0" w:color="auto"/>
              <w:right w:val="dashed" w:sz="8" w:space="0" w:color="auto"/>
            </w:tcBorders>
            <w:shd w:val="clear" w:color="auto" w:fill="auto"/>
            <w:noWrap/>
            <w:vAlign w:val="center"/>
            <w:hideMark/>
          </w:tcPr>
          <w:p w14:paraId="085E169A"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IA 2014</w:t>
            </w:r>
          </w:p>
        </w:tc>
        <w:tc>
          <w:tcPr>
            <w:tcW w:w="855" w:type="dxa"/>
            <w:tcBorders>
              <w:top w:val="nil"/>
              <w:left w:val="nil"/>
              <w:bottom w:val="single" w:sz="12" w:space="0" w:color="auto"/>
              <w:right w:val="dashed" w:sz="8" w:space="0" w:color="auto"/>
            </w:tcBorders>
            <w:shd w:val="clear" w:color="auto" w:fill="auto"/>
            <w:noWrap/>
            <w:vAlign w:val="center"/>
            <w:hideMark/>
          </w:tcPr>
          <w:p w14:paraId="085E169B"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IL 2014</w:t>
            </w:r>
          </w:p>
        </w:tc>
        <w:tc>
          <w:tcPr>
            <w:tcW w:w="851" w:type="dxa"/>
            <w:tcBorders>
              <w:top w:val="nil"/>
              <w:left w:val="nil"/>
              <w:bottom w:val="single" w:sz="12" w:space="0" w:color="auto"/>
              <w:right w:val="dashed" w:sz="8" w:space="0" w:color="auto"/>
            </w:tcBorders>
            <w:shd w:val="clear" w:color="auto" w:fill="auto"/>
            <w:noWrap/>
            <w:vAlign w:val="center"/>
            <w:hideMark/>
          </w:tcPr>
          <w:p w14:paraId="085E169C"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MI 2014</w:t>
            </w:r>
          </w:p>
        </w:tc>
        <w:tc>
          <w:tcPr>
            <w:tcW w:w="851" w:type="dxa"/>
            <w:tcBorders>
              <w:top w:val="nil"/>
              <w:left w:val="nil"/>
              <w:bottom w:val="single" w:sz="12" w:space="0" w:color="auto"/>
              <w:right w:val="dashed" w:sz="8" w:space="0" w:color="auto"/>
            </w:tcBorders>
            <w:shd w:val="clear" w:color="auto" w:fill="auto"/>
            <w:noWrap/>
            <w:vAlign w:val="center"/>
            <w:hideMark/>
          </w:tcPr>
          <w:p w14:paraId="085E169D"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NY 2014</w:t>
            </w:r>
          </w:p>
        </w:tc>
        <w:tc>
          <w:tcPr>
            <w:tcW w:w="851" w:type="dxa"/>
            <w:tcBorders>
              <w:top w:val="nil"/>
              <w:left w:val="nil"/>
              <w:bottom w:val="single" w:sz="12" w:space="0" w:color="auto"/>
              <w:right w:val="dashed" w:sz="8" w:space="0" w:color="auto"/>
            </w:tcBorders>
            <w:shd w:val="clear" w:color="auto" w:fill="auto"/>
            <w:noWrap/>
            <w:vAlign w:val="center"/>
            <w:hideMark/>
          </w:tcPr>
          <w:p w14:paraId="085E169E"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WA 2014</w:t>
            </w:r>
          </w:p>
        </w:tc>
        <w:tc>
          <w:tcPr>
            <w:tcW w:w="851" w:type="dxa"/>
            <w:tcBorders>
              <w:top w:val="nil"/>
              <w:left w:val="nil"/>
              <w:bottom w:val="single" w:sz="12" w:space="0" w:color="auto"/>
              <w:right w:val="dashed" w:sz="8" w:space="0" w:color="auto"/>
            </w:tcBorders>
            <w:shd w:val="clear" w:color="auto" w:fill="auto"/>
            <w:noWrap/>
            <w:vAlign w:val="center"/>
            <w:hideMark/>
          </w:tcPr>
          <w:p w14:paraId="085E169F"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PA 2015</w:t>
            </w:r>
          </w:p>
        </w:tc>
        <w:tc>
          <w:tcPr>
            <w:tcW w:w="851" w:type="dxa"/>
            <w:tcBorders>
              <w:top w:val="nil"/>
              <w:left w:val="nil"/>
              <w:bottom w:val="single" w:sz="12" w:space="0" w:color="auto"/>
              <w:right w:val="dashed" w:sz="8" w:space="0" w:color="auto"/>
            </w:tcBorders>
            <w:shd w:val="clear" w:color="auto" w:fill="auto"/>
            <w:noWrap/>
            <w:vAlign w:val="center"/>
            <w:hideMark/>
          </w:tcPr>
          <w:p w14:paraId="085E16A0"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Philly 2015</w:t>
            </w:r>
          </w:p>
        </w:tc>
        <w:tc>
          <w:tcPr>
            <w:tcW w:w="851" w:type="dxa"/>
            <w:tcBorders>
              <w:top w:val="nil"/>
              <w:left w:val="nil"/>
              <w:bottom w:val="single" w:sz="12" w:space="0" w:color="auto"/>
              <w:right w:val="dashed" w:sz="8" w:space="0" w:color="auto"/>
            </w:tcBorders>
            <w:shd w:val="clear" w:color="auto" w:fill="auto"/>
            <w:noWrap/>
            <w:vAlign w:val="center"/>
            <w:hideMark/>
          </w:tcPr>
          <w:p w14:paraId="085E16A1"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NC 2016</w:t>
            </w:r>
          </w:p>
        </w:tc>
        <w:tc>
          <w:tcPr>
            <w:tcW w:w="851" w:type="dxa"/>
            <w:tcBorders>
              <w:top w:val="nil"/>
              <w:left w:val="nil"/>
              <w:bottom w:val="single" w:sz="12" w:space="0" w:color="auto"/>
              <w:right w:val="single" w:sz="12" w:space="0" w:color="auto"/>
            </w:tcBorders>
            <w:shd w:val="clear" w:color="auto" w:fill="auto"/>
            <w:noWrap/>
            <w:vAlign w:val="center"/>
            <w:hideMark/>
          </w:tcPr>
          <w:p w14:paraId="085E16A2" w14:textId="77777777" w:rsidR="006A1FCD" w:rsidRPr="006A1FCD" w:rsidRDefault="006A1FCD" w:rsidP="006A1FCD">
            <w:pPr>
              <w:spacing w:after="0" w:line="240" w:lineRule="auto"/>
              <w:jc w:val="center"/>
              <w:rPr>
                <w:rFonts w:ascii="Garamond" w:eastAsia="Times New Roman" w:hAnsi="Garamond" w:cs="Calibri"/>
                <w:b/>
                <w:bCs/>
                <w:sz w:val="20"/>
              </w:rPr>
            </w:pPr>
            <w:r w:rsidRPr="006A1FCD">
              <w:rPr>
                <w:rFonts w:ascii="Garamond" w:eastAsia="Times New Roman" w:hAnsi="Garamond" w:cs="Calibri"/>
                <w:b/>
                <w:bCs/>
                <w:sz w:val="20"/>
              </w:rPr>
              <w:t>VA 2017</w:t>
            </w:r>
          </w:p>
        </w:tc>
      </w:tr>
      <w:tr w:rsidR="006A1FCD" w:rsidRPr="006A1FCD" w14:paraId="085E16B0" w14:textId="77777777" w:rsidTr="00F361CB">
        <w:trPr>
          <w:trHeight w:val="329"/>
        </w:trPr>
        <w:tc>
          <w:tcPr>
            <w:tcW w:w="2307" w:type="dxa"/>
            <w:tcBorders>
              <w:top w:val="single" w:sz="12" w:space="0" w:color="auto"/>
              <w:left w:val="single" w:sz="12" w:space="0" w:color="auto"/>
              <w:bottom w:val="nil"/>
              <w:right w:val="nil"/>
            </w:tcBorders>
            <w:shd w:val="clear" w:color="auto" w:fill="auto"/>
            <w:noWrap/>
            <w:vAlign w:val="center"/>
            <w:hideMark/>
          </w:tcPr>
          <w:p w14:paraId="085E16A4"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Age</w:t>
            </w:r>
          </w:p>
        </w:tc>
        <w:tc>
          <w:tcPr>
            <w:tcW w:w="1908" w:type="dxa"/>
            <w:tcBorders>
              <w:top w:val="single" w:sz="12" w:space="0" w:color="auto"/>
              <w:left w:val="nil"/>
              <w:bottom w:val="nil"/>
              <w:right w:val="single" w:sz="12" w:space="0" w:color="auto"/>
            </w:tcBorders>
            <w:shd w:val="clear" w:color="auto" w:fill="auto"/>
            <w:noWrap/>
            <w:vAlign w:val="center"/>
            <w:hideMark/>
          </w:tcPr>
          <w:p w14:paraId="085E16A5"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nil"/>
              <w:left w:val="nil"/>
              <w:bottom w:val="nil"/>
              <w:right w:val="dashed" w:sz="8" w:space="0" w:color="auto"/>
            </w:tcBorders>
            <w:shd w:val="clear" w:color="auto" w:fill="auto"/>
            <w:noWrap/>
            <w:vAlign w:val="center"/>
            <w:hideMark/>
          </w:tcPr>
          <w:p w14:paraId="085E16A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5" w:type="dxa"/>
            <w:tcBorders>
              <w:top w:val="nil"/>
              <w:left w:val="nil"/>
              <w:bottom w:val="nil"/>
              <w:right w:val="dashed" w:sz="8" w:space="0" w:color="auto"/>
            </w:tcBorders>
            <w:shd w:val="clear" w:color="auto" w:fill="auto"/>
            <w:noWrap/>
            <w:vAlign w:val="center"/>
            <w:hideMark/>
          </w:tcPr>
          <w:p w14:paraId="085E16A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A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single" w:sz="12" w:space="0" w:color="auto"/>
            </w:tcBorders>
            <w:shd w:val="clear" w:color="auto" w:fill="auto"/>
            <w:noWrap/>
            <w:vAlign w:val="center"/>
            <w:hideMark/>
          </w:tcPr>
          <w:p w14:paraId="085E16A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r>
      <w:tr w:rsidR="006A1FCD" w:rsidRPr="006A1FCD" w14:paraId="085E16BD"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6B1"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6B2"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18-29</w:t>
            </w:r>
          </w:p>
        </w:tc>
        <w:tc>
          <w:tcPr>
            <w:tcW w:w="1107" w:type="dxa"/>
            <w:tcBorders>
              <w:top w:val="nil"/>
              <w:left w:val="nil"/>
              <w:bottom w:val="nil"/>
              <w:right w:val="dashed" w:sz="8" w:space="0" w:color="auto"/>
            </w:tcBorders>
            <w:shd w:val="clear" w:color="auto" w:fill="auto"/>
            <w:vAlign w:val="center"/>
            <w:hideMark/>
          </w:tcPr>
          <w:p w14:paraId="085E16B3"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6%</w:t>
            </w:r>
          </w:p>
        </w:tc>
        <w:tc>
          <w:tcPr>
            <w:tcW w:w="851" w:type="dxa"/>
            <w:tcBorders>
              <w:top w:val="nil"/>
              <w:left w:val="nil"/>
              <w:bottom w:val="nil"/>
              <w:right w:val="dashed" w:sz="8" w:space="0" w:color="auto"/>
            </w:tcBorders>
            <w:shd w:val="clear" w:color="auto" w:fill="auto"/>
            <w:vAlign w:val="center"/>
            <w:hideMark/>
          </w:tcPr>
          <w:p w14:paraId="085E16B4"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10%</w:t>
            </w:r>
          </w:p>
        </w:tc>
        <w:tc>
          <w:tcPr>
            <w:tcW w:w="855" w:type="dxa"/>
            <w:tcBorders>
              <w:top w:val="nil"/>
              <w:left w:val="nil"/>
              <w:bottom w:val="nil"/>
              <w:right w:val="dashed" w:sz="8" w:space="0" w:color="auto"/>
            </w:tcBorders>
            <w:shd w:val="clear" w:color="auto" w:fill="auto"/>
            <w:vAlign w:val="center"/>
            <w:hideMark/>
          </w:tcPr>
          <w:p w14:paraId="085E16B5"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w:t>
            </w:r>
          </w:p>
        </w:tc>
        <w:tc>
          <w:tcPr>
            <w:tcW w:w="851" w:type="dxa"/>
            <w:tcBorders>
              <w:top w:val="nil"/>
              <w:left w:val="nil"/>
              <w:bottom w:val="nil"/>
              <w:right w:val="dashed" w:sz="8" w:space="0" w:color="auto"/>
            </w:tcBorders>
            <w:shd w:val="clear" w:color="auto" w:fill="auto"/>
            <w:noWrap/>
            <w:vAlign w:val="center"/>
            <w:hideMark/>
          </w:tcPr>
          <w:p w14:paraId="085E16B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w:t>
            </w:r>
          </w:p>
        </w:tc>
        <w:tc>
          <w:tcPr>
            <w:tcW w:w="851" w:type="dxa"/>
            <w:tcBorders>
              <w:top w:val="nil"/>
              <w:left w:val="nil"/>
              <w:bottom w:val="nil"/>
              <w:right w:val="dashed" w:sz="8" w:space="0" w:color="auto"/>
            </w:tcBorders>
            <w:shd w:val="clear" w:color="auto" w:fill="auto"/>
            <w:noWrap/>
            <w:vAlign w:val="center"/>
            <w:hideMark/>
          </w:tcPr>
          <w:p w14:paraId="085E16B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8%</w:t>
            </w:r>
          </w:p>
        </w:tc>
        <w:tc>
          <w:tcPr>
            <w:tcW w:w="851" w:type="dxa"/>
            <w:tcBorders>
              <w:top w:val="nil"/>
              <w:left w:val="nil"/>
              <w:bottom w:val="nil"/>
              <w:right w:val="dashed" w:sz="8" w:space="0" w:color="auto"/>
            </w:tcBorders>
            <w:shd w:val="clear" w:color="auto" w:fill="auto"/>
            <w:noWrap/>
            <w:vAlign w:val="center"/>
            <w:hideMark/>
          </w:tcPr>
          <w:p w14:paraId="085E16B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w:t>
            </w:r>
          </w:p>
        </w:tc>
        <w:tc>
          <w:tcPr>
            <w:tcW w:w="851" w:type="dxa"/>
            <w:tcBorders>
              <w:top w:val="nil"/>
              <w:left w:val="nil"/>
              <w:bottom w:val="nil"/>
              <w:right w:val="dashed" w:sz="8" w:space="0" w:color="auto"/>
            </w:tcBorders>
            <w:shd w:val="clear" w:color="auto" w:fill="auto"/>
            <w:noWrap/>
            <w:vAlign w:val="center"/>
            <w:hideMark/>
          </w:tcPr>
          <w:p w14:paraId="085E16B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7%</w:t>
            </w:r>
          </w:p>
        </w:tc>
        <w:tc>
          <w:tcPr>
            <w:tcW w:w="851" w:type="dxa"/>
            <w:tcBorders>
              <w:top w:val="nil"/>
              <w:left w:val="nil"/>
              <w:bottom w:val="nil"/>
              <w:right w:val="dashed" w:sz="8" w:space="0" w:color="auto"/>
            </w:tcBorders>
            <w:shd w:val="clear" w:color="auto" w:fill="auto"/>
            <w:noWrap/>
            <w:vAlign w:val="center"/>
            <w:hideMark/>
          </w:tcPr>
          <w:p w14:paraId="085E16B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w:t>
            </w:r>
          </w:p>
        </w:tc>
        <w:tc>
          <w:tcPr>
            <w:tcW w:w="851" w:type="dxa"/>
            <w:tcBorders>
              <w:top w:val="nil"/>
              <w:left w:val="nil"/>
              <w:bottom w:val="nil"/>
              <w:right w:val="dashed" w:sz="8" w:space="0" w:color="auto"/>
            </w:tcBorders>
            <w:shd w:val="clear" w:color="auto" w:fill="auto"/>
            <w:noWrap/>
            <w:vAlign w:val="center"/>
            <w:hideMark/>
          </w:tcPr>
          <w:p w14:paraId="085E16B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27%</w:t>
            </w:r>
          </w:p>
        </w:tc>
        <w:tc>
          <w:tcPr>
            <w:tcW w:w="851" w:type="dxa"/>
            <w:tcBorders>
              <w:top w:val="nil"/>
              <w:left w:val="nil"/>
              <w:bottom w:val="nil"/>
              <w:right w:val="single" w:sz="12" w:space="0" w:color="auto"/>
            </w:tcBorders>
            <w:shd w:val="clear" w:color="auto" w:fill="auto"/>
            <w:noWrap/>
            <w:vAlign w:val="center"/>
            <w:hideMark/>
          </w:tcPr>
          <w:p w14:paraId="085E16B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8%</w:t>
            </w:r>
          </w:p>
        </w:tc>
      </w:tr>
      <w:tr w:rsidR="006A1FCD" w:rsidRPr="006A1FCD" w14:paraId="085E16CA"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6BE"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6BF"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30-49</w:t>
            </w:r>
          </w:p>
        </w:tc>
        <w:tc>
          <w:tcPr>
            <w:tcW w:w="1107" w:type="dxa"/>
            <w:tcBorders>
              <w:top w:val="nil"/>
              <w:left w:val="nil"/>
              <w:bottom w:val="nil"/>
              <w:right w:val="dashed" w:sz="8" w:space="0" w:color="auto"/>
            </w:tcBorders>
            <w:shd w:val="clear" w:color="auto" w:fill="auto"/>
            <w:vAlign w:val="center"/>
            <w:hideMark/>
          </w:tcPr>
          <w:p w14:paraId="085E16C0"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28%</w:t>
            </w:r>
          </w:p>
        </w:tc>
        <w:tc>
          <w:tcPr>
            <w:tcW w:w="851" w:type="dxa"/>
            <w:tcBorders>
              <w:top w:val="nil"/>
              <w:left w:val="nil"/>
              <w:bottom w:val="nil"/>
              <w:right w:val="dashed" w:sz="8" w:space="0" w:color="auto"/>
            </w:tcBorders>
            <w:shd w:val="clear" w:color="auto" w:fill="auto"/>
            <w:vAlign w:val="center"/>
            <w:hideMark/>
          </w:tcPr>
          <w:p w14:paraId="085E16C1"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35%</w:t>
            </w:r>
          </w:p>
        </w:tc>
        <w:tc>
          <w:tcPr>
            <w:tcW w:w="855" w:type="dxa"/>
            <w:tcBorders>
              <w:top w:val="nil"/>
              <w:left w:val="nil"/>
              <w:bottom w:val="nil"/>
              <w:right w:val="dashed" w:sz="8" w:space="0" w:color="auto"/>
            </w:tcBorders>
            <w:shd w:val="clear" w:color="auto" w:fill="auto"/>
            <w:vAlign w:val="center"/>
            <w:hideMark/>
          </w:tcPr>
          <w:p w14:paraId="085E16C2"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21%</w:t>
            </w:r>
          </w:p>
        </w:tc>
        <w:tc>
          <w:tcPr>
            <w:tcW w:w="851" w:type="dxa"/>
            <w:tcBorders>
              <w:top w:val="nil"/>
              <w:left w:val="nil"/>
              <w:bottom w:val="nil"/>
              <w:right w:val="dashed" w:sz="8" w:space="0" w:color="auto"/>
            </w:tcBorders>
            <w:shd w:val="clear" w:color="auto" w:fill="auto"/>
            <w:noWrap/>
            <w:vAlign w:val="center"/>
            <w:hideMark/>
          </w:tcPr>
          <w:p w14:paraId="085E16C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32%</w:t>
            </w:r>
          </w:p>
        </w:tc>
        <w:tc>
          <w:tcPr>
            <w:tcW w:w="851" w:type="dxa"/>
            <w:tcBorders>
              <w:top w:val="nil"/>
              <w:left w:val="nil"/>
              <w:bottom w:val="nil"/>
              <w:right w:val="dashed" w:sz="8" w:space="0" w:color="auto"/>
            </w:tcBorders>
            <w:shd w:val="clear" w:color="auto" w:fill="auto"/>
            <w:noWrap/>
            <w:vAlign w:val="center"/>
            <w:hideMark/>
          </w:tcPr>
          <w:p w14:paraId="085E16C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26%</w:t>
            </w:r>
          </w:p>
        </w:tc>
        <w:tc>
          <w:tcPr>
            <w:tcW w:w="851" w:type="dxa"/>
            <w:tcBorders>
              <w:top w:val="nil"/>
              <w:left w:val="nil"/>
              <w:bottom w:val="nil"/>
              <w:right w:val="dashed" w:sz="8" w:space="0" w:color="auto"/>
            </w:tcBorders>
            <w:shd w:val="clear" w:color="auto" w:fill="auto"/>
            <w:noWrap/>
            <w:vAlign w:val="center"/>
            <w:hideMark/>
          </w:tcPr>
          <w:p w14:paraId="085E16C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27%</w:t>
            </w:r>
          </w:p>
        </w:tc>
        <w:tc>
          <w:tcPr>
            <w:tcW w:w="851" w:type="dxa"/>
            <w:tcBorders>
              <w:top w:val="nil"/>
              <w:left w:val="nil"/>
              <w:bottom w:val="nil"/>
              <w:right w:val="dashed" w:sz="8" w:space="0" w:color="auto"/>
            </w:tcBorders>
            <w:shd w:val="clear" w:color="auto" w:fill="auto"/>
            <w:noWrap/>
            <w:vAlign w:val="center"/>
            <w:hideMark/>
          </w:tcPr>
          <w:p w14:paraId="085E16C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34%</w:t>
            </w:r>
          </w:p>
        </w:tc>
        <w:tc>
          <w:tcPr>
            <w:tcW w:w="851" w:type="dxa"/>
            <w:tcBorders>
              <w:top w:val="nil"/>
              <w:left w:val="nil"/>
              <w:bottom w:val="nil"/>
              <w:right w:val="dashed" w:sz="8" w:space="0" w:color="auto"/>
            </w:tcBorders>
            <w:shd w:val="clear" w:color="auto" w:fill="auto"/>
            <w:noWrap/>
            <w:vAlign w:val="center"/>
            <w:hideMark/>
          </w:tcPr>
          <w:p w14:paraId="085E16C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29%</w:t>
            </w:r>
          </w:p>
        </w:tc>
        <w:tc>
          <w:tcPr>
            <w:tcW w:w="851" w:type="dxa"/>
            <w:tcBorders>
              <w:top w:val="nil"/>
              <w:left w:val="nil"/>
              <w:bottom w:val="nil"/>
              <w:right w:val="dashed" w:sz="8" w:space="0" w:color="auto"/>
            </w:tcBorders>
            <w:shd w:val="clear" w:color="auto" w:fill="auto"/>
            <w:noWrap/>
            <w:vAlign w:val="center"/>
            <w:hideMark/>
          </w:tcPr>
          <w:p w14:paraId="085E16C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40%</w:t>
            </w:r>
          </w:p>
        </w:tc>
        <w:tc>
          <w:tcPr>
            <w:tcW w:w="851" w:type="dxa"/>
            <w:tcBorders>
              <w:top w:val="nil"/>
              <w:left w:val="nil"/>
              <w:bottom w:val="nil"/>
              <w:right w:val="single" w:sz="12" w:space="0" w:color="auto"/>
            </w:tcBorders>
            <w:shd w:val="clear" w:color="auto" w:fill="auto"/>
            <w:noWrap/>
            <w:vAlign w:val="center"/>
            <w:hideMark/>
          </w:tcPr>
          <w:p w14:paraId="085E16C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25%</w:t>
            </w:r>
          </w:p>
        </w:tc>
      </w:tr>
      <w:tr w:rsidR="006A1FCD" w:rsidRPr="006A1FCD" w14:paraId="085E16D7"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6CB"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6CC"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50-64</w:t>
            </w:r>
          </w:p>
        </w:tc>
        <w:tc>
          <w:tcPr>
            <w:tcW w:w="1107" w:type="dxa"/>
            <w:tcBorders>
              <w:top w:val="nil"/>
              <w:left w:val="nil"/>
              <w:bottom w:val="nil"/>
              <w:right w:val="dashed" w:sz="8" w:space="0" w:color="auto"/>
            </w:tcBorders>
            <w:shd w:val="clear" w:color="auto" w:fill="auto"/>
            <w:vAlign w:val="center"/>
            <w:hideMark/>
          </w:tcPr>
          <w:p w14:paraId="085E16CD"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36%</w:t>
            </w:r>
          </w:p>
        </w:tc>
        <w:tc>
          <w:tcPr>
            <w:tcW w:w="851" w:type="dxa"/>
            <w:tcBorders>
              <w:top w:val="nil"/>
              <w:left w:val="nil"/>
              <w:bottom w:val="nil"/>
              <w:right w:val="dashed" w:sz="8" w:space="0" w:color="auto"/>
            </w:tcBorders>
            <w:shd w:val="clear" w:color="auto" w:fill="auto"/>
            <w:vAlign w:val="center"/>
            <w:hideMark/>
          </w:tcPr>
          <w:p w14:paraId="085E16CE"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30%</w:t>
            </w:r>
          </w:p>
        </w:tc>
        <w:tc>
          <w:tcPr>
            <w:tcW w:w="855" w:type="dxa"/>
            <w:tcBorders>
              <w:top w:val="nil"/>
              <w:left w:val="nil"/>
              <w:bottom w:val="nil"/>
              <w:right w:val="dashed" w:sz="8" w:space="0" w:color="auto"/>
            </w:tcBorders>
            <w:shd w:val="clear" w:color="auto" w:fill="auto"/>
            <w:vAlign w:val="center"/>
            <w:hideMark/>
          </w:tcPr>
          <w:p w14:paraId="085E16CF"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37%</w:t>
            </w:r>
          </w:p>
        </w:tc>
        <w:tc>
          <w:tcPr>
            <w:tcW w:w="851" w:type="dxa"/>
            <w:tcBorders>
              <w:top w:val="nil"/>
              <w:left w:val="nil"/>
              <w:bottom w:val="nil"/>
              <w:right w:val="dashed" w:sz="8" w:space="0" w:color="auto"/>
            </w:tcBorders>
            <w:shd w:val="clear" w:color="auto" w:fill="auto"/>
            <w:noWrap/>
            <w:vAlign w:val="center"/>
            <w:hideMark/>
          </w:tcPr>
          <w:p w14:paraId="085E16D0"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43%</w:t>
            </w:r>
          </w:p>
        </w:tc>
        <w:tc>
          <w:tcPr>
            <w:tcW w:w="851" w:type="dxa"/>
            <w:tcBorders>
              <w:top w:val="nil"/>
              <w:left w:val="nil"/>
              <w:bottom w:val="nil"/>
              <w:right w:val="dashed" w:sz="8" w:space="0" w:color="auto"/>
            </w:tcBorders>
            <w:shd w:val="clear" w:color="auto" w:fill="auto"/>
            <w:noWrap/>
            <w:vAlign w:val="center"/>
            <w:hideMark/>
          </w:tcPr>
          <w:p w14:paraId="085E16D1"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34%</w:t>
            </w:r>
          </w:p>
        </w:tc>
        <w:tc>
          <w:tcPr>
            <w:tcW w:w="851" w:type="dxa"/>
            <w:tcBorders>
              <w:top w:val="nil"/>
              <w:left w:val="nil"/>
              <w:bottom w:val="nil"/>
              <w:right w:val="dashed" w:sz="8" w:space="0" w:color="auto"/>
            </w:tcBorders>
            <w:shd w:val="clear" w:color="auto" w:fill="auto"/>
            <w:noWrap/>
            <w:vAlign w:val="center"/>
            <w:hideMark/>
          </w:tcPr>
          <w:p w14:paraId="085E16D2"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33%</w:t>
            </w:r>
          </w:p>
        </w:tc>
        <w:tc>
          <w:tcPr>
            <w:tcW w:w="851" w:type="dxa"/>
            <w:tcBorders>
              <w:top w:val="nil"/>
              <w:left w:val="nil"/>
              <w:bottom w:val="nil"/>
              <w:right w:val="dashed" w:sz="8" w:space="0" w:color="auto"/>
            </w:tcBorders>
            <w:shd w:val="clear" w:color="auto" w:fill="auto"/>
            <w:noWrap/>
            <w:vAlign w:val="center"/>
            <w:hideMark/>
          </w:tcPr>
          <w:p w14:paraId="085E16D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34%</w:t>
            </w:r>
          </w:p>
        </w:tc>
        <w:tc>
          <w:tcPr>
            <w:tcW w:w="851" w:type="dxa"/>
            <w:tcBorders>
              <w:top w:val="nil"/>
              <w:left w:val="nil"/>
              <w:bottom w:val="nil"/>
              <w:right w:val="dashed" w:sz="8" w:space="0" w:color="auto"/>
            </w:tcBorders>
            <w:shd w:val="clear" w:color="auto" w:fill="auto"/>
            <w:noWrap/>
            <w:vAlign w:val="center"/>
            <w:hideMark/>
          </w:tcPr>
          <w:p w14:paraId="085E16D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35%</w:t>
            </w:r>
          </w:p>
        </w:tc>
        <w:tc>
          <w:tcPr>
            <w:tcW w:w="851" w:type="dxa"/>
            <w:tcBorders>
              <w:top w:val="nil"/>
              <w:left w:val="nil"/>
              <w:bottom w:val="nil"/>
              <w:right w:val="dashed" w:sz="8" w:space="0" w:color="auto"/>
            </w:tcBorders>
            <w:shd w:val="clear" w:color="auto" w:fill="auto"/>
            <w:noWrap/>
            <w:vAlign w:val="center"/>
            <w:hideMark/>
          </w:tcPr>
          <w:p w14:paraId="085E16D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21%</w:t>
            </w:r>
          </w:p>
        </w:tc>
        <w:tc>
          <w:tcPr>
            <w:tcW w:w="851" w:type="dxa"/>
            <w:tcBorders>
              <w:top w:val="nil"/>
              <w:left w:val="nil"/>
              <w:bottom w:val="nil"/>
              <w:right w:val="single" w:sz="12" w:space="0" w:color="auto"/>
            </w:tcBorders>
            <w:shd w:val="clear" w:color="auto" w:fill="auto"/>
            <w:noWrap/>
            <w:vAlign w:val="center"/>
            <w:hideMark/>
          </w:tcPr>
          <w:p w14:paraId="085E16D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29%</w:t>
            </w:r>
          </w:p>
        </w:tc>
      </w:tr>
      <w:tr w:rsidR="006A1FCD" w:rsidRPr="006A1FCD" w14:paraId="085E16E4" w14:textId="77777777" w:rsidTr="00F361CB">
        <w:trPr>
          <w:trHeight w:val="323"/>
        </w:trPr>
        <w:tc>
          <w:tcPr>
            <w:tcW w:w="2307" w:type="dxa"/>
            <w:tcBorders>
              <w:top w:val="nil"/>
              <w:left w:val="single" w:sz="12" w:space="0" w:color="auto"/>
              <w:bottom w:val="dotDash" w:sz="4" w:space="0" w:color="auto"/>
              <w:right w:val="nil"/>
            </w:tcBorders>
            <w:shd w:val="clear" w:color="auto" w:fill="auto"/>
            <w:noWrap/>
            <w:vAlign w:val="center"/>
            <w:hideMark/>
          </w:tcPr>
          <w:p w14:paraId="085E16D8"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dotDash" w:sz="4" w:space="0" w:color="auto"/>
              <w:right w:val="single" w:sz="12" w:space="0" w:color="auto"/>
            </w:tcBorders>
            <w:shd w:val="clear" w:color="auto" w:fill="auto"/>
            <w:noWrap/>
            <w:vAlign w:val="center"/>
            <w:hideMark/>
          </w:tcPr>
          <w:p w14:paraId="085E16D9"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65+</w:t>
            </w:r>
          </w:p>
        </w:tc>
        <w:tc>
          <w:tcPr>
            <w:tcW w:w="1107" w:type="dxa"/>
            <w:tcBorders>
              <w:top w:val="nil"/>
              <w:left w:val="nil"/>
              <w:bottom w:val="dotDash" w:sz="4" w:space="0" w:color="auto"/>
              <w:right w:val="dashed" w:sz="8" w:space="0" w:color="auto"/>
            </w:tcBorders>
            <w:shd w:val="clear" w:color="auto" w:fill="auto"/>
            <w:vAlign w:val="center"/>
            <w:hideMark/>
          </w:tcPr>
          <w:p w14:paraId="085E16DA"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30%</w:t>
            </w:r>
          </w:p>
        </w:tc>
        <w:tc>
          <w:tcPr>
            <w:tcW w:w="851" w:type="dxa"/>
            <w:tcBorders>
              <w:top w:val="nil"/>
              <w:left w:val="nil"/>
              <w:bottom w:val="dotDash" w:sz="4" w:space="0" w:color="auto"/>
              <w:right w:val="dashed" w:sz="8" w:space="0" w:color="auto"/>
            </w:tcBorders>
            <w:shd w:val="clear" w:color="auto" w:fill="auto"/>
            <w:vAlign w:val="center"/>
            <w:hideMark/>
          </w:tcPr>
          <w:p w14:paraId="085E16DB"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25%</w:t>
            </w:r>
          </w:p>
        </w:tc>
        <w:tc>
          <w:tcPr>
            <w:tcW w:w="855" w:type="dxa"/>
            <w:tcBorders>
              <w:top w:val="nil"/>
              <w:left w:val="nil"/>
              <w:bottom w:val="dotDash" w:sz="4" w:space="0" w:color="auto"/>
              <w:right w:val="dashed" w:sz="8" w:space="0" w:color="auto"/>
            </w:tcBorders>
            <w:shd w:val="clear" w:color="auto" w:fill="auto"/>
            <w:vAlign w:val="center"/>
            <w:hideMark/>
          </w:tcPr>
          <w:p w14:paraId="085E16DC"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38%</w:t>
            </w:r>
          </w:p>
        </w:tc>
        <w:tc>
          <w:tcPr>
            <w:tcW w:w="851" w:type="dxa"/>
            <w:tcBorders>
              <w:top w:val="nil"/>
              <w:left w:val="nil"/>
              <w:bottom w:val="dotDash" w:sz="4" w:space="0" w:color="auto"/>
              <w:right w:val="dashed" w:sz="8" w:space="0" w:color="auto"/>
            </w:tcBorders>
            <w:shd w:val="clear" w:color="auto" w:fill="auto"/>
            <w:noWrap/>
            <w:vAlign w:val="center"/>
            <w:hideMark/>
          </w:tcPr>
          <w:p w14:paraId="085E16D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22%</w:t>
            </w:r>
          </w:p>
        </w:tc>
        <w:tc>
          <w:tcPr>
            <w:tcW w:w="851" w:type="dxa"/>
            <w:tcBorders>
              <w:top w:val="nil"/>
              <w:left w:val="nil"/>
              <w:bottom w:val="dotDash" w:sz="4" w:space="0" w:color="auto"/>
              <w:right w:val="dashed" w:sz="8" w:space="0" w:color="auto"/>
            </w:tcBorders>
            <w:shd w:val="clear" w:color="auto" w:fill="auto"/>
            <w:noWrap/>
            <w:vAlign w:val="center"/>
            <w:hideMark/>
          </w:tcPr>
          <w:p w14:paraId="085E16D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32%</w:t>
            </w:r>
          </w:p>
        </w:tc>
        <w:tc>
          <w:tcPr>
            <w:tcW w:w="851" w:type="dxa"/>
            <w:tcBorders>
              <w:top w:val="nil"/>
              <w:left w:val="nil"/>
              <w:bottom w:val="dotDash" w:sz="4" w:space="0" w:color="auto"/>
              <w:right w:val="dashed" w:sz="8" w:space="0" w:color="auto"/>
            </w:tcBorders>
            <w:shd w:val="clear" w:color="auto" w:fill="auto"/>
            <w:noWrap/>
            <w:vAlign w:val="center"/>
            <w:hideMark/>
          </w:tcPr>
          <w:p w14:paraId="085E16D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33%</w:t>
            </w:r>
          </w:p>
        </w:tc>
        <w:tc>
          <w:tcPr>
            <w:tcW w:w="851" w:type="dxa"/>
            <w:tcBorders>
              <w:top w:val="nil"/>
              <w:left w:val="nil"/>
              <w:bottom w:val="dotDash" w:sz="4" w:space="0" w:color="auto"/>
              <w:right w:val="dashed" w:sz="8" w:space="0" w:color="auto"/>
            </w:tcBorders>
            <w:shd w:val="clear" w:color="auto" w:fill="auto"/>
            <w:noWrap/>
            <w:vAlign w:val="center"/>
            <w:hideMark/>
          </w:tcPr>
          <w:p w14:paraId="085E16E0"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25%</w:t>
            </w:r>
          </w:p>
        </w:tc>
        <w:tc>
          <w:tcPr>
            <w:tcW w:w="851" w:type="dxa"/>
            <w:tcBorders>
              <w:top w:val="nil"/>
              <w:left w:val="nil"/>
              <w:bottom w:val="dotDash" w:sz="4" w:space="0" w:color="auto"/>
              <w:right w:val="dashed" w:sz="8" w:space="0" w:color="auto"/>
            </w:tcBorders>
            <w:shd w:val="clear" w:color="auto" w:fill="auto"/>
            <w:noWrap/>
            <w:vAlign w:val="center"/>
            <w:hideMark/>
          </w:tcPr>
          <w:p w14:paraId="085E16E1"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35%</w:t>
            </w:r>
          </w:p>
        </w:tc>
        <w:tc>
          <w:tcPr>
            <w:tcW w:w="851" w:type="dxa"/>
            <w:tcBorders>
              <w:top w:val="nil"/>
              <w:left w:val="nil"/>
              <w:bottom w:val="dotDash" w:sz="4" w:space="0" w:color="auto"/>
              <w:right w:val="dashed" w:sz="8" w:space="0" w:color="auto"/>
            </w:tcBorders>
            <w:shd w:val="clear" w:color="auto" w:fill="auto"/>
            <w:noWrap/>
            <w:vAlign w:val="center"/>
            <w:hideMark/>
          </w:tcPr>
          <w:p w14:paraId="085E16E2"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12%</w:t>
            </w:r>
          </w:p>
        </w:tc>
        <w:tc>
          <w:tcPr>
            <w:tcW w:w="851" w:type="dxa"/>
            <w:tcBorders>
              <w:top w:val="nil"/>
              <w:left w:val="nil"/>
              <w:bottom w:val="dotDash" w:sz="4" w:space="0" w:color="auto"/>
              <w:right w:val="single" w:sz="12" w:space="0" w:color="auto"/>
            </w:tcBorders>
            <w:shd w:val="clear" w:color="auto" w:fill="auto"/>
            <w:noWrap/>
            <w:vAlign w:val="center"/>
            <w:hideMark/>
          </w:tcPr>
          <w:p w14:paraId="085E16E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38%</w:t>
            </w:r>
          </w:p>
        </w:tc>
      </w:tr>
      <w:tr w:rsidR="006A1FCD" w:rsidRPr="006A1FCD" w14:paraId="085E16F1"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6E5"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Gender</w:t>
            </w:r>
          </w:p>
        </w:tc>
        <w:tc>
          <w:tcPr>
            <w:tcW w:w="1908" w:type="dxa"/>
            <w:tcBorders>
              <w:top w:val="nil"/>
              <w:left w:val="nil"/>
              <w:bottom w:val="nil"/>
              <w:right w:val="single" w:sz="12" w:space="0" w:color="auto"/>
            </w:tcBorders>
            <w:shd w:val="clear" w:color="auto" w:fill="auto"/>
            <w:noWrap/>
            <w:vAlign w:val="center"/>
            <w:hideMark/>
          </w:tcPr>
          <w:p w14:paraId="085E16E6"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nil"/>
              <w:left w:val="nil"/>
              <w:bottom w:val="nil"/>
              <w:right w:val="dashed" w:sz="8" w:space="0" w:color="auto"/>
            </w:tcBorders>
            <w:shd w:val="clear" w:color="auto" w:fill="auto"/>
            <w:vAlign w:val="center"/>
            <w:hideMark/>
          </w:tcPr>
          <w:p w14:paraId="085E16E7"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1" w:type="dxa"/>
            <w:tcBorders>
              <w:top w:val="nil"/>
              <w:left w:val="nil"/>
              <w:bottom w:val="nil"/>
              <w:right w:val="dashed" w:sz="8" w:space="0" w:color="auto"/>
            </w:tcBorders>
            <w:shd w:val="clear" w:color="auto" w:fill="auto"/>
            <w:vAlign w:val="center"/>
            <w:hideMark/>
          </w:tcPr>
          <w:p w14:paraId="085E16E8"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5" w:type="dxa"/>
            <w:tcBorders>
              <w:top w:val="nil"/>
              <w:left w:val="nil"/>
              <w:bottom w:val="nil"/>
              <w:right w:val="dashed" w:sz="8" w:space="0" w:color="auto"/>
            </w:tcBorders>
            <w:shd w:val="clear" w:color="auto" w:fill="auto"/>
            <w:vAlign w:val="center"/>
            <w:hideMark/>
          </w:tcPr>
          <w:p w14:paraId="085E16E9"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1" w:type="dxa"/>
            <w:tcBorders>
              <w:top w:val="nil"/>
              <w:left w:val="nil"/>
              <w:bottom w:val="nil"/>
              <w:right w:val="dashed" w:sz="8" w:space="0" w:color="auto"/>
            </w:tcBorders>
            <w:shd w:val="clear" w:color="auto" w:fill="auto"/>
            <w:noWrap/>
            <w:vAlign w:val="center"/>
            <w:hideMark/>
          </w:tcPr>
          <w:p w14:paraId="085E16E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E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E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E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E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6E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single" w:sz="12" w:space="0" w:color="auto"/>
            </w:tcBorders>
            <w:shd w:val="clear" w:color="auto" w:fill="auto"/>
            <w:noWrap/>
            <w:vAlign w:val="center"/>
            <w:hideMark/>
          </w:tcPr>
          <w:p w14:paraId="085E16F0"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r>
      <w:tr w:rsidR="006A1FCD" w:rsidRPr="006A1FCD" w14:paraId="085E16FE" w14:textId="77777777" w:rsidTr="00F361CB">
        <w:trPr>
          <w:trHeight w:val="323"/>
        </w:trPr>
        <w:tc>
          <w:tcPr>
            <w:tcW w:w="2307" w:type="dxa"/>
            <w:tcBorders>
              <w:top w:val="nil"/>
              <w:left w:val="single" w:sz="12" w:space="0" w:color="auto"/>
              <w:bottom w:val="dotDash" w:sz="4" w:space="0" w:color="auto"/>
              <w:right w:val="nil"/>
            </w:tcBorders>
            <w:shd w:val="clear" w:color="auto" w:fill="auto"/>
            <w:noWrap/>
            <w:vAlign w:val="center"/>
            <w:hideMark/>
          </w:tcPr>
          <w:p w14:paraId="085E16F2"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dotDash" w:sz="4" w:space="0" w:color="auto"/>
              <w:right w:val="single" w:sz="12" w:space="0" w:color="auto"/>
            </w:tcBorders>
            <w:shd w:val="clear" w:color="auto" w:fill="auto"/>
            <w:noWrap/>
            <w:vAlign w:val="center"/>
            <w:hideMark/>
          </w:tcPr>
          <w:p w14:paraId="085E16F3"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Female</w:t>
            </w:r>
          </w:p>
        </w:tc>
        <w:tc>
          <w:tcPr>
            <w:tcW w:w="1107" w:type="dxa"/>
            <w:tcBorders>
              <w:top w:val="nil"/>
              <w:left w:val="nil"/>
              <w:bottom w:val="dotDash" w:sz="4" w:space="0" w:color="auto"/>
              <w:right w:val="dashed" w:sz="8" w:space="0" w:color="auto"/>
            </w:tcBorders>
            <w:shd w:val="clear" w:color="auto" w:fill="auto"/>
            <w:vAlign w:val="center"/>
            <w:hideMark/>
          </w:tcPr>
          <w:p w14:paraId="085E16F4"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54%</w:t>
            </w:r>
          </w:p>
        </w:tc>
        <w:tc>
          <w:tcPr>
            <w:tcW w:w="851" w:type="dxa"/>
            <w:tcBorders>
              <w:top w:val="nil"/>
              <w:left w:val="nil"/>
              <w:bottom w:val="dotDash" w:sz="4" w:space="0" w:color="auto"/>
              <w:right w:val="dashed" w:sz="8" w:space="0" w:color="auto"/>
            </w:tcBorders>
            <w:shd w:val="clear" w:color="auto" w:fill="auto"/>
            <w:vAlign w:val="center"/>
            <w:hideMark/>
          </w:tcPr>
          <w:p w14:paraId="085E16F5"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60%</w:t>
            </w:r>
          </w:p>
        </w:tc>
        <w:tc>
          <w:tcPr>
            <w:tcW w:w="855" w:type="dxa"/>
            <w:tcBorders>
              <w:top w:val="nil"/>
              <w:left w:val="nil"/>
              <w:bottom w:val="dotDash" w:sz="4" w:space="0" w:color="auto"/>
              <w:right w:val="dashed" w:sz="8" w:space="0" w:color="auto"/>
            </w:tcBorders>
            <w:shd w:val="clear" w:color="auto" w:fill="auto"/>
            <w:vAlign w:val="center"/>
            <w:hideMark/>
          </w:tcPr>
          <w:p w14:paraId="085E16F6"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53%</w:t>
            </w:r>
          </w:p>
        </w:tc>
        <w:tc>
          <w:tcPr>
            <w:tcW w:w="851" w:type="dxa"/>
            <w:tcBorders>
              <w:top w:val="nil"/>
              <w:left w:val="nil"/>
              <w:bottom w:val="dotDash" w:sz="4" w:space="0" w:color="auto"/>
              <w:right w:val="dashed" w:sz="8" w:space="0" w:color="auto"/>
            </w:tcBorders>
            <w:shd w:val="clear" w:color="auto" w:fill="auto"/>
            <w:noWrap/>
            <w:vAlign w:val="center"/>
            <w:hideMark/>
          </w:tcPr>
          <w:p w14:paraId="085E16F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48%</w:t>
            </w:r>
          </w:p>
        </w:tc>
        <w:tc>
          <w:tcPr>
            <w:tcW w:w="851" w:type="dxa"/>
            <w:tcBorders>
              <w:top w:val="nil"/>
              <w:left w:val="nil"/>
              <w:bottom w:val="dotDash" w:sz="4" w:space="0" w:color="auto"/>
              <w:right w:val="dashed" w:sz="8" w:space="0" w:color="auto"/>
            </w:tcBorders>
            <w:shd w:val="clear" w:color="auto" w:fill="auto"/>
            <w:noWrap/>
            <w:vAlign w:val="center"/>
            <w:hideMark/>
          </w:tcPr>
          <w:p w14:paraId="085E16F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54%</w:t>
            </w:r>
          </w:p>
        </w:tc>
        <w:tc>
          <w:tcPr>
            <w:tcW w:w="851" w:type="dxa"/>
            <w:tcBorders>
              <w:top w:val="nil"/>
              <w:left w:val="nil"/>
              <w:bottom w:val="dotDash" w:sz="4" w:space="0" w:color="auto"/>
              <w:right w:val="dashed" w:sz="8" w:space="0" w:color="auto"/>
            </w:tcBorders>
            <w:shd w:val="clear" w:color="auto" w:fill="auto"/>
            <w:noWrap/>
            <w:vAlign w:val="center"/>
            <w:hideMark/>
          </w:tcPr>
          <w:p w14:paraId="085E16F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53%</w:t>
            </w:r>
          </w:p>
        </w:tc>
        <w:tc>
          <w:tcPr>
            <w:tcW w:w="851" w:type="dxa"/>
            <w:tcBorders>
              <w:top w:val="nil"/>
              <w:left w:val="nil"/>
              <w:bottom w:val="dotDash" w:sz="4" w:space="0" w:color="auto"/>
              <w:right w:val="dashed" w:sz="8" w:space="0" w:color="auto"/>
            </w:tcBorders>
            <w:shd w:val="clear" w:color="auto" w:fill="auto"/>
            <w:noWrap/>
            <w:vAlign w:val="center"/>
            <w:hideMark/>
          </w:tcPr>
          <w:p w14:paraId="085E16F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60%</w:t>
            </w:r>
          </w:p>
        </w:tc>
        <w:tc>
          <w:tcPr>
            <w:tcW w:w="851" w:type="dxa"/>
            <w:tcBorders>
              <w:top w:val="nil"/>
              <w:left w:val="nil"/>
              <w:bottom w:val="dotDash" w:sz="4" w:space="0" w:color="auto"/>
              <w:right w:val="dashed" w:sz="8" w:space="0" w:color="auto"/>
            </w:tcBorders>
            <w:shd w:val="clear" w:color="auto" w:fill="auto"/>
            <w:noWrap/>
            <w:vAlign w:val="center"/>
            <w:hideMark/>
          </w:tcPr>
          <w:p w14:paraId="085E16F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60%</w:t>
            </w:r>
          </w:p>
        </w:tc>
        <w:tc>
          <w:tcPr>
            <w:tcW w:w="851" w:type="dxa"/>
            <w:tcBorders>
              <w:top w:val="nil"/>
              <w:left w:val="nil"/>
              <w:bottom w:val="dotDash" w:sz="4" w:space="0" w:color="auto"/>
              <w:right w:val="dashed" w:sz="8" w:space="0" w:color="auto"/>
            </w:tcBorders>
            <w:shd w:val="clear" w:color="auto" w:fill="auto"/>
            <w:noWrap/>
            <w:vAlign w:val="center"/>
            <w:hideMark/>
          </w:tcPr>
          <w:p w14:paraId="085E16F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56%</w:t>
            </w:r>
          </w:p>
        </w:tc>
        <w:tc>
          <w:tcPr>
            <w:tcW w:w="851" w:type="dxa"/>
            <w:tcBorders>
              <w:top w:val="nil"/>
              <w:left w:val="nil"/>
              <w:bottom w:val="dotDash" w:sz="4" w:space="0" w:color="auto"/>
              <w:right w:val="single" w:sz="12" w:space="0" w:color="auto"/>
            </w:tcBorders>
            <w:shd w:val="clear" w:color="auto" w:fill="auto"/>
            <w:noWrap/>
            <w:vAlign w:val="center"/>
            <w:hideMark/>
          </w:tcPr>
          <w:p w14:paraId="085E16F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59%</w:t>
            </w:r>
          </w:p>
        </w:tc>
      </w:tr>
      <w:tr w:rsidR="006A1FCD" w:rsidRPr="006A1FCD" w14:paraId="085E170B"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6FF"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Race</w:t>
            </w:r>
          </w:p>
        </w:tc>
        <w:tc>
          <w:tcPr>
            <w:tcW w:w="1908" w:type="dxa"/>
            <w:tcBorders>
              <w:top w:val="nil"/>
              <w:left w:val="nil"/>
              <w:bottom w:val="nil"/>
              <w:right w:val="single" w:sz="12" w:space="0" w:color="auto"/>
            </w:tcBorders>
            <w:shd w:val="clear" w:color="auto" w:fill="auto"/>
            <w:noWrap/>
            <w:vAlign w:val="center"/>
            <w:hideMark/>
          </w:tcPr>
          <w:p w14:paraId="085E1700"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nil"/>
              <w:left w:val="nil"/>
              <w:bottom w:val="nil"/>
              <w:right w:val="dashed" w:sz="8" w:space="0" w:color="auto"/>
            </w:tcBorders>
            <w:shd w:val="clear" w:color="auto" w:fill="auto"/>
            <w:vAlign w:val="center"/>
            <w:hideMark/>
          </w:tcPr>
          <w:p w14:paraId="085E1701"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1" w:type="dxa"/>
            <w:tcBorders>
              <w:top w:val="nil"/>
              <w:left w:val="nil"/>
              <w:bottom w:val="nil"/>
              <w:right w:val="dashed" w:sz="8" w:space="0" w:color="auto"/>
            </w:tcBorders>
            <w:shd w:val="clear" w:color="auto" w:fill="auto"/>
            <w:vAlign w:val="center"/>
            <w:hideMark/>
          </w:tcPr>
          <w:p w14:paraId="085E1702"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5" w:type="dxa"/>
            <w:tcBorders>
              <w:top w:val="nil"/>
              <w:left w:val="nil"/>
              <w:bottom w:val="nil"/>
              <w:right w:val="dashed" w:sz="8" w:space="0" w:color="auto"/>
            </w:tcBorders>
            <w:shd w:val="clear" w:color="auto" w:fill="auto"/>
            <w:vAlign w:val="center"/>
            <w:hideMark/>
          </w:tcPr>
          <w:p w14:paraId="085E1703"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1" w:type="dxa"/>
            <w:tcBorders>
              <w:top w:val="nil"/>
              <w:left w:val="nil"/>
              <w:bottom w:val="nil"/>
              <w:right w:val="dashed" w:sz="8" w:space="0" w:color="auto"/>
            </w:tcBorders>
            <w:shd w:val="clear" w:color="auto" w:fill="auto"/>
            <w:noWrap/>
            <w:vAlign w:val="center"/>
            <w:hideMark/>
          </w:tcPr>
          <w:p w14:paraId="085E170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0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0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0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0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0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single" w:sz="12" w:space="0" w:color="auto"/>
            </w:tcBorders>
            <w:shd w:val="clear" w:color="auto" w:fill="auto"/>
            <w:noWrap/>
            <w:vAlign w:val="center"/>
            <w:hideMark/>
          </w:tcPr>
          <w:p w14:paraId="085E170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r>
      <w:tr w:rsidR="006A1FCD" w:rsidRPr="006A1FCD" w14:paraId="085E1718"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70C"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70D"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White</w:t>
            </w:r>
          </w:p>
        </w:tc>
        <w:tc>
          <w:tcPr>
            <w:tcW w:w="1107" w:type="dxa"/>
            <w:tcBorders>
              <w:top w:val="nil"/>
              <w:left w:val="nil"/>
              <w:bottom w:val="nil"/>
              <w:right w:val="dashed" w:sz="8" w:space="0" w:color="auto"/>
            </w:tcBorders>
            <w:shd w:val="clear" w:color="auto" w:fill="auto"/>
            <w:vAlign w:val="center"/>
            <w:hideMark/>
          </w:tcPr>
          <w:p w14:paraId="085E170E"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72%</w:t>
            </w:r>
          </w:p>
        </w:tc>
        <w:tc>
          <w:tcPr>
            <w:tcW w:w="851" w:type="dxa"/>
            <w:tcBorders>
              <w:top w:val="nil"/>
              <w:left w:val="nil"/>
              <w:bottom w:val="nil"/>
              <w:right w:val="dashed" w:sz="8" w:space="0" w:color="auto"/>
            </w:tcBorders>
            <w:shd w:val="clear" w:color="auto" w:fill="auto"/>
            <w:vAlign w:val="center"/>
            <w:hideMark/>
          </w:tcPr>
          <w:p w14:paraId="085E170F"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0%</w:t>
            </w:r>
          </w:p>
        </w:tc>
        <w:tc>
          <w:tcPr>
            <w:tcW w:w="855" w:type="dxa"/>
            <w:tcBorders>
              <w:top w:val="nil"/>
              <w:left w:val="nil"/>
              <w:bottom w:val="nil"/>
              <w:right w:val="dashed" w:sz="8" w:space="0" w:color="auto"/>
            </w:tcBorders>
            <w:shd w:val="clear" w:color="auto" w:fill="auto"/>
            <w:vAlign w:val="center"/>
            <w:hideMark/>
          </w:tcPr>
          <w:p w14:paraId="085E1710"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83%</w:t>
            </w:r>
          </w:p>
        </w:tc>
        <w:tc>
          <w:tcPr>
            <w:tcW w:w="851" w:type="dxa"/>
            <w:tcBorders>
              <w:top w:val="nil"/>
              <w:left w:val="nil"/>
              <w:bottom w:val="nil"/>
              <w:right w:val="dashed" w:sz="8" w:space="0" w:color="auto"/>
            </w:tcBorders>
            <w:shd w:val="clear" w:color="auto" w:fill="auto"/>
            <w:noWrap/>
            <w:vAlign w:val="center"/>
            <w:hideMark/>
          </w:tcPr>
          <w:p w14:paraId="085E1711"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83%</w:t>
            </w:r>
          </w:p>
        </w:tc>
        <w:tc>
          <w:tcPr>
            <w:tcW w:w="851" w:type="dxa"/>
            <w:tcBorders>
              <w:top w:val="nil"/>
              <w:left w:val="nil"/>
              <w:bottom w:val="nil"/>
              <w:right w:val="dashed" w:sz="8" w:space="0" w:color="auto"/>
            </w:tcBorders>
            <w:shd w:val="clear" w:color="auto" w:fill="auto"/>
            <w:noWrap/>
            <w:vAlign w:val="center"/>
            <w:hideMark/>
          </w:tcPr>
          <w:p w14:paraId="085E1712"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91%</w:t>
            </w:r>
          </w:p>
        </w:tc>
        <w:tc>
          <w:tcPr>
            <w:tcW w:w="851" w:type="dxa"/>
            <w:tcBorders>
              <w:top w:val="nil"/>
              <w:left w:val="nil"/>
              <w:bottom w:val="nil"/>
              <w:right w:val="dashed" w:sz="8" w:space="0" w:color="auto"/>
            </w:tcBorders>
            <w:shd w:val="clear" w:color="auto" w:fill="auto"/>
            <w:noWrap/>
            <w:vAlign w:val="center"/>
            <w:hideMark/>
          </w:tcPr>
          <w:p w14:paraId="085E171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86%</w:t>
            </w:r>
          </w:p>
        </w:tc>
        <w:tc>
          <w:tcPr>
            <w:tcW w:w="851" w:type="dxa"/>
            <w:tcBorders>
              <w:top w:val="nil"/>
              <w:left w:val="nil"/>
              <w:bottom w:val="nil"/>
              <w:right w:val="dashed" w:sz="8" w:space="0" w:color="auto"/>
            </w:tcBorders>
            <w:shd w:val="clear" w:color="auto" w:fill="auto"/>
            <w:noWrap/>
            <w:vAlign w:val="center"/>
            <w:hideMark/>
          </w:tcPr>
          <w:p w14:paraId="085E171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41%</w:t>
            </w:r>
          </w:p>
        </w:tc>
        <w:tc>
          <w:tcPr>
            <w:tcW w:w="851" w:type="dxa"/>
            <w:tcBorders>
              <w:top w:val="nil"/>
              <w:left w:val="nil"/>
              <w:bottom w:val="nil"/>
              <w:right w:val="dashed" w:sz="8" w:space="0" w:color="auto"/>
            </w:tcBorders>
            <w:shd w:val="clear" w:color="auto" w:fill="auto"/>
            <w:noWrap/>
            <w:vAlign w:val="center"/>
            <w:hideMark/>
          </w:tcPr>
          <w:p w14:paraId="085E171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36%</w:t>
            </w:r>
          </w:p>
        </w:tc>
        <w:tc>
          <w:tcPr>
            <w:tcW w:w="851" w:type="dxa"/>
            <w:tcBorders>
              <w:top w:val="nil"/>
              <w:left w:val="nil"/>
              <w:bottom w:val="nil"/>
              <w:right w:val="dashed" w:sz="8" w:space="0" w:color="auto"/>
            </w:tcBorders>
            <w:shd w:val="clear" w:color="auto" w:fill="auto"/>
            <w:noWrap/>
            <w:vAlign w:val="center"/>
            <w:hideMark/>
          </w:tcPr>
          <w:p w14:paraId="085E171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34%</w:t>
            </w:r>
          </w:p>
        </w:tc>
        <w:tc>
          <w:tcPr>
            <w:tcW w:w="851" w:type="dxa"/>
            <w:tcBorders>
              <w:top w:val="nil"/>
              <w:left w:val="nil"/>
              <w:bottom w:val="nil"/>
              <w:right w:val="single" w:sz="12" w:space="0" w:color="auto"/>
            </w:tcBorders>
            <w:shd w:val="clear" w:color="auto" w:fill="auto"/>
            <w:noWrap/>
            <w:vAlign w:val="center"/>
            <w:hideMark/>
          </w:tcPr>
          <w:p w14:paraId="085E171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81%</w:t>
            </w:r>
          </w:p>
        </w:tc>
      </w:tr>
      <w:tr w:rsidR="006A1FCD" w:rsidRPr="006A1FCD" w14:paraId="085E1725"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719"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71A"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Black</w:t>
            </w:r>
          </w:p>
        </w:tc>
        <w:tc>
          <w:tcPr>
            <w:tcW w:w="1107" w:type="dxa"/>
            <w:tcBorders>
              <w:top w:val="nil"/>
              <w:left w:val="nil"/>
              <w:bottom w:val="nil"/>
              <w:right w:val="dashed" w:sz="8" w:space="0" w:color="auto"/>
            </w:tcBorders>
            <w:shd w:val="clear" w:color="auto" w:fill="auto"/>
            <w:vAlign w:val="center"/>
            <w:hideMark/>
          </w:tcPr>
          <w:p w14:paraId="085E171B"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17%</w:t>
            </w:r>
          </w:p>
        </w:tc>
        <w:tc>
          <w:tcPr>
            <w:tcW w:w="851" w:type="dxa"/>
            <w:tcBorders>
              <w:top w:val="nil"/>
              <w:left w:val="nil"/>
              <w:bottom w:val="nil"/>
              <w:right w:val="dashed" w:sz="8" w:space="0" w:color="auto"/>
            </w:tcBorders>
            <w:shd w:val="clear" w:color="auto" w:fill="auto"/>
            <w:vAlign w:val="center"/>
            <w:hideMark/>
          </w:tcPr>
          <w:p w14:paraId="085E171C"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0%</w:t>
            </w:r>
          </w:p>
        </w:tc>
        <w:tc>
          <w:tcPr>
            <w:tcW w:w="855" w:type="dxa"/>
            <w:tcBorders>
              <w:top w:val="nil"/>
              <w:left w:val="nil"/>
              <w:bottom w:val="nil"/>
              <w:right w:val="dashed" w:sz="8" w:space="0" w:color="auto"/>
            </w:tcBorders>
            <w:shd w:val="clear" w:color="auto" w:fill="auto"/>
            <w:vAlign w:val="center"/>
            <w:hideMark/>
          </w:tcPr>
          <w:p w14:paraId="085E171D"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8%</w:t>
            </w:r>
          </w:p>
        </w:tc>
        <w:tc>
          <w:tcPr>
            <w:tcW w:w="851" w:type="dxa"/>
            <w:tcBorders>
              <w:top w:val="nil"/>
              <w:left w:val="nil"/>
              <w:bottom w:val="nil"/>
              <w:right w:val="dashed" w:sz="8" w:space="0" w:color="auto"/>
            </w:tcBorders>
            <w:shd w:val="clear" w:color="auto" w:fill="auto"/>
            <w:noWrap/>
            <w:vAlign w:val="center"/>
            <w:hideMark/>
          </w:tcPr>
          <w:p w14:paraId="085E171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11%</w:t>
            </w:r>
          </w:p>
        </w:tc>
        <w:tc>
          <w:tcPr>
            <w:tcW w:w="851" w:type="dxa"/>
            <w:tcBorders>
              <w:top w:val="nil"/>
              <w:left w:val="nil"/>
              <w:bottom w:val="nil"/>
              <w:right w:val="dashed" w:sz="8" w:space="0" w:color="auto"/>
            </w:tcBorders>
            <w:shd w:val="clear" w:color="auto" w:fill="auto"/>
            <w:noWrap/>
            <w:vAlign w:val="center"/>
            <w:hideMark/>
          </w:tcPr>
          <w:p w14:paraId="085E171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w:t>
            </w:r>
          </w:p>
        </w:tc>
        <w:tc>
          <w:tcPr>
            <w:tcW w:w="851" w:type="dxa"/>
            <w:tcBorders>
              <w:top w:val="nil"/>
              <w:left w:val="nil"/>
              <w:bottom w:val="nil"/>
              <w:right w:val="dashed" w:sz="8" w:space="0" w:color="auto"/>
            </w:tcBorders>
            <w:shd w:val="clear" w:color="auto" w:fill="auto"/>
            <w:noWrap/>
            <w:vAlign w:val="center"/>
            <w:hideMark/>
          </w:tcPr>
          <w:p w14:paraId="085E1720"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w:t>
            </w:r>
          </w:p>
        </w:tc>
        <w:tc>
          <w:tcPr>
            <w:tcW w:w="851" w:type="dxa"/>
            <w:tcBorders>
              <w:top w:val="nil"/>
              <w:left w:val="nil"/>
              <w:bottom w:val="nil"/>
              <w:right w:val="dashed" w:sz="8" w:space="0" w:color="auto"/>
            </w:tcBorders>
            <w:shd w:val="clear" w:color="auto" w:fill="auto"/>
            <w:noWrap/>
            <w:vAlign w:val="center"/>
            <w:hideMark/>
          </w:tcPr>
          <w:p w14:paraId="085E1721"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52%</w:t>
            </w:r>
          </w:p>
        </w:tc>
        <w:tc>
          <w:tcPr>
            <w:tcW w:w="851" w:type="dxa"/>
            <w:tcBorders>
              <w:top w:val="nil"/>
              <w:left w:val="nil"/>
              <w:bottom w:val="nil"/>
              <w:right w:val="dashed" w:sz="8" w:space="0" w:color="auto"/>
            </w:tcBorders>
            <w:shd w:val="clear" w:color="auto" w:fill="auto"/>
            <w:noWrap/>
            <w:vAlign w:val="center"/>
            <w:hideMark/>
          </w:tcPr>
          <w:p w14:paraId="085E1722" w14:textId="7EC41F78" w:rsidR="006A1FCD" w:rsidRPr="006A1FCD" w:rsidRDefault="00C84F22" w:rsidP="006A1FCD">
            <w:pPr>
              <w:spacing w:after="0" w:line="240" w:lineRule="auto"/>
              <w:jc w:val="center"/>
              <w:rPr>
                <w:rFonts w:ascii="Garamond" w:eastAsia="Times New Roman" w:hAnsi="Garamond" w:cs="Calibri"/>
                <w:sz w:val="20"/>
              </w:rPr>
            </w:pPr>
            <w:r>
              <w:rPr>
                <w:rFonts w:ascii="Garamond" w:eastAsia="Times New Roman" w:hAnsi="Garamond" w:cs="Calibri"/>
                <w:sz w:val="20"/>
              </w:rPr>
              <w:t>58</w:t>
            </w:r>
            <w:r w:rsidR="006A1FCD" w:rsidRPr="006A1FCD">
              <w:rPr>
                <w:rFonts w:ascii="Garamond" w:eastAsia="Times New Roman" w:hAnsi="Garamond" w:cs="Calibri"/>
                <w:sz w:val="20"/>
              </w:rPr>
              <w:t>%</w:t>
            </w:r>
          </w:p>
        </w:tc>
        <w:tc>
          <w:tcPr>
            <w:tcW w:w="851" w:type="dxa"/>
            <w:tcBorders>
              <w:top w:val="nil"/>
              <w:left w:val="nil"/>
              <w:bottom w:val="nil"/>
              <w:right w:val="dashed" w:sz="8" w:space="0" w:color="auto"/>
            </w:tcBorders>
            <w:shd w:val="clear" w:color="auto" w:fill="auto"/>
            <w:noWrap/>
            <w:vAlign w:val="center"/>
            <w:hideMark/>
          </w:tcPr>
          <w:p w14:paraId="085E172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51%</w:t>
            </w:r>
          </w:p>
        </w:tc>
        <w:tc>
          <w:tcPr>
            <w:tcW w:w="851" w:type="dxa"/>
            <w:tcBorders>
              <w:top w:val="nil"/>
              <w:left w:val="nil"/>
              <w:bottom w:val="nil"/>
              <w:right w:val="single" w:sz="12" w:space="0" w:color="auto"/>
            </w:tcBorders>
            <w:shd w:val="clear" w:color="auto" w:fill="auto"/>
            <w:noWrap/>
            <w:vAlign w:val="center"/>
            <w:hideMark/>
          </w:tcPr>
          <w:p w14:paraId="085E172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18%</w:t>
            </w:r>
          </w:p>
        </w:tc>
      </w:tr>
      <w:tr w:rsidR="006A1FCD" w:rsidRPr="006A1FCD" w14:paraId="085E1732" w14:textId="77777777" w:rsidTr="00F361CB">
        <w:trPr>
          <w:trHeight w:val="323"/>
        </w:trPr>
        <w:tc>
          <w:tcPr>
            <w:tcW w:w="2307" w:type="dxa"/>
            <w:tcBorders>
              <w:top w:val="nil"/>
              <w:left w:val="single" w:sz="12" w:space="0" w:color="auto"/>
              <w:bottom w:val="dotDash" w:sz="4" w:space="0" w:color="auto"/>
              <w:right w:val="nil"/>
            </w:tcBorders>
            <w:shd w:val="clear" w:color="auto" w:fill="auto"/>
            <w:noWrap/>
            <w:vAlign w:val="center"/>
            <w:hideMark/>
          </w:tcPr>
          <w:p w14:paraId="085E1726"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dotDash" w:sz="4" w:space="0" w:color="auto"/>
              <w:right w:val="single" w:sz="12" w:space="0" w:color="auto"/>
            </w:tcBorders>
            <w:shd w:val="clear" w:color="auto" w:fill="auto"/>
            <w:noWrap/>
            <w:vAlign w:val="center"/>
            <w:hideMark/>
          </w:tcPr>
          <w:p w14:paraId="085E1727"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Hispanic</w:t>
            </w:r>
          </w:p>
        </w:tc>
        <w:tc>
          <w:tcPr>
            <w:tcW w:w="1107" w:type="dxa"/>
            <w:tcBorders>
              <w:top w:val="nil"/>
              <w:left w:val="nil"/>
              <w:bottom w:val="dotDash" w:sz="4" w:space="0" w:color="auto"/>
              <w:right w:val="dashed" w:sz="8" w:space="0" w:color="auto"/>
            </w:tcBorders>
            <w:shd w:val="clear" w:color="auto" w:fill="auto"/>
            <w:vAlign w:val="center"/>
            <w:hideMark/>
          </w:tcPr>
          <w:p w14:paraId="085E1728"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4%</w:t>
            </w:r>
          </w:p>
        </w:tc>
        <w:tc>
          <w:tcPr>
            <w:tcW w:w="851" w:type="dxa"/>
            <w:tcBorders>
              <w:top w:val="nil"/>
              <w:left w:val="nil"/>
              <w:bottom w:val="dotDash" w:sz="4" w:space="0" w:color="auto"/>
              <w:right w:val="dashed" w:sz="8" w:space="0" w:color="auto"/>
            </w:tcBorders>
            <w:shd w:val="clear" w:color="auto" w:fill="auto"/>
            <w:vAlign w:val="center"/>
            <w:hideMark/>
          </w:tcPr>
          <w:p w14:paraId="085E1729"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0%</w:t>
            </w:r>
          </w:p>
        </w:tc>
        <w:tc>
          <w:tcPr>
            <w:tcW w:w="855" w:type="dxa"/>
            <w:tcBorders>
              <w:top w:val="nil"/>
              <w:left w:val="nil"/>
              <w:bottom w:val="dotDash" w:sz="4" w:space="0" w:color="auto"/>
              <w:right w:val="dashed" w:sz="8" w:space="0" w:color="auto"/>
            </w:tcBorders>
            <w:shd w:val="clear" w:color="auto" w:fill="auto"/>
            <w:vAlign w:val="center"/>
            <w:hideMark/>
          </w:tcPr>
          <w:p w14:paraId="085E172A"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6%</w:t>
            </w:r>
          </w:p>
        </w:tc>
        <w:tc>
          <w:tcPr>
            <w:tcW w:w="851" w:type="dxa"/>
            <w:tcBorders>
              <w:top w:val="nil"/>
              <w:left w:val="nil"/>
              <w:bottom w:val="dotDash" w:sz="4" w:space="0" w:color="auto"/>
              <w:right w:val="dashed" w:sz="8" w:space="0" w:color="auto"/>
            </w:tcBorders>
            <w:shd w:val="clear" w:color="auto" w:fill="auto"/>
            <w:noWrap/>
            <w:vAlign w:val="center"/>
            <w:hideMark/>
          </w:tcPr>
          <w:p w14:paraId="085E172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w:t>
            </w:r>
          </w:p>
        </w:tc>
        <w:tc>
          <w:tcPr>
            <w:tcW w:w="851" w:type="dxa"/>
            <w:tcBorders>
              <w:top w:val="nil"/>
              <w:left w:val="nil"/>
              <w:bottom w:val="dotDash" w:sz="4" w:space="0" w:color="auto"/>
              <w:right w:val="dashed" w:sz="8" w:space="0" w:color="auto"/>
            </w:tcBorders>
            <w:shd w:val="clear" w:color="auto" w:fill="auto"/>
            <w:noWrap/>
            <w:vAlign w:val="center"/>
            <w:hideMark/>
          </w:tcPr>
          <w:p w14:paraId="085E172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w:t>
            </w:r>
          </w:p>
        </w:tc>
        <w:tc>
          <w:tcPr>
            <w:tcW w:w="851" w:type="dxa"/>
            <w:tcBorders>
              <w:top w:val="nil"/>
              <w:left w:val="nil"/>
              <w:bottom w:val="dotDash" w:sz="4" w:space="0" w:color="auto"/>
              <w:right w:val="dashed" w:sz="8" w:space="0" w:color="auto"/>
            </w:tcBorders>
            <w:shd w:val="clear" w:color="auto" w:fill="auto"/>
            <w:noWrap/>
            <w:vAlign w:val="center"/>
            <w:hideMark/>
          </w:tcPr>
          <w:p w14:paraId="085E172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w:t>
            </w:r>
          </w:p>
        </w:tc>
        <w:tc>
          <w:tcPr>
            <w:tcW w:w="851" w:type="dxa"/>
            <w:tcBorders>
              <w:top w:val="nil"/>
              <w:left w:val="nil"/>
              <w:bottom w:val="dotDash" w:sz="4" w:space="0" w:color="auto"/>
              <w:right w:val="dashed" w:sz="8" w:space="0" w:color="auto"/>
            </w:tcBorders>
            <w:shd w:val="clear" w:color="auto" w:fill="auto"/>
            <w:noWrap/>
            <w:vAlign w:val="center"/>
            <w:hideMark/>
          </w:tcPr>
          <w:p w14:paraId="085E172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w:t>
            </w:r>
          </w:p>
        </w:tc>
        <w:tc>
          <w:tcPr>
            <w:tcW w:w="851" w:type="dxa"/>
            <w:tcBorders>
              <w:top w:val="nil"/>
              <w:left w:val="nil"/>
              <w:bottom w:val="dotDash" w:sz="4" w:space="0" w:color="auto"/>
              <w:right w:val="dashed" w:sz="8" w:space="0" w:color="auto"/>
            </w:tcBorders>
            <w:shd w:val="clear" w:color="auto" w:fill="auto"/>
            <w:noWrap/>
            <w:vAlign w:val="center"/>
            <w:hideMark/>
          </w:tcPr>
          <w:p w14:paraId="085E172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w:t>
            </w:r>
          </w:p>
        </w:tc>
        <w:tc>
          <w:tcPr>
            <w:tcW w:w="851" w:type="dxa"/>
            <w:tcBorders>
              <w:top w:val="nil"/>
              <w:left w:val="nil"/>
              <w:bottom w:val="dotDash" w:sz="4" w:space="0" w:color="auto"/>
              <w:right w:val="dashed" w:sz="8" w:space="0" w:color="auto"/>
            </w:tcBorders>
            <w:shd w:val="clear" w:color="auto" w:fill="auto"/>
            <w:noWrap/>
            <w:vAlign w:val="center"/>
            <w:hideMark/>
          </w:tcPr>
          <w:p w14:paraId="085E1730"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w:t>
            </w:r>
          </w:p>
        </w:tc>
        <w:tc>
          <w:tcPr>
            <w:tcW w:w="851" w:type="dxa"/>
            <w:tcBorders>
              <w:top w:val="nil"/>
              <w:left w:val="nil"/>
              <w:bottom w:val="dotDash" w:sz="4" w:space="0" w:color="auto"/>
              <w:right w:val="single" w:sz="12" w:space="0" w:color="auto"/>
            </w:tcBorders>
            <w:shd w:val="clear" w:color="auto" w:fill="auto"/>
            <w:noWrap/>
            <w:vAlign w:val="center"/>
            <w:hideMark/>
          </w:tcPr>
          <w:p w14:paraId="085E1731"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r>
      <w:tr w:rsidR="006A1FCD" w:rsidRPr="006A1FCD" w14:paraId="085E173F"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733"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Partisanship</w:t>
            </w:r>
          </w:p>
        </w:tc>
        <w:tc>
          <w:tcPr>
            <w:tcW w:w="1908" w:type="dxa"/>
            <w:tcBorders>
              <w:top w:val="nil"/>
              <w:left w:val="nil"/>
              <w:bottom w:val="nil"/>
              <w:right w:val="single" w:sz="12" w:space="0" w:color="auto"/>
            </w:tcBorders>
            <w:shd w:val="clear" w:color="auto" w:fill="auto"/>
            <w:noWrap/>
            <w:vAlign w:val="center"/>
            <w:hideMark/>
          </w:tcPr>
          <w:p w14:paraId="085E1734"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nil"/>
              <w:left w:val="nil"/>
              <w:bottom w:val="nil"/>
              <w:right w:val="dashed" w:sz="8" w:space="0" w:color="auto"/>
            </w:tcBorders>
            <w:shd w:val="clear" w:color="auto" w:fill="auto"/>
            <w:vAlign w:val="center"/>
            <w:hideMark/>
          </w:tcPr>
          <w:p w14:paraId="085E1735"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1" w:type="dxa"/>
            <w:tcBorders>
              <w:top w:val="nil"/>
              <w:left w:val="nil"/>
              <w:bottom w:val="nil"/>
              <w:right w:val="dashed" w:sz="8" w:space="0" w:color="auto"/>
            </w:tcBorders>
            <w:shd w:val="clear" w:color="auto" w:fill="auto"/>
            <w:vAlign w:val="center"/>
            <w:hideMark/>
          </w:tcPr>
          <w:p w14:paraId="085E1736"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5" w:type="dxa"/>
            <w:tcBorders>
              <w:top w:val="nil"/>
              <w:left w:val="nil"/>
              <w:bottom w:val="nil"/>
              <w:right w:val="dashed" w:sz="8" w:space="0" w:color="auto"/>
            </w:tcBorders>
            <w:shd w:val="clear" w:color="auto" w:fill="auto"/>
            <w:vAlign w:val="center"/>
            <w:hideMark/>
          </w:tcPr>
          <w:p w14:paraId="085E1737"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 </w:t>
            </w:r>
          </w:p>
        </w:tc>
        <w:tc>
          <w:tcPr>
            <w:tcW w:w="851" w:type="dxa"/>
            <w:tcBorders>
              <w:top w:val="nil"/>
              <w:left w:val="nil"/>
              <w:bottom w:val="nil"/>
              <w:right w:val="dashed" w:sz="8" w:space="0" w:color="auto"/>
            </w:tcBorders>
            <w:shd w:val="clear" w:color="auto" w:fill="auto"/>
            <w:noWrap/>
            <w:vAlign w:val="center"/>
            <w:hideMark/>
          </w:tcPr>
          <w:p w14:paraId="085E173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3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3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3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3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dashed" w:sz="8" w:space="0" w:color="auto"/>
            </w:tcBorders>
            <w:shd w:val="clear" w:color="auto" w:fill="auto"/>
            <w:noWrap/>
            <w:vAlign w:val="center"/>
            <w:hideMark/>
          </w:tcPr>
          <w:p w14:paraId="085E173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c>
          <w:tcPr>
            <w:tcW w:w="851" w:type="dxa"/>
            <w:tcBorders>
              <w:top w:val="nil"/>
              <w:left w:val="nil"/>
              <w:bottom w:val="nil"/>
              <w:right w:val="single" w:sz="12" w:space="0" w:color="auto"/>
            </w:tcBorders>
            <w:shd w:val="clear" w:color="auto" w:fill="auto"/>
            <w:noWrap/>
            <w:vAlign w:val="center"/>
            <w:hideMark/>
          </w:tcPr>
          <w:p w14:paraId="085E173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 </w:t>
            </w:r>
          </w:p>
        </w:tc>
      </w:tr>
      <w:tr w:rsidR="006A1FCD" w:rsidRPr="006A1FCD" w14:paraId="085E174C"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740"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741"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Democrat</w:t>
            </w:r>
          </w:p>
        </w:tc>
        <w:tc>
          <w:tcPr>
            <w:tcW w:w="1107" w:type="dxa"/>
            <w:tcBorders>
              <w:top w:val="nil"/>
              <w:left w:val="nil"/>
              <w:bottom w:val="nil"/>
              <w:right w:val="dashed" w:sz="8" w:space="0" w:color="auto"/>
            </w:tcBorders>
            <w:shd w:val="clear" w:color="auto" w:fill="auto"/>
            <w:vAlign w:val="center"/>
            <w:hideMark/>
          </w:tcPr>
          <w:p w14:paraId="085E1742"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24%</w:t>
            </w:r>
          </w:p>
        </w:tc>
        <w:tc>
          <w:tcPr>
            <w:tcW w:w="851" w:type="dxa"/>
            <w:tcBorders>
              <w:top w:val="nil"/>
              <w:left w:val="nil"/>
              <w:bottom w:val="nil"/>
              <w:right w:val="dashed" w:sz="8" w:space="0" w:color="auto"/>
            </w:tcBorders>
            <w:shd w:val="clear" w:color="auto" w:fill="auto"/>
            <w:vAlign w:val="center"/>
            <w:hideMark/>
          </w:tcPr>
          <w:p w14:paraId="085E1743"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56%</w:t>
            </w:r>
          </w:p>
        </w:tc>
        <w:tc>
          <w:tcPr>
            <w:tcW w:w="855" w:type="dxa"/>
            <w:tcBorders>
              <w:top w:val="nil"/>
              <w:left w:val="nil"/>
              <w:bottom w:val="nil"/>
              <w:right w:val="dashed" w:sz="8" w:space="0" w:color="auto"/>
            </w:tcBorders>
            <w:shd w:val="clear" w:color="auto" w:fill="auto"/>
            <w:vAlign w:val="center"/>
            <w:hideMark/>
          </w:tcPr>
          <w:p w14:paraId="085E1744"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0%</w:t>
            </w:r>
          </w:p>
        </w:tc>
        <w:tc>
          <w:tcPr>
            <w:tcW w:w="851" w:type="dxa"/>
            <w:tcBorders>
              <w:top w:val="nil"/>
              <w:left w:val="nil"/>
              <w:bottom w:val="nil"/>
              <w:right w:val="dashed" w:sz="8" w:space="0" w:color="auto"/>
            </w:tcBorders>
            <w:shd w:val="clear" w:color="auto" w:fill="auto"/>
            <w:noWrap/>
            <w:vAlign w:val="center"/>
            <w:hideMark/>
          </w:tcPr>
          <w:p w14:paraId="085E174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nil"/>
              <w:right w:val="dashed" w:sz="8" w:space="0" w:color="auto"/>
            </w:tcBorders>
            <w:shd w:val="clear" w:color="auto" w:fill="auto"/>
            <w:noWrap/>
            <w:vAlign w:val="center"/>
            <w:hideMark/>
          </w:tcPr>
          <w:p w14:paraId="085E174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30%</w:t>
            </w:r>
          </w:p>
        </w:tc>
        <w:tc>
          <w:tcPr>
            <w:tcW w:w="851" w:type="dxa"/>
            <w:tcBorders>
              <w:top w:val="nil"/>
              <w:left w:val="nil"/>
              <w:bottom w:val="nil"/>
              <w:right w:val="dashed" w:sz="8" w:space="0" w:color="auto"/>
            </w:tcBorders>
            <w:shd w:val="clear" w:color="auto" w:fill="auto"/>
            <w:noWrap/>
            <w:vAlign w:val="center"/>
            <w:hideMark/>
          </w:tcPr>
          <w:p w14:paraId="085E174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nil"/>
              <w:right w:val="dashed" w:sz="8" w:space="0" w:color="auto"/>
            </w:tcBorders>
            <w:shd w:val="clear" w:color="auto" w:fill="auto"/>
            <w:noWrap/>
            <w:vAlign w:val="center"/>
            <w:hideMark/>
          </w:tcPr>
          <w:p w14:paraId="085E174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98%</w:t>
            </w:r>
          </w:p>
        </w:tc>
        <w:tc>
          <w:tcPr>
            <w:tcW w:w="851" w:type="dxa"/>
            <w:tcBorders>
              <w:top w:val="nil"/>
              <w:left w:val="nil"/>
              <w:bottom w:val="nil"/>
              <w:right w:val="dashed" w:sz="8" w:space="0" w:color="auto"/>
            </w:tcBorders>
            <w:shd w:val="clear" w:color="auto" w:fill="auto"/>
            <w:noWrap/>
            <w:vAlign w:val="center"/>
            <w:hideMark/>
          </w:tcPr>
          <w:p w14:paraId="085E174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98%</w:t>
            </w:r>
          </w:p>
        </w:tc>
        <w:tc>
          <w:tcPr>
            <w:tcW w:w="851" w:type="dxa"/>
            <w:tcBorders>
              <w:top w:val="nil"/>
              <w:left w:val="nil"/>
              <w:bottom w:val="nil"/>
              <w:right w:val="dashed" w:sz="8" w:space="0" w:color="auto"/>
            </w:tcBorders>
            <w:shd w:val="clear" w:color="auto" w:fill="auto"/>
            <w:noWrap/>
            <w:vAlign w:val="center"/>
            <w:hideMark/>
          </w:tcPr>
          <w:p w14:paraId="085E174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67%</w:t>
            </w:r>
          </w:p>
        </w:tc>
        <w:tc>
          <w:tcPr>
            <w:tcW w:w="851" w:type="dxa"/>
            <w:tcBorders>
              <w:top w:val="nil"/>
              <w:left w:val="nil"/>
              <w:bottom w:val="nil"/>
              <w:right w:val="single" w:sz="12" w:space="0" w:color="auto"/>
            </w:tcBorders>
            <w:shd w:val="clear" w:color="auto" w:fill="auto"/>
            <w:noWrap/>
            <w:vAlign w:val="center"/>
            <w:hideMark/>
          </w:tcPr>
          <w:p w14:paraId="085E174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r>
      <w:tr w:rsidR="006A1FCD" w:rsidRPr="006A1FCD" w14:paraId="085E1759" w14:textId="77777777" w:rsidTr="00F361CB">
        <w:trPr>
          <w:trHeight w:val="323"/>
        </w:trPr>
        <w:tc>
          <w:tcPr>
            <w:tcW w:w="2307" w:type="dxa"/>
            <w:tcBorders>
              <w:top w:val="nil"/>
              <w:left w:val="single" w:sz="12" w:space="0" w:color="auto"/>
              <w:bottom w:val="nil"/>
              <w:right w:val="nil"/>
            </w:tcBorders>
            <w:shd w:val="clear" w:color="auto" w:fill="auto"/>
            <w:noWrap/>
            <w:vAlign w:val="center"/>
            <w:hideMark/>
          </w:tcPr>
          <w:p w14:paraId="085E174D"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nil"/>
              <w:right w:val="single" w:sz="12" w:space="0" w:color="auto"/>
            </w:tcBorders>
            <w:shd w:val="clear" w:color="auto" w:fill="auto"/>
            <w:noWrap/>
            <w:vAlign w:val="center"/>
            <w:hideMark/>
          </w:tcPr>
          <w:p w14:paraId="085E174E"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Republican</w:t>
            </w:r>
          </w:p>
        </w:tc>
        <w:tc>
          <w:tcPr>
            <w:tcW w:w="1107" w:type="dxa"/>
            <w:tcBorders>
              <w:top w:val="nil"/>
              <w:left w:val="nil"/>
              <w:bottom w:val="nil"/>
              <w:right w:val="dashed" w:sz="8" w:space="0" w:color="auto"/>
            </w:tcBorders>
            <w:shd w:val="clear" w:color="auto" w:fill="auto"/>
            <w:vAlign w:val="center"/>
            <w:hideMark/>
          </w:tcPr>
          <w:p w14:paraId="085E174F"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6%</w:t>
            </w:r>
          </w:p>
        </w:tc>
        <w:tc>
          <w:tcPr>
            <w:tcW w:w="851" w:type="dxa"/>
            <w:tcBorders>
              <w:top w:val="nil"/>
              <w:left w:val="nil"/>
              <w:bottom w:val="nil"/>
              <w:right w:val="dashed" w:sz="8" w:space="0" w:color="auto"/>
            </w:tcBorders>
            <w:shd w:val="clear" w:color="auto" w:fill="auto"/>
            <w:vAlign w:val="center"/>
            <w:hideMark/>
          </w:tcPr>
          <w:p w14:paraId="085E1750"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w:t>
            </w:r>
          </w:p>
        </w:tc>
        <w:tc>
          <w:tcPr>
            <w:tcW w:w="855" w:type="dxa"/>
            <w:tcBorders>
              <w:top w:val="nil"/>
              <w:left w:val="nil"/>
              <w:bottom w:val="nil"/>
              <w:right w:val="dashed" w:sz="8" w:space="0" w:color="auto"/>
            </w:tcBorders>
            <w:shd w:val="clear" w:color="auto" w:fill="auto"/>
            <w:vAlign w:val="center"/>
            <w:hideMark/>
          </w:tcPr>
          <w:p w14:paraId="085E1751"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0%</w:t>
            </w:r>
          </w:p>
        </w:tc>
        <w:tc>
          <w:tcPr>
            <w:tcW w:w="851" w:type="dxa"/>
            <w:tcBorders>
              <w:top w:val="nil"/>
              <w:left w:val="nil"/>
              <w:bottom w:val="nil"/>
              <w:right w:val="dashed" w:sz="8" w:space="0" w:color="auto"/>
            </w:tcBorders>
            <w:shd w:val="clear" w:color="auto" w:fill="auto"/>
            <w:noWrap/>
            <w:vAlign w:val="center"/>
            <w:hideMark/>
          </w:tcPr>
          <w:p w14:paraId="085E1752"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nil"/>
              <w:right w:val="dashed" w:sz="8" w:space="0" w:color="auto"/>
            </w:tcBorders>
            <w:shd w:val="clear" w:color="auto" w:fill="auto"/>
            <w:noWrap/>
            <w:vAlign w:val="center"/>
            <w:hideMark/>
          </w:tcPr>
          <w:p w14:paraId="085E175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39%</w:t>
            </w:r>
          </w:p>
        </w:tc>
        <w:tc>
          <w:tcPr>
            <w:tcW w:w="851" w:type="dxa"/>
            <w:tcBorders>
              <w:top w:val="nil"/>
              <w:left w:val="nil"/>
              <w:bottom w:val="nil"/>
              <w:right w:val="dashed" w:sz="8" w:space="0" w:color="auto"/>
            </w:tcBorders>
            <w:shd w:val="clear" w:color="auto" w:fill="auto"/>
            <w:noWrap/>
            <w:vAlign w:val="center"/>
            <w:hideMark/>
          </w:tcPr>
          <w:p w14:paraId="085E175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nil"/>
              <w:right w:val="dashed" w:sz="8" w:space="0" w:color="auto"/>
            </w:tcBorders>
            <w:shd w:val="clear" w:color="auto" w:fill="auto"/>
            <w:noWrap/>
            <w:vAlign w:val="center"/>
            <w:hideMark/>
          </w:tcPr>
          <w:p w14:paraId="085E175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w:t>
            </w:r>
          </w:p>
        </w:tc>
        <w:tc>
          <w:tcPr>
            <w:tcW w:w="851" w:type="dxa"/>
            <w:tcBorders>
              <w:top w:val="nil"/>
              <w:left w:val="nil"/>
              <w:bottom w:val="nil"/>
              <w:right w:val="dashed" w:sz="8" w:space="0" w:color="auto"/>
            </w:tcBorders>
            <w:shd w:val="clear" w:color="auto" w:fill="auto"/>
            <w:noWrap/>
            <w:vAlign w:val="center"/>
            <w:hideMark/>
          </w:tcPr>
          <w:p w14:paraId="085E175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w:t>
            </w:r>
          </w:p>
        </w:tc>
        <w:tc>
          <w:tcPr>
            <w:tcW w:w="851" w:type="dxa"/>
            <w:tcBorders>
              <w:top w:val="nil"/>
              <w:left w:val="nil"/>
              <w:bottom w:val="nil"/>
              <w:right w:val="dashed" w:sz="8" w:space="0" w:color="auto"/>
            </w:tcBorders>
            <w:shd w:val="clear" w:color="auto" w:fill="auto"/>
            <w:noWrap/>
            <w:vAlign w:val="center"/>
            <w:hideMark/>
          </w:tcPr>
          <w:p w14:paraId="085E175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5%</w:t>
            </w:r>
          </w:p>
        </w:tc>
        <w:tc>
          <w:tcPr>
            <w:tcW w:w="851" w:type="dxa"/>
            <w:tcBorders>
              <w:top w:val="nil"/>
              <w:left w:val="nil"/>
              <w:bottom w:val="nil"/>
              <w:right w:val="single" w:sz="12" w:space="0" w:color="auto"/>
            </w:tcBorders>
            <w:shd w:val="clear" w:color="auto" w:fill="auto"/>
            <w:noWrap/>
            <w:vAlign w:val="center"/>
            <w:hideMark/>
          </w:tcPr>
          <w:p w14:paraId="085E175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r>
      <w:tr w:rsidR="006A1FCD" w:rsidRPr="006A1FCD" w14:paraId="085E1766" w14:textId="77777777" w:rsidTr="00F361CB">
        <w:trPr>
          <w:trHeight w:val="323"/>
        </w:trPr>
        <w:tc>
          <w:tcPr>
            <w:tcW w:w="2307" w:type="dxa"/>
            <w:tcBorders>
              <w:top w:val="nil"/>
              <w:left w:val="single" w:sz="12" w:space="0" w:color="auto"/>
              <w:bottom w:val="dotDash" w:sz="4" w:space="0" w:color="auto"/>
              <w:right w:val="nil"/>
            </w:tcBorders>
            <w:shd w:val="clear" w:color="auto" w:fill="auto"/>
            <w:noWrap/>
            <w:vAlign w:val="center"/>
            <w:hideMark/>
          </w:tcPr>
          <w:p w14:paraId="085E175A"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908" w:type="dxa"/>
            <w:tcBorders>
              <w:top w:val="nil"/>
              <w:left w:val="nil"/>
              <w:bottom w:val="dotDash" w:sz="4" w:space="0" w:color="auto"/>
              <w:right w:val="single" w:sz="12" w:space="0" w:color="auto"/>
            </w:tcBorders>
            <w:shd w:val="clear" w:color="auto" w:fill="auto"/>
            <w:noWrap/>
            <w:vAlign w:val="center"/>
            <w:hideMark/>
          </w:tcPr>
          <w:p w14:paraId="085E175B"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Party Unknown</w:t>
            </w:r>
          </w:p>
        </w:tc>
        <w:tc>
          <w:tcPr>
            <w:tcW w:w="1107" w:type="dxa"/>
            <w:tcBorders>
              <w:top w:val="nil"/>
              <w:left w:val="nil"/>
              <w:bottom w:val="dotDash" w:sz="4" w:space="0" w:color="auto"/>
              <w:right w:val="dashed" w:sz="8" w:space="0" w:color="auto"/>
            </w:tcBorders>
            <w:shd w:val="clear" w:color="auto" w:fill="auto"/>
            <w:vAlign w:val="center"/>
            <w:hideMark/>
          </w:tcPr>
          <w:p w14:paraId="085E175C"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66%</w:t>
            </w:r>
          </w:p>
        </w:tc>
        <w:tc>
          <w:tcPr>
            <w:tcW w:w="851" w:type="dxa"/>
            <w:tcBorders>
              <w:top w:val="nil"/>
              <w:left w:val="nil"/>
              <w:bottom w:val="dotDash" w:sz="4" w:space="0" w:color="auto"/>
              <w:right w:val="dashed" w:sz="8" w:space="0" w:color="auto"/>
            </w:tcBorders>
            <w:shd w:val="clear" w:color="auto" w:fill="auto"/>
            <w:vAlign w:val="center"/>
            <w:hideMark/>
          </w:tcPr>
          <w:p w14:paraId="085E175D"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0%</w:t>
            </w:r>
          </w:p>
        </w:tc>
        <w:tc>
          <w:tcPr>
            <w:tcW w:w="855" w:type="dxa"/>
            <w:tcBorders>
              <w:top w:val="nil"/>
              <w:left w:val="nil"/>
              <w:bottom w:val="dotDash" w:sz="4" w:space="0" w:color="auto"/>
              <w:right w:val="dashed" w:sz="8" w:space="0" w:color="auto"/>
            </w:tcBorders>
            <w:shd w:val="clear" w:color="auto" w:fill="auto"/>
            <w:vAlign w:val="center"/>
            <w:hideMark/>
          </w:tcPr>
          <w:p w14:paraId="085E175E"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100%</w:t>
            </w:r>
          </w:p>
        </w:tc>
        <w:tc>
          <w:tcPr>
            <w:tcW w:w="851" w:type="dxa"/>
            <w:tcBorders>
              <w:top w:val="nil"/>
              <w:left w:val="nil"/>
              <w:bottom w:val="dotDash" w:sz="4" w:space="0" w:color="auto"/>
              <w:right w:val="dashed" w:sz="8" w:space="0" w:color="auto"/>
            </w:tcBorders>
            <w:shd w:val="clear" w:color="auto" w:fill="auto"/>
            <w:noWrap/>
            <w:vAlign w:val="center"/>
            <w:hideMark/>
          </w:tcPr>
          <w:p w14:paraId="085E175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100%</w:t>
            </w:r>
          </w:p>
        </w:tc>
        <w:tc>
          <w:tcPr>
            <w:tcW w:w="851" w:type="dxa"/>
            <w:tcBorders>
              <w:top w:val="nil"/>
              <w:left w:val="nil"/>
              <w:bottom w:val="dotDash" w:sz="4" w:space="0" w:color="auto"/>
              <w:right w:val="dashed" w:sz="8" w:space="0" w:color="auto"/>
            </w:tcBorders>
            <w:shd w:val="clear" w:color="auto" w:fill="auto"/>
            <w:noWrap/>
            <w:vAlign w:val="center"/>
            <w:hideMark/>
          </w:tcPr>
          <w:p w14:paraId="085E1760"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23%</w:t>
            </w:r>
          </w:p>
        </w:tc>
        <w:tc>
          <w:tcPr>
            <w:tcW w:w="851" w:type="dxa"/>
            <w:tcBorders>
              <w:top w:val="nil"/>
              <w:left w:val="nil"/>
              <w:bottom w:val="dotDash" w:sz="4" w:space="0" w:color="auto"/>
              <w:right w:val="dashed" w:sz="8" w:space="0" w:color="auto"/>
            </w:tcBorders>
            <w:shd w:val="clear" w:color="auto" w:fill="auto"/>
            <w:noWrap/>
            <w:vAlign w:val="center"/>
            <w:hideMark/>
          </w:tcPr>
          <w:p w14:paraId="085E1761"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100%</w:t>
            </w:r>
          </w:p>
        </w:tc>
        <w:tc>
          <w:tcPr>
            <w:tcW w:w="851" w:type="dxa"/>
            <w:tcBorders>
              <w:top w:val="nil"/>
              <w:left w:val="nil"/>
              <w:bottom w:val="dotDash" w:sz="4" w:space="0" w:color="auto"/>
              <w:right w:val="dashed" w:sz="8" w:space="0" w:color="auto"/>
            </w:tcBorders>
            <w:shd w:val="clear" w:color="auto" w:fill="auto"/>
            <w:noWrap/>
            <w:vAlign w:val="center"/>
            <w:hideMark/>
          </w:tcPr>
          <w:p w14:paraId="085E1762"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dotDash" w:sz="4" w:space="0" w:color="auto"/>
              <w:right w:val="dashed" w:sz="8" w:space="0" w:color="auto"/>
            </w:tcBorders>
            <w:shd w:val="clear" w:color="auto" w:fill="auto"/>
            <w:noWrap/>
            <w:vAlign w:val="center"/>
            <w:hideMark/>
          </w:tcPr>
          <w:p w14:paraId="085E1763"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dotDash" w:sz="4" w:space="0" w:color="auto"/>
              <w:right w:val="dashed" w:sz="8" w:space="0" w:color="auto"/>
            </w:tcBorders>
            <w:shd w:val="clear" w:color="auto" w:fill="auto"/>
            <w:noWrap/>
            <w:vAlign w:val="center"/>
            <w:hideMark/>
          </w:tcPr>
          <w:p w14:paraId="085E1764"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nil"/>
              <w:left w:val="nil"/>
              <w:bottom w:val="dotDash" w:sz="4" w:space="0" w:color="auto"/>
              <w:right w:val="single" w:sz="12" w:space="0" w:color="auto"/>
            </w:tcBorders>
            <w:shd w:val="clear" w:color="auto" w:fill="auto"/>
            <w:noWrap/>
            <w:vAlign w:val="center"/>
            <w:hideMark/>
          </w:tcPr>
          <w:p w14:paraId="085E1765"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100%</w:t>
            </w:r>
          </w:p>
        </w:tc>
      </w:tr>
      <w:tr w:rsidR="006A1FCD" w:rsidRPr="006A1FCD" w14:paraId="085E1773" w14:textId="77777777" w:rsidTr="00F361CB">
        <w:trPr>
          <w:trHeight w:val="646"/>
        </w:trPr>
        <w:tc>
          <w:tcPr>
            <w:tcW w:w="2307" w:type="dxa"/>
            <w:tcBorders>
              <w:top w:val="nil"/>
              <w:left w:val="single" w:sz="12" w:space="0" w:color="auto"/>
              <w:bottom w:val="nil"/>
              <w:right w:val="nil"/>
            </w:tcBorders>
            <w:shd w:val="clear" w:color="auto" w:fill="auto"/>
            <w:noWrap/>
            <w:vAlign w:val="center"/>
            <w:hideMark/>
          </w:tcPr>
          <w:p w14:paraId="085E1767"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Median Household Income</w:t>
            </w:r>
          </w:p>
        </w:tc>
        <w:tc>
          <w:tcPr>
            <w:tcW w:w="1908" w:type="dxa"/>
            <w:tcBorders>
              <w:top w:val="nil"/>
              <w:left w:val="nil"/>
              <w:bottom w:val="nil"/>
              <w:right w:val="single" w:sz="12" w:space="0" w:color="auto"/>
            </w:tcBorders>
            <w:shd w:val="clear" w:color="auto" w:fill="auto"/>
            <w:noWrap/>
            <w:vAlign w:val="center"/>
            <w:hideMark/>
          </w:tcPr>
          <w:p w14:paraId="085E1768"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nil"/>
              <w:left w:val="nil"/>
              <w:bottom w:val="nil"/>
              <w:right w:val="dashed" w:sz="8" w:space="0" w:color="auto"/>
            </w:tcBorders>
            <w:shd w:val="clear" w:color="auto" w:fill="auto"/>
            <w:vAlign w:val="center"/>
            <w:hideMark/>
          </w:tcPr>
          <w:p w14:paraId="085E1769"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c>
          <w:tcPr>
            <w:tcW w:w="851" w:type="dxa"/>
            <w:tcBorders>
              <w:top w:val="nil"/>
              <w:left w:val="nil"/>
              <w:bottom w:val="nil"/>
              <w:right w:val="dashed" w:sz="8" w:space="0" w:color="auto"/>
            </w:tcBorders>
            <w:shd w:val="clear" w:color="auto" w:fill="auto"/>
            <w:vAlign w:val="center"/>
            <w:hideMark/>
          </w:tcPr>
          <w:p w14:paraId="085E176A"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c>
          <w:tcPr>
            <w:tcW w:w="855" w:type="dxa"/>
            <w:tcBorders>
              <w:top w:val="nil"/>
              <w:left w:val="nil"/>
              <w:bottom w:val="nil"/>
              <w:right w:val="dashed" w:sz="8" w:space="0" w:color="auto"/>
            </w:tcBorders>
            <w:shd w:val="clear" w:color="auto" w:fill="auto"/>
            <w:vAlign w:val="center"/>
            <w:hideMark/>
          </w:tcPr>
          <w:p w14:paraId="085E176B"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c>
          <w:tcPr>
            <w:tcW w:w="851" w:type="dxa"/>
            <w:tcBorders>
              <w:top w:val="nil"/>
              <w:left w:val="nil"/>
              <w:bottom w:val="nil"/>
              <w:right w:val="dashed" w:sz="8" w:space="0" w:color="auto"/>
            </w:tcBorders>
            <w:shd w:val="clear" w:color="auto" w:fill="auto"/>
            <w:vAlign w:val="center"/>
            <w:hideMark/>
          </w:tcPr>
          <w:p w14:paraId="085E176C"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c>
          <w:tcPr>
            <w:tcW w:w="851" w:type="dxa"/>
            <w:tcBorders>
              <w:top w:val="nil"/>
              <w:left w:val="nil"/>
              <w:bottom w:val="nil"/>
              <w:right w:val="dashed" w:sz="8" w:space="0" w:color="auto"/>
            </w:tcBorders>
            <w:shd w:val="clear" w:color="auto" w:fill="auto"/>
            <w:vAlign w:val="center"/>
            <w:hideMark/>
          </w:tcPr>
          <w:p w14:paraId="085E176D"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c>
          <w:tcPr>
            <w:tcW w:w="851" w:type="dxa"/>
            <w:tcBorders>
              <w:top w:val="nil"/>
              <w:left w:val="nil"/>
              <w:bottom w:val="nil"/>
              <w:right w:val="dashed" w:sz="8" w:space="0" w:color="auto"/>
            </w:tcBorders>
            <w:shd w:val="clear" w:color="auto" w:fill="auto"/>
            <w:vAlign w:val="center"/>
            <w:hideMark/>
          </w:tcPr>
          <w:p w14:paraId="085E176E"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c>
          <w:tcPr>
            <w:tcW w:w="851" w:type="dxa"/>
            <w:tcBorders>
              <w:top w:val="nil"/>
              <w:left w:val="nil"/>
              <w:bottom w:val="nil"/>
              <w:right w:val="dashed" w:sz="8" w:space="0" w:color="auto"/>
            </w:tcBorders>
            <w:shd w:val="clear" w:color="auto" w:fill="auto"/>
            <w:vAlign w:val="center"/>
            <w:hideMark/>
          </w:tcPr>
          <w:p w14:paraId="085E176F"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$30,000 - $50,000</w:t>
            </w:r>
          </w:p>
        </w:tc>
        <w:tc>
          <w:tcPr>
            <w:tcW w:w="851" w:type="dxa"/>
            <w:tcBorders>
              <w:top w:val="nil"/>
              <w:left w:val="nil"/>
              <w:bottom w:val="nil"/>
              <w:right w:val="dashed" w:sz="8" w:space="0" w:color="auto"/>
            </w:tcBorders>
            <w:shd w:val="clear" w:color="auto" w:fill="auto"/>
            <w:vAlign w:val="center"/>
            <w:hideMark/>
          </w:tcPr>
          <w:p w14:paraId="085E1770"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$30,000 - $50,000</w:t>
            </w:r>
          </w:p>
        </w:tc>
        <w:tc>
          <w:tcPr>
            <w:tcW w:w="851" w:type="dxa"/>
            <w:tcBorders>
              <w:top w:val="nil"/>
              <w:left w:val="nil"/>
              <w:bottom w:val="nil"/>
              <w:right w:val="dashed" w:sz="8" w:space="0" w:color="auto"/>
            </w:tcBorders>
            <w:shd w:val="clear" w:color="auto" w:fill="auto"/>
            <w:vAlign w:val="center"/>
            <w:hideMark/>
          </w:tcPr>
          <w:p w14:paraId="085E1771"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$30,000 - $50,000</w:t>
            </w:r>
          </w:p>
        </w:tc>
        <w:tc>
          <w:tcPr>
            <w:tcW w:w="851" w:type="dxa"/>
            <w:tcBorders>
              <w:top w:val="nil"/>
              <w:left w:val="nil"/>
              <w:bottom w:val="nil"/>
              <w:right w:val="single" w:sz="12" w:space="0" w:color="auto"/>
            </w:tcBorders>
            <w:shd w:val="clear" w:color="auto" w:fill="auto"/>
            <w:vAlign w:val="center"/>
            <w:hideMark/>
          </w:tcPr>
          <w:p w14:paraId="085E1772"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$50,000 - $75,000</w:t>
            </w:r>
          </w:p>
        </w:tc>
      </w:tr>
      <w:tr w:rsidR="006A1FCD" w:rsidRPr="006A1FCD" w14:paraId="085E1780" w14:textId="77777777" w:rsidTr="00F361CB">
        <w:trPr>
          <w:trHeight w:val="329"/>
        </w:trPr>
        <w:tc>
          <w:tcPr>
            <w:tcW w:w="2307" w:type="dxa"/>
            <w:tcBorders>
              <w:top w:val="dashed" w:sz="4" w:space="0" w:color="auto"/>
              <w:left w:val="single" w:sz="12" w:space="0" w:color="auto"/>
              <w:bottom w:val="dotDash" w:sz="4" w:space="0" w:color="auto"/>
              <w:right w:val="nil"/>
            </w:tcBorders>
            <w:shd w:val="clear" w:color="auto" w:fill="auto"/>
            <w:noWrap/>
            <w:vAlign w:val="center"/>
            <w:hideMark/>
          </w:tcPr>
          <w:p w14:paraId="085E1774"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Married</w:t>
            </w:r>
          </w:p>
        </w:tc>
        <w:tc>
          <w:tcPr>
            <w:tcW w:w="1908" w:type="dxa"/>
            <w:tcBorders>
              <w:top w:val="dashed" w:sz="4" w:space="0" w:color="auto"/>
              <w:left w:val="nil"/>
              <w:bottom w:val="dotDash" w:sz="4" w:space="0" w:color="auto"/>
              <w:right w:val="single" w:sz="12" w:space="0" w:color="auto"/>
            </w:tcBorders>
            <w:shd w:val="clear" w:color="auto" w:fill="auto"/>
            <w:noWrap/>
            <w:vAlign w:val="center"/>
            <w:hideMark/>
          </w:tcPr>
          <w:p w14:paraId="085E1775"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dashed" w:sz="4" w:space="0" w:color="auto"/>
              <w:left w:val="nil"/>
              <w:bottom w:val="dotDash" w:sz="4" w:space="0" w:color="auto"/>
              <w:right w:val="dashed" w:sz="8" w:space="0" w:color="auto"/>
            </w:tcBorders>
            <w:shd w:val="clear" w:color="auto" w:fill="auto"/>
            <w:vAlign w:val="center"/>
            <w:hideMark/>
          </w:tcPr>
          <w:p w14:paraId="085E1776"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47%</w:t>
            </w:r>
          </w:p>
        </w:tc>
        <w:tc>
          <w:tcPr>
            <w:tcW w:w="851" w:type="dxa"/>
            <w:tcBorders>
              <w:top w:val="dashed" w:sz="4" w:space="0" w:color="auto"/>
              <w:left w:val="nil"/>
              <w:bottom w:val="dotDash" w:sz="4" w:space="0" w:color="auto"/>
              <w:right w:val="dashed" w:sz="8" w:space="0" w:color="auto"/>
            </w:tcBorders>
            <w:shd w:val="clear" w:color="auto" w:fill="auto"/>
            <w:vAlign w:val="center"/>
            <w:hideMark/>
          </w:tcPr>
          <w:p w14:paraId="085E1777"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51%</w:t>
            </w:r>
          </w:p>
        </w:tc>
        <w:tc>
          <w:tcPr>
            <w:tcW w:w="855" w:type="dxa"/>
            <w:tcBorders>
              <w:top w:val="dashed" w:sz="4" w:space="0" w:color="auto"/>
              <w:left w:val="nil"/>
              <w:bottom w:val="dotDash" w:sz="4" w:space="0" w:color="auto"/>
              <w:right w:val="dashed" w:sz="8" w:space="0" w:color="auto"/>
            </w:tcBorders>
            <w:shd w:val="clear" w:color="auto" w:fill="auto"/>
            <w:vAlign w:val="center"/>
            <w:hideMark/>
          </w:tcPr>
          <w:p w14:paraId="085E1778"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66%</w:t>
            </w:r>
          </w:p>
        </w:tc>
        <w:tc>
          <w:tcPr>
            <w:tcW w:w="851" w:type="dxa"/>
            <w:tcBorders>
              <w:top w:val="dashed" w:sz="4" w:space="0" w:color="auto"/>
              <w:left w:val="nil"/>
              <w:bottom w:val="dotDash" w:sz="4" w:space="0" w:color="auto"/>
              <w:right w:val="dashed" w:sz="8" w:space="0" w:color="auto"/>
            </w:tcBorders>
            <w:shd w:val="clear" w:color="auto" w:fill="auto"/>
            <w:noWrap/>
            <w:vAlign w:val="center"/>
            <w:hideMark/>
          </w:tcPr>
          <w:p w14:paraId="085E177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66%</w:t>
            </w:r>
          </w:p>
        </w:tc>
        <w:tc>
          <w:tcPr>
            <w:tcW w:w="851" w:type="dxa"/>
            <w:tcBorders>
              <w:top w:val="dashed" w:sz="4" w:space="0" w:color="auto"/>
              <w:left w:val="nil"/>
              <w:bottom w:val="dotDash" w:sz="4" w:space="0" w:color="auto"/>
              <w:right w:val="dashed" w:sz="8" w:space="0" w:color="auto"/>
            </w:tcBorders>
            <w:shd w:val="clear" w:color="auto" w:fill="auto"/>
            <w:noWrap/>
            <w:vAlign w:val="center"/>
            <w:hideMark/>
          </w:tcPr>
          <w:p w14:paraId="085E177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66%</w:t>
            </w:r>
          </w:p>
        </w:tc>
        <w:tc>
          <w:tcPr>
            <w:tcW w:w="851" w:type="dxa"/>
            <w:tcBorders>
              <w:top w:val="dashed" w:sz="4" w:space="0" w:color="auto"/>
              <w:left w:val="nil"/>
              <w:bottom w:val="dotDash" w:sz="4" w:space="0" w:color="auto"/>
              <w:right w:val="dashed" w:sz="8" w:space="0" w:color="auto"/>
            </w:tcBorders>
            <w:shd w:val="clear" w:color="auto" w:fill="auto"/>
            <w:noWrap/>
            <w:vAlign w:val="center"/>
            <w:hideMark/>
          </w:tcPr>
          <w:p w14:paraId="085E177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dashed" w:sz="4" w:space="0" w:color="auto"/>
              <w:left w:val="nil"/>
              <w:bottom w:val="dotDash" w:sz="4" w:space="0" w:color="auto"/>
              <w:right w:val="dashed" w:sz="8" w:space="0" w:color="auto"/>
            </w:tcBorders>
            <w:shd w:val="clear" w:color="auto" w:fill="auto"/>
            <w:noWrap/>
            <w:vAlign w:val="center"/>
            <w:hideMark/>
          </w:tcPr>
          <w:p w14:paraId="085E177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dashed" w:sz="4" w:space="0" w:color="auto"/>
              <w:left w:val="nil"/>
              <w:bottom w:val="dotDash" w:sz="4" w:space="0" w:color="auto"/>
              <w:right w:val="dashed" w:sz="8" w:space="0" w:color="auto"/>
            </w:tcBorders>
            <w:shd w:val="clear" w:color="auto" w:fill="auto"/>
            <w:noWrap/>
            <w:vAlign w:val="center"/>
            <w:hideMark/>
          </w:tcPr>
          <w:p w14:paraId="085E177D"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c>
          <w:tcPr>
            <w:tcW w:w="851" w:type="dxa"/>
            <w:tcBorders>
              <w:top w:val="dashed" w:sz="4" w:space="0" w:color="auto"/>
              <w:left w:val="nil"/>
              <w:bottom w:val="dotDash" w:sz="4" w:space="0" w:color="auto"/>
              <w:right w:val="dashed" w:sz="8" w:space="0" w:color="auto"/>
            </w:tcBorders>
            <w:shd w:val="clear" w:color="auto" w:fill="auto"/>
            <w:noWrap/>
            <w:vAlign w:val="center"/>
            <w:hideMark/>
          </w:tcPr>
          <w:p w14:paraId="085E177E"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28%</w:t>
            </w:r>
          </w:p>
        </w:tc>
        <w:tc>
          <w:tcPr>
            <w:tcW w:w="851" w:type="dxa"/>
            <w:tcBorders>
              <w:top w:val="dashed" w:sz="4" w:space="0" w:color="auto"/>
              <w:left w:val="nil"/>
              <w:bottom w:val="dotDash" w:sz="4" w:space="0" w:color="auto"/>
              <w:right w:val="single" w:sz="12" w:space="0" w:color="auto"/>
            </w:tcBorders>
            <w:shd w:val="clear" w:color="auto" w:fill="auto"/>
            <w:noWrap/>
            <w:vAlign w:val="center"/>
            <w:hideMark/>
          </w:tcPr>
          <w:p w14:paraId="085E177F"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0%</w:t>
            </w:r>
          </w:p>
        </w:tc>
      </w:tr>
      <w:tr w:rsidR="006A1FCD" w:rsidRPr="006A1FCD" w14:paraId="085E178D" w14:textId="77777777" w:rsidTr="00F361CB">
        <w:trPr>
          <w:trHeight w:val="329"/>
        </w:trPr>
        <w:tc>
          <w:tcPr>
            <w:tcW w:w="2307" w:type="dxa"/>
            <w:tcBorders>
              <w:top w:val="dashed" w:sz="8" w:space="0" w:color="auto"/>
              <w:left w:val="single" w:sz="12" w:space="0" w:color="auto"/>
              <w:bottom w:val="single" w:sz="12" w:space="0" w:color="auto"/>
              <w:right w:val="nil"/>
            </w:tcBorders>
            <w:shd w:val="clear" w:color="auto" w:fill="auto"/>
            <w:noWrap/>
            <w:vAlign w:val="center"/>
            <w:hideMark/>
          </w:tcPr>
          <w:p w14:paraId="085E1781"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Total N</w:t>
            </w:r>
          </w:p>
        </w:tc>
        <w:tc>
          <w:tcPr>
            <w:tcW w:w="1908" w:type="dxa"/>
            <w:tcBorders>
              <w:top w:val="dashed" w:sz="8" w:space="0" w:color="auto"/>
              <w:left w:val="nil"/>
              <w:bottom w:val="single" w:sz="12" w:space="0" w:color="auto"/>
              <w:right w:val="single" w:sz="12" w:space="0" w:color="auto"/>
            </w:tcBorders>
            <w:shd w:val="clear" w:color="auto" w:fill="auto"/>
            <w:noWrap/>
            <w:vAlign w:val="center"/>
            <w:hideMark/>
          </w:tcPr>
          <w:p w14:paraId="085E1782" w14:textId="77777777" w:rsidR="006A1FCD" w:rsidRPr="006A1FCD" w:rsidRDefault="006A1FCD" w:rsidP="006A1FCD">
            <w:pPr>
              <w:spacing w:after="0" w:line="240" w:lineRule="auto"/>
              <w:jc w:val="center"/>
              <w:rPr>
                <w:rFonts w:ascii="Garamond" w:eastAsia="Times New Roman" w:hAnsi="Garamond" w:cs="Calibri"/>
                <w:b/>
                <w:bCs/>
                <w:i/>
                <w:iCs/>
                <w:sz w:val="20"/>
                <w:szCs w:val="24"/>
              </w:rPr>
            </w:pPr>
            <w:r w:rsidRPr="006A1FCD">
              <w:rPr>
                <w:rFonts w:ascii="Garamond" w:eastAsia="Times New Roman" w:hAnsi="Garamond" w:cs="Calibri"/>
                <w:b/>
                <w:bCs/>
                <w:i/>
                <w:iCs/>
                <w:sz w:val="20"/>
                <w:szCs w:val="24"/>
              </w:rPr>
              <w:t> </w:t>
            </w:r>
          </w:p>
        </w:tc>
        <w:tc>
          <w:tcPr>
            <w:tcW w:w="1107" w:type="dxa"/>
            <w:tcBorders>
              <w:top w:val="dashed" w:sz="8" w:space="0" w:color="auto"/>
              <w:left w:val="nil"/>
              <w:bottom w:val="single" w:sz="12" w:space="0" w:color="auto"/>
              <w:right w:val="nil"/>
            </w:tcBorders>
            <w:shd w:val="clear" w:color="auto" w:fill="auto"/>
            <w:vAlign w:val="center"/>
            <w:hideMark/>
          </w:tcPr>
          <w:p w14:paraId="085E1783"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1,875,739</w:t>
            </w:r>
          </w:p>
        </w:tc>
        <w:tc>
          <w:tcPr>
            <w:tcW w:w="851" w:type="dxa"/>
            <w:tcBorders>
              <w:top w:val="dashed" w:sz="8" w:space="0" w:color="auto"/>
              <w:left w:val="nil"/>
              <w:bottom w:val="single" w:sz="12" w:space="0" w:color="auto"/>
              <w:right w:val="nil"/>
            </w:tcBorders>
            <w:shd w:val="clear" w:color="auto" w:fill="auto"/>
            <w:vAlign w:val="center"/>
            <w:hideMark/>
          </w:tcPr>
          <w:p w14:paraId="085E1784"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57,991</w:t>
            </w:r>
          </w:p>
        </w:tc>
        <w:tc>
          <w:tcPr>
            <w:tcW w:w="855" w:type="dxa"/>
            <w:tcBorders>
              <w:top w:val="dashed" w:sz="8" w:space="0" w:color="auto"/>
              <w:left w:val="nil"/>
              <w:bottom w:val="single" w:sz="12" w:space="0" w:color="auto"/>
              <w:right w:val="nil"/>
            </w:tcBorders>
            <w:shd w:val="clear" w:color="auto" w:fill="auto"/>
            <w:vAlign w:val="center"/>
            <w:hideMark/>
          </w:tcPr>
          <w:p w14:paraId="085E1785" w14:textId="77777777" w:rsidR="006A1FCD" w:rsidRPr="006A1FCD" w:rsidRDefault="006A1FCD" w:rsidP="006A1FCD">
            <w:pPr>
              <w:spacing w:after="0" w:line="240" w:lineRule="auto"/>
              <w:jc w:val="center"/>
              <w:rPr>
                <w:rFonts w:ascii="Garamond" w:eastAsia="Times New Roman" w:hAnsi="Garamond" w:cs="Calibri"/>
                <w:sz w:val="20"/>
                <w:szCs w:val="24"/>
              </w:rPr>
            </w:pPr>
            <w:r w:rsidRPr="006A1FCD">
              <w:rPr>
                <w:rFonts w:ascii="Garamond" w:eastAsia="Times New Roman" w:hAnsi="Garamond" w:cs="Calibri"/>
                <w:sz w:val="20"/>
                <w:szCs w:val="24"/>
              </w:rPr>
              <w:t>535,726</w:t>
            </w:r>
          </w:p>
        </w:tc>
        <w:tc>
          <w:tcPr>
            <w:tcW w:w="851" w:type="dxa"/>
            <w:tcBorders>
              <w:top w:val="dashed" w:sz="8" w:space="0" w:color="auto"/>
              <w:left w:val="nil"/>
              <w:bottom w:val="single" w:sz="12" w:space="0" w:color="auto"/>
              <w:right w:val="nil"/>
            </w:tcBorders>
            <w:shd w:val="clear" w:color="auto" w:fill="auto"/>
            <w:noWrap/>
            <w:vAlign w:val="center"/>
            <w:hideMark/>
          </w:tcPr>
          <w:p w14:paraId="085E1786"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449,733</w:t>
            </w:r>
          </w:p>
        </w:tc>
        <w:tc>
          <w:tcPr>
            <w:tcW w:w="851" w:type="dxa"/>
            <w:tcBorders>
              <w:top w:val="dashed" w:sz="8" w:space="0" w:color="auto"/>
              <w:left w:val="nil"/>
              <w:bottom w:val="single" w:sz="12" w:space="0" w:color="auto"/>
              <w:right w:val="nil"/>
            </w:tcBorders>
            <w:shd w:val="clear" w:color="auto" w:fill="auto"/>
            <w:noWrap/>
            <w:vAlign w:val="center"/>
            <w:hideMark/>
          </w:tcPr>
          <w:p w14:paraId="085E1787"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252,258</w:t>
            </w:r>
          </w:p>
        </w:tc>
        <w:tc>
          <w:tcPr>
            <w:tcW w:w="851" w:type="dxa"/>
            <w:tcBorders>
              <w:top w:val="dashed" w:sz="8" w:space="0" w:color="auto"/>
              <w:left w:val="nil"/>
              <w:bottom w:val="single" w:sz="12" w:space="0" w:color="auto"/>
              <w:right w:val="nil"/>
            </w:tcBorders>
            <w:shd w:val="clear" w:color="auto" w:fill="auto"/>
            <w:noWrap/>
            <w:vAlign w:val="center"/>
            <w:hideMark/>
          </w:tcPr>
          <w:p w14:paraId="085E1788"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119,769</w:t>
            </w:r>
          </w:p>
        </w:tc>
        <w:tc>
          <w:tcPr>
            <w:tcW w:w="851" w:type="dxa"/>
            <w:tcBorders>
              <w:top w:val="dashed" w:sz="8" w:space="0" w:color="auto"/>
              <w:left w:val="nil"/>
              <w:bottom w:val="single" w:sz="12" w:space="0" w:color="auto"/>
              <w:right w:val="nil"/>
            </w:tcBorders>
            <w:shd w:val="clear" w:color="auto" w:fill="auto"/>
            <w:noWrap/>
            <w:vAlign w:val="center"/>
            <w:hideMark/>
          </w:tcPr>
          <w:p w14:paraId="085E1789"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49,278</w:t>
            </w:r>
          </w:p>
        </w:tc>
        <w:tc>
          <w:tcPr>
            <w:tcW w:w="851" w:type="dxa"/>
            <w:tcBorders>
              <w:top w:val="dashed" w:sz="8" w:space="0" w:color="auto"/>
              <w:left w:val="nil"/>
              <w:bottom w:val="single" w:sz="12" w:space="0" w:color="auto"/>
              <w:right w:val="nil"/>
            </w:tcBorders>
            <w:shd w:val="clear" w:color="auto" w:fill="auto"/>
            <w:noWrap/>
            <w:vAlign w:val="center"/>
            <w:hideMark/>
          </w:tcPr>
          <w:p w14:paraId="085E178A"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205,981</w:t>
            </w:r>
          </w:p>
        </w:tc>
        <w:tc>
          <w:tcPr>
            <w:tcW w:w="851" w:type="dxa"/>
            <w:tcBorders>
              <w:top w:val="dashed" w:sz="8" w:space="0" w:color="auto"/>
              <w:left w:val="nil"/>
              <w:bottom w:val="single" w:sz="12" w:space="0" w:color="auto"/>
              <w:right w:val="nil"/>
            </w:tcBorders>
            <w:shd w:val="clear" w:color="auto" w:fill="auto"/>
            <w:noWrap/>
            <w:vAlign w:val="center"/>
            <w:hideMark/>
          </w:tcPr>
          <w:p w14:paraId="085E178B"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137,032</w:t>
            </w:r>
          </w:p>
        </w:tc>
        <w:tc>
          <w:tcPr>
            <w:tcW w:w="851" w:type="dxa"/>
            <w:tcBorders>
              <w:top w:val="dashed" w:sz="8" w:space="0" w:color="auto"/>
              <w:left w:val="nil"/>
              <w:bottom w:val="single" w:sz="12" w:space="0" w:color="auto"/>
              <w:right w:val="single" w:sz="12" w:space="0" w:color="auto"/>
            </w:tcBorders>
            <w:shd w:val="clear" w:color="auto" w:fill="auto"/>
            <w:noWrap/>
            <w:vAlign w:val="center"/>
            <w:hideMark/>
          </w:tcPr>
          <w:p w14:paraId="085E178C" w14:textId="77777777" w:rsidR="006A1FCD" w:rsidRPr="006A1FCD" w:rsidRDefault="006A1FCD" w:rsidP="006A1FCD">
            <w:pPr>
              <w:spacing w:after="0" w:line="240" w:lineRule="auto"/>
              <w:jc w:val="center"/>
              <w:rPr>
                <w:rFonts w:ascii="Garamond" w:eastAsia="Times New Roman" w:hAnsi="Garamond" w:cs="Calibri"/>
                <w:sz w:val="20"/>
              </w:rPr>
            </w:pPr>
            <w:r w:rsidRPr="006A1FCD">
              <w:rPr>
                <w:rFonts w:ascii="Garamond" w:eastAsia="Times New Roman" w:hAnsi="Garamond" w:cs="Calibri"/>
                <w:sz w:val="20"/>
              </w:rPr>
              <w:t>67,971</w:t>
            </w:r>
          </w:p>
        </w:tc>
      </w:tr>
    </w:tbl>
    <w:p w14:paraId="085E178E" w14:textId="77777777" w:rsidR="006A1FCD" w:rsidRDefault="006A1FCD" w:rsidP="006A1FCD">
      <w:pPr>
        <w:spacing w:line="480" w:lineRule="auto"/>
        <w:rPr>
          <w:rFonts w:ascii="Garamond" w:hAnsi="Garamond"/>
          <w:sz w:val="24"/>
        </w:rPr>
      </w:pPr>
    </w:p>
    <w:p w14:paraId="085E178F" w14:textId="77777777" w:rsidR="00CC6E1E" w:rsidRDefault="00CC6E1E" w:rsidP="006A1FCD">
      <w:pPr>
        <w:spacing w:line="480" w:lineRule="auto"/>
        <w:rPr>
          <w:rFonts w:ascii="Garamond" w:hAnsi="Garamond"/>
          <w:sz w:val="24"/>
        </w:rPr>
      </w:pPr>
    </w:p>
    <w:p w14:paraId="085E1790" w14:textId="77777777" w:rsidR="00CC6E1E" w:rsidRPr="00CC6E1E" w:rsidRDefault="00CC6E1E" w:rsidP="00CC6E1E">
      <w:pPr>
        <w:spacing w:line="480" w:lineRule="auto"/>
        <w:rPr>
          <w:rFonts w:ascii="Garamond" w:hAnsi="Garamond"/>
          <w:b/>
          <w:sz w:val="24"/>
        </w:rPr>
      </w:pPr>
      <w:bookmarkStart w:id="10" w:name="_Toc83753720"/>
      <w:r w:rsidRPr="00CC6E1E">
        <w:rPr>
          <w:rFonts w:ascii="Garamond" w:hAnsi="Garamond"/>
          <w:b/>
          <w:sz w:val="24"/>
        </w:rPr>
        <w:lastRenderedPageBreak/>
        <w:t>Table 3.2</w:t>
      </w:r>
      <w:r w:rsidRPr="00CC6E1E">
        <w:rPr>
          <w:rFonts w:ascii="Garamond" w:hAnsi="Garamond"/>
          <w:sz w:val="24"/>
        </w:rPr>
        <w:t>: Summary statistics (vote history)</w:t>
      </w:r>
      <w:bookmarkEnd w:id="10"/>
    </w:p>
    <w:tbl>
      <w:tblPr>
        <w:tblW w:w="12983" w:type="dxa"/>
        <w:tblLook w:val="04A0" w:firstRow="1" w:lastRow="0" w:firstColumn="1" w:lastColumn="0" w:noHBand="0" w:noVBand="1"/>
      </w:tblPr>
      <w:tblGrid>
        <w:gridCol w:w="2435"/>
        <w:gridCol w:w="853"/>
        <w:gridCol w:w="1536"/>
        <w:gridCol w:w="831"/>
        <w:gridCol w:w="944"/>
        <w:gridCol w:w="944"/>
        <w:gridCol w:w="944"/>
        <w:gridCol w:w="944"/>
        <w:gridCol w:w="831"/>
        <w:gridCol w:w="990"/>
        <w:gridCol w:w="944"/>
        <w:gridCol w:w="831"/>
      </w:tblGrid>
      <w:tr w:rsidR="00CC6E1E" w:rsidRPr="00CC6E1E" w14:paraId="085E1794" w14:textId="77777777" w:rsidTr="008A3D98">
        <w:trPr>
          <w:trHeight w:val="291"/>
        </w:trPr>
        <w:tc>
          <w:tcPr>
            <w:tcW w:w="2435" w:type="dxa"/>
            <w:tcBorders>
              <w:top w:val="single" w:sz="12" w:space="0" w:color="auto"/>
              <w:left w:val="single" w:sz="12" w:space="0" w:color="auto"/>
              <w:bottom w:val="nil"/>
              <w:right w:val="nil"/>
            </w:tcBorders>
            <w:shd w:val="clear" w:color="auto" w:fill="auto"/>
            <w:noWrap/>
            <w:vAlign w:val="center"/>
            <w:hideMark/>
          </w:tcPr>
          <w:p w14:paraId="085E1791" w14:textId="77777777" w:rsidR="00CC6E1E" w:rsidRPr="00CC6E1E" w:rsidRDefault="00CC6E1E" w:rsidP="00CC6E1E">
            <w:pPr>
              <w:spacing w:line="480" w:lineRule="auto"/>
              <w:rPr>
                <w:rFonts w:ascii="Garamond" w:hAnsi="Garamond"/>
                <w:sz w:val="24"/>
              </w:rPr>
            </w:pPr>
            <w:r w:rsidRPr="00CC6E1E">
              <w:rPr>
                <w:rFonts w:ascii="Garamond" w:hAnsi="Garamond"/>
                <w:sz w:val="24"/>
              </w:rPr>
              <w:t> </w:t>
            </w:r>
          </w:p>
        </w:tc>
        <w:tc>
          <w:tcPr>
            <w:tcW w:w="853" w:type="dxa"/>
            <w:tcBorders>
              <w:top w:val="single" w:sz="12" w:space="0" w:color="auto"/>
              <w:left w:val="nil"/>
              <w:bottom w:val="nil"/>
              <w:right w:val="single" w:sz="12" w:space="0" w:color="auto"/>
            </w:tcBorders>
            <w:shd w:val="clear" w:color="auto" w:fill="auto"/>
            <w:noWrap/>
            <w:vAlign w:val="center"/>
            <w:hideMark/>
          </w:tcPr>
          <w:p w14:paraId="085E1792" w14:textId="77777777" w:rsidR="00CC6E1E" w:rsidRPr="00CC6E1E" w:rsidRDefault="00CC6E1E" w:rsidP="00CC6E1E">
            <w:pPr>
              <w:spacing w:line="480" w:lineRule="auto"/>
              <w:rPr>
                <w:rFonts w:ascii="Garamond" w:hAnsi="Garamond"/>
                <w:sz w:val="24"/>
              </w:rPr>
            </w:pPr>
            <w:r w:rsidRPr="00CC6E1E">
              <w:rPr>
                <w:rFonts w:ascii="Garamond" w:hAnsi="Garamond"/>
                <w:sz w:val="24"/>
              </w:rPr>
              <w:t> </w:t>
            </w:r>
          </w:p>
        </w:tc>
        <w:tc>
          <w:tcPr>
            <w:tcW w:w="9695" w:type="dxa"/>
            <w:gridSpan w:val="10"/>
            <w:tcBorders>
              <w:top w:val="single" w:sz="12" w:space="0" w:color="auto"/>
              <w:left w:val="nil"/>
              <w:bottom w:val="single" w:sz="12" w:space="0" w:color="auto"/>
              <w:right w:val="single" w:sz="12" w:space="0" w:color="000000"/>
            </w:tcBorders>
            <w:shd w:val="clear" w:color="auto" w:fill="auto"/>
            <w:vAlign w:val="center"/>
            <w:hideMark/>
          </w:tcPr>
          <w:p w14:paraId="085E1793"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Which experiment?</w:t>
            </w:r>
          </w:p>
        </w:tc>
      </w:tr>
      <w:tr w:rsidR="00CC6E1E" w:rsidRPr="00CC6E1E" w14:paraId="085E17A1" w14:textId="77777777" w:rsidTr="008A3D98">
        <w:trPr>
          <w:trHeight w:val="291"/>
        </w:trPr>
        <w:tc>
          <w:tcPr>
            <w:tcW w:w="2435" w:type="dxa"/>
            <w:tcBorders>
              <w:top w:val="nil"/>
              <w:left w:val="single" w:sz="12" w:space="0" w:color="auto"/>
              <w:bottom w:val="nil"/>
              <w:right w:val="nil"/>
            </w:tcBorders>
            <w:shd w:val="clear" w:color="auto" w:fill="auto"/>
            <w:noWrap/>
            <w:vAlign w:val="center"/>
            <w:hideMark/>
          </w:tcPr>
          <w:p w14:paraId="085E1795" w14:textId="77777777" w:rsidR="00CC6E1E" w:rsidRPr="00CC6E1E" w:rsidRDefault="00CC6E1E" w:rsidP="00CC6E1E">
            <w:pPr>
              <w:spacing w:line="480" w:lineRule="auto"/>
              <w:rPr>
                <w:rFonts w:ascii="Garamond" w:hAnsi="Garamond"/>
                <w:sz w:val="24"/>
              </w:rPr>
            </w:pPr>
            <w:r w:rsidRPr="00CC6E1E">
              <w:rPr>
                <w:rFonts w:ascii="Garamond" w:hAnsi="Garamond"/>
                <w:sz w:val="24"/>
              </w:rPr>
              <w:t> </w:t>
            </w:r>
          </w:p>
        </w:tc>
        <w:tc>
          <w:tcPr>
            <w:tcW w:w="853" w:type="dxa"/>
            <w:tcBorders>
              <w:top w:val="nil"/>
              <w:left w:val="nil"/>
              <w:bottom w:val="nil"/>
              <w:right w:val="single" w:sz="12" w:space="0" w:color="auto"/>
            </w:tcBorders>
            <w:shd w:val="clear" w:color="auto" w:fill="auto"/>
            <w:noWrap/>
            <w:vAlign w:val="center"/>
            <w:hideMark/>
          </w:tcPr>
          <w:p w14:paraId="085E1796" w14:textId="77777777" w:rsidR="00CC6E1E" w:rsidRPr="00CC6E1E" w:rsidRDefault="00CC6E1E" w:rsidP="00CC6E1E">
            <w:pPr>
              <w:spacing w:line="480" w:lineRule="auto"/>
              <w:rPr>
                <w:rFonts w:ascii="Garamond" w:hAnsi="Garamond"/>
                <w:sz w:val="24"/>
              </w:rPr>
            </w:pPr>
            <w:r w:rsidRPr="00CC6E1E">
              <w:rPr>
                <w:rFonts w:ascii="Garamond" w:hAnsi="Garamond"/>
                <w:sz w:val="24"/>
              </w:rPr>
              <w:t> </w:t>
            </w:r>
          </w:p>
        </w:tc>
        <w:tc>
          <w:tcPr>
            <w:tcW w:w="1536" w:type="dxa"/>
            <w:tcBorders>
              <w:top w:val="nil"/>
              <w:left w:val="nil"/>
              <w:bottom w:val="single" w:sz="12" w:space="0" w:color="auto"/>
              <w:right w:val="dashed" w:sz="8" w:space="0" w:color="auto"/>
            </w:tcBorders>
            <w:shd w:val="clear" w:color="auto" w:fill="auto"/>
            <w:noWrap/>
            <w:vAlign w:val="center"/>
            <w:hideMark/>
          </w:tcPr>
          <w:p w14:paraId="085E1797"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Whole Sample</w:t>
            </w:r>
          </w:p>
        </w:tc>
        <w:tc>
          <w:tcPr>
            <w:tcW w:w="826" w:type="dxa"/>
            <w:tcBorders>
              <w:top w:val="nil"/>
              <w:left w:val="nil"/>
              <w:bottom w:val="single" w:sz="12" w:space="0" w:color="auto"/>
              <w:right w:val="dashed" w:sz="8" w:space="0" w:color="auto"/>
            </w:tcBorders>
            <w:shd w:val="clear" w:color="auto" w:fill="auto"/>
            <w:noWrap/>
            <w:vAlign w:val="center"/>
            <w:hideMark/>
          </w:tcPr>
          <w:p w14:paraId="085E1798"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IA 2014</w:t>
            </w:r>
          </w:p>
        </w:tc>
        <w:tc>
          <w:tcPr>
            <w:tcW w:w="937" w:type="dxa"/>
            <w:tcBorders>
              <w:top w:val="nil"/>
              <w:left w:val="nil"/>
              <w:bottom w:val="single" w:sz="12" w:space="0" w:color="auto"/>
              <w:right w:val="dashed" w:sz="8" w:space="0" w:color="auto"/>
            </w:tcBorders>
            <w:shd w:val="clear" w:color="auto" w:fill="auto"/>
            <w:noWrap/>
            <w:vAlign w:val="center"/>
            <w:hideMark/>
          </w:tcPr>
          <w:p w14:paraId="085E1799"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IL 2014</w:t>
            </w:r>
          </w:p>
        </w:tc>
        <w:tc>
          <w:tcPr>
            <w:tcW w:w="937" w:type="dxa"/>
            <w:tcBorders>
              <w:top w:val="nil"/>
              <w:left w:val="nil"/>
              <w:bottom w:val="single" w:sz="12" w:space="0" w:color="auto"/>
              <w:right w:val="dashed" w:sz="8" w:space="0" w:color="auto"/>
            </w:tcBorders>
            <w:shd w:val="clear" w:color="auto" w:fill="auto"/>
            <w:noWrap/>
            <w:vAlign w:val="center"/>
            <w:hideMark/>
          </w:tcPr>
          <w:p w14:paraId="085E179A"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MI 2014</w:t>
            </w:r>
          </w:p>
        </w:tc>
        <w:tc>
          <w:tcPr>
            <w:tcW w:w="937" w:type="dxa"/>
            <w:tcBorders>
              <w:top w:val="nil"/>
              <w:left w:val="nil"/>
              <w:bottom w:val="single" w:sz="12" w:space="0" w:color="auto"/>
              <w:right w:val="dashed" w:sz="8" w:space="0" w:color="auto"/>
            </w:tcBorders>
            <w:shd w:val="clear" w:color="auto" w:fill="auto"/>
            <w:noWrap/>
            <w:vAlign w:val="center"/>
            <w:hideMark/>
          </w:tcPr>
          <w:p w14:paraId="085E179B"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NY 2014</w:t>
            </w:r>
          </w:p>
        </w:tc>
        <w:tc>
          <w:tcPr>
            <w:tcW w:w="937" w:type="dxa"/>
            <w:tcBorders>
              <w:top w:val="nil"/>
              <w:left w:val="nil"/>
              <w:bottom w:val="single" w:sz="12" w:space="0" w:color="auto"/>
              <w:right w:val="dashed" w:sz="8" w:space="0" w:color="auto"/>
            </w:tcBorders>
            <w:shd w:val="clear" w:color="auto" w:fill="auto"/>
            <w:noWrap/>
            <w:vAlign w:val="center"/>
            <w:hideMark/>
          </w:tcPr>
          <w:p w14:paraId="085E179C"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WA 2014</w:t>
            </w:r>
          </w:p>
        </w:tc>
        <w:tc>
          <w:tcPr>
            <w:tcW w:w="826" w:type="dxa"/>
            <w:tcBorders>
              <w:top w:val="nil"/>
              <w:left w:val="nil"/>
              <w:bottom w:val="single" w:sz="12" w:space="0" w:color="auto"/>
              <w:right w:val="dashed" w:sz="8" w:space="0" w:color="auto"/>
            </w:tcBorders>
            <w:shd w:val="clear" w:color="auto" w:fill="auto"/>
            <w:noWrap/>
            <w:vAlign w:val="center"/>
            <w:hideMark/>
          </w:tcPr>
          <w:p w14:paraId="085E179D"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PA 2015</w:t>
            </w:r>
          </w:p>
        </w:tc>
        <w:tc>
          <w:tcPr>
            <w:tcW w:w="990" w:type="dxa"/>
            <w:tcBorders>
              <w:top w:val="nil"/>
              <w:left w:val="nil"/>
              <w:bottom w:val="single" w:sz="12" w:space="0" w:color="auto"/>
              <w:right w:val="dashed" w:sz="8" w:space="0" w:color="auto"/>
            </w:tcBorders>
            <w:shd w:val="clear" w:color="auto" w:fill="auto"/>
            <w:noWrap/>
            <w:vAlign w:val="center"/>
            <w:hideMark/>
          </w:tcPr>
          <w:p w14:paraId="085E179E"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Philly 2015</w:t>
            </w:r>
          </w:p>
        </w:tc>
        <w:tc>
          <w:tcPr>
            <w:tcW w:w="937" w:type="dxa"/>
            <w:tcBorders>
              <w:top w:val="nil"/>
              <w:left w:val="nil"/>
              <w:bottom w:val="single" w:sz="12" w:space="0" w:color="auto"/>
              <w:right w:val="dashed" w:sz="8" w:space="0" w:color="auto"/>
            </w:tcBorders>
            <w:shd w:val="clear" w:color="auto" w:fill="auto"/>
            <w:noWrap/>
            <w:vAlign w:val="center"/>
            <w:hideMark/>
          </w:tcPr>
          <w:p w14:paraId="085E179F"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NC 2016</w:t>
            </w:r>
          </w:p>
        </w:tc>
        <w:tc>
          <w:tcPr>
            <w:tcW w:w="826" w:type="dxa"/>
            <w:tcBorders>
              <w:top w:val="nil"/>
              <w:left w:val="nil"/>
              <w:bottom w:val="single" w:sz="12" w:space="0" w:color="auto"/>
              <w:right w:val="single" w:sz="12" w:space="0" w:color="auto"/>
            </w:tcBorders>
            <w:shd w:val="clear" w:color="auto" w:fill="auto"/>
            <w:noWrap/>
            <w:vAlign w:val="center"/>
            <w:hideMark/>
          </w:tcPr>
          <w:p w14:paraId="085E17A0" w14:textId="77777777" w:rsidR="00CC6E1E" w:rsidRPr="00CC6E1E" w:rsidRDefault="00CC6E1E" w:rsidP="00CC6E1E">
            <w:pPr>
              <w:spacing w:line="480" w:lineRule="auto"/>
              <w:rPr>
                <w:rFonts w:ascii="Garamond" w:hAnsi="Garamond"/>
                <w:b/>
                <w:bCs/>
                <w:sz w:val="24"/>
              </w:rPr>
            </w:pPr>
            <w:r w:rsidRPr="00CC6E1E">
              <w:rPr>
                <w:rFonts w:ascii="Garamond" w:hAnsi="Garamond"/>
                <w:b/>
                <w:bCs/>
                <w:sz w:val="24"/>
              </w:rPr>
              <w:t>VA 2017</w:t>
            </w:r>
          </w:p>
        </w:tc>
      </w:tr>
      <w:tr w:rsidR="00CC6E1E" w:rsidRPr="00CC6E1E" w14:paraId="085E17AE" w14:textId="77777777" w:rsidTr="008A3D98">
        <w:trPr>
          <w:trHeight w:val="309"/>
        </w:trPr>
        <w:tc>
          <w:tcPr>
            <w:tcW w:w="2435" w:type="dxa"/>
            <w:tcBorders>
              <w:top w:val="dashed" w:sz="4" w:space="0" w:color="auto"/>
              <w:left w:val="single" w:sz="12" w:space="0" w:color="auto"/>
              <w:bottom w:val="dotDash" w:sz="4" w:space="0" w:color="auto"/>
              <w:right w:val="nil"/>
            </w:tcBorders>
            <w:shd w:val="clear" w:color="auto" w:fill="auto"/>
            <w:noWrap/>
            <w:vAlign w:val="center"/>
            <w:hideMark/>
          </w:tcPr>
          <w:p w14:paraId="085E17A2"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Voted in 2012 General</w:t>
            </w:r>
          </w:p>
        </w:tc>
        <w:tc>
          <w:tcPr>
            <w:tcW w:w="853" w:type="dxa"/>
            <w:tcBorders>
              <w:top w:val="dashed" w:sz="4" w:space="0" w:color="auto"/>
              <w:left w:val="nil"/>
              <w:bottom w:val="dotDash" w:sz="4" w:space="0" w:color="auto"/>
              <w:right w:val="single" w:sz="12" w:space="0" w:color="auto"/>
            </w:tcBorders>
            <w:shd w:val="clear" w:color="auto" w:fill="auto"/>
            <w:noWrap/>
            <w:vAlign w:val="center"/>
            <w:hideMark/>
          </w:tcPr>
          <w:p w14:paraId="085E17A3"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w:t>
            </w:r>
          </w:p>
        </w:tc>
        <w:tc>
          <w:tcPr>
            <w:tcW w:w="1536" w:type="dxa"/>
            <w:tcBorders>
              <w:top w:val="dashed" w:sz="4" w:space="0" w:color="auto"/>
              <w:left w:val="nil"/>
              <w:bottom w:val="dotDash" w:sz="4" w:space="0" w:color="auto"/>
              <w:right w:val="dashed" w:sz="8" w:space="0" w:color="auto"/>
            </w:tcBorders>
            <w:shd w:val="clear" w:color="auto" w:fill="auto"/>
            <w:vAlign w:val="center"/>
            <w:hideMark/>
          </w:tcPr>
          <w:p w14:paraId="085E17A4" w14:textId="77777777" w:rsidR="00CC6E1E" w:rsidRPr="00CC6E1E" w:rsidRDefault="00CC6E1E" w:rsidP="00CC6E1E">
            <w:pPr>
              <w:spacing w:line="480" w:lineRule="auto"/>
              <w:rPr>
                <w:rFonts w:ascii="Garamond" w:hAnsi="Garamond"/>
                <w:sz w:val="24"/>
              </w:rPr>
            </w:pPr>
            <w:r w:rsidRPr="00CC6E1E">
              <w:rPr>
                <w:rFonts w:ascii="Garamond" w:hAnsi="Garamond"/>
                <w:sz w:val="24"/>
              </w:rPr>
              <w:t>90%</w:t>
            </w:r>
          </w:p>
        </w:tc>
        <w:tc>
          <w:tcPr>
            <w:tcW w:w="826" w:type="dxa"/>
            <w:tcBorders>
              <w:top w:val="dashed" w:sz="4" w:space="0" w:color="auto"/>
              <w:left w:val="nil"/>
              <w:bottom w:val="dotDash" w:sz="4" w:space="0" w:color="auto"/>
              <w:right w:val="dashed" w:sz="8" w:space="0" w:color="auto"/>
            </w:tcBorders>
            <w:shd w:val="clear" w:color="auto" w:fill="auto"/>
            <w:vAlign w:val="center"/>
            <w:hideMark/>
          </w:tcPr>
          <w:p w14:paraId="085E17A5" w14:textId="77777777" w:rsidR="00CC6E1E" w:rsidRPr="00CC6E1E" w:rsidRDefault="00CC6E1E" w:rsidP="00CC6E1E">
            <w:pPr>
              <w:spacing w:line="480" w:lineRule="auto"/>
              <w:rPr>
                <w:rFonts w:ascii="Garamond" w:hAnsi="Garamond"/>
                <w:sz w:val="24"/>
              </w:rPr>
            </w:pPr>
            <w:r w:rsidRPr="00CC6E1E">
              <w:rPr>
                <w:rFonts w:ascii="Garamond" w:hAnsi="Garamond"/>
                <w:sz w:val="24"/>
              </w:rPr>
              <w:t>99%</w:t>
            </w:r>
          </w:p>
        </w:tc>
        <w:tc>
          <w:tcPr>
            <w:tcW w:w="937" w:type="dxa"/>
            <w:tcBorders>
              <w:top w:val="dashed" w:sz="4" w:space="0" w:color="auto"/>
              <w:left w:val="nil"/>
              <w:bottom w:val="dotDash" w:sz="4" w:space="0" w:color="auto"/>
              <w:right w:val="dashed" w:sz="8" w:space="0" w:color="auto"/>
            </w:tcBorders>
            <w:shd w:val="clear" w:color="auto" w:fill="auto"/>
            <w:vAlign w:val="center"/>
            <w:hideMark/>
          </w:tcPr>
          <w:p w14:paraId="085E17A6" w14:textId="77777777" w:rsidR="00CC6E1E" w:rsidRPr="00CC6E1E" w:rsidRDefault="00CC6E1E" w:rsidP="00CC6E1E">
            <w:pPr>
              <w:spacing w:line="480" w:lineRule="auto"/>
              <w:rPr>
                <w:rFonts w:ascii="Garamond" w:hAnsi="Garamond"/>
                <w:sz w:val="24"/>
              </w:rPr>
            </w:pPr>
            <w:r w:rsidRPr="00CC6E1E">
              <w:rPr>
                <w:rFonts w:ascii="Garamond" w:hAnsi="Garamond"/>
                <w:sz w:val="24"/>
              </w:rPr>
              <w:t>93%</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A7" w14:textId="77777777" w:rsidR="00CC6E1E" w:rsidRPr="00CC6E1E" w:rsidRDefault="00CC6E1E" w:rsidP="00CC6E1E">
            <w:pPr>
              <w:spacing w:line="480" w:lineRule="auto"/>
              <w:rPr>
                <w:rFonts w:ascii="Garamond" w:hAnsi="Garamond"/>
                <w:sz w:val="24"/>
              </w:rPr>
            </w:pPr>
            <w:r w:rsidRPr="00CC6E1E">
              <w:rPr>
                <w:rFonts w:ascii="Garamond" w:hAnsi="Garamond"/>
                <w:sz w:val="24"/>
              </w:rPr>
              <w:t>98%</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A8" w14:textId="77777777" w:rsidR="00CC6E1E" w:rsidRPr="00CC6E1E" w:rsidRDefault="00CC6E1E" w:rsidP="00CC6E1E">
            <w:pPr>
              <w:spacing w:line="480" w:lineRule="auto"/>
              <w:rPr>
                <w:rFonts w:ascii="Garamond" w:hAnsi="Garamond"/>
                <w:sz w:val="24"/>
              </w:rPr>
            </w:pPr>
            <w:r w:rsidRPr="00CC6E1E">
              <w:rPr>
                <w:rFonts w:ascii="Garamond" w:hAnsi="Garamond"/>
                <w:sz w:val="24"/>
              </w:rPr>
              <w:t>83%</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A9" w14:textId="77777777" w:rsidR="00CC6E1E" w:rsidRPr="00CC6E1E" w:rsidRDefault="00CC6E1E" w:rsidP="00CC6E1E">
            <w:pPr>
              <w:spacing w:line="480" w:lineRule="auto"/>
              <w:rPr>
                <w:rFonts w:ascii="Garamond" w:hAnsi="Garamond"/>
                <w:sz w:val="24"/>
              </w:rPr>
            </w:pPr>
            <w:r w:rsidRPr="00CC6E1E">
              <w:rPr>
                <w:rFonts w:ascii="Garamond" w:hAnsi="Garamond"/>
                <w:sz w:val="24"/>
              </w:rPr>
              <w:t>92%</w:t>
            </w:r>
          </w:p>
        </w:tc>
        <w:tc>
          <w:tcPr>
            <w:tcW w:w="826" w:type="dxa"/>
            <w:tcBorders>
              <w:top w:val="dashed" w:sz="4" w:space="0" w:color="auto"/>
              <w:left w:val="nil"/>
              <w:bottom w:val="dotDash" w:sz="4" w:space="0" w:color="auto"/>
              <w:right w:val="dashed" w:sz="8" w:space="0" w:color="auto"/>
            </w:tcBorders>
            <w:shd w:val="clear" w:color="auto" w:fill="auto"/>
            <w:noWrap/>
            <w:vAlign w:val="center"/>
            <w:hideMark/>
          </w:tcPr>
          <w:p w14:paraId="085E17AA" w14:textId="77777777" w:rsidR="00CC6E1E" w:rsidRPr="00CC6E1E" w:rsidRDefault="00CC6E1E" w:rsidP="00CC6E1E">
            <w:pPr>
              <w:spacing w:line="480" w:lineRule="auto"/>
              <w:rPr>
                <w:rFonts w:ascii="Garamond" w:hAnsi="Garamond"/>
                <w:sz w:val="24"/>
              </w:rPr>
            </w:pPr>
            <w:r w:rsidRPr="00CC6E1E">
              <w:rPr>
                <w:rFonts w:ascii="Garamond" w:hAnsi="Garamond"/>
                <w:sz w:val="24"/>
              </w:rPr>
              <w:t>92%</w:t>
            </w:r>
          </w:p>
        </w:tc>
        <w:tc>
          <w:tcPr>
            <w:tcW w:w="990" w:type="dxa"/>
            <w:tcBorders>
              <w:top w:val="dashed" w:sz="4" w:space="0" w:color="auto"/>
              <w:left w:val="nil"/>
              <w:bottom w:val="dotDash" w:sz="4" w:space="0" w:color="auto"/>
              <w:right w:val="dashed" w:sz="8" w:space="0" w:color="auto"/>
            </w:tcBorders>
            <w:shd w:val="clear" w:color="auto" w:fill="auto"/>
            <w:noWrap/>
            <w:vAlign w:val="center"/>
            <w:hideMark/>
          </w:tcPr>
          <w:p w14:paraId="085E17AB" w14:textId="77777777" w:rsidR="00CC6E1E" w:rsidRPr="00CC6E1E" w:rsidRDefault="00CC6E1E" w:rsidP="00CC6E1E">
            <w:pPr>
              <w:spacing w:line="480" w:lineRule="auto"/>
              <w:rPr>
                <w:rFonts w:ascii="Garamond" w:hAnsi="Garamond"/>
                <w:sz w:val="24"/>
              </w:rPr>
            </w:pPr>
            <w:r w:rsidRPr="00CC6E1E">
              <w:rPr>
                <w:rFonts w:ascii="Garamond" w:hAnsi="Garamond"/>
                <w:sz w:val="24"/>
              </w:rPr>
              <w:t>90%</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AC" w14:textId="77777777" w:rsidR="00CC6E1E" w:rsidRPr="00CC6E1E" w:rsidRDefault="00CC6E1E" w:rsidP="00CC6E1E">
            <w:pPr>
              <w:spacing w:line="480" w:lineRule="auto"/>
              <w:rPr>
                <w:rFonts w:ascii="Garamond" w:hAnsi="Garamond"/>
                <w:sz w:val="24"/>
              </w:rPr>
            </w:pPr>
            <w:r w:rsidRPr="00CC6E1E">
              <w:rPr>
                <w:rFonts w:ascii="Garamond" w:hAnsi="Garamond"/>
                <w:sz w:val="24"/>
              </w:rPr>
              <w:t>60%</w:t>
            </w:r>
          </w:p>
        </w:tc>
        <w:tc>
          <w:tcPr>
            <w:tcW w:w="826" w:type="dxa"/>
            <w:tcBorders>
              <w:top w:val="dashed" w:sz="4" w:space="0" w:color="auto"/>
              <w:left w:val="nil"/>
              <w:bottom w:val="dotDash" w:sz="4" w:space="0" w:color="auto"/>
              <w:right w:val="single" w:sz="12" w:space="0" w:color="auto"/>
            </w:tcBorders>
            <w:shd w:val="clear" w:color="auto" w:fill="auto"/>
            <w:noWrap/>
            <w:vAlign w:val="center"/>
            <w:hideMark/>
          </w:tcPr>
          <w:p w14:paraId="085E17AD" w14:textId="77777777" w:rsidR="00CC6E1E" w:rsidRPr="00CC6E1E" w:rsidRDefault="00CC6E1E" w:rsidP="00CC6E1E">
            <w:pPr>
              <w:spacing w:line="480" w:lineRule="auto"/>
              <w:rPr>
                <w:rFonts w:ascii="Garamond" w:hAnsi="Garamond"/>
                <w:sz w:val="24"/>
              </w:rPr>
            </w:pPr>
            <w:r w:rsidRPr="00CC6E1E">
              <w:rPr>
                <w:rFonts w:ascii="Garamond" w:hAnsi="Garamond"/>
                <w:sz w:val="24"/>
              </w:rPr>
              <w:t>91%</w:t>
            </w:r>
          </w:p>
        </w:tc>
      </w:tr>
      <w:tr w:rsidR="00CC6E1E" w:rsidRPr="00CC6E1E" w14:paraId="085E17BB" w14:textId="77777777" w:rsidTr="008A3D98">
        <w:trPr>
          <w:trHeight w:val="303"/>
        </w:trPr>
        <w:tc>
          <w:tcPr>
            <w:tcW w:w="2435" w:type="dxa"/>
            <w:tcBorders>
              <w:top w:val="dashed" w:sz="4" w:space="0" w:color="auto"/>
              <w:left w:val="single" w:sz="12" w:space="0" w:color="auto"/>
              <w:bottom w:val="dotDash" w:sz="4" w:space="0" w:color="auto"/>
              <w:right w:val="nil"/>
            </w:tcBorders>
            <w:shd w:val="clear" w:color="auto" w:fill="auto"/>
            <w:noWrap/>
            <w:vAlign w:val="center"/>
            <w:hideMark/>
          </w:tcPr>
          <w:p w14:paraId="085E17AF"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Voted in 2010 General</w:t>
            </w:r>
          </w:p>
        </w:tc>
        <w:tc>
          <w:tcPr>
            <w:tcW w:w="853" w:type="dxa"/>
            <w:tcBorders>
              <w:top w:val="dashed" w:sz="4" w:space="0" w:color="auto"/>
              <w:left w:val="nil"/>
              <w:bottom w:val="dotDash" w:sz="4" w:space="0" w:color="auto"/>
              <w:right w:val="single" w:sz="12" w:space="0" w:color="auto"/>
            </w:tcBorders>
            <w:shd w:val="clear" w:color="auto" w:fill="auto"/>
            <w:noWrap/>
            <w:vAlign w:val="center"/>
            <w:hideMark/>
          </w:tcPr>
          <w:p w14:paraId="085E17B0"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w:t>
            </w:r>
          </w:p>
        </w:tc>
        <w:tc>
          <w:tcPr>
            <w:tcW w:w="1536" w:type="dxa"/>
            <w:tcBorders>
              <w:top w:val="dashed" w:sz="4" w:space="0" w:color="auto"/>
              <w:left w:val="nil"/>
              <w:bottom w:val="dotDash" w:sz="4" w:space="0" w:color="auto"/>
              <w:right w:val="dashed" w:sz="8" w:space="0" w:color="auto"/>
            </w:tcBorders>
            <w:shd w:val="clear" w:color="auto" w:fill="auto"/>
            <w:vAlign w:val="center"/>
            <w:hideMark/>
          </w:tcPr>
          <w:p w14:paraId="085E17B1" w14:textId="77777777" w:rsidR="00CC6E1E" w:rsidRPr="00CC6E1E" w:rsidRDefault="00CC6E1E" w:rsidP="00CC6E1E">
            <w:pPr>
              <w:spacing w:line="480" w:lineRule="auto"/>
              <w:rPr>
                <w:rFonts w:ascii="Garamond" w:hAnsi="Garamond"/>
                <w:sz w:val="24"/>
              </w:rPr>
            </w:pPr>
            <w:r w:rsidRPr="00CC6E1E">
              <w:rPr>
                <w:rFonts w:ascii="Garamond" w:hAnsi="Garamond"/>
                <w:sz w:val="24"/>
              </w:rPr>
              <w:t>73%</w:t>
            </w:r>
          </w:p>
        </w:tc>
        <w:tc>
          <w:tcPr>
            <w:tcW w:w="826" w:type="dxa"/>
            <w:tcBorders>
              <w:top w:val="dashed" w:sz="4" w:space="0" w:color="auto"/>
              <w:left w:val="nil"/>
              <w:bottom w:val="dotDash" w:sz="4" w:space="0" w:color="auto"/>
              <w:right w:val="dashed" w:sz="8" w:space="0" w:color="auto"/>
            </w:tcBorders>
            <w:shd w:val="clear" w:color="auto" w:fill="auto"/>
            <w:vAlign w:val="center"/>
            <w:hideMark/>
          </w:tcPr>
          <w:p w14:paraId="085E17B2" w14:textId="77777777" w:rsidR="00CC6E1E" w:rsidRPr="00CC6E1E" w:rsidRDefault="00CC6E1E" w:rsidP="00CC6E1E">
            <w:pPr>
              <w:spacing w:line="480" w:lineRule="auto"/>
              <w:rPr>
                <w:rFonts w:ascii="Garamond" w:hAnsi="Garamond"/>
                <w:sz w:val="24"/>
              </w:rPr>
            </w:pPr>
            <w:r w:rsidRPr="00CC6E1E">
              <w:rPr>
                <w:rFonts w:ascii="Garamond" w:hAnsi="Garamond"/>
                <w:sz w:val="24"/>
              </w:rPr>
              <w:t>76%</w:t>
            </w:r>
          </w:p>
        </w:tc>
        <w:tc>
          <w:tcPr>
            <w:tcW w:w="937" w:type="dxa"/>
            <w:tcBorders>
              <w:top w:val="dashed" w:sz="4" w:space="0" w:color="auto"/>
              <w:left w:val="nil"/>
              <w:bottom w:val="dotDash" w:sz="4" w:space="0" w:color="auto"/>
              <w:right w:val="dashed" w:sz="8" w:space="0" w:color="auto"/>
            </w:tcBorders>
            <w:shd w:val="clear" w:color="auto" w:fill="auto"/>
            <w:vAlign w:val="center"/>
            <w:hideMark/>
          </w:tcPr>
          <w:p w14:paraId="085E17B3" w14:textId="77777777" w:rsidR="00CC6E1E" w:rsidRPr="00CC6E1E" w:rsidRDefault="00CC6E1E" w:rsidP="00CC6E1E">
            <w:pPr>
              <w:spacing w:line="480" w:lineRule="auto"/>
              <w:rPr>
                <w:rFonts w:ascii="Garamond" w:hAnsi="Garamond"/>
                <w:sz w:val="24"/>
              </w:rPr>
            </w:pPr>
            <w:r w:rsidRPr="00CC6E1E">
              <w:rPr>
                <w:rFonts w:ascii="Garamond" w:hAnsi="Garamond"/>
                <w:sz w:val="24"/>
              </w:rPr>
              <w:t>87%</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B4" w14:textId="77777777" w:rsidR="00CC6E1E" w:rsidRPr="00CC6E1E" w:rsidRDefault="00CC6E1E" w:rsidP="00CC6E1E">
            <w:pPr>
              <w:spacing w:line="480" w:lineRule="auto"/>
              <w:rPr>
                <w:rFonts w:ascii="Garamond" w:hAnsi="Garamond"/>
                <w:sz w:val="24"/>
              </w:rPr>
            </w:pPr>
            <w:r w:rsidRPr="00CC6E1E">
              <w:rPr>
                <w:rFonts w:ascii="Garamond" w:hAnsi="Garamond"/>
                <w:sz w:val="24"/>
              </w:rPr>
              <w:t>79%</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B5" w14:textId="77777777" w:rsidR="00CC6E1E" w:rsidRPr="00CC6E1E" w:rsidRDefault="00CC6E1E" w:rsidP="00CC6E1E">
            <w:pPr>
              <w:spacing w:line="480" w:lineRule="auto"/>
              <w:rPr>
                <w:rFonts w:ascii="Garamond" w:hAnsi="Garamond"/>
                <w:sz w:val="24"/>
              </w:rPr>
            </w:pPr>
            <w:r w:rsidRPr="00CC6E1E">
              <w:rPr>
                <w:rFonts w:ascii="Garamond" w:hAnsi="Garamond"/>
                <w:sz w:val="24"/>
              </w:rPr>
              <w:t>56%</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B6" w14:textId="77777777" w:rsidR="00CC6E1E" w:rsidRPr="00CC6E1E" w:rsidRDefault="00CC6E1E" w:rsidP="00CC6E1E">
            <w:pPr>
              <w:spacing w:line="480" w:lineRule="auto"/>
              <w:rPr>
                <w:rFonts w:ascii="Garamond" w:hAnsi="Garamond"/>
                <w:sz w:val="24"/>
              </w:rPr>
            </w:pPr>
            <w:r w:rsidRPr="00CC6E1E">
              <w:rPr>
                <w:rFonts w:ascii="Garamond" w:hAnsi="Garamond"/>
                <w:sz w:val="24"/>
              </w:rPr>
              <w:t>73%</w:t>
            </w:r>
          </w:p>
        </w:tc>
        <w:tc>
          <w:tcPr>
            <w:tcW w:w="826" w:type="dxa"/>
            <w:tcBorders>
              <w:top w:val="dashed" w:sz="4" w:space="0" w:color="auto"/>
              <w:left w:val="nil"/>
              <w:bottom w:val="dotDash" w:sz="4" w:space="0" w:color="auto"/>
              <w:right w:val="dashed" w:sz="8" w:space="0" w:color="auto"/>
            </w:tcBorders>
            <w:shd w:val="clear" w:color="auto" w:fill="auto"/>
            <w:noWrap/>
            <w:vAlign w:val="center"/>
            <w:hideMark/>
          </w:tcPr>
          <w:p w14:paraId="085E17B7" w14:textId="77777777" w:rsidR="00CC6E1E" w:rsidRPr="00CC6E1E" w:rsidRDefault="00CC6E1E" w:rsidP="00CC6E1E">
            <w:pPr>
              <w:spacing w:line="480" w:lineRule="auto"/>
              <w:rPr>
                <w:rFonts w:ascii="Garamond" w:hAnsi="Garamond"/>
                <w:sz w:val="24"/>
              </w:rPr>
            </w:pPr>
            <w:r w:rsidRPr="00CC6E1E">
              <w:rPr>
                <w:rFonts w:ascii="Garamond" w:hAnsi="Garamond"/>
                <w:sz w:val="24"/>
              </w:rPr>
              <w:t>67%</w:t>
            </w:r>
          </w:p>
        </w:tc>
        <w:tc>
          <w:tcPr>
            <w:tcW w:w="990" w:type="dxa"/>
            <w:tcBorders>
              <w:top w:val="dashed" w:sz="4" w:space="0" w:color="auto"/>
              <w:left w:val="nil"/>
              <w:bottom w:val="dotDash" w:sz="4" w:space="0" w:color="auto"/>
              <w:right w:val="dashed" w:sz="8" w:space="0" w:color="auto"/>
            </w:tcBorders>
            <w:shd w:val="clear" w:color="auto" w:fill="auto"/>
            <w:noWrap/>
            <w:vAlign w:val="center"/>
            <w:hideMark/>
          </w:tcPr>
          <w:p w14:paraId="085E17B8" w14:textId="77777777" w:rsidR="00CC6E1E" w:rsidRPr="00CC6E1E" w:rsidRDefault="00CC6E1E" w:rsidP="00CC6E1E">
            <w:pPr>
              <w:spacing w:line="480" w:lineRule="auto"/>
              <w:rPr>
                <w:rFonts w:ascii="Garamond" w:hAnsi="Garamond"/>
                <w:sz w:val="24"/>
              </w:rPr>
            </w:pPr>
            <w:r w:rsidRPr="00CC6E1E">
              <w:rPr>
                <w:rFonts w:ascii="Garamond" w:hAnsi="Garamond"/>
                <w:sz w:val="24"/>
              </w:rPr>
              <w:t>74%</w:t>
            </w:r>
          </w:p>
        </w:tc>
        <w:tc>
          <w:tcPr>
            <w:tcW w:w="937" w:type="dxa"/>
            <w:tcBorders>
              <w:top w:val="dashed" w:sz="4" w:space="0" w:color="auto"/>
              <w:left w:val="nil"/>
              <w:bottom w:val="dotDash" w:sz="4" w:space="0" w:color="auto"/>
              <w:right w:val="dashed" w:sz="8" w:space="0" w:color="auto"/>
            </w:tcBorders>
            <w:shd w:val="clear" w:color="auto" w:fill="auto"/>
            <w:noWrap/>
            <w:vAlign w:val="center"/>
            <w:hideMark/>
          </w:tcPr>
          <w:p w14:paraId="085E17B9" w14:textId="3245B90D" w:rsidR="00CC6E1E" w:rsidRPr="00CC6E1E" w:rsidRDefault="00CC6E1E" w:rsidP="00D15A16">
            <w:pPr>
              <w:spacing w:line="480" w:lineRule="auto"/>
              <w:rPr>
                <w:rFonts w:ascii="Garamond" w:hAnsi="Garamond"/>
                <w:sz w:val="24"/>
              </w:rPr>
            </w:pPr>
            <w:r w:rsidRPr="00CC6E1E">
              <w:rPr>
                <w:rFonts w:ascii="Garamond" w:hAnsi="Garamond"/>
                <w:sz w:val="24"/>
              </w:rPr>
              <w:t>2</w:t>
            </w:r>
            <w:r w:rsidR="00D15A16">
              <w:rPr>
                <w:rFonts w:ascii="Garamond" w:hAnsi="Garamond"/>
                <w:sz w:val="24"/>
              </w:rPr>
              <w:t>8</w:t>
            </w:r>
            <w:r w:rsidRPr="00CC6E1E">
              <w:rPr>
                <w:rFonts w:ascii="Garamond" w:hAnsi="Garamond"/>
                <w:sz w:val="24"/>
              </w:rPr>
              <w:t>%</w:t>
            </w:r>
          </w:p>
        </w:tc>
        <w:tc>
          <w:tcPr>
            <w:tcW w:w="826" w:type="dxa"/>
            <w:tcBorders>
              <w:top w:val="dashed" w:sz="4" w:space="0" w:color="auto"/>
              <w:left w:val="nil"/>
              <w:bottom w:val="dotDash" w:sz="4" w:space="0" w:color="auto"/>
              <w:right w:val="single" w:sz="12" w:space="0" w:color="auto"/>
            </w:tcBorders>
            <w:shd w:val="clear" w:color="auto" w:fill="auto"/>
            <w:noWrap/>
            <w:vAlign w:val="center"/>
            <w:hideMark/>
          </w:tcPr>
          <w:p w14:paraId="085E17BA" w14:textId="77777777" w:rsidR="00CC6E1E" w:rsidRPr="00CC6E1E" w:rsidRDefault="00CC6E1E" w:rsidP="00CC6E1E">
            <w:pPr>
              <w:spacing w:line="480" w:lineRule="auto"/>
              <w:rPr>
                <w:rFonts w:ascii="Garamond" w:hAnsi="Garamond"/>
                <w:sz w:val="24"/>
              </w:rPr>
            </w:pPr>
            <w:r w:rsidRPr="00CC6E1E">
              <w:rPr>
                <w:rFonts w:ascii="Garamond" w:hAnsi="Garamond"/>
                <w:sz w:val="24"/>
              </w:rPr>
              <w:t>62%</w:t>
            </w:r>
          </w:p>
        </w:tc>
      </w:tr>
      <w:tr w:rsidR="00CC6E1E" w:rsidRPr="00CC6E1E" w14:paraId="085E17C8" w14:textId="77777777" w:rsidTr="008A3D98">
        <w:trPr>
          <w:trHeight w:val="309"/>
        </w:trPr>
        <w:tc>
          <w:tcPr>
            <w:tcW w:w="2435" w:type="dxa"/>
            <w:tcBorders>
              <w:top w:val="nil"/>
              <w:left w:val="single" w:sz="12" w:space="0" w:color="auto"/>
              <w:bottom w:val="nil"/>
              <w:right w:val="nil"/>
            </w:tcBorders>
            <w:shd w:val="clear" w:color="auto" w:fill="auto"/>
            <w:noWrap/>
            <w:vAlign w:val="center"/>
            <w:hideMark/>
          </w:tcPr>
          <w:p w14:paraId="085E17BC"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Voted in 2008 General</w:t>
            </w:r>
          </w:p>
        </w:tc>
        <w:tc>
          <w:tcPr>
            <w:tcW w:w="853" w:type="dxa"/>
            <w:tcBorders>
              <w:top w:val="nil"/>
              <w:left w:val="nil"/>
              <w:bottom w:val="nil"/>
              <w:right w:val="single" w:sz="12" w:space="0" w:color="auto"/>
            </w:tcBorders>
            <w:shd w:val="clear" w:color="auto" w:fill="auto"/>
            <w:noWrap/>
            <w:vAlign w:val="center"/>
            <w:hideMark/>
          </w:tcPr>
          <w:p w14:paraId="085E17BD"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w:t>
            </w:r>
          </w:p>
        </w:tc>
        <w:tc>
          <w:tcPr>
            <w:tcW w:w="1536" w:type="dxa"/>
            <w:tcBorders>
              <w:top w:val="nil"/>
              <w:left w:val="nil"/>
              <w:bottom w:val="dashed" w:sz="8" w:space="0" w:color="auto"/>
              <w:right w:val="dashed" w:sz="8" w:space="0" w:color="auto"/>
            </w:tcBorders>
            <w:shd w:val="clear" w:color="auto" w:fill="auto"/>
            <w:vAlign w:val="center"/>
            <w:hideMark/>
          </w:tcPr>
          <w:p w14:paraId="085E17BE" w14:textId="77777777" w:rsidR="00CC6E1E" w:rsidRPr="00CC6E1E" w:rsidRDefault="00CC6E1E" w:rsidP="00CC6E1E">
            <w:pPr>
              <w:spacing w:line="480" w:lineRule="auto"/>
              <w:rPr>
                <w:rFonts w:ascii="Garamond" w:hAnsi="Garamond"/>
                <w:sz w:val="24"/>
              </w:rPr>
            </w:pPr>
            <w:r w:rsidRPr="00CC6E1E">
              <w:rPr>
                <w:rFonts w:ascii="Garamond" w:hAnsi="Garamond"/>
                <w:sz w:val="24"/>
              </w:rPr>
              <w:t>85%</w:t>
            </w:r>
          </w:p>
        </w:tc>
        <w:tc>
          <w:tcPr>
            <w:tcW w:w="826" w:type="dxa"/>
            <w:tcBorders>
              <w:top w:val="nil"/>
              <w:left w:val="nil"/>
              <w:bottom w:val="dashed" w:sz="8" w:space="0" w:color="auto"/>
              <w:right w:val="dashed" w:sz="8" w:space="0" w:color="auto"/>
            </w:tcBorders>
            <w:shd w:val="clear" w:color="auto" w:fill="auto"/>
            <w:vAlign w:val="center"/>
            <w:hideMark/>
          </w:tcPr>
          <w:p w14:paraId="085E17BF" w14:textId="77777777" w:rsidR="00CC6E1E" w:rsidRPr="00CC6E1E" w:rsidRDefault="00CC6E1E" w:rsidP="00CC6E1E">
            <w:pPr>
              <w:spacing w:line="480" w:lineRule="auto"/>
              <w:rPr>
                <w:rFonts w:ascii="Garamond" w:hAnsi="Garamond"/>
                <w:sz w:val="24"/>
              </w:rPr>
            </w:pPr>
            <w:r w:rsidRPr="00CC6E1E">
              <w:rPr>
                <w:rFonts w:ascii="Garamond" w:hAnsi="Garamond"/>
                <w:sz w:val="24"/>
              </w:rPr>
              <w:t>85%</w:t>
            </w:r>
          </w:p>
        </w:tc>
        <w:tc>
          <w:tcPr>
            <w:tcW w:w="937" w:type="dxa"/>
            <w:tcBorders>
              <w:top w:val="nil"/>
              <w:left w:val="nil"/>
              <w:bottom w:val="dashed" w:sz="8" w:space="0" w:color="auto"/>
              <w:right w:val="dashed" w:sz="8" w:space="0" w:color="auto"/>
            </w:tcBorders>
            <w:shd w:val="clear" w:color="auto" w:fill="auto"/>
            <w:vAlign w:val="center"/>
            <w:hideMark/>
          </w:tcPr>
          <w:p w14:paraId="085E17C0" w14:textId="77777777" w:rsidR="00CC6E1E" w:rsidRPr="00CC6E1E" w:rsidRDefault="00CC6E1E" w:rsidP="00CC6E1E">
            <w:pPr>
              <w:spacing w:line="480" w:lineRule="auto"/>
              <w:rPr>
                <w:rFonts w:ascii="Garamond" w:hAnsi="Garamond"/>
                <w:sz w:val="24"/>
              </w:rPr>
            </w:pPr>
            <w:r w:rsidRPr="00CC6E1E">
              <w:rPr>
                <w:rFonts w:ascii="Garamond" w:hAnsi="Garamond"/>
                <w:sz w:val="24"/>
              </w:rPr>
              <w:t>89%</w:t>
            </w:r>
          </w:p>
        </w:tc>
        <w:tc>
          <w:tcPr>
            <w:tcW w:w="937" w:type="dxa"/>
            <w:tcBorders>
              <w:top w:val="nil"/>
              <w:left w:val="nil"/>
              <w:bottom w:val="dashed" w:sz="8" w:space="0" w:color="auto"/>
              <w:right w:val="dashed" w:sz="8" w:space="0" w:color="auto"/>
            </w:tcBorders>
            <w:shd w:val="clear" w:color="auto" w:fill="auto"/>
            <w:noWrap/>
            <w:vAlign w:val="center"/>
            <w:hideMark/>
          </w:tcPr>
          <w:p w14:paraId="085E17C1" w14:textId="77777777" w:rsidR="00CC6E1E" w:rsidRPr="00CC6E1E" w:rsidRDefault="00CC6E1E" w:rsidP="00CC6E1E">
            <w:pPr>
              <w:spacing w:line="480" w:lineRule="auto"/>
              <w:rPr>
                <w:rFonts w:ascii="Garamond" w:hAnsi="Garamond"/>
                <w:sz w:val="24"/>
              </w:rPr>
            </w:pPr>
            <w:r w:rsidRPr="00CC6E1E">
              <w:rPr>
                <w:rFonts w:ascii="Garamond" w:hAnsi="Garamond"/>
                <w:sz w:val="24"/>
              </w:rPr>
              <w:t>92%</w:t>
            </w:r>
          </w:p>
        </w:tc>
        <w:tc>
          <w:tcPr>
            <w:tcW w:w="937" w:type="dxa"/>
            <w:tcBorders>
              <w:top w:val="nil"/>
              <w:left w:val="nil"/>
              <w:bottom w:val="dashed" w:sz="8" w:space="0" w:color="auto"/>
              <w:right w:val="dashed" w:sz="8" w:space="0" w:color="auto"/>
            </w:tcBorders>
            <w:shd w:val="clear" w:color="auto" w:fill="auto"/>
            <w:noWrap/>
            <w:vAlign w:val="center"/>
            <w:hideMark/>
          </w:tcPr>
          <w:p w14:paraId="085E17C2" w14:textId="77777777" w:rsidR="00CC6E1E" w:rsidRPr="00CC6E1E" w:rsidRDefault="00CC6E1E" w:rsidP="00CC6E1E">
            <w:pPr>
              <w:spacing w:line="480" w:lineRule="auto"/>
              <w:rPr>
                <w:rFonts w:ascii="Garamond" w:hAnsi="Garamond"/>
                <w:sz w:val="24"/>
              </w:rPr>
            </w:pPr>
            <w:r w:rsidRPr="00CC6E1E">
              <w:rPr>
                <w:rFonts w:ascii="Garamond" w:hAnsi="Garamond"/>
                <w:sz w:val="24"/>
              </w:rPr>
              <w:t>81%</w:t>
            </w:r>
          </w:p>
        </w:tc>
        <w:tc>
          <w:tcPr>
            <w:tcW w:w="937" w:type="dxa"/>
            <w:tcBorders>
              <w:top w:val="nil"/>
              <w:left w:val="nil"/>
              <w:bottom w:val="dashed" w:sz="8" w:space="0" w:color="auto"/>
              <w:right w:val="dashed" w:sz="8" w:space="0" w:color="auto"/>
            </w:tcBorders>
            <w:shd w:val="clear" w:color="auto" w:fill="auto"/>
            <w:noWrap/>
            <w:vAlign w:val="center"/>
            <w:hideMark/>
          </w:tcPr>
          <w:p w14:paraId="085E17C3" w14:textId="77777777" w:rsidR="00CC6E1E" w:rsidRPr="00CC6E1E" w:rsidRDefault="00CC6E1E" w:rsidP="00CC6E1E">
            <w:pPr>
              <w:spacing w:line="480" w:lineRule="auto"/>
              <w:rPr>
                <w:rFonts w:ascii="Garamond" w:hAnsi="Garamond"/>
                <w:sz w:val="24"/>
              </w:rPr>
            </w:pPr>
            <w:r w:rsidRPr="00CC6E1E">
              <w:rPr>
                <w:rFonts w:ascii="Garamond" w:hAnsi="Garamond"/>
                <w:sz w:val="24"/>
              </w:rPr>
              <w:t>80%</w:t>
            </w:r>
          </w:p>
        </w:tc>
        <w:tc>
          <w:tcPr>
            <w:tcW w:w="826" w:type="dxa"/>
            <w:tcBorders>
              <w:top w:val="nil"/>
              <w:left w:val="nil"/>
              <w:bottom w:val="dashed" w:sz="8" w:space="0" w:color="auto"/>
              <w:right w:val="dashed" w:sz="8" w:space="0" w:color="auto"/>
            </w:tcBorders>
            <w:shd w:val="clear" w:color="auto" w:fill="auto"/>
            <w:noWrap/>
            <w:vAlign w:val="center"/>
            <w:hideMark/>
          </w:tcPr>
          <w:p w14:paraId="085E17C4" w14:textId="77777777" w:rsidR="00CC6E1E" w:rsidRPr="00CC6E1E" w:rsidRDefault="00CC6E1E" w:rsidP="00CC6E1E">
            <w:pPr>
              <w:spacing w:line="480" w:lineRule="auto"/>
              <w:rPr>
                <w:rFonts w:ascii="Garamond" w:hAnsi="Garamond"/>
                <w:sz w:val="24"/>
              </w:rPr>
            </w:pPr>
            <w:r w:rsidRPr="00CC6E1E">
              <w:rPr>
                <w:rFonts w:ascii="Garamond" w:hAnsi="Garamond"/>
                <w:sz w:val="24"/>
              </w:rPr>
              <w:t>85%</w:t>
            </w:r>
          </w:p>
        </w:tc>
        <w:tc>
          <w:tcPr>
            <w:tcW w:w="990" w:type="dxa"/>
            <w:tcBorders>
              <w:top w:val="nil"/>
              <w:left w:val="nil"/>
              <w:bottom w:val="dashed" w:sz="8" w:space="0" w:color="auto"/>
              <w:right w:val="dashed" w:sz="8" w:space="0" w:color="auto"/>
            </w:tcBorders>
            <w:shd w:val="clear" w:color="auto" w:fill="auto"/>
            <w:noWrap/>
            <w:vAlign w:val="center"/>
            <w:hideMark/>
          </w:tcPr>
          <w:p w14:paraId="085E17C5" w14:textId="77777777" w:rsidR="00CC6E1E" w:rsidRPr="00CC6E1E" w:rsidRDefault="00CC6E1E" w:rsidP="00CC6E1E">
            <w:pPr>
              <w:spacing w:line="480" w:lineRule="auto"/>
              <w:rPr>
                <w:rFonts w:ascii="Garamond" w:hAnsi="Garamond"/>
                <w:sz w:val="24"/>
              </w:rPr>
            </w:pPr>
            <w:r w:rsidRPr="00CC6E1E">
              <w:rPr>
                <w:rFonts w:ascii="Garamond" w:hAnsi="Garamond"/>
                <w:sz w:val="24"/>
              </w:rPr>
              <w:t>91%</w:t>
            </w:r>
          </w:p>
        </w:tc>
        <w:tc>
          <w:tcPr>
            <w:tcW w:w="937" w:type="dxa"/>
            <w:tcBorders>
              <w:top w:val="nil"/>
              <w:left w:val="nil"/>
              <w:bottom w:val="dashed" w:sz="8" w:space="0" w:color="auto"/>
              <w:right w:val="dashed" w:sz="8" w:space="0" w:color="auto"/>
            </w:tcBorders>
            <w:shd w:val="clear" w:color="auto" w:fill="auto"/>
            <w:noWrap/>
            <w:vAlign w:val="center"/>
            <w:hideMark/>
          </w:tcPr>
          <w:p w14:paraId="085E17C6" w14:textId="77777777" w:rsidR="00CC6E1E" w:rsidRPr="00CC6E1E" w:rsidRDefault="00CC6E1E" w:rsidP="00CC6E1E">
            <w:pPr>
              <w:spacing w:line="480" w:lineRule="auto"/>
              <w:rPr>
                <w:rFonts w:ascii="Garamond" w:hAnsi="Garamond"/>
                <w:sz w:val="24"/>
              </w:rPr>
            </w:pPr>
            <w:r w:rsidRPr="00CC6E1E">
              <w:rPr>
                <w:rFonts w:ascii="Garamond" w:hAnsi="Garamond"/>
                <w:sz w:val="24"/>
              </w:rPr>
              <w:t>52%</w:t>
            </w:r>
          </w:p>
        </w:tc>
        <w:tc>
          <w:tcPr>
            <w:tcW w:w="826" w:type="dxa"/>
            <w:tcBorders>
              <w:top w:val="nil"/>
              <w:left w:val="nil"/>
              <w:bottom w:val="dashed" w:sz="8" w:space="0" w:color="auto"/>
              <w:right w:val="single" w:sz="12" w:space="0" w:color="auto"/>
            </w:tcBorders>
            <w:shd w:val="clear" w:color="auto" w:fill="auto"/>
            <w:noWrap/>
            <w:vAlign w:val="center"/>
            <w:hideMark/>
          </w:tcPr>
          <w:p w14:paraId="085E17C7" w14:textId="77777777" w:rsidR="00CC6E1E" w:rsidRPr="00CC6E1E" w:rsidRDefault="00CC6E1E" w:rsidP="00CC6E1E">
            <w:pPr>
              <w:spacing w:line="480" w:lineRule="auto"/>
              <w:rPr>
                <w:rFonts w:ascii="Garamond" w:hAnsi="Garamond"/>
                <w:sz w:val="24"/>
              </w:rPr>
            </w:pPr>
            <w:r w:rsidRPr="00CC6E1E">
              <w:rPr>
                <w:rFonts w:ascii="Garamond" w:hAnsi="Garamond"/>
                <w:sz w:val="24"/>
              </w:rPr>
              <w:t>84%</w:t>
            </w:r>
          </w:p>
        </w:tc>
      </w:tr>
      <w:tr w:rsidR="00CC6E1E" w:rsidRPr="00CC6E1E" w14:paraId="085E17D5" w14:textId="77777777" w:rsidTr="008A3D98">
        <w:trPr>
          <w:trHeight w:val="309"/>
        </w:trPr>
        <w:tc>
          <w:tcPr>
            <w:tcW w:w="2435" w:type="dxa"/>
            <w:tcBorders>
              <w:top w:val="dashed" w:sz="8" w:space="0" w:color="auto"/>
              <w:left w:val="single" w:sz="12" w:space="0" w:color="auto"/>
              <w:bottom w:val="single" w:sz="12" w:space="0" w:color="auto"/>
              <w:right w:val="nil"/>
            </w:tcBorders>
            <w:shd w:val="clear" w:color="auto" w:fill="auto"/>
            <w:noWrap/>
            <w:vAlign w:val="center"/>
            <w:hideMark/>
          </w:tcPr>
          <w:p w14:paraId="085E17C9"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Total N</w:t>
            </w:r>
          </w:p>
        </w:tc>
        <w:tc>
          <w:tcPr>
            <w:tcW w:w="853" w:type="dxa"/>
            <w:tcBorders>
              <w:top w:val="dashed" w:sz="8" w:space="0" w:color="auto"/>
              <w:left w:val="nil"/>
              <w:bottom w:val="single" w:sz="12" w:space="0" w:color="auto"/>
              <w:right w:val="single" w:sz="12" w:space="0" w:color="auto"/>
            </w:tcBorders>
            <w:shd w:val="clear" w:color="auto" w:fill="auto"/>
            <w:noWrap/>
            <w:vAlign w:val="center"/>
            <w:hideMark/>
          </w:tcPr>
          <w:p w14:paraId="085E17CA" w14:textId="77777777" w:rsidR="00CC6E1E" w:rsidRPr="00CC6E1E" w:rsidRDefault="00CC6E1E" w:rsidP="00CC6E1E">
            <w:pPr>
              <w:spacing w:line="480" w:lineRule="auto"/>
              <w:rPr>
                <w:rFonts w:ascii="Garamond" w:hAnsi="Garamond"/>
                <w:b/>
                <w:bCs/>
                <w:i/>
                <w:iCs/>
                <w:sz w:val="24"/>
              </w:rPr>
            </w:pPr>
            <w:r w:rsidRPr="00CC6E1E">
              <w:rPr>
                <w:rFonts w:ascii="Garamond" w:hAnsi="Garamond"/>
                <w:b/>
                <w:bCs/>
                <w:i/>
                <w:iCs/>
                <w:sz w:val="24"/>
              </w:rPr>
              <w:t> </w:t>
            </w:r>
          </w:p>
        </w:tc>
        <w:tc>
          <w:tcPr>
            <w:tcW w:w="1536" w:type="dxa"/>
            <w:tcBorders>
              <w:top w:val="nil"/>
              <w:left w:val="nil"/>
              <w:bottom w:val="single" w:sz="12" w:space="0" w:color="auto"/>
              <w:right w:val="nil"/>
            </w:tcBorders>
            <w:shd w:val="clear" w:color="auto" w:fill="auto"/>
            <w:vAlign w:val="center"/>
            <w:hideMark/>
          </w:tcPr>
          <w:p w14:paraId="085E17CB" w14:textId="77777777" w:rsidR="00CC6E1E" w:rsidRPr="00CC6E1E" w:rsidRDefault="00CC6E1E" w:rsidP="00CC6E1E">
            <w:pPr>
              <w:spacing w:line="480" w:lineRule="auto"/>
              <w:rPr>
                <w:rFonts w:ascii="Garamond" w:hAnsi="Garamond"/>
                <w:sz w:val="24"/>
              </w:rPr>
            </w:pPr>
            <w:r w:rsidRPr="00CC6E1E">
              <w:rPr>
                <w:rFonts w:ascii="Garamond" w:hAnsi="Garamond"/>
                <w:sz w:val="24"/>
              </w:rPr>
              <w:t>1,875,739</w:t>
            </w:r>
          </w:p>
        </w:tc>
        <w:tc>
          <w:tcPr>
            <w:tcW w:w="826" w:type="dxa"/>
            <w:tcBorders>
              <w:top w:val="nil"/>
              <w:left w:val="nil"/>
              <w:bottom w:val="single" w:sz="12" w:space="0" w:color="auto"/>
              <w:right w:val="nil"/>
            </w:tcBorders>
            <w:shd w:val="clear" w:color="auto" w:fill="auto"/>
            <w:vAlign w:val="center"/>
            <w:hideMark/>
          </w:tcPr>
          <w:p w14:paraId="085E17CC" w14:textId="77777777" w:rsidR="00CC6E1E" w:rsidRPr="00CC6E1E" w:rsidRDefault="00CC6E1E" w:rsidP="00CC6E1E">
            <w:pPr>
              <w:spacing w:line="480" w:lineRule="auto"/>
              <w:rPr>
                <w:rFonts w:ascii="Garamond" w:hAnsi="Garamond"/>
                <w:sz w:val="24"/>
              </w:rPr>
            </w:pPr>
            <w:r w:rsidRPr="00CC6E1E">
              <w:rPr>
                <w:rFonts w:ascii="Garamond" w:hAnsi="Garamond"/>
                <w:sz w:val="24"/>
              </w:rPr>
              <w:t>57,991</w:t>
            </w:r>
          </w:p>
        </w:tc>
        <w:tc>
          <w:tcPr>
            <w:tcW w:w="937" w:type="dxa"/>
            <w:tcBorders>
              <w:top w:val="nil"/>
              <w:left w:val="nil"/>
              <w:bottom w:val="single" w:sz="12" w:space="0" w:color="auto"/>
              <w:right w:val="nil"/>
            </w:tcBorders>
            <w:shd w:val="clear" w:color="auto" w:fill="auto"/>
            <w:vAlign w:val="center"/>
            <w:hideMark/>
          </w:tcPr>
          <w:p w14:paraId="085E17CD" w14:textId="77777777" w:rsidR="00CC6E1E" w:rsidRPr="00CC6E1E" w:rsidRDefault="00CC6E1E" w:rsidP="00CC6E1E">
            <w:pPr>
              <w:spacing w:line="480" w:lineRule="auto"/>
              <w:rPr>
                <w:rFonts w:ascii="Garamond" w:hAnsi="Garamond"/>
                <w:sz w:val="24"/>
              </w:rPr>
            </w:pPr>
            <w:r w:rsidRPr="00CC6E1E">
              <w:rPr>
                <w:rFonts w:ascii="Garamond" w:hAnsi="Garamond"/>
                <w:sz w:val="24"/>
              </w:rPr>
              <w:t>535,726</w:t>
            </w:r>
          </w:p>
        </w:tc>
        <w:tc>
          <w:tcPr>
            <w:tcW w:w="937" w:type="dxa"/>
            <w:tcBorders>
              <w:top w:val="nil"/>
              <w:left w:val="nil"/>
              <w:bottom w:val="single" w:sz="12" w:space="0" w:color="auto"/>
              <w:right w:val="nil"/>
            </w:tcBorders>
            <w:shd w:val="clear" w:color="auto" w:fill="auto"/>
            <w:noWrap/>
            <w:vAlign w:val="center"/>
            <w:hideMark/>
          </w:tcPr>
          <w:p w14:paraId="085E17CE" w14:textId="77777777" w:rsidR="00CC6E1E" w:rsidRPr="00CC6E1E" w:rsidRDefault="00CC6E1E" w:rsidP="00CC6E1E">
            <w:pPr>
              <w:spacing w:line="480" w:lineRule="auto"/>
              <w:rPr>
                <w:rFonts w:ascii="Garamond" w:hAnsi="Garamond"/>
                <w:sz w:val="24"/>
              </w:rPr>
            </w:pPr>
            <w:r w:rsidRPr="00CC6E1E">
              <w:rPr>
                <w:rFonts w:ascii="Garamond" w:hAnsi="Garamond"/>
                <w:sz w:val="24"/>
              </w:rPr>
              <w:t>449,733</w:t>
            </w:r>
          </w:p>
        </w:tc>
        <w:tc>
          <w:tcPr>
            <w:tcW w:w="937" w:type="dxa"/>
            <w:tcBorders>
              <w:top w:val="nil"/>
              <w:left w:val="nil"/>
              <w:bottom w:val="single" w:sz="12" w:space="0" w:color="auto"/>
              <w:right w:val="nil"/>
            </w:tcBorders>
            <w:shd w:val="clear" w:color="auto" w:fill="auto"/>
            <w:noWrap/>
            <w:vAlign w:val="center"/>
            <w:hideMark/>
          </w:tcPr>
          <w:p w14:paraId="085E17CF" w14:textId="77777777" w:rsidR="00CC6E1E" w:rsidRPr="00CC6E1E" w:rsidRDefault="00CC6E1E" w:rsidP="00CC6E1E">
            <w:pPr>
              <w:spacing w:line="480" w:lineRule="auto"/>
              <w:rPr>
                <w:rFonts w:ascii="Garamond" w:hAnsi="Garamond"/>
                <w:sz w:val="24"/>
              </w:rPr>
            </w:pPr>
            <w:r w:rsidRPr="00CC6E1E">
              <w:rPr>
                <w:rFonts w:ascii="Garamond" w:hAnsi="Garamond"/>
                <w:sz w:val="24"/>
              </w:rPr>
              <w:t>252,258</w:t>
            </w:r>
          </w:p>
        </w:tc>
        <w:tc>
          <w:tcPr>
            <w:tcW w:w="937" w:type="dxa"/>
            <w:tcBorders>
              <w:top w:val="nil"/>
              <w:left w:val="nil"/>
              <w:bottom w:val="single" w:sz="12" w:space="0" w:color="auto"/>
              <w:right w:val="nil"/>
            </w:tcBorders>
            <w:shd w:val="clear" w:color="auto" w:fill="auto"/>
            <w:noWrap/>
            <w:vAlign w:val="center"/>
            <w:hideMark/>
          </w:tcPr>
          <w:p w14:paraId="085E17D0" w14:textId="77777777" w:rsidR="00CC6E1E" w:rsidRPr="00CC6E1E" w:rsidRDefault="00CC6E1E" w:rsidP="00CC6E1E">
            <w:pPr>
              <w:spacing w:line="480" w:lineRule="auto"/>
              <w:rPr>
                <w:rFonts w:ascii="Garamond" w:hAnsi="Garamond"/>
                <w:sz w:val="24"/>
              </w:rPr>
            </w:pPr>
            <w:r w:rsidRPr="00CC6E1E">
              <w:rPr>
                <w:rFonts w:ascii="Garamond" w:hAnsi="Garamond"/>
                <w:sz w:val="24"/>
              </w:rPr>
              <w:t>119,769</w:t>
            </w:r>
          </w:p>
        </w:tc>
        <w:tc>
          <w:tcPr>
            <w:tcW w:w="826" w:type="dxa"/>
            <w:tcBorders>
              <w:top w:val="nil"/>
              <w:left w:val="nil"/>
              <w:bottom w:val="single" w:sz="12" w:space="0" w:color="auto"/>
              <w:right w:val="nil"/>
            </w:tcBorders>
            <w:shd w:val="clear" w:color="auto" w:fill="auto"/>
            <w:noWrap/>
            <w:vAlign w:val="center"/>
            <w:hideMark/>
          </w:tcPr>
          <w:p w14:paraId="085E17D1" w14:textId="77777777" w:rsidR="00CC6E1E" w:rsidRPr="00CC6E1E" w:rsidRDefault="00CC6E1E" w:rsidP="00CC6E1E">
            <w:pPr>
              <w:spacing w:line="480" w:lineRule="auto"/>
              <w:rPr>
                <w:rFonts w:ascii="Garamond" w:hAnsi="Garamond"/>
                <w:sz w:val="24"/>
              </w:rPr>
            </w:pPr>
            <w:r w:rsidRPr="00CC6E1E">
              <w:rPr>
                <w:rFonts w:ascii="Garamond" w:hAnsi="Garamond"/>
                <w:sz w:val="24"/>
              </w:rPr>
              <w:t>49,278</w:t>
            </w:r>
          </w:p>
        </w:tc>
        <w:tc>
          <w:tcPr>
            <w:tcW w:w="990" w:type="dxa"/>
            <w:tcBorders>
              <w:top w:val="nil"/>
              <w:left w:val="nil"/>
              <w:bottom w:val="single" w:sz="12" w:space="0" w:color="auto"/>
              <w:right w:val="nil"/>
            </w:tcBorders>
            <w:shd w:val="clear" w:color="auto" w:fill="auto"/>
            <w:noWrap/>
            <w:vAlign w:val="center"/>
            <w:hideMark/>
          </w:tcPr>
          <w:p w14:paraId="085E17D2" w14:textId="77777777" w:rsidR="00CC6E1E" w:rsidRPr="00CC6E1E" w:rsidRDefault="00CC6E1E" w:rsidP="00CC6E1E">
            <w:pPr>
              <w:spacing w:line="480" w:lineRule="auto"/>
              <w:rPr>
                <w:rFonts w:ascii="Garamond" w:hAnsi="Garamond"/>
                <w:sz w:val="24"/>
              </w:rPr>
            </w:pPr>
            <w:r w:rsidRPr="00CC6E1E">
              <w:rPr>
                <w:rFonts w:ascii="Garamond" w:hAnsi="Garamond"/>
                <w:sz w:val="24"/>
              </w:rPr>
              <w:t>205,981</w:t>
            </w:r>
          </w:p>
        </w:tc>
        <w:tc>
          <w:tcPr>
            <w:tcW w:w="937" w:type="dxa"/>
            <w:tcBorders>
              <w:top w:val="nil"/>
              <w:left w:val="nil"/>
              <w:bottom w:val="single" w:sz="12" w:space="0" w:color="auto"/>
              <w:right w:val="nil"/>
            </w:tcBorders>
            <w:shd w:val="clear" w:color="auto" w:fill="auto"/>
            <w:noWrap/>
            <w:vAlign w:val="center"/>
            <w:hideMark/>
          </w:tcPr>
          <w:p w14:paraId="085E17D3" w14:textId="77777777" w:rsidR="00CC6E1E" w:rsidRPr="00CC6E1E" w:rsidRDefault="00CC6E1E" w:rsidP="00CC6E1E">
            <w:pPr>
              <w:spacing w:line="480" w:lineRule="auto"/>
              <w:rPr>
                <w:rFonts w:ascii="Garamond" w:hAnsi="Garamond"/>
                <w:sz w:val="24"/>
              </w:rPr>
            </w:pPr>
            <w:r w:rsidRPr="00CC6E1E">
              <w:rPr>
                <w:rFonts w:ascii="Garamond" w:hAnsi="Garamond"/>
                <w:sz w:val="24"/>
              </w:rPr>
              <w:t>137,032</w:t>
            </w:r>
          </w:p>
        </w:tc>
        <w:tc>
          <w:tcPr>
            <w:tcW w:w="826" w:type="dxa"/>
            <w:tcBorders>
              <w:top w:val="nil"/>
              <w:left w:val="nil"/>
              <w:bottom w:val="single" w:sz="12" w:space="0" w:color="auto"/>
              <w:right w:val="single" w:sz="12" w:space="0" w:color="auto"/>
            </w:tcBorders>
            <w:shd w:val="clear" w:color="auto" w:fill="auto"/>
            <w:noWrap/>
            <w:vAlign w:val="center"/>
            <w:hideMark/>
          </w:tcPr>
          <w:p w14:paraId="085E17D4" w14:textId="77777777" w:rsidR="00CC6E1E" w:rsidRPr="00CC6E1E" w:rsidRDefault="00CC6E1E" w:rsidP="00CC6E1E">
            <w:pPr>
              <w:spacing w:line="480" w:lineRule="auto"/>
              <w:rPr>
                <w:rFonts w:ascii="Garamond" w:hAnsi="Garamond"/>
                <w:sz w:val="24"/>
              </w:rPr>
            </w:pPr>
            <w:r w:rsidRPr="00CC6E1E">
              <w:rPr>
                <w:rFonts w:ascii="Garamond" w:hAnsi="Garamond"/>
                <w:sz w:val="24"/>
              </w:rPr>
              <w:t>67,971</w:t>
            </w:r>
          </w:p>
        </w:tc>
      </w:tr>
    </w:tbl>
    <w:p w14:paraId="085E17D6" w14:textId="77777777" w:rsidR="00CC6E1E" w:rsidRDefault="00CC6E1E" w:rsidP="006A1FCD">
      <w:pPr>
        <w:spacing w:line="480" w:lineRule="auto"/>
        <w:rPr>
          <w:rFonts w:ascii="Garamond" w:hAnsi="Garamond"/>
          <w:sz w:val="24"/>
        </w:rPr>
      </w:pPr>
    </w:p>
    <w:p w14:paraId="085E17D7" w14:textId="77777777" w:rsidR="00CC6E1E" w:rsidRPr="006A1FCD" w:rsidRDefault="00CC6E1E" w:rsidP="006A1FCD">
      <w:pPr>
        <w:spacing w:line="480" w:lineRule="auto"/>
        <w:rPr>
          <w:rFonts w:ascii="Garamond" w:hAnsi="Garamond"/>
          <w:sz w:val="24"/>
        </w:rPr>
        <w:sectPr w:rsidR="00CC6E1E" w:rsidRPr="006A1FCD" w:rsidSect="00CC6E1E">
          <w:type w:val="continuous"/>
          <w:pgSz w:w="15840" w:h="12240" w:orient="landscape"/>
          <w:pgMar w:top="1440" w:right="1440" w:bottom="1440" w:left="1440" w:header="720" w:footer="720" w:gutter="0"/>
          <w:cols w:space="720"/>
          <w:docGrid w:linePitch="360"/>
        </w:sectPr>
      </w:pPr>
    </w:p>
    <w:p w14:paraId="159C9A58" w14:textId="02ADA50E" w:rsidR="00154C1E" w:rsidRDefault="00154C1E" w:rsidP="00154C1E">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11" w:name="_Toc83912425"/>
      <w:r w:rsidRPr="00154C1E">
        <w:lastRenderedPageBreak/>
        <w:t xml:space="preserve"> </w:t>
      </w:r>
      <w:bookmarkStart w:id="12" w:name="_Toc129961280"/>
      <w:r w:rsidRPr="00154C1E">
        <w:rPr>
          <w:rFonts w:ascii="Garamond" w:eastAsiaTheme="majorEastAsia" w:hAnsi="Garamond" w:cstheme="majorBidi"/>
          <w:b/>
          <w:i/>
          <w:sz w:val="28"/>
          <w:szCs w:val="26"/>
        </w:rPr>
        <w:t>Justifying the Lack of Pre-Registration</w:t>
      </w:r>
      <w:bookmarkEnd w:id="12"/>
    </w:p>
    <w:p w14:paraId="458EE98F" w14:textId="683A21AC" w:rsidR="00154C1E" w:rsidRDefault="00154C1E" w:rsidP="00154C1E">
      <w:pPr>
        <w:spacing w:after="0" w:line="480" w:lineRule="auto"/>
        <w:ind w:firstLine="720"/>
        <w:rPr>
          <w:rFonts w:ascii="Garamond" w:hAnsi="Garamond"/>
          <w:sz w:val="24"/>
        </w:rPr>
      </w:pPr>
      <w:r>
        <w:rPr>
          <w:rFonts w:ascii="Garamond" w:hAnsi="Garamond"/>
          <w:sz w:val="24"/>
        </w:rPr>
        <w:t xml:space="preserve">The empirical data was analyzed by me over the course of several years as part of a consulting project. While I did not analyze the specific subgroups discussed in the paper, there is no way for me to verify that this was the case. Before undertaking my test of PMBC on this empirical data, I carefully considered submitting a pre-analysis plan (PAP). The benefits </w:t>
      </w:r>
      <w:r w:rsidR="00C0069A">
        <w:rPr>
          <w:rFonts w:ascii="Garamond" w:hAnsi="Garamond"/>
          <w:sz w:val="24"/>
        </w:rPr>
        <w:t xml:space="preserve">of </w:t>
      </w:r>
      <w:r>
        <w:rPr>
          <w:rFonts w:ascii="Garamond" w:hAnsi="Garamond"/>
          <w:sz w:val="24"/>
        </w:rPr>
        <w:t>PAPs are widely documented (</w:t>
      </w:r>
      <w:proofErr w:type="spellStart"/>
      <w:r>
        <w:rPr>
          <w:rFonts w:ascii="Garamond" w:hAnsi="Garamond"/>
          <w:sz w:val="24"/>
        </w:rPr>
        <w:t>Olken</w:t>
      </w:r>
      <w:proofErr w:type="spellEnd"/>
      <w:r>
        <w:rPr>
          <w:rFonts w:ascii="Garamond" w:hAnsi="Garamond"/>
          <w:sz w:val="24"/>
        </w:rPr>
        <w:t xml:space="preserve"> 2015; </w:t>
      </w:r>
      <w:proofErr w:type="spellStart"/>
      <w:r>
        <w:rPr>
          <w:rFonts w:ascii="Garamond" w:hAnsi="Garamond"/>
          <w:sz w:val="24"/>
        </w:rPr>
        <w:t>Nosek</w:t>
      </w:r>
      <w:proofErr w:type="spellEnd"/>
      <w:r>
        <w:rPr>
          <w:rFonts w:ascii="Garamond" w:hAnsi="Garamond"/>
          <w:sz w:val="24"/>
        </w:rPr>
        <w:t xml:space="preserve"> et</w:t>
      </w:r>
      <w:r w:rsidR="00E243D2">
        <w:rPr>
          <w:rFonts w:ascii="Garamond" w:hAnsi="Garamond"/>
          <w:sz w:val="24"/>
        </w:rPr>
        <w:t>.</w:t>
      </w:r>
      <w:r>
        <w:rPr>
          <w:rFonts w:ascii="Garamond" w:hAnsi="Garamond"/>
          <w:sz w:val="24"/>
        </w:rPr>
        <w:t xml:space="preserve"> al 201</w:t>
      </w:r>
      <w:r w:rsidR="00E94EC8">
        <w:rPr>
          <w:rFonts w:ascii="Garamond" w:hAnsi="Garamond"/>
          <w:sz w:val="24"/>
        </w:rPr>
        <w:t>8</w:t>
      </w:r>
      <w:r w:rsidR="00A63235">
        <w:rPr>
          <w:rFonts w:ascii="Garamond" w:hAnsi="Garamond"/>
          <w:sz w:val="24"/>
        </w:rPr>
        <w:t xml:space="preserve">; </w:t>
      </w:r>
      <w:proofErr w:type="spellStart"/>
      <w:r w:rsidR="00A63235">
        <w:rPr>
          <w:rFonts w:ascii="Garamond" w:hAnsi="Garamond"/>
          <w:sz w:val="24"/>
        </w:rPr>
        <w:t>Ofosu</w:t>
      </w:r>
      <w:proofErr w:type="spellEnd"/>
      <w:r w:rsidR="00A63235">
        <w:rPr>
          <w:rFonts w:ascii="Garamond" w:hAnsi="Garamond"/>
          <w:sz w:val="24"/>
        </w:rPr>
        <w:t xml:space="preserve"> &amp; Posner 2021</w:t>
      </w:r>
      <w:r>
        <w:rPr>
          <w:rFonts w:ascii="Garamond" w:hAnsi="Garamond"/>
          <w:sz w:val="24"/>
        </w:rPr>
        <w:t xml:space="preserve">), so my final decision to not pre-register deserves justification. </w:t>
      </w:r>
    </w:p>
    <w:p w14:paraId="16A2DA22" w14:textId="6B932849" w:rsidR="00154C1E" w:rsidRDefault="00154C1E" w:rsidP="00154C1E">
      <w:pPr>
        <w:spacing w:after="0" w:line="480" w:lineRule="auto"/>
        <w:ind w:firstLine="720"/>
        <w:rPr>
          <w:rFonts w:ascii="Garamond" w:hAnsi="Garamond"/>
          <w:sz w:val="24"/>
        </w:rPr>
      </w:pPr>
      <w:r>
        <w:rPr>
          <w:rFonts w:ascii="Garamond" w:hAnsi="Garamond"/>
          <w:sz w:val="24"/>
        </w:rPr>
        <w:t xml:space="preserve">First, the analysis was conducted on proprietary historical data, so the situation is similar to the </w:t>
      </w:r>
      <w:r w:rsidR="00EC4488">
        <w:rPr>
          <w:rFonts w:ascii="Garamond" w:hAnsi="Garamond"/>
          <w:sz w:val="24"/>
        </w:rPr>
        <w:t>argument</w:t>
      </w:r>
      <w:r>
        <w:rPr>
          <w:rFonts w:ascii="Garamond" w:hAnsi="Garamond"/>
          <w:sz w:val="24"/>
        </w:rPr>
        <w:t xml:space="preserve"> against pre-regis</w:t>
      </w:r>
      <w:r w:rsidR="006F01A4">
        <w:rPr>
          <w:rFonts w:ascii="Garamond" w:hAnsi="Garamond"/>
          <w:sz w:val="24"/>
        </w:rPr>
        <w:t xml:space="preserve">tering </w:t>
      </w:r>
      <w:r w:rsidR="00EC4488">
        <w:rPr>
          <w:rFonts w:ascii="Garamond" w:hAnsi="Garamond"/>
          <w:sz w:val="24"/>
        </w:rPr>
        <w:t xml:space="preserve">observational </w:t>
      </w:r>
      <w:r w:rsidR="006F01A4">
        <w:rPr>
          <w:rFonts w:ascii="Garamond" w:hAnsi="Garamond"/>
          <w:sz w:val="24"/>
        </w:rPr>
        <w:t>analyses of historical</w:t>
      </w:r>
      <w:r>
        <w:rPr>
          <w:rFonts w:ascii="Garamond" w:hAnsi="Garamond"/>
          <w:sz w:val="24"/>
        </w:rPr>
        <w:t xml:space="preserve"> data (</w:t>
      </w:r>
      <w:proofErr w:type="spellStart"/>
      <w:r>
        <w:rPr>
          <w:rFonts w:ascii="Garamond" w:hAnsi="Garamond"/>
          <w:sz w:val="24"/>
        </w:rPr>
        <w:t>Ofosu</w:t>
      </w:r>
      <w:proofErr w:type="spellEnd"/>
      <w:r>
        <w:rPr>
          <w:rFonts w:ascii="Garamond" w:hAnsi="Garamond"/>
          <w:sz w:val="24"/>
        </w:rPr>
        <w:t xml:space="preserve"> &amp; Posner 2021). There is no concrete evidence that would definitively show that subgroup analysis was performed only after the hypotheses were pre-registered. It would simply be a restatement of my assurance that I did not analyze the subgroups that test the PMBC, but with the additionally risk of providing a casual reader with the erroneous impression that the findings are more rigorous. Indeed, s</w:t>
      </w:r>
      <w:r w:rsidR="00AA5887">
        <w:rPr>
          <w:rFonts w:ascii="Garamond" w:hAnsi="Garamond"/>
          <w:sz w:val="24"/>
        </w:rPr>
        <w:t xml:space="preserve">ome scholars bring up that </w:t>
      </w:r>
      <w:r>
        <w:rPr>
          <w:rFonts w:ascii="Garamond" w:hAnsi="Garamond"/>
          <w:sz w:val="24"/>
        </w:rPr>
        <w:t xml:space="preserve">PAPs may </w:t>
      </w:r>
      <w:r w:rsidR="005046ED">
        <w:rPr>
          <w:rFonts w:ascii="Garamond" w:hAnsi="Garamond"/>
          <w:sz w:val="24"/>
        </w:rPr>
        <w:t>inadvertently</w:t>
      </w:r>
      <w:r>
        <w:rPr>
          <w:rFonts w:ascii="Garamond" w:hAnsi="Garamond"/>
          <w:sz w:val="24"/>
        </w:rPr>
        <w:t xml:space="preserve"> act as a signal of rigor without any actual accountability (e.g., </w:t>
      </w:r>
      <w:proofErr w:type="spellStart"/>
      <w:r>
        <w:rPr>
          <w:rFonts w:ascii="Garamond" w:hAnsi="Garamond"/>
          <w:sz w:val="24"/>
        </w:rPr>
        <w:t>Laitin</w:t>
      </w:r>
      <w:proofErr w:type="spellEnd"/>
      <w:r>
        <w:rPr>
          <w:rFonts w:ascii="Garamond" w:hAnsi="Garamond"/>
          <w:sz w:val="24"/>
        </w:rPr>
        <w:t xml:space="preserve"> 2013). This criticism has turned out to be partially true in practice; </w:t>
      </w:r>
      <w:proofErr w:type="spellStart"/>
      <w:r>
        <w:rPr>
          <w:rFonts w:ascii="Garamond" w:hAnsi="Garamond"/>
          <w:sz w:val="24"/>
        </w:rPr>
        <w:t>Ofosu</w:t>
      </w:r>
      <w:proofErr w:type="spellEnd"/>
      <w:r>
        <w:rPr>
          <w:rFonts w:ascii="Garamond" w:hAnsi="Garamond"/>
          <w:sz w:val="24"/>
        </w:rPr>
        <w:t xml:space="preserve"> &amp; Posner’s (2021) empirical research on PAPs has found that only 34% of reviewers consult</w:t>
      </w:r>
      <w:r w:rsidR="00571628">
        <w:rPr>
          <w:rFonts w:ascii="Garamond" w:hAnsi="Garamond"/>
          <w:sz w:val="24"/>
        </w:rPr>
        <w:t xml:space="preserve"> PAPs. It is likely that the average</w:t>
      </w:r>
      <w:r>
        <w:rPr>
          <w:rFonts w:ascii="Garamond" w:hAnsi="Garamond"/>
          <w:sz w:val="24"/>
        </w:rPr>
        <w:t xml:space="preserve"> reader is even less likely to pay attention to the specifics of a PAP (including the fact that the data has been analyzed previously), but</w:t>
      </w:r>
      <w:r w:rsidR="00520EA6">
        <w:rPr>
          <w:rFonts w:ascii="Garamond" w:hAnsi="Garamond"/>
          <w:sz w:val="24"/>
        </w:rPr>
        <w:t xml:space="preserve"> may</w:t>
      </w:r>
      <w:r>
        <w:rPr>
          <w:rFonts w:ascii="Garamond" w:hAnsi="Garamond"/>
          <w:sz w:val="24"/>
        </w:rPr>
        <w:t xml:space="preserve"> still</w:t>
      </w:r>
      <w:r w:rsidR="00520EA6">
        <w:rPr>
          <w:rFonts w:ascii="Garamond" w:hAnsi="Garamond"/>
          <w:sz w:val="24"/>
        </w:rPr>
        <w:t xml:space="preserve"> consciously or subconsciously</w:t>
      </w:r>
      <w:r>
        <w:rPr>
          <w:rFonts w:ascii="Garamond" w:hAnsi="Garamond"/>
          <w:sz w:val="24"/>
        </w:rPr>
        <w:t xml:space="preserve"> ascribe a higher level rigor to pre-registered</w:t>
      </w:r>
      <w:r w:rsidR="00CF49F6">
        <w:rPr>
          <w:rFonts w:ascii="Garamond" w:hAnsi="Garamond"/>
          <w:sz w:val="24"/>
        </w:rPr>
        <w:t xml:space="preserve"> studies</w:t>
      </w:r>
      <w:r>
        <w:rPr>
          <w:rFonts w:ascii="Garamond" w:hAnsi="Garamond"/>
          <w:sz w:val="24"/>
        </w:rPr>
        <w:t xml:space="preserve">.      </w:t>
      </w:r>
    </w:p>
    <w:p w14:paraId="00971343" w14:textId="7A127E2B" w:rsidR="00154C1E" w:rsidRDefault="00154C1E" w:rsidP="00154C1E">
      <w:pPr>
        <w:spacing w:after="0" w:line="480" w:lineRule="auto"/>
        <w:ind w:firstLine="720"/>
        <w:rPr>
          <w:rFonts w:ascii="Garamond" w:hAnsi="Garamond"/>
          <w:sz w:val="24"/>
        </w:rPr>
      </w:pPr>
      <w:r>
        <w:rPr>
          <w:rFonts w:ascii="Garamond" w:hAnsi="Garamond"/>
          <w:sz w:val="24"/>
        </w:rPr>
        <w:t>Second, my goal is to emphasize that though this study uses a large-N dataset, my findings should be first replicated before the PMBC interpretation of tur</w:t>
      </w:r>
      <w:r w:rsidR="002D3D58">
        <w:rPr>
          <w:rFonts w:ascii="Garamond" w:hAnsi="Garamond"/>
          <w:sz w:val="24"/>
        </w:rPr>
        <w:t>nout persistence is accepted (c</w:t>
      </w:r>
      <w:r>
        <w:rPr>
          <w:rFonts w:ascii="Garamond" w:hAnsi="Garamond"/>
          <w:sz w:val="24"/>
        </w:rPr>
        <w:t xml:space="preserve">f., Coffman &amp; </w:t>
      </w:r>
      <w:proofErr w:type="spellStart"/>
      <w:r>
        <w:rPr>
          <w:rFonts w:ascii="Garamond" w:hAnsi="Garamond"/>
          <w:sz w:val="24"/>
        </w:rPr>
        <w:t>Niederle</w:t>
      </w:r>
      <w:proofErr w:type="spellEnd"/>
      <w:r>
        <w:rPr>
          <w:rFonts w:ascii="Garamond" w:hAnsi="Garamond"/>
          <w:sz w:val="24"/>
        </w:rPr>
        <w:t>, 2015). As n</w:t>
      </w:r>
      <w:r w:rsidR="00FD3417">
        <w:rPr>
          <w:rFonts w:ascii="Garamond" w:hAnsi="Garamond"/>
          <w:sz w:val="24"/>
        </w:rPr>
        <w:t>oted in Green &amp; Gerber</w:t>
      </w:r>
      <w:r>
        <w:rPr>
          <w:rFonts w:ascii="Garamond" w:hAnsi="Garamond"/>
          <w:sz w:val="24"/>
        </w:rPr>
        <w:t xml:space="preserve"> </w:t>
      </w:r>
      <w:r w:rsidR="00FD3417">
        <w:rPr>
          <w:rFonts w:ascii="Garamond" w:hAnsi="Garamond"/>
          <w:sz w:val="24"/>
        </w:rPr>
        <w:t>(</w:t>
      </w:r>
      <w:r>
        <w:rPr>
          <w:rFonts w:ascii="Garamond" w:hAnsi="Garamond"/>
          <w:sz w:val="24"/>
        </w:rPr>
        <w:t>201</w:t>
      </w:r>
      <w:r w:rsidR="0097288C">
        <w:rPr>
          <w:rFonts w:ascii="Garamond" w:hAnsi="Garamond"/>
          <w:sz w:val="24"/>
        </w:rPr>
        <w:t>9</w:t>
      </w:r>
      <w:r w:rsidR="00FD3417">
        <w:rPr>
          <w:rFonts w:ascii="Garamond" w:hAnsi="Garamond"/>
          <w:sz w:val="24"/>
        </w:rPr>
        <w:t>)</w:t>
      </w:r>
      <w:r>
        <w:rPr>
          <w:rFonts w:ascii="Garamond" w:hAnsi="Garamond"/>
          <w:sz w:val="24"/>
        </w:rPr>
        <w:t>, campaigns and non-profits do adopt findings from political science research as “best practices.” Emphasizing the exploratory nature of these findings may dampen overenthusiasm by practitioners.</w:t>
      </w:r>
    </w:p>
    <w:p w14:paraId="029CCD85" w14:textId="40A49736" w:rsidR="00154C1E" w:rsidRDefault="004D6849" w:rsidP="00154C1E">
      <w:pPr>
        <w:spacing w:after="0" w:line="480" w:lineRule="auto"/>
        <w:ind w:firstLine="720"/>
        <w:rPr>
          <w:rFonts w:ascii="Garamond" w:hAnsi="Garamond"/>
          <w:sz w:val="24"/>
        </w:rPr>
      </w:pPr>
      <w:r>
        <w:rPr>
          <w:rFonts w:ascii="Garamond" w:hAnsi="Garamond"/>
          <w:sz w:val="24"/>
        </w:rPr>
        <w:lastRenderedPageBreak/>
        <w:t xml:space="preserve">Finally, </w:t>
      </w:r>
      <w:r w:rsidR="00D13EAC">
        <w:rPr>
          <w:rFonts w:ascii="Garamond" w:hAnsi="Garamond"/>
          <w:sz w:val="24"/>
        </w:rPr>
        <w:t xml:space="preserve">to compensate for a lack of pre-registration, </w:t>
      </w:r>
      <w:r>
        <w:rPr>
          <w:rFonts w:ascii="Garamond" w:hAnsi="Garamond"/>
          <w:sz w:val="24"/>
        </w:rPr>
        <w:t xml:space="preserve">I attempt to maximize </w:t>
      </w:r>
      <w:r w:rsidR="00D13EAC">
        <w:rPr>
          <w:rFonts w:ascii="Garamond" w:hAnsi="Garamond"/>
          <w:sz w:val="24"/>
        </w:rPr>
        <w:t xml:space="preserve">analytical and data </w:t>
      </w:r>
      <w:r>
        <w:rPr>
          <w:rFonts w:ascii="Garamond" w:hAnsi="Garamond"/>
          <w:sz w:val="24"/>
        </w:rPr>
        <w:t xml:space="preserve">transparency. I attempt </w:t>
      </w:r>
      <w:r w:rsidR="00154C1E">
        <w:rPr>
          <w:rFonts w:ascii="Garamond" w:hAnsi="Garamond"/>
          <w:sz w:val="24"/>
        </w:rPr>
        <w:t>to illustrate all the possible ways the subgroup analysis can be conducted with the available data</w:t>
      </w:r>
      <w:r>
        <w:rPr>
          <w:rFonts w:ascii="Garamond" w:hAnsi="Garamond"/>
          <w:sz w:val="24"/>
        </w:rPr>
        <w:t xml:space="preserve"> and provide </w:t>
      </w:r>
      <w:r w:rsidR="00154C1E">
        <w:rPr>
          <w:rFonts w:ascii="Garamond" w:hAnsi="Garamond"/>
          <w:sz w:val="24"/>
        </w:rPr>
        <w:t xml:space="preserve">robustness checks </w:t>
      </w:r>
      <w:r>
        <w:rPr>
          <w:rFonts w:ascii="Garamond" w:hAnsi="Garamond"/>
          <w:sz w:val="24"/>
        </w:rPr>
        <w:t>where possible</w:t>
      </w:r>
      <w:r w:rsidR="00154C1E">
        <w:rPr>
          <w:rFonts w:ascii="Garamond" w:hAnsi="Garamond"/>
          <w:sz w:val="24"/>
        </w:rPr>
        <w:t>.</w:t>
      </w:r>
      <w:r w:rsidR="00387139">
        <w:rPr>
          <w:rFonts w:ascii="Garamond" w:hAnsi="Garamond"/>
          <w:sz w:val="24"/>
        </w:rPr>
        <w:t xml:space="preserve"> I also relegate an exploratory, </w:t>
      </w:r>
      <w:r w:rsidR="00E95795">
        <w:rPr>
          <w:rFonts w:ascii="Garamond" w:hAnsi="Garamond"/>
          <w:sz w:val="24"/>
        </w:rPr>
        <w:t xml:space="preserve">less </w:t>
      </w:r>
      <w:r w:rsidR="00387139">
        <w:rPr>
          <w:rFonts w:ascii="Garamond" w:hAnsi="Garamond"/>
          <w:sz w:val="24"/>
        </w:rPr>
        <w:t xml:space="preserve">intuitive prediction to the Supplementary Materials as a </w:t>
      </w:r>
      <w:r w:rsidR="00E95795">
        <w:rPr>
          <w:rFonts w:ascii="Garamond" w:hAnsi="Garamond"/>
          <w:sz w:val="24"/>
        </w:rPr>
        <w:t>precaution</w:t>
      </w:r>
      <w:r w:rsidR="00142C5D">
        <w:rPr>
          <w:rFonts w:ascii="Garamond" w:hAnsi="Garamond"/>
          <w:sz w:val="24"/>
        </w:rPr>
        <w:t>, despite it also comporting with PMBC</w:t>
      </w:r>
      <w:r w:rsidR="00387139">
        <w:rPr>
          <w:rFonts w:ascii="Garamond" w:hAnsi="Garamond"/>
          <w:sz w:val="24"/>
        </w:rPr>
        <w:t>.</w:t>
      </w:r>
      <w:r w:rsidR="00154C1E">
        <w:rPr>
          <w:rFonts w:ascii="Garamond" w:hAnsi="Garamond"/>
          <w:sz w:val="24"/>
        </w:rPr>
        <w:t xml:space="preserve"> </w:t>
      </w:r>
      <w:r w:rsidR="00A7527B">
        <w:rPr>
          <w:rFonts w:ascii="Garamond" w:hAnsi="Garamond"/>
          <w:sz w:val="24"/>
        </w:rPr>
        <w:t>Finally, a</w:t>
      </w:r>
      <w:r w:rsidR="00154C1E">
        <w:rPr>
          <w:rFonts w:ascii="Garamond" w:hAnsi="Garamond"/>
          <w:sz w:val="24"/>
        </w:rPr>
        <w:t>ll data will be made available</w:t>
      </w:r>
      <w:r w:rsidR="0044233D">
        <w:rPr>
          <w:rFonts w:ascii="Garamond" w:hAnsi="Garamond"/>
          <w:sz w:val="24"/>
        </w:rPr>
        <w:t xml:space="preserve"> in a de-identified format</w:t>
      </w:r>
      <w:r w:rsidR="00154C1E">
        <w:rPr>
          <w:rFonts w:ascii="Garamond" w:hAnsi="Garamond"/>
          <w:sz w:val="24"/>
        </w:rPr>
        <w:t xml:space="preserve"> for public use upon publication. </w:t>
      </w:r>
    </w:p>
    <w:p w14:paraId="0549DAB2" w14:textId="7FEB73E7" w:rsidR="005C4F49" w:rsidRDefault="005C4F49" w:rsidP="00154C1E">
      <w:pPr>
        <w:spacing w:after="0" w:line="480" w:lineRule="auto"/>
        <w:ind w:firstLine="720"/>
        <w:rPr>
          <w:rFonts w:ascii="Garamond" w:hAnsi="Garamond"/>
          <w:b/>
          <w:sz w:val="24"/>
        </w:rPr>
      </w:pPr>
    </w:p>
    <w:p w14:paraId="06CA53AA" w14:textId="38225A3B" w:rsidR="005C4F49" w:rsidRDefault="005C4F49" w:rsidP="00154C1E">
      <w:pPr>
        <w:spacing w:after="0" w:line="480" w:lineRule="auto"/>
        <w:ind w:firstLine="720"/>
        <w:rPr>
          <w:rFonts w:ascii="Garamond" w:hAnsi="Garamond"/>
          <w:b/>
          <w:sz w:val="24"/>
        </w:rPr>
      </w:pPr>
    </w:p>
    <w:p w14:paraId="18EC6D9E" w14:textId="0AA20E8F" w:rsidR="005C4F49" w:rsidRDefault="005C4F49" w:rsidP="00154C1E">
      <w:pPr>
        <w:spacing w:after="0" w:line="480" w:lineRule="auto"/>
        <w:ind w:firstLine="720"/>
        <w:rPr>
          <w:rFonts w:ascii="Garamond" w:hAnsi="Garamond"/>
          <w:b/>
          <w:sz w:val="24"/>
        </w:rPr>
      </w:pPr>
    </w:p>
    <w:p w14:paraId="06153628" w14:textId="6C8093D9" w:rsidR="005C4F49" w:rsidRDefault="005C4F49" w:rsidP="00154C1E">
      <w:pPr>
        <w:spacing w:after="0" w:line="480" w:lineRule="auto"/>
        <w:ind w:firstLine="720"/>
        <w:rPr>
          <w:rFonts w:ascii="Garamond" w:hAnsi="Garamond"/>
          <w:b/>
          <w:sz w:val="24"/>
        </w:rPr>
      </w:pPr>
    </w:p>
    <w:p w14:paraId="1BB4E2F8" w14:textId="1FC748FA" w:rsidR="005C4F49" w:rsidRDefault="005C4F49" w:rsidP="00154C1E">
      <w:pPr>
        <w:spacing w:after="0" w:line="480" w:lineRule="auto"/>
        <w:ind w:firstLine="720"/>
        <w:rPr>
          <w:rFonts w:ascii="Garamond" w:hAnsi="Garamond"/>
          <w:b/>
          <w:sz w:val="24"/>
        </w:rPr>
      </w:pPr>
    </w:p>
    <w:p w14:paraId="3B476EB2" w14:textId="5F4DE963" w:rsidR="005C4F49" w:rsidRDefault="005C4F49" w:rsidP="00154C1E">
      <w:pPr>
        <w:spacing w:after="0" w:line="480" w:lineRule="auto"/>
        <w:ind w:firstLine="720"/>
        <w:rPr>
          <w:rFonts w:ascii="Garamond" w:hAnsi="Garamond"/>
          <w:b/>
          <w:sz w:val="24"/>
        </w:rPr>
      </w:pPr>
    </w:p>
    <w:p w14:paraId="4AFF5D58" w14:textId="2D0FEC09" w:rsidR="005C4F49" w:rsidRDefault="005C4F49" w:rsidP="00154C1E">
      <w:pPr>
        <w:spacing w:after="0" w:line="480" w:lineRule="auto"/>
        <w:ind w:firstLine="720"/>
        <w:rPr>
          <w:rFonts w:ascii="Garamond" w:hAnsi="Garamond"/>
          <w:b/>
          <w:sz w:val="24"/>
        </w:rPr>
      </w:pPr>
    </w:p>
    <w:p w14:paraId="56DEE777" w14:textId="33BEFA7A" w:rsidR="005C4F49" w:rsidRDefault="005C4F49" w:rsidP="00154C1E">
      <w:pPr>
        <w:spacing w:after="0" w:line="480" w:lineRule="auto"/>
        <w:ind w:firstLine="720"/>
        <w:rPr>
          <w:rFonts w:ascii="Garamond" w:hAnsi="Garamond"/>
          <w:b/>
          <w:sz w:val="24"/>
        </w:rPr>
      </w:pPr>
    </w:p>
    <w:p w14:paraId="409BDA16" w14:textId="35872885" w:rsidR="005C4F49" w:rsidRDefault="005C4F49" w:rsidP="00154C1E">
      <w:pPr>
        <w:spacing w:after="0" w:line="480" w:lineRule="auto"/>
        <w:ind w:firstLine="720"/>
        <w:rPr>
          <w:rFonts w:ascii="Garamond" w:hAnsi="Garamond"/>
          <w:b/>
          <w:sz w:val="24"/>
        </w:rPr>
      </w:pPr>
    </w:p>
    <w:p w14:paraId="1D2A3DBA" w14:textId="4313C683" w:rsidR="005C4F49" w:rsidRDefault="005C4F49" w:rsidP="00154C1E">
      <w:pPr>
        <w:spacing w:after="0" w:line="480" w:lineRule="auto"/>
        <w:ind w:firstLine="720"/>
        <w:rPr>
          <w:rFonts w:ascii="Garamond" w:hAnsi="Garamond"/>
          <w:b/>
          <w:sz w:val="24"/>
        </w:rPr>
      </w:pPr>
    </w:p>
    <w:p w14:paraId="68B35798" w14:textId="0B6B4169" w:rsidR="005C4F49" w:rsidRDefault="005C4F49" w:rsidP="00154C1E">
      <w:pPr>
        <w:spacing w:after="0" w:line="480" w:lineRule="auto"/>
        <w:ind w:firstLine="720"/>
        <w:rPr>
          <w:rFonts w:ascii="Garamond" w:hAnsi="Garamond"/>
          <w:b/>
          <w:sz w:val="24"/>
        </w:rPr>
      </w:pPr>
    </w:p>
    <w:p w14:paraId="2CB906B4" w14:textId="02D903C8" w:rsidR="005C4F49" w:rsidRDefault="005C4F49" w:rsidP="00154C1E">
      <w:pPr>
        <w:spacing w:after="0" w:line="480" w:lineRule="auto"/>
        <w:ind w:firstLine="720"/>
        <w:rPr>
          <w:rFonts w:ascii="Garamond" w:hAnsi="Garamond"/>
          <w:b/>
          <w:sz w:val="24"/>
        </w:rPr>
      </w:pPr>
    </w:p>
    <w:p w14:paraId="5A72C35B" w14:textId="421BD366" w:rsidR="005C4F49" w:rsidRDefault="005C4F49" w:rsidP="00154C1E">
      <w:pPr>
        <w:spacing w:after="0" w:line="480" w:lineRule="auto"/>
        <w:ind w:firstLine="720"/>
        <w:rPr>
          <w:rFonts w:ascii="Garamond" w:hAnsi="Garamond"/>
          <w:b/>
          <w:sz w:val="24"/>
        </w:rPr>
      </w:pPr>
    </w:p>
    <w:p w14:paraId="4089D2A9" w14:textId="15E4F58B" w:rsidR="005C4F49" w:rsidRDefault="005C4F49" w:rsidP="00154C1E">
      <w:pPr>
        <w:spacing w:after="0" w:line="480" w:lineRule="auto"/>
        <w:ind w:firstLine="720"/>
        <w:rPr>
          <w:rFonts w:ascii="Garamond" w:hAnsi="Garamond"/>
          <w:b/>
          <w:sz w:val="24"/>
        </w:rPr>
      </w:pPr>
    </w:p>
    <w:p w14:paraId="0BAC9D48" w14:textId="23B38B69" w:rsidR="005C4F49" w:rsidRDefault="005C4F49" w:rsidP="00154C1E">
      <w:pPr>
        <w:spacing w:after="0" w:line="480" w:lineRule="auto"/>
        <w:ind w:firstLine="720"/>
        <w:rPr>
          <w:rFonts w:ascii="Garamond" w:hAnsi="Garamond"/>
          <w:b/>
          <w:sz w:val="24"/>
        </w:rPr>
      </w:pPr>
    </w:p>
    <w:p w14:paraId="39F806AC" w14:textId="32C1DC52" w:rsidR="005C4F49" w:rsidRDefault="005C4F49" w:rsidP="00154C1E">
      <w:pPr>
        <w:spacing w:after="0" w:line="480" w:lineRule="auto"/>
        <w:ind w:firstLine="720"/>
        <w:rPr>
          <w:rFonts w:ascii="Garamond" w:hAnsi="Garamond"/>
          <w:b/>
          <w:sz w:val="24"/>
        </w:rPr>
      </w:pPr>
    </w:p>
    <w:p w14:paraId="522E0690" w14:textId="77777777" w:rsidR="005C4F49" w:rsidRPr="00154C1E" w:rsidRDefault="005C4F49" w:rsidP="00154C1E">
      <w:pPr>
        <w:spacing w:after="0" w:line="480" w:lineRule="auto"/>
        <w:ind w:firstLine="720"/>
        <w:rPr>
          <w:rFonts w:ascii="Garamond" w:hAnsi="Garamond"/>
          <w:b/>
          <w:sz w:val="24"/>
        </w:rPr>
      </w:pPr>
    </w:p>
    <w:p w14:paraId="085E17D8" w14:textId="790D7DB6" w:rsidR="00CC6E1E" w:rsidRPr="00CC6E1E" w:rsidRDefault="00CC6E1E" w:rsidP="00CC6E1E">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13" w:name="_Toc129961281"/>
      <w:r>
        <w:rPr>
          <w:rFonts w:ascii="Garamond" w:eastAsiaTheme="majorEastAsia" w:hAnsi="Garamond" w:cstheme="majorBidi"/>
          <w:b/>
          <w:i/>
          <w:sz w:val="28"/>
          <w:szCs w:val="26"/>
        </w:rPr>
        <w:lastRenderedPageBreak/>
        <w:t>Analysis</w:t>
      </w:r>
      <w:bookmarkEnd w:id="13"/>
    </w:p>
    <w:p w14:paraId="085E17D9" w14:textId="031676CD" w:rsidR="00F361CB" w:rsidRPr="00F361CB" w:rsidRDefault="00AB7C3C" w:rsidP="00F361CB">
      <w:pPr>
        <w:spacing w:line="480" w:lineRule="auto"/>
        <w:outlineLvl w:val="2"/>
        <w:rPr>
          <w:rFonts w:ascii="Garamond" w:hAnsi="Garamond"/>
          <w:i/>
          <w:sz w:val="28"/>
          <w:szCs w:val="24"/>
          <w:u w:val="single"/>
        </w:rPr>
      </w:pPr>
      <w:bookmarkStart w:id="14" w:name="_Toc129961282"/>
      <w:r>
        <w:rPr>
          <w:rFonts w:ascii="Garamond" w:hAnsi="Garamond"/>
          <w:i/>
          <w:sz w:val="28"/>
          <w:szCs w:val="24"/>
          <w:u w:val="single"/>
        </w:rPr>
        <w:t>5</w:t>
      </w:r>
      <w:r w:rsidR="00CC6E1E">
        <w:rPr>
          <w:rFonts w:ascii="Garamond" w:hAnsi="Garamond"/>
          <w:i/>
          <w:sz w:val="28"/>
          <w:szCs w:val="24"/>
          <w:u w:val="single"/>
        </w:rPr>
        <w:t>.</w:t>
      </w:r>
      <w:r w:rsidR="00F361CB" w:rsidRPr="00F361CB">
        <w:rPr>
          <w:rFonts w:ascii="Garamond" w:hAnsi="Garamond"/>
          <w:i/>
          <w:sz w:val="28"/>
          <w:szCs w:val="24"/>
          <w:u w:val="single"/>
        </w:rPr>
        <w:t>1: Upstream Effects</w:t>
      </w:r>
      <w:bookmarkEnd w:id="11"/>
      <w:bookmarkEnd w:id="14"/>
    </w:p>
    <w:p w14:paraId="085E17DA" w14:textId="7B7C2FBB" w:rsidR="00F361CB" w:rsidRDefault="00F361CB" w:rsidP="00F361CB">
      <w:pPr>
        <w:spacing w:line="480" w:lineRule="auto"/>
        <w:ind w:firstLine="720"/>
        <w:rPr>
          <w:rFonts w:ascii="Garamond" w:hAnsi="Garamond"/>
          <w:sz w:val="24"/>
        </w:rPr>
      </w:pPr>
      <w:r w:rsidRPr="00F361CB">
        <w:rPr>
          <w:rFonts w:ascii="Garamond" w:hAnsi="Garamond"/>
          <w:sz w:val="24"/>
        </w:rPr>
        <w:t>As a first step, I analyze all the field experiments together in an OLS regression (with experiment fixed effects and robust standard errors) to measure the impact of the treatment on upstream elections. Overall, the organization’s GOTV outreach increased turnout by 0.3 percentage points (Intent-to-Treat, se = 0.000</w:t>
      </w:r>
      <w:r w:rsidR="006248C1">
        <w:rPr>
          <w:rFonts w:ascii="Garamond" w:hAnsi="Garamond"/>
          <w:sz w:val="24"/>
        </w:rPr>
        <w:t>6</w:t>
      </w:r>
      <w:r w:rsidRPr="00F361CB">
        <w:rPr>
          <w:rFonts w:ascii="Garamond" w:hAnsi="Garamond"/>
          <w:sz w:val="24"/>
        </w:rPr>
        <w:t>, p&lt;0.001). It is standard practice (e.g., Gerber and Green 2012) to take into account that not all households were successfully contacted and evaluate the Complier Average Causal Effect (CACE), where the complier is the individual who was successfully contacted by a canvasser.</w:t>
      </w:r>
      <w:r w:rsidRPr="00F361CB">
        <w:rPr>
          <w:rFonts w:ascii="Garamond" w:hAnsi="Garamond"/>
          <w:sz w:val="24"/>
          <w:vertAlign w:val="superscript"/>
        </w:rPr>
        <w:footnoteReference w:id="21"/>
      </w:r>
      <w:r w:rsidRPr="00F361CB">
        <w:rPr>
          <w:rFonts w:ascii="Garamond" w:hAnsi="Garamond"/>
          <w:sz w:val="24"/>
        </w:rPr>
        <w:t xml:space="preserve"> I find that, at the door, the organ</w:t>
      </w:r>
      <w:r w:rsidR="006248C1">
        <w:rPr>
          <w:rFonts w:ascii="Garamond" w:hAnsi="Garamond"/>
          <w:sz w:val="24"/>
        </w:rPr>
        <w:t>ization’s GOTV canvass had a 1.7</w:t>
      </w:r>
      <w:r w:rsidRPr="00F361CB">
        <w:rPr>
          <w:rFonts w:ascii="Garamond" w:hAnsi="Garamond"/>
          <w:sz w:val="24"/>
        </w:rPr>
        <w:t xml:space="preserve"> percentage point impact on voter turnout (CACE, se = 0.0</w:t>
      </w:r>
      <w:r w:rsidR="006248C1">
        <w:rPr>
          <w:rFonts w:ascii="Garamond" w:hAnsi="Garamond"/>
          <w:sz w:val="24"/>
        </w:rPr>
        <w:t>034</w:t>
      </w:r>
      <w:r w:rsidR="002A1D48">
        <w:rPr>
          <w:rFonts w:ascii="Garamond" w:hAnsi="Garamond"/>
          <w:sz w:val="24"/>
        </w:rPr>
        <w:t xml:space="preserve">, p&lt;0.001); </w:t>
      </w:r>
      <w:r w:rsidR="002A1D48" w:rsidRPr="002A1D48">
        <w:rPr>
          <w:rFonts w:ascii="Garamond" w:hAnsi="Garamond"/>
          <w:sz w:val="24"/>
        </w:rPr>
        <w:t>CACEs by experiment are also presented in Table 5.1</w:t>
      </w:r>
      <w:r w:rsidR="002A1D48">
        <w:rPr>
          <w:rFonts w:ascii="Garamond" w:hAnsi="Garamond"/>
          <w:sz w:val="24"/>
        </w:rPr>
        <w:t>.</w:t>
      </w:r>
      <w:r w:rsidR="00596621">
        <w:rPr>
          <w:rFonts w:ascii="Garamond" w:hAnsi="Garamond"/>
          <w:sz w:val="24"/>
        </w:rPr>
        <w:t xml:space="preserve"> </w:t>
      </w:r>
      <w:r w:rsidR="00596621" w:rsidRPr="00596621">
        <w:rPr>
          <w:rFonts w:ascii="Garamond" w:hAnsi="Garamond"/>
          <w:sz w:val="24"/>
        </w:rPr>
        <w:t xml:space="preserve">A meta-analysis by Gerber &amp; Green (2019) finds that </w:t>
      </w:r>
      <w:r w:rsidR="00596621">
        <w:rPr>
          <w:rFonts w:ascii="Garamond" w:hAnsi="Garamond"/>
          <w:sz w:val="24"/>
        </w:rPr>
        <w:t>a</w:t>
      </w:r>
      <w:r w:rsidR="00596621" w:rsidRPr="00596621">
        <w:rPr>
          <w:rFonts w:ascii="Garamond" w:hAnsi="Garamond"/>
          <w:sz w:val="24"/>
        </w:rPr>
        <w:t xml:space="preserve">mong the studies that had a control group turnout rate between 50% and 70% (the control group in </w:t>
      </w:r>
      <w:r w:rsidR="006248C1">
        <w:rPr>
          <w:rFonts w:ascii="Garamond" w:hAnsi="Garamond"/>
          <w:sz w:val="24"/>
        </w:rPr>
        <w:t>my data had a turnout rate of 69</w:t>
      </w:r>
      <w:r w:rsidR="00596621" w:rsidRPr="00596621">
        <w:rPr>
          <w:rFonts w:ascii="Garamond" w:hAnsi="Garamond"/>
          <w:sz w:val="24"/>
        </w:rPr>
        <w:t>.6%), the CACE conditional on opening the door was 1.8 with a 95% confidence interval of [0.4, 3.3] (Green &amp; Gerber 2019, p. 211).</w:t>
      </w:r>
      <w:r w:rsidRPr="00F361CB">
        <w:rPr>
          <w:rFonts w:ascii="Garamond" w:hAnsi="Garamond"/>
          <w:sz w:val="24"/>
        </w:rPr>
        <w:t xml:space="preserve"> </w:t>
      </w:r>
      <w:r w:rsidR="0035681D">
        <w:rPr>
          <w:rFonts w:ascii="Garamond" w:hAnsi="Garamond"/>
          <w:sz w:val="24"/>
        </w:rPr>
        <w:t>We ca</w:t>
      </w:r>
      <w:r w:rsidR="00596621">
        <w:rPr>
          <w:rFonts w:ascii="Garamond" w:hAnsi="Garamond"/>
          <w:sz w:val="24"/>
        </w:rPr>
        <w:t>n</w:t>
      </w:r>
      <w:r w:rsidR="0035681D">
        <w:rPr>
          <w:rFonts w:ascii="Garamond" w:hAnsi="Garamond"/>
          <w:sz w:val="24"/>
        </w:rPr>
        <w:t>, therefore, safely conclude that</w:t>
      </w:r>
      <w:r w:rsidRPr="00F361CB">
        <w:rPr>
          <w:rFonts w:ascii="Garamond" w:hAnsi="Garamond"/>
          <w:sz w:val="24"/>
        </w:rPr>
        <w:t xml:space="preserve"> the upstream impact of the </w:t>
      </w:r>
      <w:proofErr w:type="spellStart"/>
      <w:r w:rsidRPr="00F361CB">
        <w:rPr>
          <w:rFonts w:ascii="Garamond" w:hAnsi="Garamond"/>
          <w:sz w:val="24"/>
        </w:rPr>
        <w:t>doorknock</w:t>
      </w:r>
      <w:proofErr w:type="spellEnd"/>
      <w:r w:rsidRPr="00F361CB">
        <w:rPr>
          <w:rFonts w:ascii="Garamond" w:hAnsi="Garamond"/>
          <w:sz w:val="24"/>
        </w:rPr>
        <w:t xml:space="preserve"> treatment in this paper is typical of door-to-door mobilization efforts. </w:t>
      </w:r>
    </w:p>
    <w:p w14:paraId="66401AB5" w14:textId="4BBB010B" w:rsidR="00F4050F" w:rsidRDefault="00F4050F" w:rsidP="00F361CB">
      <w:pPr>
        <w:spacing w:line="480" w:lineRule="auto"/>
        <w:ind w:firstLine="720"/>
        <w:rPr>
          <w:rFonts w:ascii="Garamond" w:hAnsi="Garamond"/>
          <w:sz w:val="24"/>
        </w:rPr>
      </w:pPr>
    </w:p>
    <w:p w14:paraId="6023D950" w14:textId="74E9A2A0" w:rsidR="00F4050F" w:rsidRDefault="00F4050F" w:rsidP="00F361CB">
      <w:pPr>
        <w:spacing w:line="480" w:lineRule="auto"/>
        <w:ind w:firstLine="720"/>
        <w:rPr>
          <w:rFonts w:ascii="Garamond" w:hAnsi="Garamond"/>
          <w:sz w:val="24"/>
        </w:rPr>
      </w:pPr>
    </w:p>
    <w:p w14:paraId="4210BCCD" w14:textId="38E39E8A" w:rsidR="00F4050F" w:rsidRDefault="00F4050F" w:rsidP="00F361CB">
      <w:pPr>
        <w:spacing w:line="480" w:lineRule="auto"/>
        <w:ind w:firstLine="720"/>
        <w:rPr>
          <w:rFonts w:ascii="Garamond" w:hAnsi="Garamond"/>
          <w:sz w:val="24"/>
        </w:rPr>
      </w:pPr>
    </w:p>
    <w:p w14:paraId="0F45E163" w14:textId="5414F8B7" w:rsidR="00F4050F" w:rsidRDefault="00F4050F" w:rsidP="00F361CB">
      <w:pPr>
        <w:spacing w:line="480" w:lineRule="auto"/>
        <w:ind w:firstLine="720"/>
        <w:rPr>
          <w:rFonts w:ascii="Garamond" w:hAnsi="Garamond"/>
          <w:sz w:val="24"/>
        </w:rPr>
      </w:pPr>
    </w:p>
    <w:p w14:paraId="43965E05" w14:textId="77777777" w:rsidR="00F4050F" w:rsidRDefault="00F4050F" w:rsidP="00F361CB">
      <w:pPr>
        <w:spacing w:line="480" w:lineRule="auto"/>
        <w:ind w:firstLine="720"/>
        <w:rPr>
          <w:rFonts w:ascii="Garamond" w:hAnsi="Garamond"/>
          <w:sz w:val="24"/>
        </w:rPr>
      </w:pPr>
    </w:p>
    <w:p w14:paraId="0A9CA68E" w14:textId="77777777" w:rsidR="001D2AAB" w:rsidRPr="00F361CB" w:rsidRDefault="001D2AAB" w:rsidP="001D2AAB">
      <w:pPr>
        <w:spacing w:line="480" w:lineRule="auto"/>
        <w:outlineLvl w:val="2"/>
        <w:rPr>
          <w:rFonts w:ascii="Garamond" w:hAnsi="Garamond"/>
          <w:i/>
          <w:sz w:val="28"/>
          <w:szCs w:val="24"/>
          <w:u w:val="single"/>
        </w:rPr>
      </w:pPr>
      <w:bookmarkStart w:id="15" w:name="_Toc83912426"/>
      <w:bookmarkStart w:id="16" w:name="_Toc129961283"/>
      <w:r>
        <w:rPr>
          <w:rFonts w:ascii="Garamond" w:hAnsi="Garamond"/>
          <w:i/>
          <w:sz w:val="28"/>
          <w:szCs w:val="24"/>
          <w:u w:val="single"/>
        </w:rPr>
        <w:lastRenderedPageBreak/>
        <w:t>5.</w:t>
      </w:r>
      <w:r w:rsidRPr="00F361CB">
        <w:rPr>
          <w:rFonts w:ascii="Garamond" w:hAnsi="Garamond"/>
          <w:i/>
          <w:sz w:val="28"/>
          <w:szCs w:val="24"/>
          <w:u w:val="single"/>
        </w:rPr>
        <w:t xml:space="preserve">2: </w:t>
      </w:r>
      <w:bookmarkEnd w:id="15"/>
      <w:r>
        <w:rPr>
          <w:rFonts w:ascii="Garamond" w:hAnsi="Garamond"/>
          <w:i/>
          <w:sz w:val="28"/>
          <w:szCs w:val="24"/>
          <w:u w:val="single"/>
        </w:rPr>
        <w:t>Checking for Weak Instruments</w:t>
      </w:r>
      <w:bookmarkEnd w:id="16"/>
    </w:p>
    <w:p w14:paraId="36AE5653" w14:textId="77777777" w:rsidR="001D2AAB" w:rsidRDefault="001D2AAB" w:rsidP="001D2AAB">
      <w:pPr>
        <w:spacing w:line="480" w:lineRule="auto"/>
        <w:ind w:firstLine="720"/>
        <w:rPr>
          <w:rFonts w:ascii="Garamond" w:hAnsi="Garamond"/>
          <w:sz w:val="24"/>
        </w:rPr>
      </w:pPr>
      <w:r>
        <w:rPr>
          <w:rFonts w:ascii="Garamond" w:hAnsi="Garamond"/>
          <w:sz w:val="24"/>
        </w:rPr>
        <w:t>One threat to the validity of CACE estimates is weak instruments. This is not be confused with the problem of causal identification: e.g., if a canvass was not actually conducted, the canvass experiment would fail to turn out voters to the polls and turnout persistence among those who were successfully turned out is not estimatable.</w:t>
      </w:r>
      <w:r>
        <w:rPr>
          <w:rStyle w:val="FootnoteReference"/>
          <w:rFonts w:ascii="Garamond" w:hAnsi="Garamond"/>
          <w:sz w:val="24"/>
        </w:rPr>
        <w:footnoteReference w:id="22"/>
      </w:r>
      <w:r>
        <w:rPr>
          <w:rFonts w:ascii="Garamond" w:hAnsi="Garamond"/>
          <w:sz w:val="24"/>
        </w:rPr>
        <w:t xml:space="preserve"> Weak instruments, however, are a statistical problem—if the first stage coefficient (in this case, the proportion of voters successfully turned out by the treatment) is close to zero, our CACE estimates may be distorted (</w:t>
      </w:r>
      <w:r w:rsidRPr="00790E4A">
        <w:rPr>
          <w:rFonts w:ascii="Garamond" w:hAnsi="Garamond"/>
          <w:sz w:val="24"/>
        </w:rPr>
        <w:t>Andrews, Stock, &amp; Sun 2019</w:t>
      </w:r>
      <w:r>
        <w:rPr>
          <w:rFonts w:ascii="Garamond" w:hAnsi="Garamond"/>
          <w:sz w:val="24"/>
        </w:rPr>
        <w:t xml:space="preserve">). </w:t>
      </w:r>
    </w:p>
    <w:p w14:paraId="59328598" w14:textId="3F344A22" w:rsidR="001D2AAB" w:rsidRDefault="001D2AAB" w:rsidP="001D2AAB">
      <w:pPr>
        <w:spacing w:line="480" w:lineRule="auto"/>
        <w:ind w:firstLine="720"/>
        <w:rPr>
          <w:rFonts w:ascii="Garamond" w:hAnsi="Garamond"/>
          <w:sz w:val="24"/>
        </w:rPr>
      </w:pPr>
      <w:r>
        <w:rPr>
          <w:rFonts w:ascii="Garamond" w:hAnsi="Garamond"/>
          <w:sz w:val="24"/>
        </w:rPr>
        <w:t xml:space="preserve"> </w:t>
      </w:r>
      <w:r w:rsidRPr="00F361CB">
        <w:rPr>
          <w:rFonts w:ascii="Garamond" w:hAnsi="Garamond"/>
          <w:sz w:val="24"/>
        </w:rPr>
        <w:t xml:space="preserve">To check for weak instruments, I examine the impact of each treatment on upstream elections by experiment (see Table </w:t>
      </w:r>
      <w:r>
        <w:rPr>
          <w:rFonts w:ascii="Garamond" w:hAnsi="Garamond"/>
          <w:sz w:val="24"/>
        </w:rPr>
        <w:t>5</w:t>
      </w:r>
      <w:r w:rsidRPr="00F361CB">
        <w:rPr>
          <w:rFonts w:ascii="Garamond" w:hAnsi="Garamond"/>
          <w:sz w:val="24"/>
        </w:rPr>
        <w:t>.</w:t>
      </w:r>
      <w:r>
        <w:rPr>
          <w:rFonts w:ascii="Garamond" w:hAnsi="Garamond"/>
          <w:sz w:val="24"/>
        </w:rPr>
        <w:t>2</w:t>
      </w:r>
      <w:r w:rsidRPr="00F361CB">
        <w:rPr>
          <w:rFonts w:ascii="Garamond" w:hAnsi="Garamond"/>
          <w:sz w:val="24"/>
        </w:rPr>
        <w:t>). Though some experiments were underpowered on their own, most of the outreach programs had upstream treatment effects that were well within range of one another. The only exception is the 2014 canvass program in Washington, which appears to have had a near-perfect zero impact on turnout in the 2014 general election (p=0.95). The extremely small magnitude of the upstream coefficient is likely to blow up our CACE estimates in this experiment.</w:t>
      </w:r>
      <w:r w:rsidRPr="00F361CB">
        <w:rPr>
          <w:rFonts w:ascii="Garamond" w:hAnsi="Garamond"/>
          <w:sz w:val="24"/>
          <w:vertAlign w:val="superscript"/>
        </w:rPr>
        <w:footnoteReference w:id="23"/>
      </w:r>
      <w:r w:rsidRPr="00F361CB">
        <w:rPr>
          <w:rFonts w:ascii="Garamond" w:hAnsi="Garamond"/>
          <w:sz w:val="24"/>
        </w:rPr>
        <w:t xml:space="preserve"> </w:t>
      </w:r>
      <w:r w:rsidRPr="000617E5">
        <w:rPr>
          <w:rFonts w:ascii="Garamond" w:hAnsi="Garamond"/>
          <w:sz w:val="24"/>
        </w:rPr>
        <w:t xml:space="preserve">More formally, a weak instrument test yields a </w:t>
      </w:r>
      <w:proofErr w:type="spellStart"/>
      <w:r w:rsidRPr="000617E5">
        <w:rPr>
          <w:rFonts w:ascii="Garamond" w:hAnsi="Garamond"/>
          <w:sz w:val="24"/>
        </w:rPr>
        <w:t>Kleibergen</w:t>
      </w:r>
      <w:proofErr w:type="spellEnd"/>
      <w:r w:rsidRPr="000617E5">
        <w:rPr>
          <w:rFonts w:ascii="Garamond" w:hAnsi="Garamond"/>
          <w:sz w:val="24"/>
        </w:rPr>
        <w:t xml:space="preserve"> &amp; </w:t>
      </w:r>
      <w:proofErr w:type="spellStart"/>
      <w:r w:rsidRPr="000617E5">
        <w:rPr>
          <w:rFonts w:ascii="Garamond" w:hAnsi="Garamond"/>
          <w:sz w:val="24"/>
        </w:rPr>
        <w:t>Paap</w:t>
      </w:r>
      <w:proofErr w:type="spellEnd"/>
      <w:r w:rsidRPr="000617E5">
        <w:rPr>
          <w:rFonts w:ascii="Garamond" w:hAnsi="Garamond"/>
          <w:sz w:val="24"/>
        </w:rPr>
        <w:t xml:space="preserve"> (2006) F-statistic of 0.003, well below the rule-of-thumb threshold of 10 (</w:t>
      </w:r>
      <w:proofErr w:type="spellStart"/>
      <w:r w:rsidRPr="000617E5">
        <w:rPr>
          <w:rFonts w:ascii="Garamond" w:hAnsi="Garamond"/>
          <w:sz w:val="24"/>
        </w:rPr>
        <w:t>Keele</w:t>
      </w:r>
      <w:proofErr w:type="spellEnd"/>
      <w:r w:rsidRPr="000617E5">
        <w:rPr>
          <w:rFonts w:ascii="Garamond" w:hAnsi="Garamond"/>
          <w:sz w:val="24"/>
        </w:rPr>
        <w:t xml:space="preserve"> &amp; Morgan 2016) and even the most lenient Stock-</w:t>
      </w:r>
      <w:proofErr w:type="spellStart"/>
      <w:r w:rsidRPr="000617E5">
        <w:rPr>
          <w:rFonts w:ascii="Garamond" w:hAnsi="Garamond"/>
          <w:sz w:val="24"/>
        </w:rPr>
        <w:t>Yogo</w:t>
      </w:r>
      <w:proofErr w:type="spellEnd"/>
      <w:r w:rsidRPr="000617E5">
        <w:rPr>
          <w:rFonts w:ascii="Garamond" w:hAnsi="Garamond"/>
          <w:sz w:val="24"/>
        </w:rPr>
        <w:t xml:space="preserve"> (Stock &amp; </w:t>
      </w:r>
      <w:proofErr w:type="spellStart"/>
      <w:r w:rsidRPr="000617E5">
        <w:rPr>
          <w:rFonts w:ascii="Garamond" w:hAnsi="Garamond"/>
          <w:sz w:val="24"/>
        </w:rPr>
        <w:t>Yogo</w:t>
      </w:r>
      <w:proofErr w:type="spellEnd"/>
      <w:r w:rsidRPr="000617E5">
        <w:rPr>
          <w:rFonts w:ascii="Garamond" w:hAnsi="Garamond"/>
          <w:sz w:val="24"/>
        </w:rPr>
        <w:t xml:space="preserve">, 2005) critical values (i.e., 25% maximal IV size: 5.53). </w:t>
      </w:r>
      <w:r w:rsidRPr="00F361CB">
        <w:rPr>
          <w:rFonts w:ascii="Garamond" w:hAnsi="Garamond"/>
          <w:sz w:val="24"/>
        </w:rPr>
        <w:t xml:space="preserve">As such, in all subsequent analyses, the Washington data is omitted. </w:t>
      </w:r>
      <w:r>
        <w:rPr>
          <w:rFonts w:ascii="Garamond" w:hAnsi="Garamond"/>
          <w:sz w:val="24"/>
        </w:rPr>
        <w:t>I</w:t>
      </w:r>
      <w:r w:rsidRPr="00F361CB">
        <w:rPr>
          <w:rFonts w:ascii="Garamond" w:hAnsi="Garamond"/>
          <w:sz w:val="24"/>
        </w:rPr>
        <w:t>ncluding the Washington data in all subsequent analyses does not substantially change the reported results</w:t>
      </w:r>
      <w:r>
        <w:rPr>
          <w:rFonts w:ascii="Garamond" w:hAnsi="Garamond"/>
          <w:sz w:val="24"/>
        </w:rPr>
        <w:t>,</w:t>
      </w:r>
      <w:r w:rsidRPr="00F361CB">
        <w:rPr>
          <w:rFonts w:ascii="Garamond" w:hAnsi="Garamond"/>
          <w:sz w:val="24"/>
        </w:rPr>
        <w:t xml:space="preserve"> since it accounted for just ~6% of the entire sample.</w:t>
      </w:r>
      <w:r>
        <w:rPr>
          <w:rStyle w:val="FootnoteReference"/>
          <w:rFonts w:ascii="Garamond" w:hAnsi="Garamond"/>
          <w:sz w:val="24"/>
        </w:rPr>
        <w:footnoteReference w:id="24"/>
      </w:r>
      <w:r w:rsidRPr="00F361CB">
        <w:rPr>
          <w:rFonts w:ascii="Garamond" w:hAnsi="Garamond"/>
          <w:sz w:val="24"/>
        </w:rPr>
        <w:t xml:space="preserve"> </w:t>
      </w:r>
    </w:p>
    <w:p w14:paraId="748217AB" w14:textId="01DB4207" w:rsidR="002A1D48" w:rsidRPr="00F361CB" w:rsidRDefault="002A1D48" w:rsidP="002A1D48">
      <w:pPr>
        <w:spacing w:line="480" w:lineRule="auto"/>
        <w:rPr>
          <w:rFonts w:ascii="Garamond" w:hAnsi="Garamond"/>
          <w:noProof/>
          <w:sz w:val="24"/>
          <w:szCs w:val="24"/>
        </w:rPr>
      </w:pPr>
      <w:bookmarkStart w:id="17" w:name="_Toc83753721"/>
      <w:r w:rsidRPr="00F361CB">
        <w:rPr>
          <w:rFonts w:ascii="Garamond" w:hAnsi="Garamond"/>
          <w:b/>
          <w:noProof/>
          <w:sz w:val="24"/>
          <w:szCs w:val="24"/>
        </w:rPr>
        <w:lastRenderedPageBreak/>
        <w:t xml:space="preserve">Table </w:t>
      </w:r>
      <w:r>
        <w:rPr>
          <w:rFonts w:ascii="Garamond" w:hAnsi="Garamond"/>
          <w:b/>
          <w:noProof/>
          <w:sz w:val="24"/>
          <w:szCs w:val="24"/>
        </w:rPr>
        <w:t>5</w:t>
      </w:r>
      <w:r w:rsidRPr="00F361CB">
        <w:rPr>
          <w:rFonts w:ascii="Garamond" w:hAnsi="Garamond"/>
          <w:b/>
          <w:noProof/>
          <w:sz w:val="24"/>
          <w:szCs w:val="24"/>
        </w:rPr>
        <w:t>.</w:t>
      </w:r>
      <w:r w:rsidR="001D2AAB">
        <w:rPr>
          <w:rFonts w:ascii="Garamond" w:hAnsi="Garamond"/>
          <w:b/>
          <w:noProof/>
          <w:sz w:val="24"/>
          <w:szCs w:val="24"/>
        </w:rPr>
        <w:t>2</w:t>
      </w:r>
      <w:r w:rsidRPr="00F361CB">
        <w:rPr>
          <w:rFonts w:ascii="Garamond" w:hAnsi="Garamond"/>
          <w:noProof/>
          <w:sz w:val="24"/>
          <w:szCs w:val="24"/>
        </w:rPr>
        <w:t>: Upstream effects by each experiment</w:t>
      </w:r>
      <w:bookmarkEnd w:id="17"/>
    </w:p>
    <w:tbl>
      <w:tblPr>
        <w:tblW w:w="3920" w:type="dxa"/>
        <w:tblLook w:val="04A0" w:firstRow="1" w:lastRow="0" w:firstColumn="1" w:lastColumn="0" w:noHBand="0" w:noVBand="1"/>
      </w:tblPr>
      <w:tblGrid>
        <w:gridCol w:w="1430"/>
        <w:gridCol w:w="1041"/>
        <w:gridCol w:w="1449"/>
      </w:tblGrid>
      <w:tr w:rsidR="002A1D48" w:rsidRPr="00F361CB" w14:paraId="10312A22" w14:textId="77777777" w:rsidTr="00DE3D72">
        <w:trPr>
          <w:trHeight w:val="2196"/>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D2F0FC" w14:textId="77777777" w:rsidR="002A1D48" w:rsidRPr="00F361CB" w:rsidRDefault="002A1D48" w:rsidP="00DE3D72">
            <w:pPr>
              <w:spacing w:after="0" w:line="240" w:lineRule="auto"/>
              <w:jc w:val="center"/>
              <w:rPr>
                <w:rFonts w:ascii="Garamond" w:eastAsia="Times New Roman" w:hAnsi="Garamond" w:cs="Calibri"/>
                <w:b/>
                <w:bCs/>
                <w:i/>
                <w:iCs/>
                <w:sz w:val="24"/>
                <w:szCs w:val="24"/>
              </w:rPr>
            </w:pPr>
            <w:r w:rsidRPr="00F361CB">
              <w:rPr>
                <w:rFonts w:ascii="Garamond" w:eastAsia="Times New Roman" w:hAnsi="Garamond" w:cs="Calibri"/>
                <w:b/>
                <w:bCs/>
                <w:i/>
                <w:iCs/>
                <w:sz w:val="24"/>
                <w:szCs w:val="24"/>
              </w:rPr>
              <w:t>Experiment</w:t>
            </w:r>
          </w:p>
        </w:tc>
        <w:tc>
          <w:tcPr>
            <w:tcW w:w="1160" w:type="dxa"/>
            <w:tcBorders>
              <w:top w:val="single" w:sz="12" w:space="0" w:color="auto"/>
              <w:left w:val="nil"/>
              <w:bottom w:val="single" w:sz="12" w:space="0" w:color="auto"/>
              <w:right w:val="nil"/>
            </w:tcBorders>
            <w:shd w:val="clear" w:color="auto" w:fill="auto"/>
            <w:vAlign w:val="center"/>
            <w:hideMark/>
          </w:tcPr>
          <w:p w14:paraId="6073C2BF" w14:textId="04ADE38F" w:rsidR="002A1D48" w:rsidRPr="00F361CB" w:rsidRDefault="002A1D48" w:rsidP="00C03E76">
            <w:pPr>
              <w:spacing w:after="0" w:line="240" w:lineRule="auto"/>
              <w:jc w:val="center"/>
              <w:rPr>
                <w:rFonts w:ascii="Garamond" w:eastAsia="Times New Roman" w:hAnsi="Garamond" w:cs="Calibri"/>
                <w:b/>
                <w:bCs/>
                <w:i/>
                <w:iCs/>
                <w:sz w:val="24"/>
                <w:szCs w:val="24"/>
              </w:rPr>
            </w:pPr>
            <w:r w:rsidRPr="00F361CB">
              <w:rPr>
                <w:rFonts w:ascii="Garamond" w:eastAsia="Times New Roman" w:hAnsi="Garamond" w:cs="Calibri"/>
                <w:b/>
                <w:bCs/>
                <w:i/>
                <w:iCs/>
                <w:sz w:val="24"/>
                <w:szCs w:val="24"/>
              </w:rPr>
              <w:t xml:space="preserve">Intent-to-treat Effect </w:t>
            </w:r>
          </w:p>
        </w:tc>
        <w:tc>
          <w:tcPr>
            <w:tcW w:w="1320" w:type="dxa"/>
            <w:tcBorders>
              <w:top w:val="single" w:sz="12" w:space="0" w:color="auto"/>
              <w:left w:val="nil"/>
              <w:bottom w:val="single" w:sz="12" w:space="0" w:color="auto"/>
              <w:right w:val="single" w:sz="12" w:space="0" w:color="auto"/>
            </w:tcBorders>
            <w:shd w:val="clear" w:color="auto" w:fill="auto"/>
            <w:vAlign w:val="center"/>
            <w:hideMark/>
          </w:tcPr>
          <w:p w14:paraId="5402F300" w14:textId="1A11589F" w:rsidR="002A1D48" w:rsidRPr="00F361CB" w:rsidRDefault="00C03E76" w:rsidP="00DE3D72">
            <w:pPr>
              <w:spacing w:after="0" w:line="240" w:lineRule="auto"/>
              <w:jc w:val="center"/>
              <w:rPr>
                <w:rFonts w:ascii="Garamond" w:eastAsia="Times New Roman" w:hAnsi="Garamond" w:cs="Calibri"/>
                <w:b/>
                <w:bCs/>
                <w:i/>
                <w:iCs/>
                <w:sz w:val="24"/>
                <w:szCs w:val="24"/>
              </w:rPr>
            </w:pPr>
            <w:r>
              <w:rPr>
                <w:rFonts w:ascii="Garamond" w:eastAsia="Times New Roman" w:hAnsi="Garamond" w:cs="Calibri"/>
                <w:b/>
                <w:bCs/>
                <w:i/>
                <w:iCs/>
                <w:sz w:val="24"/>
                <w:szCs w:val="24"/>
              </w:rPr>
              <w:t>CACE (conditional on opening the door)</w:t>
            </w:r>
          </w:p>
        </w:tc>
      </w:tr>
      <w:tr w:rsidR="002A1D48" w:rsidRPr="00F361CB" w14:paraId="00EEF0FC"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492A19BE"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2014 IA</w:t>
            </w:r>
          </w:p>
        </w:tc>
        <w:tc>
          <w:tcPr>
            <w:tcW w:w="1160" w:type="dxa"/>
            <w:tcBorders>
              <w:top w:val="nil"/>
              <w:left w:val="nil"/>
              <w:bottom w:val="nil"/>
              <w:right w:val="nil"/>
            </w:tcBorders>
            <w:shd w:val="clear" w:color="auto" w:fill="auto"/>
            <w:vAlign w:val="center"/>
            <w:hideMark/>
          </w:tcPr>
          <w:p w14:paraId="6F2A5B1F"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0.0140</w:t>
            </w:r>
          </w:p>
        </w:tc>
        <w:tc>
          <w:tcPr>
            <w:tcW w:w="1320" w:type="dxa"/>
            <w:tcBorders>
              <w:top w:val="nil"/>
              <w:left w:val="nil"/>
              <w:bottom w:val="nil"/>
              <w:right w:val="single" w:sz="12" w:space="0" w:color="auto"/>
            </w:tcBorders>
            <w:shd w:val="clear" w:color="auto" w:fill="auto"/>
            <w:vAlign w:val="center"/>
            <w:hideMark/>
          </w:tcPr>
          <w:p w14:paraId="46F6B0F1"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0.0666</w:t>
            </w:r>
          </w:p>
        </w:tc>
      </w:tr>
      <w:tr w:rsidR="002A1D48" w:rsidRPr="00F361CB" w14:paraId="531BEEC8"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699FA872" w14:textId="5716A5AE"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2D0E0066"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(0.0034)</w:t>
            </w:r>
          </w:p>
        </w:tc>
        <w:tc>
          <w:tcPr>
            <w:tcW w:w="1320" w:type="dxa"/>
            <w:tcBorders>
              <w:top w:val="nil"/>
              <w:left w:val="nil"/>
              <w:bottom w:val="single" w:sz="12" w:space="0" w:color="auto"/>
              <w:right w:val="single" w:sz="12" w:space="0" w:color="auto"/>
            </w:tcBorders>
            <w:shd w:val="clear" w:color="auto" w:fill="auto"/>
            <w:vAlign w:val="center"/>
            <w:hideMark/>
          </w:tcPr>
          <w:p w14:paraId="0D3205FA"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(0.0164)</w:t>
            </w:r>
          </w:p>
        </w:tc>
      </w:tr>
      <w:tr w:rsidR="002A1D48" w:rsidRPr="00F361CB" w14:paraId="18E14CDE"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71A459E0"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2014 IL</w:t>
            </w:r>
          </w:p>
        </w:tc>
        <w:tc>
          <w:tcPr>
            <w:tcW w:w="1160" w:type="dxa"/>
            <w:tcBorders>
              <w:top w:val="nil"/>
              <w:left w:val="nil"/>
              <w:bottom w:val="nil"/>
              <w:right w:val="nil"/>
            </w:tcBorders>
            <w:shd w:val="clear" w:color="auto" w:fill="auto"/>
            <w:vAlign w:val="center"/>
            <w:hideMark/>
          </w:tcPr>
          <w:p w14:paraId="4918E3CE"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0.0016</w:t>
            </w:r>
          </w:p>
        </w:tc>
        <w:tc>
          <w:tcPr>
            <w:tcW w:w="1320" w:type="dxa"/>
            <w:tcBorders>
              <w:top w:val="nil"/>
              <w:left w:val="nil"/>
              <w:bottom w:val="nil"/>
              <w:right w:val="single" w:sz="12" w:space="0" w:color="auto"/>
            </w:tcBorders>
            <w:shd w:val="clear" w:color="auto" w:fill="auto"/>
            <w:vAlign w:val="center"/>
            <w:hideMark/>
          </w:tcPr>
          <w:p w14:paraId="5AE8325F"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0.0101</w:t>
            </w:r>
          </w:p>
        </w:tc>
      </w:tr>
      <w:tr w:rsidR="002A1D48" w:rsidRPr="00F361CB" w14:paraId="0C4A8CCD"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164E98C6" w14:textId="032CE522"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60479947"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(0.0010)</w:t>
            </w:r>
          </w:p>
        </w:tc>
        <w:tc>
          <w:tcPr>
            <w:tcW w:w="1320" w:type="dxa"/>
            <w:tcBorders>
              <w:top w:val="nil"/>
              <w:left w:val="nil"/>
              <w:bottom w:val="single" w:sz="12" w:space="0" w:color="auto"/>
              <w:right w:val="single" w:sz="12" w:space="0" w:color="auto"/>
            </w:tcBorders>
            <w:shd w:val="clear" w:color="auto" w:fill="auto"/>
            <w:vAlign w:val="center"/>
            <w:hideMark/>
          </w:tcPr>
          <w:p w14:paraId="35D01F39"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(0.0063)</w:t>
            </w:r>
          </w:p>
        </w:tc>
      </w:tr>
      <w:tr w:rsidR="002A1D48" w:rsidRPr="00F361CB" w14:paraId="4BE41543"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230845B4"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2014 MI</w:t>
            </w:r>
          </w:p>
        </w:tc>
        <w:tc>
          <w:tcPr>
            <w:tcW w:w="1160" w:type="dxa"/>
            <w:tcBorders>
              <w:top w:val="nil"/>
              <w:left w:val="nil"/>
              <w:bottom w:val="nil"/>
              <w:right w:val="nil"/>
            </w:tcBorders>
            <w:shd w:val="clear" w:color="auto" w:fill="auto"/>
            <w:vAlign w:val="center"/>
            <w:hideMark/>
          </w:tcPr>
          <w:p w14:paraId="0F66CAD5"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0.0022</w:t>
            </w:r>
          </w:p>
        </w:tc>
        <w:tc>
          <w:tcPr>
            <w:tcW w:w="1320" w:type="dxa"/>
            <w:tcBorders>
              <w:top w:val="nil"/>
              <w:left w:val="nil"/>
              <w:bottom w:val="nil"/>
              <w:right w:val="single" w:sz="12" w:space="0" w:color="auto"/>
            </w:tcBorders>
            <w:shd w:val="clear" w:color="auto" w:fill="auto"/>
            <w:vAlign w:val="center"/>
            <w:hideMark/>
          </w:tcPr>
          <w:p w14:paraId="758008F2"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0.0112</w:t>
            </w:r>
          </w:p>
        </w:tc>
      </w:tr>
      <w:tr w:rsidR="002A1D48" w:rsidRPr="00F361CB" w14:paraId="67146E20"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0810942B" w14:textId="6E867354"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7F10ED84"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(0.0012)</w:t>
            </w:r>
          </w:p>
        </w:tc>
        <w:tc>
          <w:tcPr>
            <w:tcW w:w="1320" w:type="dxa"/>
            <w:tcBorders>
              <w:top w:val="nil"/>
              <w:left w:val="nil"/>
              <w:bottom w:val="single" w:sz="12" w:space="0" w:color="auto"/>
              <w:right w:val="single" w:sz="12" w:space="0" w:color="auto"/>
            </w:tcBorders>
            <w:shd w:val="clear" w:color="auto" w:fill="auto"/>
            <w:vAlign w:val="center"/>
            <w:hideMark/>
          </w:tcPr>
          <w:p w14:paraId="4774CE20"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(0.0061)</w:t>
            </w:r>
          </w:p>
        </w:tc>
      </w:tr>
      <w:tr w:rsidR="002A1D48" w:rsidRPr="00F361CB" w14:paraId="3C443C2B"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15D1ACED"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2014 NY</w:t>
            </w:r>
          </w:p>
        </w:tc>
        <w:tc>
          <w:tcPr>
            <w:tcW w:w="1160" w:type="dxa"/>
            <w:tcBorders>
              <w:top w:val="nil"/>
              <w:left w:val="nil"/>
              <w:bottom w:val="nil"/>
              <w:right w:val="nil"/>
            </w:tcBorders>
            <w:shd w:val="clear" w:color="auto" w:fill="auto"/>
            <w:vAlign w:val="center"/>
            <w:hideMark/>
          </w:tcPr>
          <w:p w14:paraId="27E3B7C5"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0.0019</w:t>
            </w:r>
          </w:p>
        </w:tc>
        <w:tc>
          <w:tcPr>
            <w:tcW w:w="1320" w:type="dxa"/>
            <w:tcBorders>
              <w:top w:val="nil"/>
              <w:left w:val="nil"/>
              <w:bottom w:val="nil"/>
              <w:right w:val="single" w:sz="12" w:space="0" w:color="auto"/>
            </w:tcBorders>
            <w:shd w:val="clear" w:color="auto" w:fill="auto"/>
            <w:vAlign w:val="center"/>
            <w:hideMark/>
          </w:tcPr>
          <w:p w14:paraId="660DD8D4"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0.0139</w:t>
            </w:r>
          </w:p>
        </w:tc>
      </w:tr>
      <w:tr w:rsidR="002A1D48" w:rsidRPr="00F361CB" w14:paraId="6EE00A40"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20C520D4" w14:textId="221AD089"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45892B60"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(0.0018)</w:t>
            </w:r>
          </w:p>
        </w:tc>
        <w:tc>
          <w:tcPr>
            <w:tcW w:w="1320" w:type="dxa"/>
            <w:tcBorders>
              <w:top w:val="nil"/>
              <w:left w:val="nil"/>
              <w:bottom w:val="single" w:sz="12" w:space="0" w:color="auto"/>
              <w:right w:val="single" w:sz="12" w:space="0" w:color="auto"/>
            </w:tcBorders>
            <w:shd w:val="clear" w:color="auto" w:fill="auto"/>
            <w:vAlign w:val="center"/>
            <w:hideMark/>
          </w:tcPr>
          <w:p w14:paraId="3A51CADB"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(0.0136)</w:t>
            </w:r>
          </w:p>
        </w:tc>
      </w:tr>
      <w:tr w:rsidR="002A1D48" w:rsidRPr="00F361CB" w14:paraId="23FFF37A"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23F61929"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2014 WA</w:t>
            </w:r>
          </w:p>
        </w:tc>
        <w:tc>
          <w:tcPr>
            <w:tcW w:w="1160" w:type="dxa"/>
            <w:tcBorders>
              <w:top w:val="nil"/>
              <w:left w:val="nil"/>
              <w:bottom w:val="nil"/>
              <w:right w:val="nil"/>
            </w:tcBorders>
            <w:shd w:val="clear" w:color="auto" w:fill="auto"/>
            <w:vAlign w:val="center"/>
            <w:hideMark/>
          </w:tcPr>
          <w:p w14:paraId="3330008E"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0.0002</w:t>
            </w:r>
          </w:p>
        </w:tc>
        <w:tc>
          <w:tcPr>
            <w:tcW w:w="1320" w:type="dxa"/>
            <w:tcBorders>
              <w:top w:val="nil"/>
              <w:left w:val="nil"/>
              <w:bottom w:val="nil"/>
              <w:right w:val="single" w:sz="12" w:space="0" w:color="auto"/>
            </w:tcBorders>
            <w:shd w:val="clear" w:color="auto" w:fill="auto"/>
            <w:vAlign w:val="center"/>
            <w:hideMark/>
          </w:tcPr>
          <w:p w14:paraId="53920613"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0.0006</w:t>
            </w:r>
          </w:p>
        </w:tc>
      </w:tr>
      <w:tr w:rsidR="002A1D48" w:rsidRPr="00F361CB" w14:paraId="37798E11" w14:textId="77777777" w:rsidTr="00C63C5B">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tcPr>
          <w:p w14:paraId="2D2C4A5E" w14:textId="378036BF"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172DB0B9"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(0.0030)</w:t>
            </w:r>
          </w:p>
        </w:tc>
        <w:tc>
          <w:tcPr>
            <w:tcW w:w="1320" w:type="dxa"/>
            <w:tcBorders>
              <w:top w:val="nil"/>
              <w:left w:val="nil"/>
              <w:bottom w:val="single" w:sz="12" w:space="0" w:color="auto"/>
              <w:right w:val="single" w:sz="12" w:space="0" w:color="auto"/>
            </w:tcBorders>
            <w:shd w:val="clear" w:color="auto" w:fill="auto"/>
            <w:vAlign w:val="center"/>
            <w:hideMark/>
          </w:tcPr>
          <w:p w14:paraId="4EE16201"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(0.0104)</w:t>
            </w:r>
          </w:p>
        </w:tc>
      </w:tr>
      <w:tr w:rsidR="002A1D48" w:rsidRPr="00F361CB" w14:paraId="665DD586" w14:textId="77777777" w:rsidTr="00DE3D72">
        <w:trPr>
          <w:trHeight w:val="942"/>
        </w:trPr>
        <w:tc>
          <w:tcPr>
            <w:tcW w:w="1440" w:type="dxa"/>
            <w:tcBorders>
              <w:top w:val="nil"/>
              <w:left w:val="single" w:sz="12" w:space="0" w:color="auto"/>
              <w:bottom w:val="nil"/>
              <w:right w:val="single" w:sz="12" w:space="0" w:color="auto"/>
            </w:tcBorders>
            <w:shd w:val="clear" w:color="auto" w:fill="auto"/>
            <w:vAlign w:val="center"/>
            <w:hideMark/>
          </w:tcPr>
          <w:p w14:paraId="4D4BE383"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2015 PA SUPREME COURT</w:t>
            </w:r>
          </w:p>
        </w:tc>
        <w:tc>
          <w:tcPr>
            <w:tcW w:w="1160" w:type="dxa"/>
            <w:tcBorders>
              <w:top w:val="nil"/>
              <w:left w:val="nil"/>
              <w:bottom w:val="nil"/>
              <w:right w:val="nil"/>
            </w:tcBorders>
            <w:shd w:val="clear" w:color="auto" w:fill="auto"/>
            <w:vAlign w:val="center"/>
            <w:hideMark/>
          </w:tcPr>
          <w:p w14:paraId="73640169"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0.0116</w:t>
            </w:r>
          </w:p>
        </w:tc>
        <w:tc>
          <w:tcPr>
            <w:tcW w:w="1320" w:type="dxa"/>
            <w:tcBorders>
              <w:top w:val="nil"/>
              <w:left w:val="nil"/>
              <w:bottom w:val="nil"/>
              <w:right w:val="single" w:sz="12" w:space="0" w:color="auto"/>
            </w:tcBorders>
            <w:shd w:val="clear" w:color="auto" w:fill="auto"/>
            <w:vAlign w:val="center"/>
            <w:hideMark/>
          </w:tcPr>
          <w:p w14:paraId="5E971DC4"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0.0652</w:t>
            </w:r>
          </w:p>
        </w:tc>
      </w:tr>
      <w:tr w:rsidR="002A1D48" w:rsidRPr="00F361CB" w14:paraId="762CE29D"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38D5500B" w14:textId="51DA29CC"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6A6C9215"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(0.0045)</w:t>
            </w:r>
          </w:p>
        </w:tc>
        <w:tc>
          <w:tcPr>
            <w:tcW w:w="1320" w:type="dxa"/>
            <w:tcBorders>
              <w:top w:val="nil"/>
              <w:left w:val="nil"/>
              <w:bottom w:val="single" w:sz="12" w:space="0" w:color="auto"/>
              <w:right w:val="single" w:sz="12" w:space="0" w:color="auto"/>
            </w:tcBorders>
            <w:shd w:val="clear" w:color="auto" w:fill="auto"/>
            <w:vAlign w:val="center"/>
            <w:hideMark/>
          </w:tcPr>
          <w:p w14:paraId="622D1288"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(0.0254)</w:t>
            </w:r>
          </w:p>
        </w:tc>
      </w:tr>
      <w:tr w:rsidR="002A1D48" w:rsidRPr="00F361CB" w14:paraId="50744CB5" w14:textId="77777777" w:rsidTr="00DE3D72">
        <w:trPr>
          <w:trHeight w:val="942"/>
        </w:trPr>
        <w:tc>
          <w:tcPr>
            <w:tcW w:w="1440" w:type="dxa"/>
            <w:tcBorders>
              <w:top w:val="nil"/>
              <w:left w:val="single" w:sz="12" w:space="0" w:color="auto"/>
              <w:bottom w:val="nil"/>
              <w:right w:val="single" w:sz="12" w:space="0" w:color="auto"/>
            </w:tcBorders>
            <w:shd w:val="clear" w:color="auto" w:fill="auto"/>
            <w:vAlign w:val="center"/>
            <w:hideMark/>
          </w:tcPr>
          <w:p w14:paraId="32FEA0DD"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2015 PHILLY MAYORAL</w:t>
            </w:r>
          </w:p>
        </w:tc>
        <w:tc>
          <w:tcPr>
            <w:tcW w:w="1160" w:type="dxa"/>
            <w:tcBorders>
              <w:top w:val="nil"/>
              <w:left w:val="nil"/>
              <w:bottom w:val="nil"/>
              <w:right w:val="nil"/>
            </w:tcBorders>
            <w:shd w:val="clear" w:color="auto" w:fill="auto"/>
            <w:vAlign w:val="center"/>
            <w:hideMark/>
          </w:tcPr>
          <w:p w14:paraId="6D6E13A0"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0.0078</w:t>
            </w:r>
          </w:p>
        </w:tc>
        <w:tc>
          <w:tcPr>
            <w:tcW w:w="1320" w:type="dxa"/>
            <w:tcBorders>
              <w:top w:val="nil"/>
              <w:left w:val="nil"/>
              <w:bottom w:val="nil"/>
              <w:right w:val="single" w:sz="12" w:space="0" w:color="auto"/>
            </w:tcBorders>
            <w:shd w:val="clear" w:color="auto" w:fill="auto"/>
            <w:vAlign w:val="center"/>
            <w:hideMark/>
          </w:tcPr>
          <w:p w14:paraId="32F3DD0F"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0.0249</w:t>
            </w:r>
          </w:p>
        </w:tc>
      </w:tr>
      <w:tr w:rsidR="002A1D48" w:rsidRPr="00F361CB" w14:paraId="0C3208D8"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18AFA7CE" w14:textId="796793A7"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25C53A77"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(0.0023)</w:t>
            </w:r>
          </w:p>
        </w:tc>
        <w:tc>
          <w:tcPr>
            <w:tcW w:w="1320" w:type="dxa"/>
            <w:tcBorders>
              <w:top w:val="nil"/>
              <w:left w:val="nil"/>
              <w:bottom w:val="single" w:sz="12" w:space="0" w:color="auto"/>
              <w:right w:val="single" w:sz="12" w:space="0" w:color="auto"/>
            </w:tcBorders>
            <w:shd w:val="clear" w:color="auto" w:fill="auto"/>
            <w:vAlign w:val="center"/>
            <w:hideMark/>
          </w:tcPr>
          <w:p w14:paraId="1A60BCA7"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(0.0074)</w:t>
            </w:r>
          </w:p>
        </w:tc>
      </w:tr>
      <w:tr w:rsidR="002A1D48" w:rsidRPr="00F361CB" w14:paraId="73655F0E"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768A0674"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2016 NC</w:t>
            </w:r>
          </w:p>
        </w:tc>
        <w:tc>
          <w:tcPr>
            <w:tcW w:w="1160" w:type="dxa"/>
            <w:tcBorders>
              <w:top w:val="nil"/>
              <w:left w:val="nil"/>
              <w:bottom w:val="nil"/>
              <w:right w:val="nil"/>
            </w:tcBorders>
            <w:shd w:val="clear" w:color="auto" w:fill="auto"/>
            <w:vAlign w:val="center"/>
            <w:hideMark/>
          </w:tcPr>
          <w:p w14:paraId="282694FE"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0.0024</w:t>
            </w:r>
          </w:p>
        </w:tc>
        <w:tc>
          <w:tcPr>
            <w:tcW w:w="1320" w:type="dxa"/>
            <w:tcBorders>
              <w:top w:val="nil"/>
              <w:left w:val="nil"/>
              <w:bottom w:val="nil"/>
              <w:right w:val="single" w:sz="12" w:space="0" w:color="auto"/>
            </w:tcBorders>
            <w:shd w:val="clear" w:color="auto" w:fill="auto"/>
            <w:vAlign w:val="center"/>
            <w:hideMark/>
          </w:tcPr>
          <w:p w14:paraId="6B2E89B2"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0.0532</w:t>
            </w:r>
          </w:p>
        </w:tc>
      </w:tr>
      <w:tr w:rsidR="002A1D48" w:rsidRPr="00F361CB" w14:paraId="1049D738"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12FCA3C9" w14:textId="26C42C7D"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012407B3"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(0.0036)</w:t>
            </w:r>
          </w:p>
        </w:tc>
        <w:tc>
          <w:tcPr>
            <w:tcW w:w="1320" w:type="dxa"/>
            <w:tcBorders>
              <w:top w:val="nil"/>
              <w:left w:val="nil"/>
              <w:bottom w:val="single" w:sz="12" w:space="0" w:color="auto"/>
              <w:right w:val="single" w:sz="12" w:space="0" w:color="auto"/>
            </w:tcBorders>
            <w:shd w:val="clear" w:color="auto" w:fill="auto"/>
            <w:vAlign w:val="center"/>
            <w:hideMark/>
          </w:tcPr>
          <w:p w14:paraId="5E4821E9"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(0.0817)</w:t>
            </w:r>
          </w:p>
        </w:tc>
      </w:tr>
      <w:tr w:rsidR="002A1D48" w:rsidRPr="00F361CB" w14:paraId="21B410F7" w14:textId="77777777" w:rsidTr="00DE3D72">
        <w:trPr>
          <w:trHeight w:val="318"/>
        </w:trPr>
        <w:tc>
          <w:tcPr>
            <w:tcW w:w="1440" w:type="dxa"/>
            <w:tcBorders>
              <w:top w:val="nil"/>
              <w:left w:val="single" w:sz="12" w:space="0" w:color="auto"/>
              <w:bottom w:val="nil"/>
              <w:right w:val="single" w:sz="12" w:space="0" w:color="auto"/>
            </w:tcBorders>
            <w:shd w:val="clear" w:color="auto" w:fill="auto"/>
            <w:vAlign w:val="center"/>
            <w:hideMark/>
          </w:tcPr>
          <w:p w14:paraId="7BD229AD" w14:textId="77777777" w:rsidR="002A1D48" w:rsidRPr="00F361CB" w:rsidRDefault="002A1D48" w:rsidP="00DE3D72">
            <w:pPr>
              <w:spacing w:after="0" w:line="240" w:lineRule="auto"/>
              <w:jc w:val="center"/>
              <w:rPr>
                <w:rFonts w:ascii="Garamond" w:eastAsia="Times New Roman" w:hAnsi="Garamond" w:cs="Calibri"/>
                <w:i/>
                <w:iCs/>
                <w:sz w:val="24"/>
                <w:szCs w:val="24"/>
              </w:rPr>
            </w:pPr>
            <w:r w:rsidRPr="00F361CB">
              <w:rPr>
                <w:rFonts w:ascii="Garamond" w:eastAsia="Times New Roman" w:hAnsi="Garamond" w:cs="Calibri"/>
                <w:i/>
                <w:iCs/>
                <w:sz w:val="24"/>
                <w:szCs w:val="24"/>
              </w:rPr>
              <w:t>2017 VA</w:t>
            </w:r>
          </w:p>
        </w:tc>
        <w:tc>
          <w:tcPr>
            <w:tcW w:w="1160" w:type="dxa"/>
            <w:tcBorders>
              <w:top w:val="nil"/>
              <w:left w:val="nil"/>
              <w:bottom w:val="nil"/>
              <w:right w:val="nil"/>
            </w:tcBorders>
            <w:shd w:val="clear" w:color="auto" w:fill="auto"/>
            <w:vAlign w:val="center"/>
            <w:hideMark/>
          </w:tcPr>
          <w:p w14:paraId="4895C3BD"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0.0074</w:t>
            </w:r>
          </w:p>
        </w:tc>
        <w:tc>
          <w:tcPr>
            <w:tcW w:w="1320" w:type="dxa"/>
            <w:tcBorders>
              <w:top w:val="nil"/>
              <w:left w:val="nil"/>
              <w:bottom w:val="nil"/>
              <w:right w:val="single" w:sz="12" w:space="0" w:color="auto"/>
            </w:tcBorders>
            <w:shd w:val="clear" w:color="auto" w:fill="auto"/>
            <w:vAlign w:val="center"/>
            <w:hideMark/>
          </w:tcPr>
          <w:p w14:paraId="34830719"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0.0497</w:t>
            </w:r>
          </w:p>
        </w:tc>
      </w:tr>
      <w:tr w:rsidR="002A1D48" w:rsidRPr="00F361CB" w14:paraId="2564BE04" w14:textId="77777777" w:rsidTr="00DE3D72">
        <w:trPr>
          <w:trHeight w:val="318"/>
        </w:trPr>
        <w:tc>
          <w:tcPr>
            <w:tcW w:w="1440" w:type="dxa"/>
            <w:tcBorders>
              <w:top w:val="nil"/>
              <w:left w:val="single" w:sz="12" w:space="0" w:color="auto"/>
              <w:bottom w:val="single" w:sz="12" w:space="0" w:color="auto"/>
              <w:right w:val="single" w:sz="12" w:space="0" w:color="auto"/>
            </w:tcBorders>
            <w:shd w:val="clear" w:color="auto" w:fill="auto"/>
            <w:vAlign w:val="center"/>
            <w:hideMark/>
          </w:tcPr>
          <w:p w14:paraId="13FBA721" w14:textId="008744EB" w:rsidR="002A1D48" w:rsidRPr="00F361CB" w:rsidRDefault="002A1D48" w:rsidP="00DE3D72">
            <w:pPr>
              <w:spacing w:after="0" w:line="240" w:lineRule="auto"/>
              <w:jc w:val="center"/>
              <w:rPr>
                <w:rFonts w:ascii="Garamond" w:eastAsia="Times New Roman" w:hAnsi="Garamond" w:cs="Calibri"/>
                <w:i/>
                <w:iCs/>
                <w:sz w:val="24"/>
                <w:szCs w:val="24"/>
              </w:rPr>
            </w:pPr>
          </w:p>
        </w:tc>
        <w:tc>
          <w:tcPr>
            <w:tcW w:w="1160" w:type="dxa"/>
            <w:tcBorders>
              <w:top w:val="nil"/>
              <w:left w:val="nil"/>
              <w:bottom w:val="single" w:sz="12" w:space="0" w:color="auto"/>
              <w:right w:val="nil"/>
            </w:tcBorders>
            <w:shd w:val="clear" w:color="auto" w:fill="auto"/>
            <w:vAlign w:val="center"/>
            <w:hideMark/>
          </w:tcPr>
          <w:p w14:paraId="384756D5"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(0.0053)</w:t>
            </w:r>
          </w:p>
        </w:tc>
        <w:tc>
          <w:tcPr>
            <w:tcW w:w="1320" w:type="dxa"/>
            <w:tcBorders>
              <w:top w:val="nil"/>
              <w:left w:val="nil"/>
              <w:bottom w:val="single" w:sz="12" w:space="0" w:color="auto"/>
              <w:right w:val="single" w:sz="12" w:space="0" w:color="auto"/>
            </w:tcBorders>
            <w:shd w:val="clear" w:color="auto" w:fill="auto"/>
            <w:vAlign w:val="center"/>
            <w:hideMark/>
          </w:tcPr>
          <w:p w14:paraId="23DB0BE9" w14:textId="77777777" w:rsidR="002A1D48" w:rsidRPr="00F361CB" w:rsidRDefault="002A1D48" w:rsidP="00DE3D72">
            <w:pPr>
              <w:spacing w:after="0" w:line="240" w:lineRule="auto"/>
              <w:jc w:val="center"/>
              <w:rPr>
                <w:rFonts w:ascii="Garamond" w:eastAsia="Times New Roman" w:hAnsi="Garamond" w:cs="Calibri"/>
                <w:sz w:val="24"/>
                <w:szCs w:val="24"/>
              </w:rPr>
            </w:pPr>
            <w:r w:rsidRPr="00F361CB">
              <w:rPr>
                <w:rFonts w:ascii="Garamond" w:eastAsia="Times New Roman" w:hAnsi="Garamond" w:cs="Calibri"/>
                <w:sz w:val="24"/>
                <w:szCs w:val="24"/>
              </w:rPr>
              <w:t>(0.0354)</w:t>
            </w:r>
          </w:p>
        </w:tc>
      </w:tr>
    </w:tbl>
    <w:p w14:paraId="24DA6729" w14:textId="77777777" w:rsidR="002A1D48" w:rsidRPr="000617E5" w:rsidRDefault="002A1D48" w:rsidP="002A1D48"/>
    <w:p w14:paraId="368FFA8E" w14:textId="45ABC7CF" w:rsidR="002A1D48" w:rsidRDefault="002A1D48" w:rsidP="00F361CB">
      <w:pPr>
        <w:spacing w:line="480" w:lineRule="auto"/>
        <w:ind w:firstLine="720"/>
        <w:rPr>
          <w:rFonts w:ascii="Garamond" w:hAnsi="Garamond"/>
          <w:sz w:val="24"/>
        </w:rPr>
      </w:pPr>
    </w:p>
    <w:p w14:paraId="6A1D29E3" w14:textId="1CCC0F4F" w:rsidR="00467F2E" w:rsidRDefault="00467F2E" w:rsidP="00F361CB">
      <w:pPr>
        <w:spacing w:line="480" w:lineRule="auto"/>
        <w:ind w:firstLine="720"/>
        <w:rPr>
          <w:rFonts w:ascii="Garamond" w:hAnsi="Garamond"/>
          <w:sz w:val="24"/>
        </w:rPr>
      </w:pPr>
    </w:p>
    <w:p w14:paraId="5B741899" w14:textId="77777777" w:rsidR="00467F2E" w:rsidRPr="00F361CB" w:rsidRDefault="00467F2E" w:rsidP="00F361CB">
      <w:pPr>
        <w:spacing w:line="480" w:lineRule="auto"/>
        <w:ind w:firstLine="720"/>
        <w:rPr>
          <w:rFonts w:ascii="Garamond" w:hAnsi="Garamond"/>
          <w:sz w:val="24"/>
        </w:rPr>
      </w:pPr>
    </w:p>
    <w:p w14:paraId="62DB2190" w14:textId="3B737201" w:rsidR="00790E4A" w:rsidRDefault="00E30E6E" w:rsidP="000617E5">
      <w:pPr>
        <w:spacing w:line="480" w:lineRule="auto"/>
        <w:ind w:firstLine="720"/>
        <w:rPr>
          <w:rFonts w:ascii="Garamond" w:hAnsi="Garamond"/>
          <w:sz w:val="24"/>
        </w:rPr>
      </w:pPr>
      <w:r>
        <w:rPr>
          <w:rFonts w:ascii="Garamond" w:hAnsi="Garamond"/>
          <w:sz w:val="24"/>
        </w:rPr>
        <w:lastRenderedPageBreak/>
        <w:t>For</w:t>
      </w:r>
      <w:r w:rsidR="00790E4A">
        <w:rPr>
          <w:rFonts w:ascii="Garamond" w:hAnsi="Garamond"/>
          <w:sz w:val="24"/>
        </w:rPr>
        <w:t xml:space="preserve"> all analyses reported in the main manuscript, I</w:t>
      </w:r>
      <w:r w:rsidR="00B07000">
        <w:rPr>
          <w:rFonts w:ascii="Garamond" w:hAnsi="Garamond"/>
          <w:sz w:val="24"/>
        </w:rPr>
        <w:t xml:space="preserve"> conduct </w:t>
      </w:r>
      <w:r w:rsidR="00790E4A">
        <w:rPr>
          <w:rFonts w:ascii="Garamond" w:hAnsi="Garamond"/>
          <w:sz w:val="24"/>
        </w:rPr>
        <w:t>weak instrument test</w:t>
      </w:r>
      <w:r w:rsidR="00B07000">
        <w:rPr>
          <w:rFonts w:ascii="Garamond" w:hAnsi="Garamond"/>
          <w:sz w:val="24"/>
        </w:rPr>
        <w:t>s</w:t>
      </w:r>
      <w:r w:rsidR="005557A8">
        <w:rPr>
          <w:rFonts w:ascii="Garamond" w:hAnsi="Garamond"/>
          <w:sz w:val="24"/>
        </w:rPr>
        <w:t xml:space="preserve"> </w:t>
      </w:r>
      <w:r w:rsidR="00790E4A">
        <w:rPr>
          <w:rFonts w:ascii="Garamond" w:hAnsi="Garamond"/>
          <w:sz w:val="24"/>
        </w:rPr>
        <w:t xml:space="preserve">and when </w:t>
      </w:r>
      <w:r w:rsidR="00B07000">
        <w:rPr>
          <w:rFonts w:ascii="Garamond" w:hAnsi="Garamond"/>
          <w:sz w:val="24"/>
        </w:rPr>
        <w:t xml:space="preserve">these tests indicate that </w:t>
      </w:r>
      <w:r w:rsidR="00790E4A">
        <w:rPr>
          <w:rFonts w:ascii="Garamond" w:hAnsi="Garamond"/>
          <w:sz w:val="24"/>
        </w:rPr>
        <w:t xml:space="preserve">the instrument is weak, </w:t>
      </w:r>
      <w:r w:rsidR="000617E5">
        <w:rPr>
          <w:rFonts w:ascii="Garamond" w:hAnsi="Garamond"/>
          <w:sz w:val="24"/>
        </w:rPr>
        <w:t xml:space="preserve">as an alternative specification to 2SLS regression, </w:t>
      </w:r>
      <w:r w:rsidR="00790E4A">
        <w:rPr>
          <w:rFonts w:ascii="Garamond" w:hAnsi="Garamond"/>
          <w:sz w:val="24"/>
        </w:rPr>
        <w:t>I include the weak-instrument-robust test formalized by Anderson &amp; Rubin (19</w:t>
      </w:r>
      <w:r w:rsidR="006A6359">
        <w:rPr>
          <w:rFonts w:ascii="Garamond" w:hAnsi="Garamond"/>
          <w:sz w:val="24"/>
        </w:rPr>
        <w:t>49</w:t>
      </w:r>
      <w:r w:rsidR="00790E4A">
        <w:rPr>
          <w:rFonts w:ascii="Garamond" w:hAnsi="Garamond"/>
          <w:sz w:val="24"/>
        </w:rPr>
        <w:t>)</w:t>
      </w:r>
      <w:r w:rsidR="006A6359">
        <w:rPr>
          <w:rFonts w:ascii="Garamond" w:hAnsi="Garamond"/>
          <w:sz w:val="24"/>
        </w:rPr>
        <w:t xml:space="preserve"> and recommended in e.g., </w:t>
      </w:r>
      <w:proofErr w:type="spellStart"/>
      <w:r w:rsidR="006A6359" w:rsidRPr="000617E5">
        <w:rPr>
          <w:rFonts w:ascii="Garamond" w:hAnsi="Garamond"/>
          <w:sz w:val="24"/>
        </w:rPr>
        <w:t>Staiger</w:t>
      </w:r>
      <w:proofErr w:type="spellEnd"/>
      <w:r w:rsidR="006A6359" w:rsidRPr="000617E5">
        <w:rPr>
          <w:rFonts w:ascii="Garamond" w:hAnsi="Garamond"/>
          <w:sz w:val="24"/>
        </w:rPr>
        <w:t xml:space="preserve"> &amp; Stock (1997); </w:t>
      </w:r>
      <w:r w:rsidR="006A6359" w:rsidRPr="00790E4A">
        <w:rPr>
          <w:rFonts w:ascii="Garamond" w:hAnsi="Garamond"/>
          <w:sz w:val="24"/>
        </w:rPr>
        <w:t xml:space="preserve">Andrews, Stock, &amp; Sun </w:t>
      </w:r>
      <w:r w:rsidR="006A6359">
        <w:rPr>
          <w:rFonts w:ascii="Garamond" w:hAnsi="Garamond"/>
          <w:sz w:val="24"/>
        </w:rPr>
        <w:t>(</w:t>
      </w:r>
      <w:r w:rsidR="006A6359" w:rsidRPr="00790E4A">
        <w:rPr>
          <w:rFonts w:ascii="Garamond" w:hAnsi="Garamond"/>
          <w:sz w:val="24"/>
        </w:rPr>
        <w:t>2019</w:t>
      </w:r>
      <w:r w:rsidR="006A6359">
        <w:rPr>
          <w:rFonts w:ascii="Garamond" w:hAnsi="Garamond"/>
          <w:sz w:val="24"/>
        </w:rPr>
        <w:t>).</w:t>
      </w:r>
      <w:r>
        <w:rPr>
          <w:rFonts w:ascii="Garamond" w:hAnsi="Garamond"/>
          <w:sz w:val="24"/>
        </w:rPr>
        <w:t xml:space="preserve"> I </w:t>
      </w:r>
      <w:r w:rsidR="009601EF">
        <w:rPr>
          <w:rFonts w:ascii="Garamond" w:hAnsi="Garamond"/>
          <w:sz w:val="24"/>
        </w:rPr>
        <w:t>present</w:t>
      </w:r>
      <w:r>
        <w:rPr>
          <w:rFonts w:ascii="Garamond" w:hAnsi="Garamond"/>
          <w:sz w:val="24"/>
        </w:rPr>
        <w:t xml:space="preserve"> the results here: </w:t>
      </w:r>
    </w:p>
    <w:p w14:paraId="31FF5EBE" w14:textId="6C2031DE" w:rsidR="00E30E6E" w:rsidRDefault="00E30E6E" w:rsidP="000617E5">
      <w:pPr>
        <w:spacing w:line="480" w:lineRule="auto"/>
        <w:ind w:left="720"/>
        <w:rPr>
          <w:rFonts w:ascii="Garamond" w:hAnsi="Garamond"/>
          <w:sz w:val="24"/>
        </w:rPr>
      </w:pPr>
      <w:r>
        <w:rPr>
          <w:rFonts w:ascii="Garamond" w:hAnsi="Garamond"/>
          <w:i/>
          <w:sz w:val="24"/>
        </w:rPr>
        <w:t xml:space="preserve">Aggregate Results: </w:t>
      </w:r>
      <w:r>
        <w:rPr>
          <w:rFonts w:ascii="Garamond" w:hAnsi="Garamond"/>
          <w:sz w:val="24"/>
        </w:rPr>
        <w:t xml:space="preserve">The </w:t>
      </w:r>
      <w:proofErr w:type="spellStart"/>
      <w:r w:rsidRPr="000617E5">
        <w:rPr>
          <w:rFonts w:ascii="Garamond" w:hAnsi="Garamond"/>
          <w:sz w:val="24"/>
        </w:rPr>
        <w:t>Kleibergen</w:t>
      </w:r>
      <w:proofErr w:type="spellEnd"/>
      <w:r w:rsidRPr="000617E5">
        <w:rPr>
          <w:rFonts w:ascii="Garamond" w:hAnsi="Garamond"/>
          <w:sz w:val="24"/>
        </w:rPr>
        <w:t xml:space="preserve"> </w:t>
      </w:r>
      <w:r w:rsidR="009A33D4">
        <w:rPr>
          <w:rFonts w:ascii="Garamond" w:hAnsi="Garamond"/>
          <w:sz w:val="24"/>
        </w:rPr>
        <w:t xml:space="preserve">&amp; </w:t>
      </w:r>
      <w:proofErr w:type="spellStart"/>
      <w:r w:rsidR="009A33D4">
        <w:rPr>
          <w:rFonts w:ascii="Garamond" w:hAnsi="Garamond"/>
          <w:sz w:val="24"/>
        </w:rPr>
        <w:t>Paap</w:t>
      </w:r>
      <w:proofErr w:type="spellEnd"/>
      <w:r w:rsidR="009A33D4">
        <w:rPr>
          <w:rFonts w:ascii="Garamond" w:hAnsi="Garamond"/>
          <w:sz w:val="24"/>
        </w:rPr>
        <w:t xml:space="preserve"> (2006) F-statistic=26</w:t>
      </w:r>
      <w:r w:rsidRPr="00E14423">
        <w:rPr>
          <w:rFonts w:ascii="Garamond" w:hAnsi="Garamond"/>
          <w:sz w:val="24"/>
        </w:rPr>
        <w:t>.0 is</w:t>
      </w:r>
      <w:r w:rsidRPr="000617E5">
        <w:rPr>
          <w:rFonts w:ascii="Garamond" w:hAnsi="Garamond"/>
          <w:sz w:val="24"/>
        </w:rPr>
        <w:t xml:space="preserve"> well above the rule-of-thumb threshold of 10 (</w:t>
      </w:r>
      <w:proofErr w:type="spellStart"/>
      <w:r w:rsidRPr="000617E5">
        <w:rPr>
          <w:rFonts w:ascii="Garamond" w:hAnsi="Garamond"/>
          <w:sz w:val="24"/>
        </w:rPr>
        <w:t>Keele</w:t>
      </w:r>
      <w:proofErr w:type="spellEnd"/>
      <w:r w:rsidRPr="000617E5">
        <w:rPr>
          <w:rFonts w:ascii="Garamond" w:hAnsi="Garamond"/>
          <w:sz w:val="24"/>
        </w:rPr>
        <w:t xml:space="preserve"> &amp; Morgan 2016) and over the 9.0 Stock-</w:t>
      </w:r>
      <w:proofErr w:type="spellStart"/>
      <w:r w:rsidRPr="000617E5">
        <w:rPr>
          <w:rFonts w:ascii="Garamond" w:hAnsi="Garamond"/>
          <w:sz w:val="24"/>
        </w:rPr>
        <w:t>Yogo</w:t>
      </w:r>
      <w:proofErr w:type="spellEnd"/>
      <w:r w:rsidRPr="000617E5">
        <w:rPr>
          <w:rFonts w:ascii="Garamond" w:hAnsi="Garamond"/>
          <w:sz w:val="24"/>
        </w:rPr>
        <w:t xml:space="preserve"> 15% maximal IV size critical value (Stock &amp; </w:t>
      </w:r>
      <w:proofErr w:type="spellStart"/>
      <w:r w:rsidRPr="000617E5">
        <w:rPr>
          <w:rFonts w:ascii="Garamond" w:hAnsi="Garamond"/>
          <w:sz w:val="24"/>
        </w:rPr>
        <w:t>Yogo</w:t>
      </w:r>
      <w:proofErr w:type="spellEnd"/>
      <w:r w:rsidRPr="000617E5">
        <w:rPr>
          <w:rFonts w:ascii="Garamond" w:hAnsi="Garamond"/>
          <w:sz w:val="24"/>
        </w:rPr>
        <w:t>, 2005)</w:t>
      </w:r>
      <w:r w:rsidRPr="00E14423">
        <w:rPr>
          <w:rFonts w:ascii="Garamond" w:hAnsi="Garamond"/>
          <w:sz w:val="24"/>
        </w:rPr>
        <w:t xml:space="preserve">. </w:t>
      </w:r>
      <w:r>
        <w:rPr>
          <w:rFonts w:ascii="Garamond" w:hAnsi="Garamond"/>
          <w:sz w:val="24"/>
        </w:rPr>
        <w:t>This</w:t>
      </w:r>
      <w:r w:rsidRPr="00E14423">
        <w:rPr>
          <w:rFonts w:ascii="Garamond" w:hAnsi="Garamond"/>
          <w:sz w:val="24"/>
        </w:rPr>
        <w:t xml:space="preserve"> </w:t>
      </w:r>
      <w:r w:rsidR="004440CB">
        <w:rPr>
          <w:rFonts w:ascii="Garamond" w:hAnsi="Garamond"/>
          <w:sz w:val="24"/>
        </w:rPr>
        <w:t>suggests</w:t>
      </w:r>
      <w:r w:rsidRPr="000617E5">
        <w:rPr>
          <w:rFonts w:ascii="Garamond" w:hAnsi="Garamond"/>
          <w:sz w:val="24"/>
        </w:rPr>
        <w:t xml:space="preserve"> that the instrument is not weak.</w:t>
      </w:r>
    </w:p>
    <w:p w14:paraId="579BEF50" w14:textId="0A4E7E2B" w:rsidR="00E30E6E" w:rsidRDefault="00E30E6E" w:rsidP="000617E5">
      <w:pPr>
        <w:spacing w:line="480" w:lineRule="auto"/>
        <w:ind w:left="720"/>
        <w:rPr>
          <w:rFonts w:ascii="Garamond" w:hAnsi="Garamond"/>
          <w:sz w:val="24"/>
        </w:rPr>
      </w:pPr>
      <w:r>
        <w:rPr>
          <w:rFonts w:ascii="Garamond" w:hAnsi="Garamond"/>
          <w:i/>
          <w:sz w:val="24"/>
        </w:rPr>
        <w:t xml:space="preserve">Prediction 1: </w:t>
      </w:r>
      <w:r>
        <w:rPr>
          <w:rFonts w:ascii="Garamond" w:hAnsi="Garamond"/>
          <w:sz w:val="24"/>
        </w:rPr>
        <w:t xml:space="preserve">The </w:t>
      </w:r>
      <w:proofErr w:type="spellStart"/>
      <w:r w:rsidRPr="000617E5">
        <w:rPr>
          <w:rFonts w:ascii="Garamond" w:hAnsi="Garamond"/>
          <w:sz w:val="24"/>
        </w:rPr>
        <w:t>Kleiberge</w:t>
      </w:r>
      <w:r w:rsidR="008C661B" w:rsidRPr="00E14423">
        <w:rPr>
          <w:rFonts w:ascii="Garamond" w:hAnsi="Garamond"/>
          <w:sz w:val="24"/>
        </w:rPr>
        <w:t>n-</w:t>
      </w:r>
      <w:r w:rsidRPr="00E14423">
        <w:rPr>
          <w:rFonts w:ascii="Garamond" w:hAnsi="Garamond"/>
          <w:sz w:val="24"/>
        </w:rPr>
        <w:t>Paap</w:t>
      </w:r>
      <w:proofErr w:type="spellEnd"/>
      <w:r w:rsidRPr="00E14423">
        <w:rPr>
          <w:rFonts w:ascii="Garamond" w:hAnsi="Garamond"/>
          <w:sz w:val="24"/>
        </w:rPr>
        <w:t xml:space="preserve"> </w:t>
      </w:r>
      <w:r w:rsidRPr="000617E5">
        <w:rPr>
          <w:rFonts w:ascii="Garamond" w:hAnsi="Garamond"/>
          <w:sz w:val="24"/>
        </w:rPr>
        <w:t>F-statistic is 11.9</w:t>
      </w:r>
      <w:r>
        <w:rPr>
          <w:rFonts w:ascii="Garamond" w:hAnsi="Garamond"/>
          <w:sz w:val="24"/>
        </w:rPr>
        <w:t xml:space="preserve"> and</w:t>
      </w:r>
      <w:r w:rsidRPr="000617E5">
        <w:rPr>
          <w:rFonts w:ascii="Garamond" w:hAnsi="Garamond"/>
          <w:sz w:val="24"/>
        </w:rPr>
        <w:t xml:space="preserve"> above the rule-of-thumb thres</w:t>
      </w:r>
      <w:r w:rsidR="008C661B" w:rsidRPr="00E14423">
        <w:rPr>
          <w:rFonts w:ascii="Garamond" w:hAnsi="Garamond"/>
          <w:sz w:val="24"/>
        </w:rPr>
        <w:t>hold of 10</w:t>
      </w:r>
      <w:r w:rsidRPr="000617E5">
        <w:rPr>
          <w:rFonts w:ascii="Garamond" w:hAnsi="Garamond"/>
          <w:sz w:val="24"/>
        </w:rPr>
        <w:t xml:space="preserve"> and over the 9.0 Stock-</w:t>
      </w:r>
      <w:proofErr w:type="spellStart"/>
      <w:r w:rsidRPr="000617E5">
        <w:rPr>
          <w:rFonts w:ascii="Garamond" w:hAnsi="Garamond"/>
          <w:sz w:val="24"/>
        </w:rPr>
        <w:t>Yogo</w:t>
      </w:r>
      <w:proofErr w:type="spellEnd"/>
      <w:r w:rsidRPr="000617E5">
        <w:rPr>
          <w:rFonts w:ascii="Garamond" w:hAnsi="Garamond"/>
          <w:sz w:val="24"/>
        </w:rPr>
        <w:t xml:space="preserve"> 15% maximal IV size cri</w:t>
      </w:r>
      <w:r w:rsidR="008C661B" w:rsidRPr="00E14423">
        <w:rPr>
          <w:rFonts w:ascii="Garamond" w:hAnsi="Garamond"/>
          <w:sz w:val="24"/>
        </w:rPr>
        <w:t>tical value</w:t>
      </w:r>
      <w:r w:rsidRPr="00E14423">
        <w:rPr>
          <w:rFonts w:ascii="Garamond" w:hAnsi="Garamond"/>
          <w:sz w:val="24"/>
        </w:rPr>
        <w:t xml:space="preserve">. </w:t>
      </w:r>
      <w:r>
        <w:rPr>
          <w:rFonts w:ascii="Garamond" w:hAnsi="Garamond"/>
          <w:sz w:val="24"/>
        </w:rPr>
        <w:t>This</w:t>
      </w:r>
      <w:r w:rsidRPr="00634E3A">
        <w:rPr>
          <w:rFonts w:ascii="Garamond" w:hAnsi="Garamond"/>
          <w:sz w:val="24"/>
        </w:rPr>
        <w:t xml:space="preserve"> </w:t>
      </w:r>
      <w:r w:rsidR="004440CB">
        <w:rPr>
          <w:rFonts w:ascii="Garamond" w:hAnsi="Garamond"/>
          <w:sz w:val="24"/>
        </w:rPr>
        <w:t>suggests</w:t>
      </w:r>
      <w:r w:rsidR="004440CB" w:rsidRPr="00634E3A">
        <w:rPr>
          <w:rFonts w:ascii="Garamond" w:hAnsi="Garamond"/>
          <w:sz w:val="24"/>
        </w:rPr>
        <w:t xml:space="preserve"> </w:t>
      </w:r>
      <w:r w:rsidRPr="00634E3A">
        <w:rPr>
          <w:rFonts w:ascii="Garamond" w:hAnsi="Garamond"/>
          <w:sz w:val="24"/>
        </w:rPr>
        <w:t>that the instrument is not weak.</w:t>
      </w:r>
    </w:p>
    <w:p w14:paraId="41A78F95" w14:textId="7E80BC93" w:rsidR="00E30E6E" w:rsidRDefault="00E30E6E" w:rsidP="00E30E6E">
      <w:pPr>
        <w:spacing w:line="480" w:lineRule="auto"/>
        <w:ind w:left="720"/>
        <w:rPr>
          <w:rFonts w:ascii="Garamond" w:hAnsi="Garamond"/>
          <w:sz w:val="24"/>
        </w:rPr>
      </w:pPr>
      <w:r>
        <w:rPr>
          <w:rFonts w:ascii="Garamond" w:hAnsi="Garamond"/>
          <w:i/>
          <w:sz w:val="24"/>
        </w:rPr>
        <w:t xml:space="preserve">Prediction 2: </w:t>
      </w:r>
      <w:r>
        <w:rPr>
          <w:rFonts w:ascii="Garamond" w:hAnsi="Garamond"/>
          <w:sz w:val="24"/>
        </w:rPr>
        <w:t xml:space="preserve">The </w:t>
      </w:r>
      <w:proofErr w:type="spellStart"/>
      <w:r w:rsidRPr="00634E3A">
        <w:rPr>
          <w:rFonts w:ascii="Garamond" w:hAnsi="Garamond"/>
          <w:sz w:val="24"/>
        </w:rPr>
        <w:t>Kleiberge</w:t>
      </w:r>
      <w:r w:rsidR="008C661B">
        <w:rPr>
          <w:rFonts w:ascii="Garamond" w:hAnsi="Garamond"/>
          <w:sz w:val="24"/>
        </w:rPr>
        <w:t>n-</w:t>
      </w:r>
      <w:r w:rsidRPr="00634E3A">
        <w:rPr>
          <w:rFonts w:ascii="Garamond" w:hAnsi="Garamond"/>
          <w:sz w:val="24"/>
        </w:rPr>
        <w:t>Paap</w:t>
      </w:r>
      <w:proofErr w:type="spellEnd"/>
      <w:r w:rsidRPr="00634E3A">
        <w:rPr>
          <w:rFonts w:ascii="Garamond" w:hAnsi="Garamond"/>
          <w:sz w:val="24"/>
        </w:rPr>
        <w:t xml:space="preserve"> F-statistic </w:t>
      </w:r>
      <w:r w:rsidR="00A85BF8">
        <w:rPr>
          <w:rFonts w:ascii="Garamond" w:hAnsi="Garamond"/>
          <w:sz w:val="24"/>
        </w:rPr>
        <w:t xml:space="preserve">for </w:t>
      </w:r>
      <w:r w:rsidR="00065347">
        <w:rPr>
          <w:rFonts w:ascii="Garamond" w:hAnsi="Garamond"/>
          <w:sz w:val="24"/>
        </w:rPr>
        <w:t xml:space="preserve">the </w:t>
      </w:r>
      <w:r w:rsidR="00A85BF8">
        <w:rPr>
          <w:rFonts w:ascii="Garamond" w:hAnsi="Garamond"/>
          <w:sz w:val="24"/>
        </w:rPr>
        <w:t xml:space="preserve">low-salience </w:t>
      </w:r>
      <w:r w:rsidR="00065347">
        <w:rPr>
          <w:rFonts w:ascii="Garamond" w:hAnsi="Garamond"/>
          <w:sz w:val="24"/>
        </w:rPr>
        <w:t>subgroup</w:t>
      </w:r>
      <w:r w:rsidR="00A85BF8">
        <w:rPr>
          <w:rFonts w:ascii="Garamond" w:hAnsi="Garamond"/>
          <w:sz w:val="24"/>
        </w:rPr>
        <w:t xml:space="preserve"> </w:t>
      </w:r>
      <w:r w:rsidRPr="00634E3A">
        <w:rPr>
          <w:rFonts w:ascii="Garamond" w:hAnsi="Garamond"/>
          <w:sz w:val="24"/>
        </w:rPr>
        <w:t>is</w:t>
      </w:r>
      <w:r w:rsidR="00065347">
        <w:rPr>
          <w:rFonts w:ascii="Garamond" w:hAnsi="Garamond"/>
          <w:sz w:val="24"/>
        </w:rPr>
        <w:t xml:space="preserve"> 16</w:t>
      </w:r>
      <w:r w:rsidRPr="00634E3A">
        <w:rPr>
          <w:rFonts w:ascii="Garamond" w:hAnsi="Garamond"/>
          <w:sz w:val="24"/>
        </w:rPr>
        <w:t>.9</w:t>
      </w:r>
      <w:r>
        <w:rPr>
          <w:rFonts w:ascii="Garamond" w:hAnsi="Garamond"/>
          <w:sz w:val="24"/>
        </w:rPr>
        <w:t xml:space="preserve"> and</w:t>
      </w:r>
      <w:r w:rsidR="00065347">
        <w:rPr>
          <w:rFonts w:ascii="Garamond" w:hAnsi="Garamond"/>
          <w:sz w:val="24"/>
        </w:rPr>
        <w:t xml:space="preserve"> </w:t>
      </w:r>
      <w:r w:rsidR="00820859">
        <w:rPr>
          <w:rFonts w:ascii="Garamond" w:hAnsi="Garamond"/>
          <w:sz w:val="24"/>
        </w:rPr>
        <w:t>14.2</w:t>
      </w:r>
      <w:r w:rsidR="00065347">
        <w:rPr>
          <w:rFonts w:ascii="Garamond" w:hAnsi="Garamond"/>
          <w:sz w:val="24"/>
        </w:rPr>
        <w:t xml:space="preserve"> for the high-salience subgroup. Both are</w:t>
      </w:r>
      <w:r w:rsidRPr="00634E3A">
        <w:rPr>
          <w:rFonts w:ascii="Garamond" w:hAnsi="Garamond"/>
          <w:sz w:val="24"/>
        </w:rPr>
        <w:t xml:space="preserve"> above th</w:t>
      </w:r>
      <w:r w:rsidR="008C661B">
        <w:rPr>
          <w:rFonts w:ascii="Garamond" w:hAnsi="Garamond"/>
          <w:sz w:val="24"/>
        </w:rPr>
        <w:t>e rule-of-thumb threshold of 10</w:t>
      </w:r>
      <w:r w:rsidRPr="00634E3A">
        <w:rPr>
          <w:rFonts w:ascii="Garamond" w:hAnsi="Garamond"/>
          <w:sz w:val="24"/>
        </w:rPr>
        <w:t xml:space="preserve"> and over the 9.0 Stock-</w:t>
      </w:r>
      <w:proofErr w:type="spellStart"/>
      <w:r w:rsidRPr="00634E3A">
        <w:rPr>
          <w:rFonts w:ascii="Garamond" w:hAnsi="Garamond"/>
          <w:sz w:val="24"/>
        </w:rPr>
        <w:t>Yogo</w:t>
      </w:r>
      <w:proofErr w:type="spellEnd"/>
      <w:r w:rsidRPr="00634E3A">
        <w:rPr>
          <w:rFonts w:ascii="Garamond" w:hAnsi="Garamond"/>
          <w:sz w:val="24"/>
        </w:rPr>
        <w:t xml:space="preserve"> 15% maximal IV size cri</w:t>
      </w:r>
      <w:r w:rsidR="008C661B">
        <w:rPr>
          <w:rFonts w:ascii="Garamond" w:hAnsi="Garamond"/>
          <w:sz w:val="24"/>
        </w:rPr>
        <w:t>tical value</w:t>
      </w:r>
      <w:r w:rsidRPr="00634E3A">
        <w:rPr>
          <w:rFonts w:ascii="Garamond" w:hAnsi="Garamond"/>
          <w:sz w:val="24"/>
        </w:rPr>
        <w:t xml:space="preserve">. </w:t>
      </w:r>
      <w:r>
        <w:rPr>
          <w:rFonts w:ascii="Garamond" w:hAnsi="Garamond"/>
          <w:sz w:val="24"/>
        </w:rPr>
        <w:t>This</w:t>
      </w:r>
      <w:r w:rsidRPr="00634E3A">
        <w:rPr>
          <w:rFonts w:ascii="Garamond" w:hAnsi="Garamond"/>
          <w:sz w:val="24"/>
        </w:rPr>
        <w:t xml:space="preserve"> </w:t>
      </w:r>
      <w:r w:rsidR="004440CB">
        <w:rPr>
          <w:rFonts w:ascii="Garamond" w:hAnsi="Garamond"/>
          <w:sz w:val="24"/>
        </w:rPr>
        <w:t>suggests</w:t>
      </w:r>
      <w:r w:rsidR="004440CB" w:rsidRPr="00634E3A">
        <w:rPr>
          <w:rFonts w:ascii="Garamond" w:hAnsi="Garamond"/>
          <w:sz w:val="24"/>
        </w:rPr>
        <w:t xml:space="preserve"> </w:t>
      </w:r>
      <w:r w:rsidR="00E64368">
        <w:rPr>
          <w:rFonts w:ascii="Garamond" w:hAnsi="Garamond"/>
          <w:sz w:val="24"/>
        </w:rPr>
        <w:t>that both instruments are</w:t>
      </w:r>
      <w:r w:rsidRPr="00634E3A">
        <w:rPr>
          <w:rFonts w:ascii="Garamond" w:hAnsi="Garamond"/>
          <w:sz w:val="24"/>
        </w:rPr>
        <w:t xml:space="preserve"> not weak.</w:t>
      </w:r>
      <w:r w:rsidR="00065347">
        <w:rPr>
          <w:rFonts w:ascii="Garamond" w:hAnsi="Garamond"/>
          <w:sz w:val="24"/>
        </w:rPr>
        <w:t xml:space="preserve"> </w:t>
      </w:r>
    </w:p>
    <w:p w14:paraId="7429EAF0" w14:textId="77777777" w:rsidR="00267EFB" w:rsidRDefault="00CC2249" w:rsidP="00CC2249">
      <w:pPr>
        <w:spacing w:line="480" w:lineRule="auto"/>
        <w:ind w:left="720"/>
        <w:rPr>
          <w:rFonts w:ascii="Garamond" w:hAnsi="Garamond"/>
          <w:sz w:val="24"/>
        </w:rPr>
      </w:pPr>
      <w:r>
        <w:rPr>
          <w:rFonts w:ascii="Garamond" w:hAnsi="Garamond"/>
          <w:i/>
          <w:sz w:val="24"/>
        </w:rPr>
        <w:t xml:space="preserve">Prediction 3: </w:t>
      </w:r>
      <w:r>
        <w:rPr>
          <w:rFonts w:ascii="Garamond" w:hAnsi="Garamond"/>
          <w:sz w:val="24"/>
        </w:rPr>
        <w:t xml:space="preserve">The </w:t>
      </w:r>
      <w:proofErr w:type="spellStart"/>
      <w:r w:rsidRPr="00634E3A">
        <w:rPr>
          <w:rFonts w:ascii="Garamond" w:hAnsi="Garamond"/>
          <w:sz w:val="24"/>
        </w:rPr>
        <w:t>Kleiberge</w:t>
      </w:r>
      <w:r w:rsidR="008C661B">
        <w:rPr>
          <w:rFonts w:ascii="Garamond" w:hAnsi="Garamond"/>
          <w:sz w:val="24"/>
        </w:rPr>
        <w:t>n-Paap</w:t>
      </w:r>
      <w:proofErr w:type="spellEnd"/>
      <w:r w:rsidRPr="00634E3A">
        <w:rPr>
          <w:rFonts w:ascii="Garamond" w:hAnsi="Garamond"/>
          <w:sz w:val="24"/>
        </w:rPr>
        <w:t xml:space="preserve"> F-statistic </w:t>
      </w:r>
      <w:r>
        <w:rPr>
          <w:rFonts w:ascii="Garamond" w:hAnsi="Garamond"/>
          <w:sz w:val="24"/>
        </w:rPr>
        <w:t xml:space="preserve">for the </w:t>
      </w:r>
      <w:r w:rsidR="008C661B">
        <w:rPr>
          <w:rFonts w:ascii="Garamond" w:hAnsi="Garamond"/>
          <w:sz w:val="24"/>
        </w:rPr>
        <w:t>Dem Loss</w:t>
      </w:r>
      <w:r>
        <w:rPr>
          <w:rFonts w:ascii="Garamond" w:hAnsi="Garamond"/>
          <w:sz w:val="24"/>
        </w:rPr>
        <w:t xml:space="preserve"> subgroup </w:t>
      </w:r>
      <w:r w:rsidRPr="00634E3A">
        <w:rPr>
          <w:rFonts w:ascii="Garamond" w:hAnsi="Garamond"/>
          <w:sz w:val="24"/>
        </w:rPr>
        <w:t>is</w:t>
      </w:r>
      <w:r w:rsidR="008C661B">
        <w:rPr>
          <w:rFonts w:ascii="Garamond" w:hAnsi="Garamond"/>
          <w:sz w:val="24"/>
        </w:rPr>
        <w:t xml:space="preserve"> 11</w:t>
      </w:r>
      <w:r w:rsidRPr="00634E3A">
        <w:rPr>
          <w:rFonts w:ascii="Garamond" w:hAnsi="Garamond"/>
          <w:sz w:val="24"/>
        </w:rPr>
        <w:t>.</w:t>
      </w:r>
      <w:r w:rsidR="008C661B">
        <w:rPr>
          <w:rFonts w:ascii="Garamond" w:hAnsi="Garamond"/>
          <w:sz w:val="24"/>
        </w:rPr>
        <w:t>1,</w:t>
      </w:r>
      <w:r w:rsidRPr="00634E3A">
        <w:rPr>
          <w:rFonts w:ascii="Garamond" w:hAnsi="Garamond"/>
          <w:sz w:val="24"/>
        </w:rPr>
        <w:t xml:space="preserve"> above the rule-of-thumb threshold of 10 and over the 9.0 Stock-</w:t>
      </w:r>
      <w:proofErr w:type="spellStart"/>
      <w:r w:rsidRPr="00634E3A">
        <w:rPr>
          <w:rFonts w:ascii="Garamond" w:hAnsi="Garamond"/>
          <w:sz w:val="24"/>
        </w:rPr>
        <w:t>Yogo</w:t>
      </w:r>
      <w:proofErr w:type="spellEnd"/>
      <w:r w:rsidRPr="00634E3A">
        <w:rPr>
          <w:rFonts w:ascii="Garamond" w:hAnsi="Garamond"/>
          <w:sz w:val="24"/>
        </w:rPr>
        <w:t xml:space="preserve"> 15</w:t>
      </w:r>
      <w:r w:rsidR="008C661B">
        <w:rPr>
          <w:rFonts w:ascii="Garamond" w:hAnsi="Garamond"/>
          <w:sz w:val="24"/>
        </w:rPr>
        <w:t xml:space="preserve">% maximal IV size critical value, indicating that this instrument is not weak. However, the Dem Win subgroup may suffer from a weak instrument with a </w:t>
      </w:r>
      <w:proofErr w:type="spellStart"/>
      <w:r w:rsidR="008C661B">
        <w:rPr>
          <w:rFonts w:ascii="Garamond" w:hAnsi="Garamond"/>
          <w:sz w:val="24"/>
        </w:rPr>
        <w:t>Kleibergen-Paap</w:t>
      </w:r>
      <w:proofErr w:type="spellEnd"/>
      <w:r w:rsidR="008C661B">
        <w:rPr>
          <w:rFonts w:ascii="Garamond" w:hAnsi="Garamond"/>
          <w:sz w:val="24"/>
        </w:rPr>
        <w:t xml:space="preserve"> F-statistic of 6.0. A</w:t>
      </w:r>
      <w:r w:rsidR="007C4C11">
        <w:rPr>
          <w:rFonts w:ascii="Garamond" w:hAnsi="Garamond"/>
          <w:sz w:val="24"/>
        </w:rPr>
        <w:t>s reported in the main text, I use</w:t>
      </w:r>
      <w:r w:rsidR="00B2188D">
        <w:rPr>
          <w:rFonts w:ascii="Garamond" w:hAnsi="Garamond"/>
          <w:sz w:val="24"/>
        </w:rPr>
        <w:t xml:space="preserve"> </w:t>
      </w:r>
      <w:r w:rsidR="00B2188D" w:rsidRPr="00B2188D">
        <w:rPr>
          <w:rFonts w:ascii="Garamond" w:hAnsi="Garamond"/>
          <w:sz w:val="24"/>
        </w:rPr>
        <w:t>Anderson-Rubin weak-instrument-robust tests</w:t>
      </w:r>
      <w:r w:rsidR="00B2188D">
        <w:rPr>
          <w:rFonts w:ascii="Garamond" w:hAnsi="Garamond"/>
          <w:sz w:val="24"/>
        </w:rPr>
        <w:t>, which do not yield CACEs or comparable coefficients but can identify if the downstream effect is statistically significant. These tests find evidence of</w:t>
      </w:r>
      <w:r w:rsidR="00B2188D" w:rsidRPr="00B2188D">
        <w:rPr>
          <w:rFonts w:ascii="Garamond" w:hAnsi="Garamond"/>
          <w:sz w:val="24"/>
        </w:rPr>
        <w:t xml:space="preserve"> turnout persistence in the Dem Win subsample</w:t>
      </w:r>
      <w:r w:rsidR="00B2188D">
        <w:rPr>
          <w:rFonts w:ascii="Garamond" w:hAnsi="Garamond"/>
          <w:sz w:val="24"/>
        </w:rPr>
        <w:t xml:space="preserve"> (p</w:t>
      </w:r>
      <w:r w:rsidR="00B2188D" w:rsidRPr="00B2188D">
        <w:rPr>
          <w:rFonts w:ascii="Garamond" w:hAnsi="Garamond"/>
          <w:sz w:val="24"/>
        </w:rPr>
        <w:t xml:space="preserve"> </w:t>
      </w:r>
      <w:r w:rsidR="00B2188D">
        <w:rPr>
          <w:rFonts w:ascii="Garamond" w:hAnsi="Garamond"/>
          <w:sz w:val="24"/>
        </w:rPr>
        <w:t>=</w:t>
      </w:r>
      <w:r w:rsidR="00B2188D" w:rsidRPr="00B2188D">
        <w:rPr>
          <w:rFonts w:ascii="Garamond" w:hAnsi="Garamond"/>
          <w:sz w:val="24"/>
        </w:rPr>
        <w:t>0.001</w:t>
      </w:r>
      <w:r w:rsidR="00B2188D">
        <w:rPr>
          <w:rFonts w:ascii="Garamond" w:hAnsi="Garamond"/>
          <w:sz w:val="24"/>
        </w:rPr>
        <w:t>)</w:t>
      </w:r>
      <w:r w:rsidR="00B2188D" w:rsidRPr="00B2188D">
        <w:rPr>
          <w:rFonts w:ascii="Garamond" w:hAnsi="Garamond"/>
          <w:sz w:val="24"/>
        </w:rPr>
        <w:t xml:space="preserve"> and no turnout persistence in the Dem Loss subsample</w:t>
      </w:r>
      <w:r w:rsidR="00B2188D">
        <w:rPr>
          <w:rFonts w:ascii="Garamond" w:hAnsi="Garamond"/>
          <w:sz w:val="24"/>
        </w:rPr>
        <w:t xml:space="preserve"> (p-value=</w:t>
      </w:r>
      <w:r w:rsidR="00B2188D" w:rsidRPr="00B2188D">
        <w:rPr>
          <w:rFonts w:ascii="Garamond" w:hAnsi="Garamond"/>
          <w:sz w:val="24"/>
        </w:rPr>
        <w:t>0.503</w:t>
      </w:r>
      <w:r w:rsidR="00B2188D">
        <w:rPr>
          <w:rFonts w:ascii="Garamond" w:hAnsi="Garamond"/>
          <w:sz w:val="24"/>
        </w:rPr>
        <w:t>)</w:t>
      </w:r>
      <w:r w:rsidR="00B2188D" w:rsidRPr="00B2188D">
        <w:rPr>
          <w:rFonts w:ascii="Garamond" w:hAnsi="Garamond"/>
          <w:sz w:val="24"/>
        </w:rPr>
        <w:t>.</w:t>
      </w:r>
      <w:r w:rsidR="00B2188D">
        <w:rPr>
          <w:rFonts w:ascii="Garamond" w:hAnsi="Garamond"/>
          <w:sz w:val="24"/>
        </w:rPr>
        <w:t xml:space="preserve"> This is consistent with the reported CACEs. </w:t>
      </w:r>
      <w:r w:rsidR="00B2188D" w:rsidRPr="00B2188D">
        <w:rPr>
          <w:rFonts w:ascii="Garamond" w:hAnsi="Garamond"/>
          <w:sz w:val="24"/>
        </w:rPr>
        <w:t xml:space="preserve">  </w:t>
      </w:r>
      <w:r w:rsidR="007C4C11">
        <w:rPr>
          <w:rFonts w:ascii="Garamond" w:hAnsi="Garamond"/>
          <w:sz w:val="24"/>
        </w:rPr>
        <w:t xml:space="preserve"> </w:t>
      </w:r>
    </w:p>
    <w:p w14:paraId="085E182A" w14:textId="665276B3" w:rsidR="00CC6E1E" w:rsidRDefault="00AB7C3C" w:rsidP="00CC6E1E">
      <w:pPr>
        <w:spacing w:line="480" w:lineRule="auto"/>
        <w:outlineLvl w:val="2"/>
        <w:rPr>
          <w:rFonts w:ascii="Garamond" w:hAnsi="Garamond"/>
          <w:b/>
          <w:sz w:val="24"/>
        </w:rPr>
      </w:pPr>
      <w:bookmarkStart w:id="18" w:name="_Toc129961284"/>
      <w:r>
        <w:rPr>
          <w:rFonts w:ascii="Garamond" w:hAnsi="Garamond"/>
          <w:i/>
          <w:sz w:val="28"/>
          <w:szCs w:val="24"/>
          <w:u w:val="single"/>
        </w:rPr>
        <w:lastRenderedPageBreak/>
        <w:t>5</w:t>
      </w:r>
      <w:r w:rsidR="00CC6E1E">
        <w:rPr>
          <w:rFonts w:ascii="Garamond" w:hAnsi="Garamond"/>
          <w:i/>
          <w:sz w:val="28"/>
          <w:szCs w:val="24"/>
          <w:u w:val="single"/>
        </w:rPr>
        <w:t>.</w:t>
      </w:r>
      <w:r w:rsidR="00647968">
        <w:rPr>
          <w:rFonts w:ascii="Garamond" w:hAnsi="Garamond"/>
          <w:i/>
          <w:sz w:val="28"/>
          <w:szCs w:val="24"/>
          <w:u w:val="single"/>
        </w:rPr>
        <w:t>3</w:t>
      </w:r>
      <w:r w:rsidR="00CC6E1E" w:rsidRPr="00F361CB">
        <w:rPr>
          <w:rFonts w:ascii="Garamond" w:hAnsi="Garamond"/>
          <w:i/>
          <w:sz w:val="28"/>
          <w:szCs w:val="24"/>
          <w:u w:val="single"/>
        </w:rPr>
        <w:t xml:space="preserve">: </w:t>
      </w:r>
      <w:r w:rsidR="00CC6E1E">
        <w:rPr>
          <w:rFonts w:ascii="Garamond" w:hAnsi="Garamond"/>
          <w:i/>
          <w:sz w:val="28"/>
          <w:szCs w:val="24"/>
          <w:u w:val="single"/>
        </w:rPr>
        <w:t>Additional Predictions</w:t>
      </w:r>
      <w:bookmarkEnd w:id="18"/>
      <w:r w:rsidR="00CC6E1E">
        <w:rPr>
          <w:rFonts w:ascii="Garamond" w:hAnsi="Garamond"/>
          <w:i/>
          <w:sz w:val="28"/>
          <w:szCs w:val="24"/>
          <w:u w:val="single"/>
        </w:rPr>
        <w:t xml:space="preserve"> </w:t>
      </w:r>
    </w:p>
    <w:p w14:paraId="085E182B" w14:textId="77777777" w:rsidR="00F361CB" w:rsidRPr="00E54821" w:rsidRDefault="00F361CB" w:rsidP="00F361CB">
      <w:pPr>
        <w:spacing w:line="480" w:lineRule="auto"/>
        <w:ind w:firstLine="720"/>
        <w:rPr>
          <w:rFonts w:ascii="Garamond" w:hAnsi="Garamond"/>
          <w:sz w:val="24"/>
        </w:rPr>
      </w:pPr>
      <w:r w:rsidRPr="00E54821">
        <w:rPr>
          <w:rFonts w:ascii="Garamond" w:hAnsi="Garamond"/>
          <w:b/>
          <w:i/>
          <w:sz w:val="24"/>
        </w:rPr>
        <w:t xml:space="preserve">Prediction 4: </w:t>
      </w:r>
      <w:r w:rsidRPr="00E54821">
        <w:rPr>
          <w:rFonts w:ascii="Garamond" w:hAnsi="Garamond"/>
          <w:i/>
          <w:sz w:val="24"/>
        </w:rPr>
        <w:t xml:space="preserve">Household income may be associated with </w:t>
      </w:r>
      <w:r w:rsidR="006A1256">
        <w:rPr>
          <w:rFonts w:ascii="Garamond" w:hAnsi="Garamond"/>
          <w:i/>
          <w:sz w:val="24"/>
        </w:rPr>
        <w:t>turnout persistence</w:t>
      </w:r>
      <w:r w:rsidRPr="00E54821">
        <w:rPr>
          <w:rFonts w:ascii="Garamond" w:hAnsi="Garamond"/>
          <w:i/>
          <w:sz w:val="24"/>
        </w:rPr>
        <w:t xml:space="preserve"> formation. </w:t>
      </w:r>
      <w:r w:rsidRPr="00E54821">
        <w:rPr>
          <w:rFonts w:ascii="Garamond" w:hAnsi="Garamond"/>
          <w:sz w:val="24"/>
        </w:rPr>
        <w:t>This final prediction is dependent on a number of assumptions that have mixed support in the existing literature.</w:t>
      </w:r>
      <w:r w:rsidRPr="00E54821">
        <w:rPr>
          <w:rFonts w:ascii="Garamond" w:hAnsi="Garamond"/>
          <w:i/>
          <w:sz w:val="24"/>
        </w:rPr>
        <w:t xml:space="preserve"> </w:t>
      </w:r>
      <w:r w:rsidRPr="00E54821">
        <w:rPr>
          <w:rFonts w:ascii="Garamond" w:hAnsi="Garamond"/>
          <w:sz w:val="24"/>
        </w:rPr>
        <w:t xml:space="preserve">Fujiwara, </w:t>
      </w:r>
      <w:proofErr w:type="spellStart"/>
      <w:r w:rsidRPr="00E54821">
        <w:rPr>
          <w:rFonts w:ascii="Garamond" w:hAnsi="Garamond"/>
          <w:sz w:val="24"/>
        </w:rPr>
        <w:t>Meng</w:t>
      </w:r>
      <w:proofErr w:type="spellEnd"/>
      <w:r w:rsidRPr="00E54821">
        <w:rPr>
          <w:rFonts w:ascii="Garamond" w:hAnsi="Garamond"/>
          <w:sz w:val="24"/>
        </w:rPr>
        <w:t xml:space="preserve"> and </w:t>
      </w:r>
      <w:proofErr w:type="spellStart"/>
      <w:r w:rsidRPr="00E54821">
        <w:rPr>
          <w:rFonts w:ascii="Garamond" w:hAnsi="Garamond"/>
          <w:sz w:val="24"/>
        </w:rPr>
        <w:t>Vogl</w:t>
      </w:r>
      <w:proofErr w:type="spellEnd"/>
      <w:r w:rsidRPr="00E54821">
        <w:rPr>
          <w:rFonts w:ascii="Garamond" w:hAnsi="Garamond"/>
          <w:sz w:val="24"/>
        </w:rPr>
        <w:t xml:space="preserve"> (2016) noted that the cost of voting is relatively higher for individuals with lower household incomes. On the other hand, the opportunity cost of voting for higher income individuals may be higher and thus discourage some higher income individuals from voting. A meta-analysis of 40 published studies found that income was positively correlated with likelihood to turn out, but the relationship failed to be significant in nearly half of the studies included in the meta-analysis (</w:t>
      </w:r>
      <w:proofErr w:type="spellStart"/>
      <w:r w:rsidRPr="00E54821">
        <w:rPr>
          <w:rFonts w:ascii="Garamond" w:hAnsi="Garamond"/>
          <w:sz w:val="24"/>
        </w:rPr>
        <w:t>Smets</w:t>
      </w:r>
      <w:proofErr w:type="spellEnd"/>
      <w:r w:rsidRPr="00E54821">
        <w:rPr>
          <w:rFonts w:ascii="Garamond" w:hAnsi="Garamond"/>
          <w:sz w:val="24"/>
        </w:rPr>
        <w:t xml:space="preserve"> &amp; van Ham 2013). As such, this prediction rests on</w:t>
      </w:r>
      <w:r w:rsidR="00CC6E1E">
        <w:rPr>
          <w:rFonts w:ascii="Garamond" w:hAnsi="Garamond"/>
          <w:sz w:val="24"/>
        </w:rPr>
        <w:t xml:space="preserve"> </w:t>
      </w:r>
      <w:r w:rsidRPr="00E54821">
        <w:rPr>
          <w:rFonts w:ascii="Garamond" w:hAnsi="Garamond"/>
          <w:sz w:val="24"/>
        </w:rPr>
        <w:t xml:space="preserve">precarious theoretical ground and the empirical results from this prediction should be viewed with a healthy dose of skepticism. </w:t>
      </w:r>
    </w:p>
    <w:p w14:paraId="085E182C" w14:textId="77777777" w:rsidR="00F361CB" w:rsidRPr="00E54821" w:rsidRDefault="00F361CB" w:rsidP="00F361CB">
      <w:pPr>
        <w:spacing w:line="480" w:lineRule="auto"/>
        <w:ind w:firstLine="720"/>
        <w:rPr>
          <w:rFonts w:ascii="Garamond" w:hAnsi="Garamond"/>
          <w:sz w:val="24"/>
        </w:rPr>
      </w:pPr>
      <w:r w:rsidRPr="00E54821">
        <w:rPr>
          <w:rFonts w:ascii="Garamond" w:hAnsi="Garamond"/>
          <w:sz w:val="24"/>
        </w:rPr>
        <w:t xml:space="preserve">That said, the proposed mechanism is as follows. There is a documented association between lower levels of income and higher levels of geographic mobility (e.g., Purcell, 2020), which would imply that contextual cues in different geographies are likely to be different and hence detrimental to the formation of heuristic shortcuts. This is consistent with </w:t>
      </w:r>
      <w:proofErr w:type="spellStart"/>
      <w:r w:rsidRPr="00E54821">
        <w:rPr>
          <w:rFonts w:ascii="Garamond" w:hAnsi="Garamond"/>
          <w:sz w:val="24"/>
        </w:rPr>
        <w:t>Coppock</w:t>
      </w:r>
      <w:proofErr w:type="spellEnd"/>
      <w:r w:rsidRPr="00E54821">
        <w:rPr>
          <w:rFonts w:ascii="Garamond" w:hAnsi="Garamond"/>
          <w:sz w:val="24"/>
        </w:rPr>
        <w:t xml:space="preserve"> &amp; Green’s (2016) conclusions that movers were less likely to exhibit </w:t>
      </w:r>
      <w:r w:rsidR="006A1256">
        <w:rPr>
          <w:rFonts w:ascii="Garamond" w:hAnsi="Garamond"/>
          <w:sz w:val="24"/>
        </w:rPr>
        <w:t>turnout persistence</w:t>
      </w:r>
      <w:r w:rsidRPr="00E54821">
        <w:rPr>
          <w:rFonts w:ascii="Garamond" w:hAnsi="Garamond"/>
          <w:sz w:val="24"/>
        </w:rPr>
        <w:t xml:space="preserve">. And so, the PMBC framework implies that lower income individuals would be less likely to exhibit </w:t>
      </w:r>
      <w:r w:rsidR="006A1256">
        <w:rPr>
          <w:rFonts w:ascii="Garamond" w:hAnsi="Garamond"/>
          <w:sz w:val="24"/>
        </w:rPr>
        <w:t>turnout persistence</w:t>
      </w:r>
      <w:r w:rsidRPr="00E54821">
        <w:rPr>
          <w:rFonts w:ascii="Garamond" w:hAnsi="Garamond"/>
          <w:sz w:val="24"/>
        </w:rPr>
        <w:t xml:space="preserve">. </w:t>
      </w:r>
    </w:p>
    <w:p w14:paraId="085E182D" w14:textId="3311764B" w:rsidR="00F361CB" w:rsidRDefault="00F361CB" w:rsidP="00F361CB">
      <w:pPr>
        <w:spacing w:line="480" w:lineRule="auto"/>
        <w:ind w:firstLine="720"/>
        <w:rPr>
          <w:rFonts w:ascii="Garamond" w:hAnsi="Garamond"/>
          <w:sz w:val="24"/>
        </w:rPr>
      </w:pPr>
      <w:r w:rsidRPr="00E54821">
        <w:rPr>
          <w:rFonts w:ascii="Garamond" w:hAnsi="Garamond"/>
          <w:sz w:val="24"/>
        </w:rPr>
        <w:t>When I look at the initial upstream effect among participants with lower than the mean income level in our sample ($50,000 - $75,000),</w:t>
      </w:r>
      <w:r w:rsidRPr="00E54821">
        <w:rPr>
          <w:rFonts w:ascii="Garamond" w:hAnsi="Garamond"/>
          <w:sz w:val="24"/>
          <w:vertAlign w:val="superscript"/>
        </w:rPr>
        <w:footnoteReference w:id="25"/>
      </w:r>
      <w:r w:rsidRPr="00E54821">
        <w:rPr>
          <w:rFonts w:ascii="Garamond" w:hAnsi="Garamond"/>
          <w:sz w:val="24"/>
        </w:rPr>
        <w:t xml:space="preserve"> the upstream treatment effect is actually higher than the upstream treatment effect for participants who have a higher than mean level of income (0.43 percentage points [p&lt;</w:t>
      </w:r>
      <w:r w:rsidR="00391399">
        <w:rPr>
          <w:rFonts w:ascii="Garamond" w:hAnsi="Garamond"/>
          <w:sz w:val="24"/>
        </w:rPr>
        <w:t>0</w:t>
      </w:r>
      <w:r w:rsidRPr="00E54821">
        <w:rPr>
          <w:rFonts w:ascii="Garamond" w:hAnsi="Garamond"/>
          <w:sz w:val="24"/>
        </w:rPr>
        <w:t>.</w:t>
      </w:r>
      <w:r w:rsidR="00391399">
        <w:rPr>
          <w:rFonts w:ascii="Garamond" w:hAnsi="Garamond"/>
          <w:sz w:val="24"/>
        </w:rPr>
        <w:t>0</w:t>
      </w:r>
      <w:r w:rsidRPr="00E54821">
        <w:rPr>
          <w:rFonts w:ascii="Garamond" w:hAnsi="Garamond"/>
          <w:sz w:val="24"/>
        </w:rPr>
        <w:t xml:space="preserve">01] vs. 0.20 percentage points [p=.04]). In other words, the GOTV </w:t>
      </w:r>
      <w:r w:rsidRPr="00E54821">
        <w:rPr>
          <w:rFonts w:ascii="Garamond" w:hAnsi="Garamond"/>
          <w:sz w:val="24"/>
        </w:rPr>
        <w:lastRenderedPageBreak/>
        <w:t>outreach in this study appears to be more effective for lower income individuals in upstream elections. But the downstream CACE for higher income households is twice as large as for lower income househo</w:t>
      </w:r>
      <w:r w:rsidR="00391399">
        <w:rPr>
          <w:rFonts w:ascii="Garamond" w:hAnsi="Garamond"/>
          <w:sz w:val="24"/>
        </w:rPr>
        <w:t>lds (1.1 [p=.08] vs. 0.45 [p=0.03</w:t>
      </w:r>
      <w:r w:rsidRPr="00E54821">
        <w:rPr>
          <w:rFonts w:ascii="Garamond" w:hAnsi="Garamond"/>
          <w:sz w:val="24"/>
        </w:rPr>
        <w:t xml:space="preserve">]). In short, these findings offer some support for the PMBC prediction that </w:t>
      </w:r>
      <w:r w:rsidR="006A1256">
        <w:rPr>
          <w:rFonts w:ascii="Garamond" w:hAnsi="Garamond"/>
          <w:sz w:val="24"/>
        </w:rPr>
        <w:t>turnout persistence</w:t>
      </w:r>
      <w:r w:rsidRPr="00E54821">
        <w:rPr>
          <w:rFonts w:ascii="Garamond" w:hAnsi="Garamond"/>
          <w:sz w:val="24"/>
        </w:rPr>
        <w:t xml:space="preserve"> is less likely to occur for lower income voters. </w:t>
      </w:r>
    </w:p>
    <w:p w14:paraId="346C58EF" w14:textId="6A6BFFC9" w:rsidR="00185C13" w:rsidRDefault="00185C13" w:rsidP="00185C13">
      <w:pPr>
        <w:spacing w:line="480" w:lineRule="auto"/>
        <w:outlineLvl w:val="2"/>
        <w:rPr>
          <w:rFonts w:ascii="Garamond" w:hAnsi="Garamond"/>
          <w:b/>
          <w:sz w:val="24"/>
        </w:rPr>
      </w:pPr>
      <w:bookmarkStart w:id="19" w:name="_Toc129961285"/>
      <w:r>
        <w:rPr>
          <w:rFonts w:ascii="Garamond" w:hAnsi="Garamond"/>
          <w:i/>
          <w:sz w:val="28"/>
          <w:szCs w:val="24"/>
          <w:u w:val="single"/>
        </w:rPr>
        <w:t>5.</w:t>
      </w:r>
      <w:r w:rsidR="00647968">
        <w:rPr>
          <w:rFonts w:ascii="Garamond" w:hAnsi="Garamond"/>
          <w:i/>
          <w:sz w:val="28"/>
          <w:szCs w:val="24"/>
          <w:u w:val="single"/>
        </w:rPr>
        <w:t>4</w:t>
      </w:r>
      <w:r w:rsidRPr="00F361CB">
        <w:rPr>
          <w:rFonts w:ascii="Garamond" w:hAnsi="Garamond"/>
          <w:i/>
          <w:sz w:val="28"/>
          <w:szCs w:val="24"/>
          <w:u w:val="single"/>
        </w:rPr>
        <w:t xml:space="preserve">: </w:t>
      </w:r>
      <w:r>
        <w:rPr>
          <w:rFonts w:ascii="Garamond" w:hAnsi="Garamond"/>
          <w:i/>
          <w:sz w:val="28"/>
          <w:szCs w:val="24"/>
          <w:u w:val="single"/>
        </w:rPr>
        <w:t>Robustness Checks</w:t>
      </w:r>
      <w:bookmarkEnd w:id="19"/>
      <w:r>
        <w:rPr>
          <w:rFonts w:ascii="Garamond" w:hAnsi="Garamond"/>
          <w:i/>
          <w:sz w:val="28"/>
          <w:szCs w:val="24"/>
          <w:u w:val="single"/>
        </w:rPr>
        <w:t xml:space="preserve"> </w:t>
      </w:r>
    </w:p>
    <w:p w14:paraId="5E3E00FF" w14:textId="304FDC3E" w:rsidR="00185C13" w:rsidRDefault="00185C13" w:rsidP="00185C13">
      <w:pPr>
        <w:spacing w:line="480" w:lineRule="auto"/>
        <w:ind w:firstLine="720"/>
        <w:rPr>
          <w:rFonts w:ascii="Garamond" w:hAnsi="Garamond"/>
          <w:sz w:val="24"/>
        </w:rPr>
      </w:pPr>
      <w:r w:rsidRPr="00E54821">
        <w:rPr>
          <w:rFonts w:ascii="Garamond" w:hAnsi="Garamond"/>
          <w:b/>
          <w:i/>
          <w:sz w:val="24"/>
        </w:rPr>
        <w:t>Prediction 2:</w:t>
      </w:r>
      <w:r w:rsidRPr="00E54821">
        <w:rPr>
          <w:rFonts w:ascii="Garamond" w:hAnsi="Garamond"/>
          <w:i/>
          <w:sz w:val="24"/>
        </w:rPr>
        <w:t xml:space="preserve"> Voters induced to vote in a low-salience election will not exhibit stronger </w:t>
      </w:r>
      <w:r>
        <w:rPr>
          <w:rFonts w:ascii="Garamond" w:hAnsi="Garamond"/>
          <w:i/>
          <w:sz w:val="24"/>
        </w:rPr>
        <w:t>turnout persistence</w:t>
      </w:r>
      <w:r w:rsidRPr="00E54821">
        <w:rPr>
          <w:rFonts w:ascii="Garamond" w:hAnsi="Garamond"/>
          <w:i/>
          <w:sz w:val="24"/>
        </w:rPr>
        <w:t xml:space="preserve"> effects.</w:t>
      </w:r>
      <w:r>
        <w:rPr>
          <w:rFonts w:ascii="Garamond" w:hAnsi="Garamond"/>
          <w:i/>
          <w:sz w:val="24"/>
        </w:rPr>
        <w:t xml:space="preserve"> </w:t>
      </w:r>
      <w:r>
        <w:rPr>
          <w:rFonts w:ascii="Garamond" w:hAnsi="Garamond"/>
          <w:sz w:val="24"/>
        </w:rPr>
        <w:t>O</w:t>
      </w:r>
      <w:r w:rsidRPr="00E54821">
        <w:rPr>
          <w:rFonts w:ascii="Garamond" w:hAnsi="Garamond"/>
          <w:sz w:val="24"/>
        </w:rPr>
        <w:t>ne could construe the NY 2014 general election as low salience. Even though there was a gubernatorial election</w:t>
      </w:r>
      <w:r>
        <w:rPr>
          <w:rFonts w:ascii="Garamond" w:hAnsi="Garamond"/>
          <w:sz w:val="24"/>
        </w:rPr>
        <w:t xml:space="preserve"> on the ballot</w:t>
      </w:r>
      <w:r w:rsidRPr="00E54821">
        <w:rPr>
          <w:rFonts w:ascii="Garamond" w:hAnsi="Garamond"/>
          <w:sz w:val="24"/>
        </w:rPr>
        <w:t>, Andrew Cuomo was predicted to win handedly (</w:t>
      </w:r>
      <w:r w:rsidRPr="00E54821">
        <w:rPr>
          <w:rFonts w:ascii="Garamond" w:hAnsi="Garamond"/>
          <w:i/>
          <w:sz w:val="24"/>
        </w:rPr>
        <w:t>RCP</w:t>
      </w:r>
      <w:r w:rsidRPr="00E54821">
        <w:rPr>
          <w:rFonts w:ascii="Garamond" w:hAnsi="Garamond"/>
          <w:sz w:val="24"/>
        </w:rPr>
        <w:t xml:space="preserve"> 2014) and turnout was only seven percentage points higher than the Philadelphia Mayoral race. When I include NY as one of the three low salience elections</w:t>
      </w:r>
      <w:r w:rsidR="00663AE6">
        <w:rPr>
          <w:rFonts w:ascii="Garamond" w:hAnsi="Garamond"/>
          <w:sz w:val="24"/>
        </w:rPr>
        <w:t xml:space="preserve"> (in the second row of Table 5.3</w:t>
      </w:r>
      <w:r w:rsidRPr="00E54821">
        <w:rPr>
          <w:rFonts w:ascii="Garamond" w:hAnsi="Garamond"/>
          <w:sz w:val="24"/>
        </w:rPr>
        <w:t>), there is, again, no persistence in the 2018 general election among these low salience experiments</w:t>
      </w:r>
      <w:r>
        <w:rPr>
          <w:rFonts w:ascii="Garamond" w:hAnsi="Garamond"/>
          <w:sz w:val="24"/>
        </w:rPr>
        <w:t xml:space="preserve"> (the third row cell in light gray)</w:t>
      </w:r>
      <w:r w:rsidRPr="00E54821">
        <w:rPr>
          <w:rFonts w:ascii="Garamond" w:hAnsi="Garamond"/>
          <w:sz w:val="24"/>
        </w:rPr>
        <w:t>, despite an upstream effect that’s nearly twice as large as the upstream effect of all other experiments</w:t>
      </w:r>
      <w:r>
        <w:rPr>
          <w:rFonts w:ascii="Garamond" w:hAnsi="Garamond"/>
          <w:sz w:val="24"/>
        </w:rPr>
        <w:t xml:space="preserve"> (0.50 percentage points versus 0.28 percentage points)</w:t>
      </w:r>
      <w:r w:rsidRPr="00E54821">
        <w:rPr>
          <w:rFonts w:ascii="Garamond" w:hAnsi="Garamond"/>
          <w:sz w:val="24"/>
        </w:rPr>
        <w:t xml:space="preserve">. The other experiments, in contrast, again have </w:t>
      </w:r>
      <w:r>
        <w:rPr>
          <w:rFonts w:ascii="Garamond" w:hAnsi="Garamond"/>
          <w:sz w:val="24"/>
        </w:rPr>
        <w:t xml:space="preserve">a </w:t>
      </w:r>
      <w:r w:rsidRPr="00E54821">
        <w:rPr>
          <w:rFonts w:ascii="Garamond" w:hAnsi="Garamond"/>
          <w:sz w:val="24"/>
        </w:rPr>
        <w:t>large and statistically significant CACE</w:t>
      </w:r>
      <w:r>
        <w:rPr>
          <w:rFonts w:ascii="Garamond" w:hAnsi="Garamond"/>
          <w:sz w:val="24"/>
        </w:rPr>
        <w:t xml:space="preserve"> (0.95, p=0.003) in the 2018 general election. </w:t>
      </w:r>
      <w:r w:rsidRPr="00E54821">
        <w:rPr>
          <w:rFonts w:ascii="Garamond" w:hAnsi="Garamond"/>
          <w:sz w:val="24"/>
        </w:rPr>
        <w:t>In the remaining two rows, I try two more combinations of low salience races and, in both cases, find null downstream CACEs</w:t>
      </w:r>
      <w:r>
        <w:rPr>
          <w:rFonts w:ascii="Garamond" w:hAnsi="Garamond"/>
          <w:sz w:val="24"/>
        </w:rPr>
        <w:t xml:space="preserve"> (the final two cells in light gray)</w:t>
      </w:r>
      <w:r w:rsidRPr="00E54821">
        <w:rPr>
          <w:rFonts w:ascii="Garamond" w:hAnsi="Garamond"/>
          <w:sz w:val="24"/>
        </w:rPr>
        <w:t xml:space="preserve">. </w:t>
      </w:r>
    </w:p>
    <w:p w14:paraId="02C10521" w14:textId="40DB0F71" w:rsidR="00F97338" w:rsidRDefault="00F97338" w:rsidP="00185C13">
      <w:pPr>
        <w:spacing w:line="480" w:lineRule="auto"/>
        <w:ind w:firstLine="720"/>
        <w:rPr>
          <w:rFonts w:ascii="Garamond" w:hAnsi="Garamond"/>
          <w:sz w:val="24"/>
        </w:rPr>
      </w:pPr>
    </w:p>
    <w:p w14:paraId="2EEC324D" w14:textId="2FE1630F" w:rsidR="00F97338" w:rsidRDefault="00F97338" w:rsidP="00185C13">
      <w:pPr>
        <w:spacing w:line="480" w:lineRule="auto"/>
        <w:ind w:firstLine="720"/>
        <w:rPr>
          <w:rFonts w:ascii="Garamond" w:hAnsi="Garamond"/>
          <w:sz w:val="24"/>
        </w:rPr>
      </w:pPr>
    </w:p>
    <w:p w14:paraId="74A20DE3" w14:textId="2C7E9EBB" w:rsidR="00F97338" w:rsidRDefault="00F97338" w:rsidP="00185C13">
      <w:pPr>
        <w:spacing w:line="480" w:lineRule="auto"/>
        <w:ind w:firstLine="720"/>
        <w:rPr>
          <w:rFonts w:ascii="Garamond" w:hAnsi="Garamond"/>
          <w:sz w:val="24"/>
        </w:rPr>
      </w:pPr>
    </w:p>
    <w:p w14:paraId="109C27E1" w14:textId="5AB2739D" w:rsidR="00F97338" w:rsidRDefault="00F97338" w:rsidP="00185C13">
      <w:pPr>
        <w:spacing w:line="480" w:lineRule="auto"/>
        <w:ind w:firstLine="720"/>
        <w:rPr>
          <w:rFonts w:ascii="Garamond" w:hAnsi="Garamond"/>
          <w:sz w:val="24"/>
        </w:rPr>
      </w:pPr>
    </w:p>
    <w:p w14:paraId="0B0A37B0" w14:textId="77777777" w:rsidR="00F97338" w:rsidRDefault="00F97338" w:rsidP="00185C13">
      <w:pPr>
        <w:spacing w:line="480" w:lineRule="auto"/>
        <w:ind w:firstLine="720"/>
        <w:rPr>
          <w:rFonts w:ascii="Garamond" w:hAnsi="Garamond"/>
          <w:sz w:val="24"/>
        </w:rPr>
      </w:pPr>
    </w:p>
    <w:p w14:paraId="7AEEA7C1" w14:textId="52617A68" w:rsidR="00185C13" w:rsidRDefault="00185C13" w:rsidP="00185C13">
      <w:pPr>
        <w:spacing w:line="480" w:lineRule="auto"/>
        <w:rPr>
          <w:rFonts w:ascii="Garamond" w:hAnsi="Garamond"/>
          <w:noProof/>
          <w:sz w:val="24"/>
          <w:szCs w:val="24"/>
        </w:rPr>
      </w:pPr>
      <w:bookmarkStart w:id="20" w:name="_Toc83753724"/>
      <w:r w:rsidRPr="00E54821">
        <w:rPr>
          <w:rFonts w:ascii="Garamond" w:hAnsi="Garamond"/>
          <w:b/>
          <w:noProof/>
          <w:sz w:val="24"/>
          <w:szCs w:val="24"/>
        </w:rPr>
        <w:lastRenderedPageBreak/>
        <w:t xml:space="preserve">Table </w:t>
      </w:r>
      <w:r w:rsidR="00663AE6">
        <w:rPr>
          <w:rFonts w:ascii="Garamond" w:hAnsi="Garamond"/>
          <w:b/>
          <w:noProof/>
          <w:sz w:val="24"/>
          <w:szCs w:val="24"/>
        </w:rPr>
        <w:t>5.</w:t>
      </w:r>
      <w:r w:rsidR="00F2513A">
        <w:rPr>
          <w:rFonts w:ascii="Garamond" w:hAnsi="Garamond"/>
          <w:b/>
          <w:noProof/>
          <w:sz w:val="24"/>
          <w:szCs w:val="24"/>
        </w:rPr>
        <w:t>4</w:t>
      </w:r>
      <w:r w:rsidRPr="00E54821">
        <w:rPr>
          <w:rFonts w:ascii="Garamond" w:hAnsi="Garamond"/>
          <w:noProof/>
          <w:sz w:val="24"/>
          <w:szCs w:val="24"/>
        </w:rPr>
        <w:t xml:space="preserve">: </w:t>
      </w:r>
      <w:bookmarkEnd w:id="20"/>
      <w:r>
        <w:rPr>
          <w:rFonts w:ascii="Garamond" w:hAnsi="Garamond"/>
          <w:noProof/>
          <w:sz w:val="24"/>
          <w:szCs w:val="24"/>
        </w:rPr>
        <w:t>Turnout persistence is more likely when the GOTV treatment was in a high salience election than in a low salience election</w:t>
      </w:r>
    </w:p>
    <w:tbl>
      <w:tblPr>
        <w:tblW w:w="8550" w:type="dxa"/>
        <w:tblLook w:val="04A0" w:firstRow="1" w:lastRow="0" w:firstColumn="1" w:lastColumn="0" w:noHBand="0" w:noVBand="1"/>
      </w:tblPr>
      <w:tblGrid>
        <w:gridCol w:w="2935"/>
        <w:gridCol w:w="1230"/>
        <w:gridCol w:w="1580"/>
        <w:gridCol w:w="1252"/>
        <w:gridCol w:w="1635"/>
      </w:tblGrid>
      <w:tr w:rsidR="00DB4A0B" w:rsidRPr="00B0506D" w14:paraId="7B5EFEA4" w14:textId="77777777" w:rsidTr="00121B8D">
        <w:trPr>
          <w:trHeight w:val="300"/>
        </w:trPr>
        <w:tc>
          <w:tcPr>
            <w:tcW w:w="2935" w:type="dxa"/>
            <w:tcBorders>
              <w:top w:val="single" w:sz="12" w:space="0" w:color="auto"/>
              <w:left w:val="single" w:sz="12" w:space="0" w:color="auto"/>
              <w:bottom w:val="nil"/>
              <w:right w:val="nil"/>
            </w:tcBorders>
            <w:shd w:val="clear" w:color="auto" w:fill="auto"/>
            <w:noWrap/>
            <w:vAlign w:val="center"/>
            <w:hideMark/>
          </w:tcPr>
          <w:p w14:paraId="0017E228"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230" w:type="dxa"/>
            <w:tcBorders>
              <w:top w:val="single" w:sz="12" w:space="0" w:color="auto"/>
              <w:left w:val="nil"/>
              <w:bottom w:val="nil"/>
              <w:right w:val="nil"/>
            </w:tcBorders>
            <w:shd w:val="clear" w:color="auto" w:fill="auto"/>
            <w:noWrap/>
            <w:vAlign w:val="bottom"/>
            <w:hideMark/>
          </w:tcPr>
          <w:p w14:paraId="2F4BCC75" w14:textId="77777777" w:rsidR="00DB4A0B" w:rsidRPr="00B0506D" w:rsidRDefault="00DB4A0B" w:rsidP="00121B8D">
            <w:pPr>
              <w:spacing w:after="0" w:line="240" w:lineRule="auto"/>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single" w:sz="12" w:space="0" w:color="auto"/>
              <w:left w:val="nil"/>
              <w:bottom w:val="nil"/>
              <w:right w:val="nil"/>
            </w:tcBorders>
            <w:shd w:val="clear" w:color="auto" w:fill="auto"/>
            <w:noWrap/>
            <w:vAlign w:val="bottom"/>
            <w:hideMark/>
          </w:tcPr>
          <w:p w14:paraId="09EF79A1" w14:textId="77777777" w:rsidR="00DB4A0B" w:rsidRPr="00B0506D" w:rsidRDefault="00DB4A0B" w:rsidP="00121B8D">
            <w:pPr>
              <w:spacing w:after="0" w:line="240" w:lineRule="auto"/>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single" w:sz="12" w:space="0" w:color="auto"/>
              <w:left w:val="nil"/>
              <w:bottom w:val="nil"/>
              <w:right w:val="nil"/>
            </w:tcBorders>
            <w:shd w:val="clear" w:color="auto" w:fill="auto"/>
            <w:noWrap/>
            <w:vAlign w:val="bottom"/>
            <w:hideMark/>
          </w:tcPr>
          <w:p w14:paraId="4319BD6D" w14:textId="77777777" w:rsidR="00DB4A0B" w:rsidRPr="00B0506D" w:rsidRDefault="00DB4A0B" w:rsidP="00121B8D">
            <w:pPr>
              <w:spacing w:after="0" w:line="240" w:lineRule="auto"/>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635" w:type="dxa"/>
            <w:tcBorders>
              <w:top w:val="single" w:sz="12" w:space="0" w:color="auto"/>
              <w:left w:val="nil"/>
              <w:bottom w:val="single" w:sz="12" w:space="0" w:color="auto"/>
              <w:right w:val="single" w:sz="12" w:space="0" w:color="auto"/>
            </w:tcBorders>
            <w:shd w:val="clear" w:color="auto" w:fill="auto"/>
            <w:noWrap/>
            <w:vAlign w:val="center"/>
            <w:hideMark/>
          </w:tcPr>
          <w:p w14:paraId="4D84D151"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2018 Mid-term General Election</w:t>
            </w:r>
          </w:p>
        </w:tc>
      </w:tr>
      <w:tr w:rsidR="00DB4A0B" w:rsidRPr="00B0506D" w14:paraId="0F1101A4" w14:textId="77777777" w:rsidTr="00121B8D">
        <w:trPr>
          <w:trHeight w:val="2025"/>
        </w:trPr>
        <w:tc>
          <w:tcPr>
            <w:tcW w:w="2935" w:type="dxa"/>
            <w:vMerge w:val="restart"/>
            <w:tcBorders>
              <w:top w:val="single" w:sz="12" w:space="0" w:color="auto"/>
              <w:left w:val="single" w:sz="12" w:space="0" w:color="auto"/>
              <w:bottom w:val="single" w:sz="12" w:space="0" w:color="000000"/>
              <w:right w:val="nil"/>
            </w:tcBorders>
            <w:shd w:val="clear" w:color="auto" w:fill="auto"/>
            <w:vAlign w:val="center"/>
            <w:hideMark/>
          </w:tcPr>
          <w:p w14:paraId="065BE134"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Lowest Projected Turnout + No Federal Race on Ballot</w:t>
            </w:r>
          </w:p>
        </w:tc>
        <w:tc>
          <w:tcPr>
            <w:tcW w:w="1230" w:type="dxa"/>
            <w:tcBorders>
              <w:top w:val="single" w:sz="12" w:space="0" w:color="auto"/>
              <w:left w:val="nil"/>
              <w:bottom w:val="nil"/>
              <w:right w:val="nil"/>
            </w:tcBorders>
            <w:shd w:val="clear" w:color="auto" w:fill="auto"/>
            <w:noWrap/>
            <w:vAlign w:val="center"/>
            <w:hideMark/>
          </w:tcPr>
          <w:p w14:paraId="0DDB32AE"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Low Salience</w:t>
            </w:r>
          </w:p>
        </w:tc>
        <w:tc>
          <w:tcPr>
            <w:tcW w:w="1580" w:type="dxa"/>
            <w:tcBorders>
              <w:top w:val="single" w:sz="12" w:space="0" w:color="auto"/>
              <w:left w:val="nil"/>
              <w:bottom w:val="nil"/>
              <w:right w:val="single" w:sz="12" w:space="0" w:color="auto"/>
            </w:tcBorders>
            <w:shd w:val="clear" w:color="auto" w:fill="auto"/>
            <w:noWrap/>
            <w:vAlign w:val="center"/>
            <w:hideMark/>
          </w:tcPr>
          <w:p w14:paraId="2D33E5D3"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(PA, Philly)</w:t>
            </w:r>
          </w:p>
        </w:tc>
        <w:tc>
          <w:tcPr>
            <w:tcW w:w="1170" w:type="dxa"/>
            <w:tcBorders>
              <w:top w:val="single" w:sz="12" w:space="0" w:color="auto"/>
              <w:left w:val="nil"/>
              <w:bottom w:val="nil"/>
              <w:right w:val="single" w:sz="12" w:space="0" w:color="auto"/>
            </w:tcBorders>
            <w:shd w:val="clear" w:color="auto" w:fill="auto"/>
            <w:noWrap/>
            <w:vAlign w:val="center"/>
            <w:hideMark/>
          </w:tcPr>
          <w:p w14:paraId="3B04945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0.0085</w:t>
            </w:r>
            <w:r>
              <w:rPr>
                <w:rFonts w:ascii="Garamond" w:eastAsia="Times New Roman" w:hAnsi="Garamond" w:cs="Calibri"/>
                <w:color w:val="000000"/>
                <w:sz w:val="24"/>
              </w:rPr>
              <w:t>***</w:t>
            </w:r>
          </w:p>
        </w:tc>
        <w:tc>
          <w:tcPr>
            <w:tcW w:w="1635" w:type="dxa"/>
            <w:tcBorders>
              <w:top w:val="nil"/>
              <w:left w:val="nil"/>
              <w:bottom w:val="nil"/>
              <w:right w:val="single" w:sz="12" w:space="0" w:color="auto"/>
            </w:tcBorders>
            <w:shd w:val="clear" w:color="auto" w:fill="F2F2F2" w:themeFill="background1" w:themeFillShade="F2"/>
            <w:noWrap/>
            <w:vAlign w:val="center"/>
            <w:hideMark/>
          </w:tcPr>
          <w:p w14:paraId="39BC7CEA"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-0.0736</w:t>
            </w:r>
          </w:p>
        </w:tc>
      </w:tr>
      <w:tr w:rsidR="00DB4A0B" w:rsidRPr="00B0506D" w14:paraId="537489AE" w14:textId="77777777" w:rsidTr="00121B8D">
        <w:trPr>
          <w:trHeight w:val="294"/>
        </w:trPr>
        <w:tc>
          <w:tcPr>
            <w:tcW w:w="2935" w:type="dxa"/>
            <w:vMerge/>
            <w:tcBorders>
              <w:top w:val="single" w:sz="12" w:space="0" w:color="auto"/>
              <w:left w:val="single" w:sz="12" w:space="0" w:color="auto"/>
              <w:bottom w:val="single" w:sz="12" w:space="0" w:color="000000"/>
              <w:right w:val="nil"/>
            </w:tcBorders>
            <w:vAlign w:val="center"/>
            <w:hideMark/>
          </w:tcPr>
          <w:p w14:paraId="1A78A1E2"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dashed" w:sz="8" w:space="0" w:color="auto"/>
              <w:right w:val="nil"/>
            </w:tcBorders>
            <w:shd w:val="clear" w:color="auto" w:fill="auto"/>
            <w:noWrap/>
            <w:vAlign w:val="center"/>
            <w:hideMark/>
          </w:tcPr>
          <w:p w14:paraId="20E72283"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dashed" w:sz="8" w:space="0" w:color="auto"/>
              <w:right w:val="single" w:sz="12" w:space="0" w:color="auto"/>
            </w:tcBorders>
            <w:shd w:val="clear" w:color="auto" w:fill="auto"/>
            <w:noWrap/>
            <w:vAlign w:val="center"/>
            <w:hideMark/>
          </w:tcPr>
          <w:p w14:paraId="5E23B309"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dashed" w:sz="8" w:space="0" w:color="auto"/>
              <w:right w:val="single" w:sz="12" w:space="0" w:color="auto"/>
            </w:tcBorders>
            <w:shd w:val="clear" w:color="auto" w:fill="auto"/>
            <w:noWrap/>
            <w:vAlign w:val="center"/>
            <w:hideMark/>
          </w:tcPr>
          <w:p w14:paraId="1A9849FF"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.0021)</w:t>
            </w:r>
          </w:p>
        </w:tc>
        <w:tc>
          <w:tcPr>
            <w:tcW w:w="1635" w:type="dxa"/>
            <w:tcBorders>
              <w:top w:val="nil"/>
              <w:left w:val="nil"/>
              <w:bottom w:val="dashed" w:sz="8" w:space="0" w:color="auto"/>
              <w:right w:val="single" w:sz="12" w:space="0" w:color="auto"/>
            </w:tcBorders>
            <w:shd w:val="clear" w:color="auto" w:fill="F2F2F2" w:themeFill="background1" w:themeFillShade="F2"/>
            <w:noWrap/>
            <w:vAlign w:val="center"/>
            <w:hideMark/>
          </w:tcPr>
          <w:p w14:paraId="5F5B7A6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(0.2241)</w:t>
            </w:r>
          </w:p>
        </w:tc>
      </w:tr>
      <w:tr w:rsidR="00DB4A0B" w:rsidRPr="00B0506D" w14:paraId="5D793D2C" w14:textId="77777777" w:rsidTr="00121B8D">
        <w:trPr>
          <w:trHeight w:val="294"/>
        </w:trPr>
        <w:tc>
          <w:tcPr>
            <w:tcW w:w="2935" w:type="dxa"/>
            <w:vMerge/>
            <w:tcBorders>
              <w:top w:val="single" w:sz="12" w:space="0" w:color="auto"/>
              <w:left w:val="single" w:sz="12" w:space="0" w:color="auto"/>
              <w:bottom w:val="single" w:sz="12" w:space="0" w:color="000000"/>
              <w:right w:val="nil"/>
            </w:tcBorders>
            <w:vAlign w:val="center"/>
            <w:hideMark/>
          </w:tcPr>
          <w:p w14:paraId="38D2A922"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nil"/>
              <w:right w:val="nil"/>
            </w:tcBorders>
            <w:shd w:val="clear" w:color="auto" w:fill="auto"/>
            <w:noWrap/>
            <w:vAlign w:val="center"/>
            <w:hideMark/>
          </w:tcPr>
          <w:p w14:paraId="04AF5DCA"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High Salience</w:t>
            </w:r>
          </w:p>
        </w:tc>
        <w:tc>
          <w:tcPr>
            <w:tcW w:w="1580" w:type="dxa"/>
            <w:tcBorders>
              <w:top w:val="nil"/>
              <w:left w:val="nil"/>
              <w:bottom w:val="nil"/>
              <w:right w:val="single" w:sz="12" w:space="0" w:color="auto"/>
            </w:tcBorders>
            <w:shd w:val="clear" w:color="auto" w:fill="auto"/>
            <w:noWrap/>
            <w:vAlign w:val="center"/>
            <w:hideMark/>
          </w:tcPr>
          <w:p w14:paraId="56ADB917"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(All others)</w:t>
            </w:r>
          </w:p>
        </w:tc>
        <w:tc>
          <w:tcPr>
            <w:tcW w:w="1170" w:type="dxa"/>
            <w:tcBorders>
              <w:top w:val="nil"/>
              <w:left w:val="nil"/>
              <w:bottom w:val="nil"/>
              <w:right w:val="single" w:sz="12" w:space="0" w:color="auto"/>
            </w:tcBorders>
            <w:shd w:val="clear" w:color="auto" w:fill="auto"/>
            <w:noWrap/>
            <w:vAlign w:val="center"/>
            <w:hideMark/>
          </w:tcPr>
          <w:p w14:paraId="61A295B9" w14:textId="77777777" w:rsidR="00DB4A0B" w:rsidRPr="00B0506D" w:rsidRDefault="00DB4A0B" w:rsidP="00121B8D">
            <w:pPr>
              <w:spacing w:after="0" w:line="240" w:lineRule="auto"/>
              <w:jc w:val="center"/>
              <w:rPr>
                <w:rFonts w:ascii="Garamond" w:eastAsia="Times New Roman" w:hAnsi="Garamond" w:cs="Calibri"/>
                <w:color w:val="000000"/>
                <w:sz w:val="24"/>
              </w:rPr>
            </w:pPr>
            <w:r>
              <w:rPr>
                <w:rFonts w:ascii="Garamond" w:eastAsia="Times New Roman" w:hAnsi="Garamond" w:cs="Calibri"/>
                <w:color w:val="000000"/>
                <w:sz w:val="24"/>
              </w:rPr>
              <w:t>0</w:t>
            </w:r>
            <w:r w:rsidRPr="00B0506D">
              <w:rPr>
                <w:rFonts w:ascii="Garamond" w:eastAsia="Times New Roman" w:hAnsi="Garamond" w:cs="Calibri"/>
                <w:color w:val="000000"/>
                <w:sz w:val="24"/>
              </w:rPr>
              <w:t>.002</w:t>
            </w:r>
            <w:r>
              <w:rPr>
                <w:rFonts w:ascii="Garamond" w:eastAsia="Times New Roman" w:hAnsi="Garamond" w:cs="Calibri"/>
                <w:color w:val="000000"/>
                <w:sz w:val="24"/>
              </w:rPr>
              <w:t>6***</w:t>
            </w:r>
          </w:p>
        </w:tc>
        <w:tc>
          <w:tcPr>
            <w:tcW w:w="1635" w:type="dxa"/>
            <w:tcBorders>
              <w:top w:val="nil"/>
              <w:left w:val="nil"/>
              <w:bottom w:val="nil"/>
              <w:right w:val="single" w:sz="12" w:space="0" w:color="auto"/>
            </w:tcBorders>
            <w:shd w:val="clear" w:color="auto" w:fill="auto"/>
            <w:noWrap/>
            <w:vAlign w:val="center"/>
            <w:hideMark/>
          </w:tcPr>
          <w:p w14:paraId="3556C967"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0.8829</w:t>
            </w:r>
            <w:r>
              <w:rPr>
                <w:rFonts w:ascii="Garamond" w:eastAsia="Times New Roman" w:hAnsi="Garamond" w:cs="Calibri"/>
                <w:color w:val="000000"/>
                <w:sz w:val="24"/>
              </w:rPr>
              <w:t>**</w:t>
            </w:r>
          </w:p>
        </w:tc>
      </w:tr>
      <w:tr w:rsidR="00DB4A0B" w:rsidRPr="00B0506D" w14:paraId="7E10299F" w14:textId="77777777" w:rsidTr="00121B8D">
        <w:trPr>
          <w:trHeight w:val="294"/>
        </w:trPr>
        <w:tc>
          <w:tcPr>
            <w:tcW w:w="2935" w:type="dxa"/>
            <w:vMerge/>
            <w:tcBorders>
              <w:top w:val="single" w:sz="12" w:space="0" w:color="auto"/>
              <w:left w:val="single" w:sz="12" w:space="0" w:color="auto"/>
              <w:bottom w:val="single" w:sz="12" w:space="0" w:color="000000"/>
              <w:right w:val="nil"/>
            </w:tcBorders>
            <w:vAlign w:val="center"/>
            <w:hideMark/>
          </w:tcPr>
          <w:p w14:paraId="0F2CA923"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single" w:sz="12" w:space="0" w:color="auto"/>
              <w:right w:val="nil"/>
            </w:tcBorders>
            <w:shd w:val="clear" w:color="auto" w:fill="auto"/>
            <w:noWrap/>
            <w:vAlign w:val="center"/>
            <w:hideMark/>
          </w:tcPr>
          <w:p w14:paraId="3F6169A0"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single" w:sz="12" w:space="0" w:color="auto"/>
              <w:right w:val="single" w:sz="12" w:space="0" w:color="auto"/>
            </w:tcBorders>
            <w:shd w:val="clear" w:color="auto" w:fill="auto"/>
            <w:noWrap/>
            <w:vAlign w:val="center"/>
            <w:hideMark/>
          </w:tcPr>
          <w:p w14:paraId="171DE4A9"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single" w:sz="12" w:space="0" w:color="auto"/>
              <w:right w:val="single" w:sz="12" w:space="0" w:color="auto"/>
            </w:tcBorders>
            <w:shd w:val="clear" w:color="auto" w:fill="auto"/>
            <w:noWrap/>
            <w:vAlign w:val="center"/>
            <w:hideMark/>
          </w:tcPr>
          <w:p w14:paraId="70D9F072"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.0007)</w:t>
            </w:r>
          </w:p>
        </w:tc>
        <w:tc>
          <w:tcPr>
            <w:tcW w:w="1635" w:type="dxa"/>
            <w:tcBorders>
              <w:top w:val="nil"/>
              <w:left w:val="nil"/>
              <w:bottom w:val="single" w:sz="12" w:space="0" w:color="auto"/>
              <w:right w:val="single" w:sz="12" w:space="0" w:color="auto"/>
            </w:tcBorders>
            <w:shd w:val="clear" w:color="auto" w:fill="auto"/>
            <w:noWrap/>
            <w:vAlign w:val="center"/>
            <w:hideMark/>
          </w:tcPr>
          <w:p w14:paraId="73EA496F"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.3068 )</w:t>
            </w:r>
          </w:p>
        </w:tc>
      </w:tr>
      <w:tr w:rsidR="00DB4A0B" w:rsidRPr="00B0506D" w14:paraId="5A8086CF" w14:textId="77777777" w:rsidTr="00121B8D">
        <w:trPr>
          <w:trHeight w:val="294"/>
        </w:trPr>
        <w:tc>
          <w:tcPr>
            <w:tcW w:w="2935" w:type="dxa"/>
            <w:vMerge w:val="restart"/>
            <w:tcBorders>
              <w:top w:val="nil"/>
              <w:left w:val="single" w:sz="12" w:space="0" w:color="auto"/>
              <w:bottom w:val="single" w:sz="12" w:space="0" w:color="000000"/>
              <w:right w:val="nil"/>
            </w:tcBorders>
            <w:shd w:val="clear" w:color="auto" w:fill="auto"/>
            <w:vAlign w:val="center"/>
            <w:hideMark/>
          </w:tcPr>
          <w:p w14:paraId="4D19B42B"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xml:space="preserve">Lowest Projected Turnout </w:t>
            </w:r>
          </w:p>
        </w:tc>
        <w:tc>
          <w:tcPr>
            <w:tcW w:w="1230" w:type="dxa"/>
            <w:tcBorders>
              <w:top w:val="nil"/>
              <w:left w:val="nil"/>
              <w:bottom w:val="nil"/>
              <w:right w:val="nil"/>
            </w:tcBorders>
            <w:shd w:val="clear" w:color="auto" w:fill="auto"/>
            <w:noWrap/>
            <w:vAlign w:val="center"/>
            <w:hideMark/>
          </w:tcPr>
          <w:p w14:paraId="6E21B5C0"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Low Salience</w:t>
            </w:r>
          </w:p>
        </w:tc>
        <w:tc>
          <w:tcPr>
            <w:tcW w:w="1580" w:type="dxa"/>
            <w:tcBorders>
              <w:top w:val="nil"/>
              <w:left w:val="nil"/>
              <w:bottom w:val="nil"/>
              <w:right w:val="single" w:sz="12" w:space="0" w:color="auto"/>
            </w:tcBorders>
            <w:shd w:val="clear" w:color="auto" w:fill="auto"/>
            <w:noWrap/>
            <w:vAlign w:val="center"/>
            <w:hideMark/>
          </w:tcPr>
          <w:p w14:paraId="1E4688AE"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(PA, Philly, NY)</w:t>
            </w:r>
          </w:p>
        </w:tc>
        <w:tc>
          <w:tcPr>
            <w:tcW w:w="1170" w:type="dxa"/>
            <w:tcBorders>
              <w:top w:val="nil"/>
              <w:left w:val="nil"/>
              <w:bottom w:val="nil"/>
              <w:right w:val="single" w:sz="12" w:space="0" w:color="auto"/>
            </w:tcBorders>
            <w:shd w:val="clear" w:color="auto" w:fill="auto"/>
            <w:noWrap/>
            <w:vAlign w:val="center"/>
            <w:hideMark/>
          </w:tcPr>
          <w:p w14:paraId="12F62D7E"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0.0050</w:t>
            </w:r>
            <w:r>
              <w:rPr>
                <w:rFonts w:ascii="Garamond" w:eastAsia="Times New Roman" w:hAnsi="Garamond" w:cs="Calibri"/>
                <w:color w:val="000000"/>
                <w:sz w:val="24"/>
              </w:rPr>
              <w:t>***</w:t>
            </w:r>
          </w:p>
        </w:tc>
        <w:tc>
          <w:tcPr>
            <w:tcW w:w="1635" w:type="dxa"/>
            <w:tcBorders>
              <w:top w:val="nil"/>
              <w:left w:val="nil"/>
              <w:bottom w:val="nil"/>
              <w:right w:val="single" w:sz="12" w:space="0" w:color="auto"/>
            </w:tcBorders>
            <w:shd w:val="clear" w:color="auto" w:fill="F2F2F2" w:themeFill="background1" w:themeFillShade="F2"/>
            <w:noWrap/>
            <w:vAlign w:val="center"/>
            <w:hideMark/>
          </w:tcPr>
          <w:p w14:paraId="093BE9AF"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0.0267</w:t>
            </w:r>
          </w:p>
        </w:tc>
      </w:tr>
      <w:tr w:rsidR="00DB4A0B" w:rsidRPr="00B0506D" w14:paraId="74311820" w14:textId="77777777" w:rsidTr="00121B8D">
        <w:trPr>
          <w:trHeight w:val="294"/>
        </w:trPr>
        <w:tc>
          <w:tcPr>
            <w:tcW w:w="2935" w:type="dxa"/>
            <w:vMerge/>
            <w:tcBorders>
              <w:top w:val="nil"/>
              <w:left w:val="single" w:sz="12" w:space="0" w:color="auto"/>
              <w:bottom w:val="single" w:sz="12" w:space="0" w:color="000000"/>
              <w:right w:val="nil"/>
            </w:tcBorders>
            <w:vAlign w:val="center"/>
            <w:hideMark/>
          </w:tcPr>
          <w:p w14:paraId="0FC0A1CC"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dashed" w:sz="8" w:space="0" w:color="auto"/>
              <w:right w:val="nil"/>
            </w:tcBorders>
            <w:shd w:val="clear" w:color="auto" w:fill="auto"/>
            <w:noWrap/>
            <w:vAlign w:val="center"/>
            <w:hideMark/>
          </w:tcPr>
          <w:p w14:paraId="6C0BC67B"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dashed" w:sz="8" w:space="0" w:color="auto"/>
              <w:right w:val="single" w:sz="12" w:space="0" w:color="auto"/>
            </w:tcBorders>
            <w:shd w:val="clear" w:color="auto" w:fill="auto"/>
            <w:noWrap/>
            <w:vAlign w:val="center"/>
            <w:hideMark/>
          </w:tcPr>
          <w:p w14:paraId="1ACA3F71"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dashed" w:sz="8" w:space="0" w:color="auto"/>
              <w:right w:val="single" w:sz="12" w:space="0" w:color="auto"/>
            </w:tcBorders>
            <w:shd w:val="clear" w:color="auto" w:fill="auto"/>
            <w:noWrap/>
            <w:vAlign w:val="center"/>
            <w:hideMark/>
          </w:tcPr>
          <w:p w14:paraId="5BF0951C"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 xml:space="preserve">.0014) </w:t>
            </w:r>
          </w:p>
        </w:tc>
        <w:tc>
          <w:tcPr>
            <w:tcW w:w="1635" w:type="dxa"/>
            <w:tcBorders>
              <w:top w:val="nil"/>
              <w:left w:val="nil"/>
              <w:bottom w:val="dashed" w:sz="8" w:space="0" w:color="auto"/>
              <w:right w:val="single" w:sz="12" w:space="0" w:color="auto"/>
            </w:tcBorders>
            <w:shd w:val="clear" w:color="auto" w:fill="F2F2F2" w:themeFill="background1" w:themeFillShade="F2"/>
            <w:noWrap/>
            <w:vAlign w:val="center"/>
            <w:hideMark/>
          </w:tcPr>
          <w:p w14:paraId="379542D1"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.2643)</w:t>
            </w:r>
          </w:p>
        </w:tc>
      </w:tr>
      <w:tr w:rsidR="00DB4A0B" w:rsidRPr="00B0506D" w14:paraId="1DF20FEE" w14:textId="77777777" w:rsidTr="00121B8D">
        <w:trPr>
          <w:trHeight w:val="288"/>
        </w:trPr>
        <w:tc>
          <w:tcPr>
            <w:tcW w:w="2935" w:type="dxa"/>
            <w:vMerge/>
            <w:tcBorders>
              <w:top w:val="nil"/>
              <w:left w:val="single" w:sz="12" w:space="0" w:color="auto"/>
              <w:bottom w:val="single" w:sz="12" w:space="0" w:color="000000"/>
              <w:right w:val="nil"/>
            </w:tcBorders>
            <w:vAlign w:val="center"/>
            <w:hideMark/>
          </w:tcPr>
          <w:p w14:paraId="1A77796A"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nil"/>
              <w:right w:val="nil"/>
            </w:tcBorders>
            <w:shd w:val="clear" w:color="auto" w:fill="auto"/>
            <w:noWrap/>
            <w:vAlign w:val="center"/>
            <w:hideMark/>
          </w:tcPr>
          <w:p w14:paraId="74799FA9"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High Salience</w:t>
            </w:r>
          </w:p>
        </w:tc>
        <w:tc>
          <w:tcPr>
            <w:tcW w:w="1580" w:type="dxa"/>
            <w:tcBorders>
              <w:top w:val="nil"/>
              <w:left w:val="nil"/>
              <w:bottom w:val="nil"/>
              <w:right w:val="single" w:sz="12" w:space="0" w:color="auto"/>
            </w:tcBorders>
            <w:shd w:val="clear" w:color="auto" w:fill="auto"/>
            <w:noWrap/>
            <w:vAlign w:val="center"/>
            <w:hideMark/>
          </w:tcPr>
          <w:p w14:paraId="78EF1386"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(All others)</w:t>
            </w:r>
          </w:p>
        </w:tc>
        <w:tc>
          <w:tcPr>
            <w:tcW w:w="1170" w:type="dxa"/>
            <w:tcBorders>
              <w:top w:val="nil"/>
              <w:left w:val="nil"/>
              <w:bottom w:val="nil"/>
              <w:right w:val="single" w:sz="12" w:space="0" w:color="auto"/>
            </w:tcBorders>
            <w:shd w:val="clear" w:color="auto" w:fill="auto"/>
            <w:noWrap/>
            <w:vAlign w:val="center"/>
            <w:hideMark/>
          </w:tcPr>
          <w:p w14:paraId="06CCE2B6"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0.0028</w:t>
            </w:r>
            <w:r>
              <w:rPr>
                <w:rFonts w:ascii="Garamond" w:eastAsia="Times New Roman" w:hAnsi="Garamond" w:cs="Calibri"/>
                <w:color w:val="000000"/>
                <w:sz w:val="24"/>
              </w:rPr>
              <w:t>***</w:t>
            </w:r>
          </w:p>
        </w:tc>
        <w:tc>
          <w:tcPr>
            <w:tcW w:w="1635" w:type="dxa"/>
            <w:tcBorders>
              <w:top w:val="nil"/>
              <w:left w:val="nil"/>
              <w:bottom w:val="nil"/>
              <w:right w:val="single" w:sz="12" w:space="0" w:color="auto"/>
            </w:tcBorders>
            <w:shd w:val="clear" w:color="auto" w:fill="auto"/>
            <w:noWrap/>
            <w:vAlign w:val="center"/>
            <w:hideMark/>
          </w:tcPr>
          <w:p w14:paraId="7D220A4C"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0.9463</w:t>
            </w:r>
            <w:r>
              <w:rPr>
                <w:rFonts w:ascii="Garamond" w:eastAsia="Times New Roman" w:hAnsi="Garamond" w:cs="Calibri"/>
                <w:color w:val="000000"/>
                <w:sz w:val="24"/>
              </w:rPr>
              <w:t>**</w:t>
            </w:r>
          </w:p>
        </w:tc>
      </w:tr>
      <w:tr w:rsidR="00DB4A0B" w:rsidRPr="00B0506D" w14:paraId="7AFC7438" w14:textId="77777777" w:rsidTr="00121B8D">
        <w:trPr>
          <w:trHeight w:val="294"/>
        </w:trPr>
        <w:tc>
          <w:tcPr>
            <w:tcW w:w="2935" w:type="dxa"/>
            <w:vMerge/>
            <w:tcBorders>
              <w:top w:val="nil"/>
              <w:left w:val="single" w:sz="12" w:space="0" w:color="auto"/>
              <w:bottom w:val="single" w:sz="12" w:space="0" w:color="000000"/>
              <w:right w:val="nil"/>
            </w:tcBorders>
            <w:vAlign w:val="center"/>
            <w:hideMark/>
          </w:tcPr>
          <w:p w14:paraId="6A59DCEC"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single" w:sz="12" w:space="0" w:color="auto"/>
              <w:right w:val="nil"/>
            </w:tcBorders>
            <w:shd w:val="clear" w:color="auto" w:fill="auto"/>
            <w:noWrap/>
            <w:vAlign w:val="center"/>
            <w:hideMark/>
          </w:tcPr>
          <w:p w14:paraId="147D442C"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single" w:sz="12" w:space="0" w:color="auto"/>
              <w:right w:val="single" w:sz="12" w:space="0" w:color="auto"/>
            </w:tcBorders>
            <w:shd w:val="clear" w:color="auto" w:fill="auto"/>
            <w:noWrap/>
            <w:vAlign w:val="center"/>
            <w:hideMark/>
          </w:tcPr>
          <w:p w14:paraId="24ACF7D2"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single" w:sz="12" w:space="0" w:color="auto"/>
              <w:right w:val="single" w:sz="12" w:space="0" w:color="auto"/>
            </w:tcBorders>
            <w:shd w:val="clear" w:color="auto" w:fill="auto"/>
            <w:noWrap/>
            <w:vAlign w:val="center"/>
            <w:hideMark/>
          </w:tcPr>
          <w:p w14:paraId="1AABF0BC"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.0007)</w:t>
            </w:r>
          </w:p>
        </w:tc>
        <w:tc>
          <w:tcPr>
            <w:tcW w:w="1635" w:type="dxa"/>
            <w:tcBorders>
              <w:top w:val="nil"/>
              <w:left w:val="nil"/>
              <w:bottom w:val="single" w:sz="12" w:space="0" w:color="auto"/>
              <w:right w:val="single" w:sz="12" w:space="0" w:color="auto"/>
            </w:tcBorders>
            <w:shd w:val="clear" w:color="auto" w:fill="auto"/>
            <w:noWrap/>
            <w:vAlign w:val="center"/>
            <w:hideMark/>
          </w:tcPr>
          <w:p w14:paraId="513F0DA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.3195)</w:t>
            </w:r>
          </w:p>
        </w:tc>
      </w:tr>
      <w:tr w:rsidR="00DB4A0B" w:rsidRPr="00B0506D" w14:paraId="63E4802B" w14:textId="77777777" w:rsidTr="00121B8D">
        <w:trPr>
          <w:trHeight w:val="294"/>
        </w:trPr>
        <w:tc>
          <w:tcPr>
            <w:tcW w:w="2935" w:type="dxa"/>
            <w:vMerge w:val="restart"/>
            <w:tcBorders>
              <w:top w:val="nil"/>
              <w:left w:val="single" w:sz="12" w:space="0" w:color="auto"/>
              <w:bottom w:val="single" w:sz="12" w:space="0" w:color="000000"/>
              <w:right w:val="nil"/>
            </w:tcBorders>
            <w:shd w:val="clear" w:color="auto" w:fill="auto"/>
            <w:vAlign w:val="center"/>
            <w:hideMark/>
          </w:tcPr>
          <w:p w14:paraId="42038865"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No Federal Seats on Ballot</w:t>
            </w:r>
          </w:p>
        </w:tc>
        <w:tc>
          <w:tcPr>
            <w:tcW w:w="1230" w:type="dxa"/>
            <w:tcBorders>
              <w:top w:val="nil"/>
              <w:left w:val="nil"/>
              <w:bottom w:val="nil"/>
              <w:right w:val="nil"/>
            </w:tcBorders>
            <w:shd w:val="clear" w:color="auto" w:fill="auto"/>
            <w:noWrap/>
            <w:vAlign w:val="center"/>
            <w:hideMark/>
          </w:tcPr>
          <w:p w14:paraId="1C9474DE"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Low Salience</w:t>
            </w:r>
          </w:p>
        </w:tc>
        <w:tc>
          <w:tcPr>
            <w:tcW w:w="1580" w:type="dxa"/>
            <w:tcBorders>
              <w:top w:val="nil"/>
              <w:left w:val="nil"/>
              <w:bottom w:val="nil"/>
              <w:right w:val="single" w:sz="12" w:space="0" w:color="auto"/>
            </w:tcBorders>
            <w:shd w:val="clear" w:color="auto" w:fill="auto"/>
            <w:noWrap/>
            <w:vAlign w:val="center"/>
            <w:hideMark/>
          </w:tcPr>
          <w:p w14:paraId="06542AE4"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(PA, Philly, VA)</w:t>
            </w:r>
          </w:p>
        </w:tc>
        <w:tc>
          <w:tcPr>
            <w:tcW w:w="1170" w:type="dxa"/>
            <w:tcBorders>
              <w:top w:val="nil"/>
              <w:left w:val="nil"/>
              <w:bottom w:val="nil"/>
              <w:right w:val="single" w:sz="12" w:space="0" w:color="auto"/>
            </w:tcBorders>
            <w:shd w:val="clear" w:color="auto" w:fill="auto"/>
            <w:noWrap/>
            <w:vAlign w:val="center"/>
            <w:hideMark/>
          </w:tcPr>
          <w:p w14:paraId="65FE0FD1"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0.00835</w:t>
            </w:r>
            <w:r>
              <w:rPr>
                <w:rFonts w:ascii="Garamond" w:eastAsia="Times New Roman" w:hAnsi="Garamond" w:cs="Calibri"/>
                <w:color w:val="000000"/>
                <w:sz w:val="24"/>
              </w:rPr>
              <w:t>***</w:t>
            </w:r>
          </w:p>
        </w:tc>
        <w:tc>
          <w:tcPr>
            <w:tcW w:w="1635" w:type="dxa"/>
            <w:tcBorders>
              <w:top w:val="nil"/>
              <w:left w:val="nil"/>
              <w:bottom w:val="nil"/>
              <w:right w:val="single" w:sz="12" w:space="0" w:color="auto"/>
            </w:tcBorders>
            <w:shd w:val="clear" w:color="auto" w:fill="F2F2F2" w:themeFill="background1" w:themeFillShade="F2"/>
            <w:noWrap/>
            <w:vAlign w:val="center"/>
            <w:hideMark/>
          </w:tcPr>
          <w:p w14:paraId="5EB1BE75"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-0.0087</w:t>
            </w:r>
          </w:p>
        </w:tc>
      </w:tr>
      <w:tr w:rsidR="00DB4A0B" w:rsidRPr="00B0506D" w14:paraId="17F71D9D" w14:textId="77777777" w:rsidTr="00121B8D">
        <w:trPr>
          <w:trHeight w:val="294"/>
        </w:trPr>
        <w:tc>
          <w:tcPr>
            <w:tcW w:w="2935" w:type="dxa"/>
            <w:vMerge/>
            <w:tcBorders>
              <w:top w:val="nil"/>
              <w:left w:val="single" w:sz="12" w:space="0" w:color="auto"/>
              <w:bottom w:val="single" w:sz="12" w:space="0" w:color="000000"/>
              <w:right w:val="nil"/>
            </w:tcBorders>
            <w:vAlign w:val="center"/>
            <w:hideMark/>
          </w:tcPr>
          <w:p w14:paraId="5015E084"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dashed" w:sz="8" w:space="0" w:color="auto"/>
              <w:right w:val="nil"/>
            </w:tcBorders>
            <w:shd w:val="clear" w:color="auto" w:fill="auto"/>
            <w:noWrap/>
            <w:vAlign w:val="center"/>
            <w:hideMark/>
          </w:tcPr>
          <w:p w14:paraId="7252FB32"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dashed" w:sz="8" w:space="0" w:color="auto"/>
              <w:right w:val="single" w:sz="12" w:space="0" w:color="auto"/>
            </w:tcBorders>
            <w:shd w:val="clear" w:color="auto" w:fill="auto"/>
            <w:noWrap/>
            <w:vAlign w:val="center"/>
            <w:hideMark/>
          </w:tcPr>
          <w:p w14:paraId="747BA5CC"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dashed" w:sz="8" w:space="0" w:color="auto"/>
              <w:right w:val="single" w:sz="12" w:space="0" w:color="auto"/>
            </w:tcBorders>
            <w:shd w:val="clear" w:color="auto" w:fill="auto"/>
            <w:noWrap/>
            <w:vAlign w:val="center"/>
            <w:hideMark/>
          </w:tcPr>
          <w:p w14:paraId="46946E08"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.0019)</w:t>
            </w:r>
          </w:p>
        </w:tc>
        <w:tc>
          <w:tcPr>
            <w:tcW w:w="1635" w:type="dxa"/>
            <w:tcBorders>
              <w:top w:val="nil"/>
              <w:left w:val="nil"/>
              <w:bottom w:val="dashed" w:sz="8" w:space="0" w:color="auto"/>
              <w:right w:val="single" w:sz="12" w:space="0" w:color="auto"/>
            </w:tcBorders>
            <w:shd w:val="clear" w:color="auto" w:fill="F2F2F2" w:themeFill="background1" w:themeFillShade="F2"/>
            <w:noWrap/>
            <w:vAlign w:val="center"/>
            <w:hideMark/>
          </w:tcPr>
          <w:p w14:paraId="474E0A8A"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.2094)</w:t>
            </w:r>
          </w:p>
        </w:tc>
      </w:tr>
      <w:tr w:rsidR="00DB4A0B" w:rsidRPr="00B0506D" w14:paraId="3B0D9827" w14:textId="77777777" w:rsidTr="00121B8D">
        <w:trPr>
          <w:trHeight w:val="288"/>
        </w:trPr>
        <w:tc>
          <w:tcPr>
            <w:tcW w:w="2935" w:type="dxa"/>
            <w:vMerge/>
            <w:tcBorders>
              <w:top w:val="nil"/>
              <w:left w:val="single" w:sz="12" w:space="0" w:color="auto"/>
              <w:bottom w:val="single" w:sz="12" w:space="0" w:color="000000"/>
              <w:right w:val="nil"/>
            </w:tcBorders>
            <w:vAlign w:val="center"/>
            <w:hideMark/>
          </w:tcPr>
          <w:p w14:paraId="7E37BC77"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nil"/>
              <w:right w:val="nil"/>
            </w:tcBorders>
            <w:shd w:val="clear" w:color="auto" w:fill="auto"/>
            <w:noWrap/>
            <w:vAlign w:val="center"/>
            <w:hideMark/>
          </w:tcPr>
          <w:p w14:paraId="3B46166B"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High Salience</w:t>
            </w:r>
          </w:p>
        </w:tc>
        <w:tc>
          <w:tcPr>
            <w:tcW w:w="1580" w:type="dxa"/>
            <w:tcBorders>
              <w:top w:val="nil"/>
              <w:left w:val="nil"/>
              <w:bottom w:val="nil"/>
              <w:right w:val="single" w:sz="12" w:space="0" w:color="auto"/>
            </w:tcBorders>
            <w:shd w:val="clear" w:color="auto" w:fill="auto"/>
            <w:noWrap/>
            <w:vAlign w:val="center"/>
            <w:hideMark/>
          </w:tcPr>
          <w:p w14:paraId="0AD6E403"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(All others)</w:t>
            </w:r>
          </w:p>
        </w:tc>
        <w:tc>
          <w:tcPr>
            <w:tcW w:w="1170" w:type="dxa"/>
            <w:tcBorders>
              <w:top w:val="nil"/>
              <w:left w:val="nil"/>
              <w:bottom w:val="nil"/>
              <w:right w:val="single" w:sz="12" w:space="0" w:color="auto"/>
            </w:tcBorders>
            <w:shd w:val="clear" w:color="auto" w:fill="auto"/>
            <w:noWrap/>
            <w:vAlign w:val="center"/>
            <w:hideMark/>
          </w:tcPr>
          <w:p w14:paraId="70F5F219" w14:textId="77777777" w:rsidR="00DB4A0B" w:rsidRPr="00B0506D" w:rsidRDefault="00DB4A0B" w:rsidP="00121B8D">
            <w:pPr>
              <w:spacing w:after="0" w:line="240" w:lineRule="auto"/>
              <w:jc w:val="center"/>
              <w:rPr>
                <w:rFonts w:ascii="Garamond" w:eastAsia="Times New Roman" w:hAnsi="Garamond" w:cs="Calibri"/>
                <w:color w:val="000000"/>
                <w:sz w:val="24"/>
              </w:rPr>
            </w:pPr>
            <w:r>
              <w:rPr>
                <w:rFonts w:ascii="Garamond" w:eastAsia="Times New Roman" w:hAnsi="Garamond" w:cs="Calibri"/>
                <w:color w:val="000000"/>
                <w:sz w:val="24"/>
              </w:rPr>
              <w:t>0</w:t>
            </w:r>
            <w:r w:rsidRPr="00B0506D">
              <w:rPr>
                <w:rFonts w:ascii="Garamond" w:eastAsia="Times New Roman" w:hAnsi="Garamond" w:cs="Calibri"/>
                <w:color w:val="000000"/>
                <w:sz w:val="24"/>
              </w:rPr>
              <w:t>.002</w:t>
            </w:r>
            <w:r>
              <w:rPr>
                <w:rFonts w:ascii="Garamond" w:eastAsia="Times New Roman" w:hAnsi="Garamond" w:cs="Calibri"/>
                <w:color w:val="000000"/>
                <w:sz w:val="24"/>
              </w:rPr>
              <w:t>5***</w:t>
            </w:r>
          </w:p>
        </w:tc>
        <w:tc>
          <w:tcPr>
            <w:tcW w:w="1635" w:type="dxa"/>
            <w:tcBorders>
              <w:top w:val="nil"/>
              <w:left w:val="nil"/>
              <w:bottom w:val="nil"/>
              <w:right w:val="single" w:sz="12" w:space="0" w:color="auto"/>
            </w:tcBorders>
            <w:shd w:val="clear" w:color="auto" w:fill="auto"/>
            <w:noWrap/>
            <w:vAlign w:val="center"/>
            <w:hideMark/>
          </w:tcPr>
          <w:p w14:paraId="26558CF7"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0.9038</w:t>
            </w:r>
            <w:r>
              <w:rPr>
                <w:rFonts w:ascii="Garamond" w:eastAsia="Times New Roman" w:hAnsi="Garamond" w:cs="Calibri"/>
                <w:color w:val="000000"/>
                <w:sz w:val="24"/>
              </w:rPr>
              <w:t>**</w:t>
            </w:r>
          </w:p>
        </w:tc>
      </w:tr>
      <w:tr w:rsidR="00DB4A0B" w:rsidRPr="00B0506D" w14:paraId="69A4029D" w14:textId="77777777" w:rsidTr="00121B8D">
        <w:trPr>
          <w:trHeight w:val="294"/>
        </w:trPr>
        <w:tc>
          <w:tcPr>
            <w:tcW w:w="2935" w:type="dxa"/>
            <w:vMerge/>
            <w:tcBorders>
              <w:top w:val="nil"/>
              <w:left w:val="single" w:sz="12" w:space="0" w:color="auto"/>
              <w:bottom w:val="single" w:sz="12" w:space="0" w:color="000000"/>
              <w:right w:val="nil"/>
            </w:tcBorders>
            <w:vAlign w:val="center"/>
            <w:hideMark/>
          </w:tcPr>
          <w:p w14:paraId="1392E165"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single" w:sz="12" w:space="0" w:color="auto"/>
              <w:right w:val="nil"/>
            </w:tcBorders>
            <w:shd w:val="clear" w:color="auto" w:fill="auto"/>
            <w:noWrap/>
            <w:vAlign w:val="center"/>
            <w:hideMark/>
          </w:tcPr>
          <w:p w14:paraId="04DD8F46"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single" w:sz="12" w:space="0" w:color="auto"/>
              <w:right w:val="single" w:sz="12" w:space="0" w:color="auto"/>
            </w:tcBorders>
            <w:shd w:val="clear" w:color="auto" w:fill="auto"/>
            <w:noWrap/>
            <w:vAlign w:val="center"/>
            <w:hideMark/>
          </w:tcPr>
          <w:p w14:paraId="42CE3105"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single" w:sz="12" w:space="0" w:color="auto"/>
              <w:right w:val="single" w:sz="12" w:space="0" w:color="auto"/>
            </w:tcBorders>
            <w:shd w:val="clear" w:color="auto" w:fill="auto"/>
            <w:noWrap/>
            <w:vAlign w:val="center"/>
            <w:hideMark/>
          </w:tcPr>
          <w:p w14:paraId="7B3B5651"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.0007)</w:t>
            </w:r>
          </w:p>
        </w:tc>
        <w:tc>
          <w:tcPr>
            <w:tcW w:w="1635" w:type="dxa"/>
            <w:tcBorders>
              <w:top w:val="nil"/>
              <w:left w:val="nil"/>
              <w:bottom w:val="single" w:sz="12" w:space="0" w:color="auto"/>
              <w:right w:val="single" w:sz="12" w:space="0" w:color="auto"/>
            </w:tcBorders>
            <w:shd w:val="clear" w:color="auto" w:fill="auto"/>
            <w:noWrap/>
            <w:vAlign w:val="center"/>
            <w:hideMark/>
          </w:tcPr>
          <w:p w14:paraId="2E6B68E6"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.3279)</w:t>
            </w:r>
          </w:p>
        </w:tc>
      </w:tr>
      <w:tr w:rsidR="00DB4A0B" w:rsidRPr="00B0506D" w14:paraId="56506427" w14:textId="77777777" w:rsidTr="00121B8D">
        <w:trPr>
          <w:trHeight w:val="294"/>
        </w:trPr>
        <w:tc>
          <w:tcPr>
            <w:tcW w:w="2935" w:type="dxa"/>
            <w:vMerge w:val="restart"/>
            <w:tcBorders>
              <w:top w:val="nil"/>
              <w:left w:val="single" w:sz="12" w:space="0" w:color="auto"/>
              <w:bottom w:val="single" w:sz="12" w:space="0" w:color="000000"/>
              <w:right w:val="nil"/>
            </w:tcBorders>
            <w:shd w:val="clear" w:color="auto" w:fill="auto"/>
            <w:vAlign w:val="center"/>
            <w:hideMark/>
          </w:tcPr>
          <w:p w14:paraId="540530A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No President/Governor/Senate Race on Ballot</w:t>
            </w:r>
          </w:p>
        </w:tc>
        <w:tc>
          <w:tcPr>
            <w:tcW w:w="1230" w:type="dxa"/>
            <w:tcBorders>
              <w:top w:val="nil"/>
              <w:left w:val="nil"/>
              <w:bottom w:val="nil"/>
              <w:right w:val="nil"/>
            </w:tcBorders>
            <w:shd w:val="clear" w:color="auto" w:fill="auto"/>
            <w:noWrap/>
            <w:vAlign w:val="center"/>
            <w:hideMark/>
          </w:tcPr>
          <w:p w14:paraId="66294F69"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Low Salience</w:t>
            </w:r>
          </w:p>
        </w:tc>
        <w:tc>
          <w:tcPr>
            <w:tcW w:w="1580" w:type="dxa"/>
            <w:tcBorders>
              <w:top w:val="nil"/>
              <w:left w:val="nil"/>
              <w:bottom w:val="nil"/>
              <w:right w:val="single" w:sz="12" w:space="0" w:color="auto"/>
            </w:tcBorders>
            <w:shd w:val="clear" w:color="auto" w:fill="auto"/>
            <w:noWrap/>
            <w:vAlign w:val="center"/>
            <w:hideMark/>
          </w:tcPr>
          <w:p w14:paraId="59D864EE" w14:textId="77777777" w:rsidR="00DB4A0B" w:rsidRPr="00B0506D" w:rsidRDefault="00DB4A0B" w:rsidP="00121B8D">
            <w:pPr>
              <w:spacing w:after="0" w:line="240" w:lineRule="auto"/>
              <w:jc w:val="center"/>
              <w:rPr>
                <w:rFonts w:ascii="Garamond" w:eastAsia="Times New Roman" w:hAnsi="Garamond" w:cs="Calibri"/>
                <w:color w:val="000000"/>
                <w:sz w:val="24"/>
              </w:rPr>
            </w:pPr>
            <w:r>
              <w:rPr>
                <w:rFonts w:ascii="Garamond" w:eastAsia="Times New Roman" w:hAnsi="Garamond" w:cs="Calibri"/>
                <w:color w:val="000000"/>
                <w:sz w:val="24"/>
              </w:rPr>
              <w:t>(</w:t>
            </w:r>
            <w:r w:rsidRPr="00B0506D">
              <w:rPr>
                <w:rFonts w:ascii="Garamond" w:eastAsia="Times New Roman" w:hAnsi="Garamond" w:cs="Calibri"/>
                <w:color w:val="000000"/>
                <w:sz w:val="24"/>
              </w:rPr>
              <w:t>PA</w:t>
            </w:r>
            <w:r>
              <w:rPr>
                <w:rFonts w:ascii="Garamond" w:eastAsia="Times New Roman" w:hAnsi="Garamond" w:cs="Calibri"/>
                <w:color w:val="000000"/>
                <w:sz w:val="24"/>
              </w:rPr>
              <w:t>,</w:t>
            </w:r>
            <w:r w:rsidRPr="00B0506D">
              <w:rPr>
                <w:rFonts w:ascii="Garamond" w:eastAsia="Times New Roman" w:hAnsi="Garamond" w:cs="Calibri"/>
                <w:color w:val="000000"/>
                <w:sz w:val="24"/>
              </w:rPr>
              <w:t xml:space="preserve"> Philly</w:t>
            </w:r>
            <w:r>
              <w:rPr>
                <w:rFonts w:ascii="Garamond" w:eastAsia="Times New Roman" w:hAnsi="Garamond" w:cs="Calibri"/>
                <w:color w:val="000000"/>
                <w:sz w:val="24"/>
              </w:rPr>
              <w:t>,</w:t>
            </w:r>
            <w:r w:rsidRPr="00B0506D">
              <w:rPr>
                <w:rFonts w:ascii="Garamond" w:eastAsia="Times New Roman" w:hAnsi="Garamond" w:cs="Calibri"/>
                <w:color w:val="000000"/>
                <w:sz w:val="24"/>
              </w:rPr>
              <w:t xml:space="preserve"> VA</w:t>
            </w:r>
            <w:r>
              <w:rPr>
                <w:rFonts w:ascii="Garamond" w:eastAsia="Times New Roman" w:hAnsi="Garamond" w:cs="Calibri"/>
                <w:color w:val="000000"/>
                <w:sz w:val="24"/>
              </w:rPr>
              <w:t>,</w:t>
            </w:r>
            <w:r w:rsidRPr="00B0506D">
              <w:rPr>
                <w:rFonts w:ascii="Garamond" w:eastAsia="Times New Roman" w:hAnsi="Garamond" w:cs="Calibri"/>
                <w:color w:val="000000"/>
                <w:sz w:val="24"/>
              </w:rPr>
              <w:t xml:space="preserve"> NY</w:t>
            </w:r>
            <w:r>
              <w:rPr>
                <w:rFonts w:ascii="Garamond" w:eastAsia="Times New Roman" w:hAnsi="Garamond" w:cs="Calibri"/>
                <w:color w:val="000000"/>
                <w:sz w:val="24"/>
              </w:rPr>
              <w:t>)</w:t>
            </w:r>
            <w:r w:rsidRPr="00B0506D">
              <w:rPr>
                <w:rFonts w:ascii="Garamond" w:eastAsia="Times New Roman" w:hAnsi="Garamond" w:cs="Calibri"/>
                <w:color w:val="000000"/>
                <w:sz w:val="24"/>
              </w:rPr>
              <w:t xml:space="preserve"> </w:t>
            </w:r>
          </w:p>
        </w:tc>
        <w:tc>
          <w:tcPr>
            <w:tcW w:w="1170" w:type="dxa"/>
            <w:tcBorders>
              <w:top w:val="nil"/>
              <w:left w:val="nil"/>
              <w:bottom w:val="nil"/>
              <w:right w:val="single" w:sz="12" w:space="0" w:color="auto"/>
            </w:tcBorders>
            <w:shd w:val="clear" w:color="auto" w:fill="auto"/>
            <w:noWrap/>
            <w:vAlign w:val="center"/>
            <w:hideMark/>
          </w:tcPr>
          <w:p w14:paraId="5DA4ECFB"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xml:space="preserve"> 0.0053</w:t>
            </w:r>
            <w:r>
              <w:rPr>
                <w:rFonts w:ascii="Garamond" w:eastAsia="Times New Roman" w:hAnsi="Garamond" w:cs="Calibri"/>
                <w:color w:val="000000"/>
                <w:sz w:val="24"/>
              </w:rPr>
              <w:t>***</w:t>
            </w:r>
          </w:p>
        </w:tc>
        <w:tc>
          <w:tcPr>
            <w:tcW w:w="1635" w:type="dxa"/>
            <w:tcBorders>
              <w:top w:val="nil"/>
              <w:left w:val="nil"/>
              <w:bottom w:val="nil"/>
              <w:right w:val="single" w:sz="12" w:space="0" w:color="auto"/>
            </w:tcBorders>
            <w:shd w:val="clear" w:color="auto" w:fill="F2F2F2" w:themeFill="background1" w:themeFillShade="F2"/>
            <w:noWrap/>
            <w:vAlign w:val="center"/>
            <w:hideMark/>
          </w:tcPr>
          <w:p w14:paraId="1B242FF4"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0.0792</w:t>
            </w:r>
          </w:p>
        </w:tc>
      </w:tr>
      <w:tr w:rsidR="00DB4A0B" w:rsidRPr="00B0506D" w14:paraId="0FB158D6" w14:textId="77777777" w:rsidTr="00121B8D">
        <w:trPr>
          <w:trHeight w:val="294"/>
        </w:trPr>
        <w:tc>
          <w:tcPr>
            <w:tcW w:w="2935" w:type="dxa"/>
            <w:vMerge/>
            <w:tcBorders>
              <w:top w:val="nil"/>
              <w:left w:val="single" w:sz="12" w:space="0" w:color="auto"/>
              <w:bottom w:val="single" w:sz="12" w:space="0" w:color="000000"/>
              <w:right w:val="nil"/>
            </w:tcBorders>
            <w:vAlign w:val="center"/>
            <w:hideMark/>
          </w:tcPr>
          <w:p w14:paraId="651F1511"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dashed" w:sz="8" w:space="0" w:color="auto"/>
              <w:right w:val="nil"/>
            </w:tcBorders>
            <w:shd w:val="clear" w:color="auto" w:fill="auto"/>
            <w:noWrap/>
            <w:vAlign w:val="center"/>
            <w:hideMark/>
          </w:tcPr>
          <w:p w14:paraId="74781267"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dashed" w:sz="8" w:space="0" w:color="auto"/>
              <w:right w:val="single" w:sz="12" w:space="0" w:color="auto"/>
            </w:tcBorders>
            <w:shd w:val="clear" w:color="auto" w:fill="auto"/>
            <w:noWrap/>
            <w:vAlign w:val="center"/>
            <w:hideMark/>
          </w:tcPr>
          <w:p w14:paraId="3D66E278"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dashed" w:sz="8" w:space="0" w:color="auto"/>
              <w:right w:val="single" w:sz="12" w:space="0" w:color="auto"/>
            </w:tcBorders>
            <w:shd w:val="clear" w:color="auto" w:fill="auto"/>
            <w:noWrap/>
            <w:vAlign w:val="center"/>
            <w:hideMark/>
          </w:tcPr>
          <w:p w14:paraId="2F0AE28C"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.0013)</w:t>
            </w:r>
          </w:p>
        </w:tc>
        <w:tc>
          <w:tcPr>
            <w:tcW w:w="1635" w:type="dxa"/>
            <w:tcBorders>
              <w:top w:val="nil"/>
              <w:left w:val="nil"/>
              <w:bottom w:val="dashed" w:sz="8" w:space="0" w:color="auto"/>
              <w:right w:val="single" w:sz="12" w:space="0" w:color="auto"/>
            </w:tcBorders>
            <w:shd w:val="clear" w:color="auto" w:fill="F2F2F2" w:themeFill="background1" w:themeFillShade="F2"/>
            <w:noWrap/>
            <w:vAlign w:val="center"/>
            <w:hideMark/>
          </w:tcPr>
          <w:p w14:paraId="4FA1DD3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.2411)</w:t>
            </w:r>
          </w:p>
        </w:tc>
      </w:tr>
      <w:tr w:rsidR="00DB4A0B" w:rsidRPr="00B0506D" w14:paraId="0E1D9C02" w14:textId="77777777" w:rsidTr="00121B8D">
        <w:trPr>
          <w:trHeight w:val="288"/>
        </w:trPr>
        <w:tc>
          <w:tcPr>
            <w:tcW w:w="2935" w:type="dxa"/>
            <w:vMerge/>
            <w:tcBorders>
              <w:top w:val="nil"/>
              <w:left w:val="single" w:sz="12" w:space="0" w:color="auto"/>
              <w:bottom w:val="single" w:sz="12" w:space="0" w:color="000000"/>
              <w:right w:val="nil"/>
            </w:tcBorders>
            <w:vAlign w:val="center"/>
            <w:hideMark/>
          </w:tcPr>
          <w:p w14:paraId="21A9BDE5"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nil"/>
              <w:right w:val="nil"/>
            </w:tcBorders>
            <w:shd w:val="clear" w:color="auto" w:fill="auto"/>
            <w:noWrap/>
            <w:vAlign w:val="center"/>
            <w:hideMark/>
          </w:tcPr>
          <w:p w14:paraId="07E6BDDB"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High Salience</w:t>
            </w:r>
          </w:p>
        </w:tc>
        <w:tc>
          <w:tcPr>
            <w:tcW w:w="1580" w:type="dxa"/>
            <w:tcBorders>
              <w:top w:val="nil"/>
              <w:left w:val="nil"/>
              <w:bottom w:val="nil"/>
              <w:right w:val="single" w:sz="12" w:space="0" w:color="auto"/>
            </w:tcBorders>
            <w:shd w:val="clear" w:color="auto" w:fill="auto"/>
            <w:noWrap/>
            <w:vAlign w:val="center"/>
            <w:hideMark/>
          </w:tcPr>
          <w:p w14:paraId="3A0E2EDC" w14:textId="77777777" w:rsidR="00DB4A0B" w:rsidRPr="00B0506D" w:rsidRDefault="00DB4A0B" w:rsidP="00121B8D">
            <w:pPr>
              <w:spacing w:after="0" w:line="240" w:lineRule="auto"/>
              <w:jc w:val="center"/>
              <w:rPr>
                <w:rFonts w:ascii="Garamond" w:eastAsia="Times New Roman" w:hAnsi="Garamond" w:cs="Calibri"/>
                <w:color w:val="000000"/>
                <w:sz w:val="24"/>
              </w:rPr>
            </w:pPr>
            <w:r>
              <w:rPr>
                <w:rFonts w:ascii="Garamond" w:eastAsia="Times New Roman" w:hAnsi="Garamond" w:cs="Calibri"/>
                <w:color w:val="000000"/>
                <w:sz w:val="24"/>
              </w:rPr>
              <w:t>(</w:t>
            </w:r>
            <w:r w:rsidRPr="00B0506D">
              <w:rPr>
                <w:rFonts w:ascii="Garamond" w:eastAsia="Times New Roman" w:hAnsi="Garamond" w:cs="Calibri"/>
                <w:color w:val="000000"/>
                <w:sz w:val="24"/>
              </w:rPr>
              <w:t>All others</w:t>
            </w:r>
            <w:r>
              <w:rPr>
                <w:rFonts w:ascii="Garamond" w:eastAsia="Times New Roman" w:hAnsi="Garamond" w:cs="Calibri"/>
                <w:color w:val="000000"/>
                <w:sz w:val="24"/>
              </w:rPr>
              <w:t>)</w:t>
            </w:r>
          </w:p>
        </w:tc>
        <w:tc>
          <w:tcPr>
            <w:tcW w:w="1170" w:type="dxa"/>
            <w:tcBorders>
              <w:top w:val="nil"/>
              <w:left w:val="nil"/>
              <w:bottom w:val="nil"/>
              <w:right w:val="single" w:sz="12" w:space="0" w:color="auto"/>
            </w:tcBorders>
            <w:shd w:val="clear" w:color="auto" w:fill="auto"/>
            <w:noWrap/>
            <w:vAlign w:val="center"/>
            <w:hideMark/>
          </w:tcPr>
          <w:p w14:paraId="4D287F85"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0.0027</w:t>
            </w:r>
            <w:r>
              <w:rPr>
                <w:rFonts w:ascii="Garamond" w:eastAsia="Times New Roman" w:hAnsi="Garamond" w:cs="Calibri"/>
                <w:color w:val="000000"/>
                <w:sz w:val="24"/>
              </w:rPr>
              <w:t>***</w:t>
            </w:r>
          </w:p>
        </w:tc>
        <w:tc>
          <w:tcPr>
            <w:tcW w:w="1635" w:type="dxa"/>
            <w:tcBorders>
              <w:top w:val="nil"/>
              <w:left w:val="nil"/>
              <w:bottom w:val="nil"/>
              <w:right w:val="single" w:sz="12" w:space="0" w:color="auto"/>
            </w:tcBorders>
            <w:shd w:val="clear" w:color="auto" w:fill="auto"/>
            <w:noWrap/>
            <w:vAlign w:val="center"/>
            <w:hideMark/>
          </w:tcPr>
          <w:p w14:paraId="25B0E3B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0.9717</w:t>
            </w:r>
            <w:r>
              <w:rPr>
                <w:rFonts w:ascii="Garamond" w:eastAsia="Times New Roman" w:hAnsi="Garamond" w:cs="Calibri"/>
                <w:color w:val="000000"/>
                <w:sz w:val="24"/>
              </w:rPr>
              <w:t>***</w:t>
            </w:r>
          </w:p>
        </w:tc>
      </w:tr>
      <w:tr w:rsidR="00DB4A0B" w:rsidRPr="00B0506D" w14:paraId="7EF4F04C" w14:textId="77777777" w:rsidTr="00121B8D">
        <w:trPr>
          <w:trHeight w:val="294"/>
        </w:trPr>
        <w:tc>
          <w:tcPr>
            <w:tcW w:w="2935" w:type="dxa"/>
            <w:vMerge/>
            <w:tcBorders>
              <w:top w:val="nil"/>
              <w:left w:val="single" w:sz="12" w:space="0" w:color="auto"/>
              <w:bottom w:val="single" w:sz="12" w:space="0" w:color="000000"/>
              <w:right w:val="nil"/>
            </w:tcBorders>
            <w:vAlign w:val="center"/>
            <w:hideMark/>
          </w:tcPr>
          <w:p w14:paraId="20F6C41B" w14:textId="77777777" w:rsidR="00DB4A0B" w:rsidRPr="00B0506D" w:rsidRDefault="00DB4A0B" w:rsidP="00121B8D">
            <w:pPr>
              <w:spacing w:after="0" w:line="240" w:lineRule="auto"/>
              <w:rPr>
                <w:rFonts w:ascii="Garamond" w:eastAsia="Times New Roman" w:hAnsi="Garamond" w:cs="Calibri"/>
                <w:color w:val="000000"/>
                <w:sz w:val="24"/>
              </w:rPr>
            </w:pPr>
          </w:p>
        </w:tc>
        <w:tc>
          <w:tcPr>
            <w:tcW w:w="1230" w:type="dxa"/>
            <w:tcBorders>
              <w:top w:val="nil"/>
              <w:left w:val="nil"/>
              <w:bottom w:val="single" w:sz="12" w:space="0" w:color="auto"/>
              <w:right w:val="nil"/>
            </w:tcBorders>
            <w:shd w:val="clear" w:color="auto" w:fill="auto"/>
            <w:noWrap/>
            <w:vAlign w:val="center"/>
            <w:hideMark/>
          </w:tcPr>
          <w:p w14:paraId="35CE0F4F"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580" w:type="dxa"/>
            <w:tcBorders>
              <w:top w:val="nil"/>
              <w:left w:val="nil"/>
              <w:bottom w:val="single" w:sz="12" w:space="0" w:color="auto"/>
              <w:right w:val="single" w:sz="12" w:space="0" w:color="auto"/>
            </w:tcBorders>
            <w:shd w:val="clear" w:color="auto" w:fill="auto"/>
            <w:noWrap/>
            <w:vAlign w:val="center"/>
            <w:hideMark/>
          </w:tcPr>
          <w:p w14:paraId="3D2E18D3"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 </w:t>
            </w:r>
          </w:p>
        </w:tc>
        <w:tc>
          <w:tcPr>
            <w:tcW w:w="1170" w:type="dxa"/>
            <w:tcBorders>
              <w:top w:val="nil"/>
              <w:left w:val="nil"/>
              <w:bottom w:val="single" w:sz="12" w:space="0" w:color="auto"/>
              <w:right w:val="single" w:sz="12" w:space="0" w:color="auto"/>
            </w:tcBorders>
            <w:shd w:val="clear" w:color="auto" w:fill="auto"/>
            <w:noWrap/>
            <w:vAlign w:val="center"/>
            <w:hideMark/>
          </w:tcPr>
          <w:p w14:paraId="2C7B294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.0008)</w:t>
            </w:r>
          </w:p>
        </w:tc>
        <w:tc>
          <w:tcPr>
            <w:tcW w:w="1635" w:type="dxa"/>
            <w:tcBorders>
              <w:top w:val="nil"/>
              <w:left w:val="nil"/>
              <w:bottom w:val="single" w:sz="12" w:space="0" w:color="auto"/>
              <w:right w:val="single" w:sz="12" w:space="0" w:color="auto"/>
            </w:tcBorders>
            <w:shd w:val="clear" w:color="auto" w:fill="auto"/>
            <w:noWrap/>
            <w:vAlign w:val="center"/>
            <w:hideMark/>
          </w:tcPr>
          <w:p w14:paraId="0BEC2FDD" w14:textId="77777777" w:rsidR="00DB4A0B" w:rsidRPr="00B0506D" w:rsidRDefault="00DB4A0B" w:rsidP="00121B8D">
            <w:pPr>
              <w:spacing w:after="0" w:line="240" w:lineRule="auto"/>
              <w:jc w:val="center"/>
              <w:rPr>
                <w:rFonts w:ascii="Garamond" w:eastAsia="Times New Roman" w:hAnsi="Garamond" w:cs="Calibri"/>
                <w:color w:val="000000"/>
                <w:sz w:val="24"/>
              </w:rPr>
            </w:pPr>
            <w:r w:rsidRPr="00B0506D">
              <w:rPr>
                <w:rFonts w:ascii="Garamond" w:eastAsia="Times New Roman" w:hAnsi="Garamond" w:cs="Calibri"/>
                <w:color w:val="000000"/>
                <w:sz w:val="24"/>
              </w:rPr>
              <w:t>(</w:t>
            </w:r>
            <w:r>
              <w:rPr>
                <w:rFonts w:ascii="Garamond" w:eastAsia="Times New Roman" w:hAnsi="Garamond" w:cs="Calibri"/>
                <w:color w:val="000000"/>
                <w:sz w:val="24"/>
              </w:rPr>
              <w:t>0</w:t>
            </w:r>
            <w:r w:rsidRPr="00B0506D">
              <w:rPr>
                <w:rFonts w:ascii="Garamond" w:eastAsia="Times New Roman" w:hAnsi="Garamond" w:cs="Calibri"/>
                <w:color w:val="000000"/>
                <w:sz w:val="24"/>
              </w:rPr>
              <w:t>.3426)</w:t>
            </w:r>
          </w:p>
        </w:tc>
      </w:tr>
    </w:tbl>
    <w:p w14:paraId="15B38A99" w14:textId="77777777" w:rsidR="00DB4A0B" w:rsidRPr="00B0506D" w:rsidRDefault="00DB4A0B" w:rsidP="00DB4A0B">
      <w:pPr>
        <w:spacing w:line="240" w:lineRule="auto"/>
        <w:rPr>
          <w:rFonts w:ascii="Garamond" w:hAnsi="Garamond"/>
          <w:i/>
          <w:sz w:val="24"/>
        </w:rPr>
      </w:pPr>
      <w:r>
        <w:rPr>
          <w:rFonts w:ascii="Garamond" w:hAnsi="Garamond"/>
          <w:i/>
          <w:sz w:val="24"/>
        </w:rPr>
        <w:t>This table examines the impact of voting in the elections described in each row on downstream turnout in the 2018 mid-term election. Robust standard errors in parentheses. *** = p-value≤0.001, ** = p≤0.01</w:t>
      </w:r>
    </w:p>
    <w:p w14:paraId="30A6820A" w14:textId="3E095E80" w:rsidR="00185C13" w:rsidRPr="00B0506D" w:rsidRDefault="00185C13" w:rsidP="00185C13">
      <w:pPr>
        <w:spacing w:line="480" w:lineRule="auto"/>
        <w:rPr>
          <w:rFonts w:ascii="Garamond" w:hAnsi="Garamond"/>
          <w:noProof/>
          <w:sz w:val="24"/>
          <w:szCs w:val="24"/>
        </w:rPr>
      </w:pPr>
    </w:p>
    <w:p w14:paraId="085E182F" w14:textId="77777777" w:rsidR="003A4D84" w:rsidRDefault="003A4D84" w:rsidP="00F361CB">
      <w:pPr>
        <w:spacing w:line="480" w:lineRule="auto"/>
        <w:ind w:firstLine="720"/>
        <w:rPr>
          <w:rFonts w:ascii="Garamond" w:hAnsi="Garamond"/>
          <w:sz w:val="24"/>
        </w:rPr>
      </w:pPr>
    </w:p>
    <w:p w14:paraId="085E183D" w14:textId="11E65B59" w:rsidR="00652715" w:rsidRDefault="008D7AC1" w:rsidP="00652715">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21" w:name="_Toc129961286"/>
      <w:r>
        <w:rPr>
          <w:rFonts w:ascii="Garamond" w:eastAsiaTheme="majorEastAsia" w:hAnsi="Garamond" w:cstheme="majorBidi"/>
          <w:b/>
          <w:i/>
          <w:sz w:val="28"/>
          <w:szCs w:val="26"/>
        </w:rPr>
        <w:lastRenderedPageBreak/>
        <w:t xml:space="preserve">Additional </w:t>
      </w:r>
      <w:r w:rsidR="00951498">
        <w:rPr>
          <w:rFonts w:ascii="Garamond" w:eastAsiaTheme="majorEastAsia" w:hAnsi="Garamond" w:cstheme="majorBidi"/>
          <w:b/>
          <w:i/>
          <w:sz w:val="28"/>
          <w:szCs w:val="26"/>
        </w:rPr>
        <w:t>Discussion</w:t>
      </w:r>
      <w:bookmarkEnd w:id="21"/>
    </w:p>
    <w:p w14:paraId="5B6EA021" w14:textId="76C5F125" w:rsidR="00951498" w:rsidRDefault="00951498" w:rsidP="00951498">
      <w:pPr>
        <w:spacing w:line="480" w:lineRule="auto"/>
        <w:ind w:firstLine="720"/>
        <w:rPr>
          <w:rFonts w:ascii="Garamond" w:hAnsi="Garamond"/>
          <w:sz w:val="24"/>
        </w:rPr>
      </w:pPr>
      <w:r>
        <w:rPr>
          <w:rFonts w:ascii="Garamond" w:hAnsi="Garamond"/>
          <w:sz w:val="24"/>
        </w:rPr>
        <w:t>Another reasonable concern about the analysis of Prediction 1 is</w:t>
      </w:r>
      <w:r w:rsidRPr="00E54821">
        <w:rPr>
          <w:rFonts w:ascii="Garamond" w:hAnsi="Garamond"/>
          <w:sz w:val="24"/>
        </w:rPr>
        <w:t xml:space="preserve"> ceiling effects</w:t>
      </w:r>
      <w:r>
        <w:rPr>
          <w:rFonts w:ascii="Garamond" w:hAnsi="Garamond"/>
          <w:sz w:val="24"/>
        </w:rPr>
        <w:t>. T</w:t>
      </w:r>
      <w:r w:rsidRPr="00E54821">
        <w:rPr>
          <w:rFonts w:ascii="Garamond" w:hAnsi="Garamond"/>
          <w:sz w:val="24"/>
        </w:rPr>
        <w:t>he maximum possible effect size among compliers is much lower</w:t>
      </w:r>
      <w:r>
        <w:rPr>
          <w:rFonts w:ascii="Garamond" w:hAnsi="Garamond"/>
          <w:sz w:val="24"/>
        </w:rPr>
        <w:t xml:space="preserve"> in high turnout downstream elections</w:t>
      </w:r>
      <w:r w:rsidRPr="00E54821">
        <w:rPr>
          <w:rFonts w:ascii="Garamond" w:hAnsi="Garamond"/>
          <w:sz w:val="24"/>
        </w:rPr>
        <w:t xml:space="preserve"> than</w:t>
      </w:r>
      <w:r>
        <w:rPr>
          <w:rFonts w:ascii="Garamond" w:hAnsi="Garamond"/>
          <w:sz w:val="24"/>
        </w:rPr>
        <w:t xml:space="preserve"> in</w:t>
      </w:r>
      <w:r w:rsidRPr="00E54821">
        <w:rPr>
          <w:rFonts w:ascii="Garamond" w:hAnsi="Garamond"/>
          <w:sz w:val="24"/>
        </w:rPr>
        <w:t xml:space="preserve"> </w:t>
      </w:r>
      <w:r>
        <w:rPr>
          <w:rFonts w:ascii="Garamond" w:hAnsi="Garamond"/>
          <w:sz w:val="24"/>
        </w:rPr>
        <w:t>l</w:t>
      </w:r>
      <w:r w:rsidRPr="00E54821">
        <w:rPr>
          <w:rFonts w:ascii="Garamond" w:hAnsi="Garamond"/>
          <w:sz w:val="24"/>
        </w:rPr>
        <w:t xml:space="preserve">ow turnout </w:t>
      </w:r>
      <w:r>
        <w:rPr>
          <w:rFonts w:ascii="Garamond" w:hAnsi="Garamond"/>
          <w:sz w:val="24"/>
        </w:rPr>
        <w:t>downstream elections</w:t>
      </w:r>
      <w:r w:rsidRPr="00E54821">
        <w:rPr>
          <w:rFonts w:ascii="Garamond" w:hAnsi="Garamond"/>
          <w:sz w:val="24"/>
        </w:rPr>
        <w:t xml:space="preserve">. </w:t>
      </w:r>
      <w:r>
        <w:rPr>
          <w:rFonts w:ascii="Garamond" w:hAnsi="Garamond"/>
          <w:sz w:val="24"/>
        </w:rPr>
        <w:t>However, t</w:t>
      </w:r>
      <w:r w:rsidRPr="00E54821">
        <w:rPr>
          <w:rFonts w:ascii="Garamond" w:hAnsi="Garamond"/>
          <w:sz w:val="24"/>
        </w:rPr>
        <w:t xml:space="preserve">he turnout rates in the control group for 2016 general and the 2018 general elections in my sample are not dramatically different (74% in the 2018 midterm versus 86% in the 2016 </w:t>
      </w:r>
      <w:r>
        <w:rPr>
          <w:rFonts w:ascii="Garamond" w:hAnsi="Garamond"/>
          <w:sz w:val="24"/>
        </w:rPr>
        <w:t>general</w:t>
      </w:r>
      <w:r w:rsidRPr="00E54821">
        <w:rPr>
          <w:rFonts w:ascii="Garamond" w:hAnsi="Garamond"/>
          <w:sz w:val="24"/>
        </w:rPr>
        <w:t xml:space="preserve">) and the CACE for the 2018 midterm is over four times larger than the CACE for the 2016 general. I conclude the PMBC </w:t>
      </w:r>
      <w:r>
        <w:rPr>
          <w:rFonts w:ascii="Garamond" w:hAnsi="Garamond"/>
          <w:sz w:val="24"/>
        </w:rPr>
        <w:t>interpretation</w:t>
      </w:r>
      <w:r w:rsidRPr="00E54821">
        <w:rPr>
          <w:rFonts w:ascii="Garamond" w:hAnsi="Garamond"/>
          <w:sz w:val="24"/>
        </w:rPr>
        <w:t xml:space="preserve"> is more likely than the </w:t>
      </w:r>
      <w:r>
        <w:rPr>
          <w:rFonts w:ascii="Garamond" w:hAnsi="Garamond"/>
          <w:sz w:val="24"/>
        </w:rPr>
        <w:t>ceiling effect</w:t>
      </w:r>
      <w:r w:rsidRPr="00E54821">
        <w:rPr>
          <w:rFonts w:ascii="Garamond" w:hAnsi="Garamond"/>
          <w:sz w:val="24"/>
        </w:rPr>
        <w:t xml:space="preserve"> </w:t>
      </w:r>
      <w:r>
        <w:rPr>
          <w:rFonts w:ascii="Garamond" w:hAnsi="Garamond"/>
          <w:sz w:val="24"/>
        </w:rPr>
        <w:t>interpretation</w:t>
      </w:r>
      <w:r w:rsidRPr="00E54821">
        <w:rPr>
          <w:rFonts w:ascii="Garamond" w:hAnsi="Garamond"/>
          <w:sz w:val="24"/>
        </w:rPr>
        <w:t xml:space="preserve">.   </w:t>
      </w:r>
    </w:p>
    <w:p w14:paraId="222B7C4B" w14:textId="699D87C6" w:rsidR="008D7AC1" w:rsidRPr="00B0506D" w:rsidRDefault="008D7AC1" w:rsidP="008D7AC1">
      <w:pPr>
        <w:spacing w:line="480" w:lineRule="auto"/>
        <w:ind w:firstLine="720"/>
        <w:rPr>
          <w:rFonts w:ascii="Garamond" w:hAnsi="Garamond"/>
          <w:sz w:val="24"/>
        </w:rPr>
      </w:pPr>
      <w:r w:rsidRPr="00B0506D">
        <w:rPr>
          <w:rFonts w:ascii="Garamond" w:hAnsi="Garamond"/>
          <w:sz w:val="24"/>
        </w:rPr>
        <w:t xml:space="preserve">It is also worth noting that even though the experiments were conducted in different election contexts in different states, the types of voters included in these samples are nevertheless </w:t>
      </w:r>
      <w:r w:rsidRPr="00B0506D">
        <w:rPr>
          <w:rFonts w:ascii="Garamond" w:hAnsi="Garamond"/>
          <w:i/>
          <w:sz w:val="24"/>
        </w:rPr>
        <w:t>not</w:t>
      </w:r>
      <w:r w:rsidRPr="00B0506D">
        <w:rPr>
          <w:rFonts w:ascii="Garamond" w:hAnsi="Garamond"/>
          <w:sz w:val="24"/>
        </w:rPr>
        <w:t xml:space="preserve"> nationally representative and reflect the labor organization’s strategic targeting criteria (i.e., working-class, Democratic-leaning voters). As such, it is unclear whether these results generalize to a broader population. Additionally, though I assert that the treatment did not include any social pressure interventions (which might credibly change the cost-benefit equation in the short-term), the conversations were freeform and we have no way of knowing if there were large numbers of canvassers who went off-script. This possible limitation is, however, unlikely, as the labor organization employs paid canvassers who receive extensive training.   </w:t>
      </w:r>
    </w:p>
    <w:p w14:paraId="085E1843" w14:textId="564609C7" w:rsidR="00652715" w:rsidRDefault="00652715" w:rsidP="008D7AC1">
      <w:pPr>
        <w:spacing w:line="480" w:lineRule="auto"/>
        <w:rPr>
          <w:rFonts w:ascii="Garamond" w:hAnsi="Garamond"/>
          <w:sz w:val="24"/>
        </w:rPr>
      </w:pPr>
    </w:p>
    <w:p w14:paraId="085E1844" w14:textId="77777777" w:rsidR="003A4D84" w:rsidRDefault="003A4D84" w:rsidP="00652715">
      <w:pPr>
        <w:spacing w:line="480" w:lineRule="auto"/>
        <w:rPr>
          <w:rFonts w:ascii="Garamond" w:hAnsi="Garamond"/>
          <w:sz w:val="24"/>
        </w:rPr>
      </w:pPr>
    </w:p>
    <w:p w14:paraId="085E1845" w14:textId="77777777" w:rsidR="003A4D84" w:rsidRDefault="003A4D84" w:rsidP="00652715">
      <w:pPr>
        <w:spacing w:line="480" w:lineRule="auto"/>
        <w:rPr>
          <w:rFonts w:ascii="Garamond" w:hAnsi="Garamond"/>
          <w:sz w:val="24"/>
        </w:rPr>
      </w:pPr>
    </w:p>
    <w:p w14:paraId="085E1858" w14:textId="77777777" w:rsidR="003A4D84" w:rsidRPr="00B0506D" w:rsidRDefault="003A4D84" w:rsidP="00652715">
      <w:pPr>
        <w:spacing w:line="480" w:lineRule="auto"/>
        <w:rPr>
          <w:rFonts w:ascii="Garamond" w:hAnsi="Garamond"/>
          <w:sz w:val="24"/>
        </w:rPr>
      </w:pPr>
    </w:p>
    <w:p w14:paraId="085E1859" w14:textId="77777777" w:rsidR="00C504EF" w:rsidRPr="00AB0C49" w:rsidRDefault="00AB0C49" w:rsidP="00AB0C49">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22" w:name="_Toc83912432"/>
      <w:bookmarkStart w:id="23" w:name="_Toc129961287"/>
      <w:r w:rsidRPr="00AB0C49">
        <w:rPr>
          <w:rFonts w:ascii="Garamond" w:eastAsiaTheme="majorEastAsia" w:hAnsi="Garamond" w:cstheme="majorBidi"/>
          <w:b/>
          <w:i/>
          <w:sz w:val="28"/>
          <w:szCs w:val="26"/>
        </w:rPr>
        <w:lastRenderedPageBreak/>
        <w:t>Ad</w:t>
      </w:r>
      <w:r w:rsidR="00C504EF" w:rsidRPr="00AB0C49">
        <w:rPr>
          <w:rFonts w:ascii="Garamond" w:eastAsiaTheme="majorEastAsia" w:hAnsi="Garamond" w:cstheme="majorBidi"/>
          <w:b/>
          <w:i/>
          <w:sz w:val="28"/>
          <w:szCs w:val="26"/>
        </w:rPr>
        <w:t>ditional Tables and Figures</w:t>
      </w:r>
      <w:bookmarkEnd w:id="22"/>
      <w:bookmarkEnd w:id="23"/>
    </w:p>
    <w:p w14:paraId="085E185A" w14:textId="3A5DF2E3" w:rsidR="00C504EF" w:rsidRPr="00C504EF" w:rsidRDefault="00C504EF" w:rsidP="00C504EF">
      <w:pPr>
        <w:spacing w:line="480" w:lineRule="auto"/>
        <w:rPr>
          <w:rFonts w:ascii="Garamond" w:hAnsi="Garamond"/>
          <w:noProof/>
          <w:sz w:val="24"/>
          <w:szCs w:val="24"/>
        </w:rPr>
      </w:pPr>
      <w:bookmarkStart w:id="24" w:name="_Toc83756790"/>
      <w:r w:rsidRPr="00C504EF">
        <w:rPr>
          <w:rFonts w:ascii="Garamond" w:hAnsi="Garamond"/>
          <w:b/>
          <w:noProof/>
          <w:sz w:val="24"/>
          <w:szCs w:val="24"/>
        </w:rPr>
        <w:t xml:space="preserve">Figure </w:t>
      </w:r>
      <w:r w:rsidR="00663AE6">
        <w:rPr>
          <w:rFonts w:ascii="Garamond" w:hAnsi="Garamond"/>
          <w:b/>
          <w:noProof/>
          <w:sz w:val="24"/>
          <w:szCs w:val="24"/>
        </w:rPr>
        <w:t>7</w:t>
      </w:r>
      <w:r w:rsidRPr="00C504EF">
        <w:rPr>
          <w:rFonts w:ascii="Garamond" w:hAnsi="Garamond"/>
          <w:b/>
          <w:noProof/>
          <w:sz w:val="24"/>
          <w:szCs w:val="24"/>
        </w:rPr>
        <w:t>.</w:t>
      </w:r>
      <w:r w:rsidR="00AB0C49">
        <w:rPr>
          <w:rFonts w:ascii="Garamond" w:hAnsi="Garamond"/>
          <w:b/>
          <w:noProof/>
          <w:sz w:val="24"/>
          <w:szCs w:val="24"/>
        </w:rPr>
        <w:t>1</w:t>
      </w:r>
      <w:r w:rsidRPr="00C504EF">
        <w:rPr>
          <w:rFonts w:ascii="Garamond" w:hAnsi="Garamond"/>
          <w:noProof/>
          <w:sz w:val="24"/>
          <w:szCs w:val="24"/>
        </w:rPr>
        <w:t>: Average treatment effects for upstream and downstream elections by experiment</w:t>
      </w:r>
      <w:bookmarkEnd w:id="24"/>
    </w:p>
    <w:p w14:paraId="085E185B" w14:textId="77777777" w:rsidR="00C504EF" w:rsidRPr="00C504EF" w:rsidRDefault="00C504EF" w:rsidP="00C504EF">
      <w:pPr>
        <w:spacing w:line="480" w:lineRule="auto"/>
        <w:rPr>
          <w:rFonts w:ascii="Garamond" w:hAnsi="Garamond"/>
          <w:sz w:val="24"/>
        </w:rPr>
      </w:pPr>
      <w:r w:rsidRPr="00C504EF">
        <w:rPr>
          <w:rFonts w:ascii="Garamond" w:hAnsi="Garamond"/>
          <w:noProof/>
          <w:sz w:val="24"/>
        </w:rPr>
        <w:drawing>
          <wp:inline distT="0" distB="0" distL="0" distR="0" wp14:anchorId="085E1977" wp14:editId="085E1978">
            <wp:extent cx="4222651" cy="5631180"/>
            <wp:effectExtent l="0" t="0" r="6985"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8989" cy="5639632"/>
                    </a:xfrm>
                    <a:prstGeom prst="rect">
                      <a:avLst/>
                    </a:prstGeom>
                    <a:noFill/>
                    <a:ln>
                      <a:noFill/>
                    </a:ln>
                  </pic:spPr>
                </pic:pic>
              </a:graphicData>
            </a:graphic>
          </wp:inline>
        </w:drawing>
      </w:r>
    </w:p>
    <w:p w14:paraId="085E185C" w14:textId="77777777" w:rsidR="00C504EF" w:rsidRDefault="00C504EF" w:rsidP="00C504EF">
      <w:pPr>
        <w:spacing w:line="480" w:lineRule="auto"/>
        <w:rPr>
          <w:rFonts w:ascii="Garamond" w:hAnsi="Garamond"/>
          <w:b/>
          <w:noProof/>
          <w:sz w:val="24"/>
          <w:szCs w:val="24"/>
        </w:rPr>
      </w:pPr>
      <w:bookmarkStart w:id="25" w:name="_Toc83753726"/>
    </w:p>
    <w:p w14:paraId="085E185D" w14:textId="77777777" w:rsidR="003A4D84" w:rsidRDefault="003A4D84" w:rsidP="00C504EF">
      <w:pPr>
        <w:spacing w:line="480" w:lineRule="auto"/>
        <w:rPr>
          <w:rFonts w:ascii="Garamond" w:hAnsi="Garamond"/>
          <w:b/>
          <w:noProof/>
          <w:sz w:val="24"/>
          <w:szCs w:val="24"/>
        </w:rPr>
      </w:pPr>
    </w:p>
    <w:p w14:paraId="085E185E" w14:textId="77777777" w:rsidR="003A4D84" w:rsidRPr="00C504EF" w:rsidRDefault="003A4D84" w:rsidP="00C504EF">
      <w:pPr>
        <w:spacing w:line="480" w:lineRule="auto"/>
        <w:rPr>
          <w:rFonts w:ascii="Garamond" w:hAnsi="Garamond"/>
          <w:b/>
          <w:noProof/>
          <w:sz w:val="24"/>
          <w:szCs w:val="24"/>
        </w:rPr>
      </w:pPr>
    </w:p>
    <w:p w14:paraId="085E185F" w14:textId="2674FBAE" w:rsidR="00C504EF" w:rsidRPr="00C504EF" w:rsidRDefault="00C504EF" w:rsidP="00C504EF">
      <w:pPr>
        <w:spacing w:line="480" w:lineRule="auto"/>
        <w:rPr>
          <w:rFonts w:ascii="Garamond" w:hAnsi="Garamond"/>
          <w:noProof/>
          <w:sz w:val="24"/>
          <w:szCs w:val="24"/>
        </w:rPr>
      </w:pPr>
      <w:r w:rsidRPr="00C504EF">
        <w:rPr>
          <w:rFonts w:ascii="Garamond" w:hAnsi="Garamond"/>
          <w:b/>
          <w:noProof/>
          <w:sz w:val="24"/>
          <w:szCs w:val="24"/>
        </w:rPr>
        <w:lastRenderedPageBreak/>
        <w:t>Table</w:t>
      </w:r>
      <w:r w:rsidR="00AB0C49">
        <w:rPr>
          <w:rFonts w:ascii="Garamond" w:hAnsi="Garamond"/>
          <w:b/>
          <w:noProof/>
          <w:sz w:val="24"/>
          <w:szCs w:val="24"/>
        </w:rPr>
        <w:t xml:space="preserve"> </w:t>
      </w:r>
      <w:r w:rsidR="00663AE6">
        <w:rPr>
          <w:rFonts w:ascii="Garamond" w:hAnsi="Garamond"/>
          <w:b/>
          <w:noProof/>
          <w:sz w:val="24"/>
          <w:szCs w:val="24"/>
        </w:rPr>
        <w:t>7</w:t>
      </w:r>
      <w:r w:rsidRPr="00C504EF">
        <w:rPr>
          <w:rFonts w:ascii="Garamond" w:hAnsi="Garamond"/>
          <w:b/>
          <w:noProof/>
          <w:sz w:val="24"/>
          <w:szCs w:val="24"/>
        </w:rPr>
        <w:t>.</w:t>
      </w:r>
      <w:r w:rsidR="00AB0C49">
        <w:rPr>
          <w:rFonts w:ascii="Garamond" w:hAnsi="Garamond"/>
          <w:b/>
          <w:noProof/>
          <w:sz w:val="24"/>
          <w:szCs w:val="24"/>
        </w:rPr>
        <w:t>2</w:t>
      </w:r>
      <w:r w:rsidRPr="00C504EF">
        <w:rPr>
          <w:rFonts w:ascii="Garamond" w:hAnsi="Garamond"/>
          <w:noProof/>
          <w:sz w:val="24"/>
          <w:szCs w:val="24"/>
        </w:rPr>
        <w:t>: Upstream intent-to-treat effect and CACEs for downstream elections by experiment</w:t>
      </w:r>
      <w:bookmarkEnd w:id="25"/>
    </w:p>
    <w:tbl>
      <w:tblPr>
        <w:tblW w:w="6316" w:type="dxa"/>
        <w:tblLook w:val="04A0" w:firstRow="1" w:lastRow="0" w:firstColumn="1" w:lastColumn="0" w:noHBand="0" w:noVBand="1"/>
      </w:tblPr>
      <w:tblGrid>
        <w:gridCol w:w="1424"/>
        <w:gridCol w:w="1304"/>
        <w:gridCol w:w="1196"/>
        <w:gridCol w:w="1196"/>
        <w:gridCol w:w="1196"/>
      </w:tblGrid>
      <w:tr w:rsidR="00C504EF" w:rsidRPr="00C504EF" w14:paraId="085E1865" w14:textId="77777777" w:rsidTr="006A1256">
        <w:trPr>
          <w:trHeight w:val="1572"/>
        </w:trPr>
        <w:tc>
          <w:tcPr>
            <w:tcW w:w="1424" w:type="dxa"/>
            <w:tcBorders>
              <w:top w:val="single" w:sz="12" w:space="0" w:color="auto"/>
              <w:left w:val="single" w:sz="12" w:space="0" w:color="auto"/>
              <w:bottom w:val="nil"/>
              <w:right w:val="single" w:sz="12" w:space="0" w:color="auto"/>
            </w:tcBorders>
            <w:shd w:val="clear" w:color="auto" w:fill="auto"/>
            <w:vAlign w:val="center"/>
            <w:hideMark/>
          </w:tcPr>
          <w:p w14:paraId="085E1860" w14:textId="77777777" w:rsidR="00C504EF" w:rsidRPr="00C504EF" w:rsidRDefault="00C504EF" w:rsidP="00C504EF">
            <w:pPr>
              <w:spacing w:after="0" w:line="240" w:lineRule="auto"/>
              <w:jc w:val="center"/>
              <w:rPr>
                <w:rFonts w:ascii="Garamond" w:eastAsia="Times New Roman" w:hAnsi="Garamond" w:cs="Calibri"/>
                <w:b/>
                <w:bCs/>
                <w:i/>
                <w:iCs/>
                <w:sz w:val="24"/>
                <w:szCs w:val="24"/>
              </w:rPr>
            </w:pPr>
            <w:r w:rsidRPr="00C504EF">
              <w:rPr>
                <w:rFonts w:ascii="Garamond" w:eastAsia="Times New Roman" w:hAnsi="Garamond" w:cs="Calibri"/>
                <w:b/>
                <w:bCs/>
                <w:i/>
                <w:iCs/>
                <w:sz w:val="24"/>
                <w:szCs w:val="24"/>
              </w:rPr>
              <w:t>Experiment</w:t>
            </w:r>
          </w:p>
        </w:tc>
        <w:tc>
          <w:tcPr>
            <w:tcW w:w="1304" w:type="dxa"/>
            <w:tcBorders>
              <w:top w:val="single" w:sz="12" w:space="0" w:color="auto"/>
              <w:left w:val="nil"/>
              <w:bottom w:val="nil"/>
              <w:right w:val="nil"/>
            </w:tcBorders>
            <w:shd w:val="clear" w:color="auto" w:fill="auto"/>
            <w:vAlign w:val="center"/>
            <w:hideMark/>
          </w:tcPr>
          <w:p w14:paraId="085E1861" w14:textId="77777777" w:rsidR="00C504EF" w:rsidRPr="00C504EF" w:rsidRDefault="00C504EF" w:rsidP="00C504EF">
            <w:pPr>
              <w:spacing w:after="0" w:line="240" w:lineRule="auto"/>
              <w:jc w:val="center"/>
              <w:rPr>
                <w:rFonts w:ascii="Garamond" w:eastAsia="Times New Roman" w:hAnsi="Garamond" w:cs="Calibri"/>
                <w:b/>
                <w:bCs/>
                <w:i/>
                <w:iCs/>
                <w:sz w:val="24"/>
                <w:szCs w:val="24"/>
              </w:rPr>
            </w:pPr>
            <w:r w:rsidRPr="00C504EF">
              <w:rPr>
                <w:rFonts w:ascii="Garamond" w:eastAsia="Times New Roman" w:hAnsi="Garamond" w:cs="Calibri"/>
                <w:b/>
                <w:bCs/>
                <w:i/>
                <w:iCs/>
                <w:sz w:val="24"/>
                <w:szCs w:val="24"/>
              </w:rPr>
              <w:t>1st Stage (Upstream Election)</w:t>
            </w:r>
          </w:p>
        </w:tc>
        <w:tc>
          <w:tcPr>
            <w:tcW w:w="1196" w:type="dxa"/>
            <w:tcBorders>
              <w:top w:val="single" w:sz="12" w:space="0" w:color="auto"/>
              <w:left w:val="nil"/>
              <w:bottom w:val="nil"/>
              <w:right w:val="nil"/>
            </w:tcBorders>
            <w:shd w:val="clear" w:color="auto" w:fill="auto"/>
            <w:vAlign w:val="center"/>
            <w:hideMark/>
          </w:tcPr>
          <w:p w14:paraId="085E1862" w14:textId="77777777" w:rsidR="00C504EF" w:rsidRPr="00C504EF" w:rsidRDefault="00C504EF" w:rsidP="00C504EF">
            <w:pPr>
              <w:spacing w:after="0" w:line="240" w:lineRule="auto"/>
              <w:jc w:val="center"/>
              <w:rPr>
                <w:rFonts w:ascii="Garamond" w:eastAsia="Times New Roman" w:hAnsi="Garamond" w:cs="Calibri"/>
                <w:b/>
                <w:bCs/>
                <w:i/>
                <w:iCs/>
                <w:sz w:val="24"/>
                <w:szCs w:val="24"/>
              </w:rPr>
            </w:pPr>
            <w:r w:rsidRPr="00C504EF">
              <w:rPr>
                <w:rFonts w:ascii="Garamond" w:eastAsia="Times New Roman" w:hAnsi="Garamond" w:cs="Calibri"/>
                <w:b/>
                <w:bCs/>
                <w:i/>
                <w:iCs/>
                <w:sz w:val="24"/>
                <w:szCs w:val="24"/>
              </w:rPr>
              <w:t>2016 Primary CACE</w:t>
            </w:r>
          </w:p>
        </w:tc>
        <w:tc>
          <w:tcPr>
            <w:tcW w:w="1196" w:type="dxa"/>
            <w:tcBorders>
              <w:top w:val="single" w:sz="12" w:space="0" w:color="auto"/>
              <w:left w:val="nil"/>
              <w:bottom w:val="nil"/>
              <w:right w:val="nil"/>
            </w:tcBorders>
            <w:shd w:val="clear" w:color="auto" w:fill="auto"/>
            <w:vAlign w:val="center"/>
            <w:hideMark/>
          </w:tcPr>
          <w:p w14:paraId="085E1863" w14:textId="77777777" w:rsidR="00C504EF" w:rsidRPr="00C504EF" w:rsidRDefault="00C504EF" w:rsidP="00C504EF">
            <w:pPr>
              <w:spacing w:after="0" w:line="240" w:lineRule="auto"/>
              <w:jc w:val="center"/>
              <w:rPr>
                <w:rFonts w:ascii="Garamond" w:eastAsia="Times New Roman" w:hAnsi="Garamond" w:cs="Calibri"/>
                <w:b/>
                <w:bCs/>
                <w:i/>
                <w:iCs/>
                <w:sz w:val="24"/>
                <w:szCs w:val="24"/>
              </w:rPr>
            </w:pPr>
            <w:r w:rsidRPr="00C504EF">
              <w:rPr>
                <w:rFonts w:ascii="Garamond" w:eastAsia="Times New Roman" w:hAnsi="Garamond" w:cs="Calibri"/>
                <w:b/>
                <w:bCs/>
                <w:i/>
                <w:iCs/>
                <w:sz w:val="24"/>
                <w:szCs w:val="24"/>
              </w:rPr>
              <w:t>2016 General CACE</w:t>
            </w:r>
          </w:p>
        </w:tc>
        <w:tc>
          <w:tcPr>
            <w:tcW w:w="1196" w:type="dxa"/>
            <w:tcBorders>
              <w:top w:val="single" w:sz="12" w:space="0" w:color="auto"/>
              <w:left w:val="nil"/>
              <w:bottom w:val="nil"/>
              <w:right w:val="single" w:sz="12" w:space="0" w:color="auto"/>
            </w:tcBorders>
            <w:shd w:val="clear" w:color="auto" w:fill="auto"/>
            <w:vAlign w:val="center"/>
            <w:hideMark/>
          </w:tcPr>
          <w:p w14:paraId="085E1864" w14:textId="77777777" w:rsidR="00C504EF" w:rsidRPr="00C504EF" w:rsidRDefault="00C504EF" w:rsidP="00C504EF">
            <w:pPr>
              <w:spacing w:after="0" w:line="240" w:lineRule="auto"/>
              <w:jc w:val="center"/>
              <w:rPr>
                <w:rFonts w:ascii="Garamond" w:eastAsia="Times New Roman" w:hAnsi="Garamond" w:cs="Calibri"/>
                <w:b/>
                <w:bCs/>
                <w:i/>
                <w:iCs/>
                <w:sz w:val="24"/>
                <w:szCs w:val="24"/>
              </w:rPr>
            </w:pPr>
            <w:r w:rsidRPr="00C504EF">
              <w:rPr>
                <w:rFonts w:ascii="Garamond" w:eastAsia="Times New Roman" w:hAnsi="Garamond" w:cs="Calibri"/>
                <w:b/>
                <w:bCs/>
                <w:i/>
                <w:iCs/>
                <w:sz w:val="24"/>
                <w:szCs w:val="24"/>
              </w:rPr>
              <w:t>2018 General CACE</w:t>
            </w:r>
          </w:p>
        </w:tc>
      </w:tr>
      <w:tr w:rsidR="00C504EF" w:rsidRPr="00C504EF" w14:paraId="085E186B" w14:textId="77777777" w:rsidTr="006A1256">
        <w:trPr>
          <w:trHeight w:val="318"/>
        </w:trPr>
        <w:tc>
          <w:tcPr>
            <w:tcW w:w="1424" w:type="dxa"/>
            <w:tcBorders>
              <w:top w:val="single" w:sz="12" w:space="0" w:color="auto"/>
              <w:left w:val="single" w:sz="12" w:space="0" w:color="auto"/>
              <w:bottom w:val="nil"/>
              <w:right w:val="single" w:sz="12" w:space="0" w:color="auto"/>
            </w:tcBorders>
            <w:shd w:val="clear" w:color="auto" w:fill="auto"/>
            <w:vAlign w:val="center"/>
            <w:hideMark/>
          </w:tcPr>
          <w:p w14:paraId="085E1866"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2014 IA</w:t>
            </w:r>
          </w:p>
        </w:tc>
        <w:tc>
          <w:tcPr>
            <w:tcW w:w="1304" w:type="dxa"/>
            <w:tcBorders>
              <w:top w:val="single" w:sz="12" w:space="0" w:color="auto"/>
              <w:left w:val="nil"/>
              <w:bottom w:val="nil"/>
              <w:right w:val="nil"/>
            </w:tcBorders>
            <w:shd w:val="clear" w:color="auto" w:fill="auto"/>
            <w:vAlign w:val="center"/>
            <w:hideMark/>
          </w:tcPr>
          <w:p w14:paraId="085E1867"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0.0140</w:t>
            </w:r>
          </w:p>
        </w:tc>
        <w:tc>
          <w:tcPr>
            <w:tcW w:w="1196" w:type="dxa"/>
            <w:tcBorders>
              <w:top w:val="single" w:sz="12" w:space="0" w:color="auto"/>
              <w:left w:val="nil"/>
              <w:bottom w:val="nil"/>
              <w:right w:val="nil"/>
            </w:tcBorders>
            <w:shd w:val="clear" w:color="auto" w:fill="auto"/>
            <w:vAlign w:val="center"/>
            <w:hideMark/>
          </w:tcPr>
          <w:p w14:paraId="085E1868"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-0.1727</w:t>
            </w:r>
          </w:p>
        </w:tc>
        <w:tc>
          <w:tcPr>
            <w:tcW w:w="1196" w:type="dxa"/>
            <w:tcBorders>
              <w:top w:val="single" w:sz="12" w:space="0" w:color="auto"/>
              <w:left w:val="nil"/>
              <w:bottom w:val="nil"/>
              <w:right w:val="nil"/>
            </w:tcBorders>
            <w:shd w:val="clear" w:color="auto" w:fill="auto"/>
            <w:vAlign w:val="center"/>
            <w:hideMark/>
          </w:tcPr>
          <w:p w14:paraId="085E1869"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0.0701</w:t>
            </w:r>
          </w:p>
        </w:tc>
        <w:tc>
          <w:tcPr>
            <w:tcW w:w="1196" w:type="dxa"/>
            <w:tcBorders>
              <w:top w:val="single" w:sz="12" w:space="0" w:color="auto"/>
              <w:left w:val="nil"/>
              <w:bottom w:val="nil"/>
              <w:right w:val="single" w:sz="12" w:space="0" w:color="auto"/>
            </w:tcBorders>
            <w:shd w:val="clear" w:color="auto" w:fill="auto"/>
            <w:vAlign w:val="center"/>
            <w:hideMark/>
          </w:tcPr>
          <w:p w14:paraId="085E186A"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0.2225</w:t>
            </w:r>
          </w:p>
        </w:tc>
      </w:tr>
      <w:tr w:rsidR="00C504EF" w:rsidRPr="00C504EF" w14:paraId="085E1871"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6C" w14:textId="231D25F4"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6D"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(0.0034)</w:t>
            </w:r>
          </w:p>
        </w:tc>
        <w:tc>
          <w:tcPr>
            <w:tcW w:w="1196" w:type="dxa"/>
            <w:tcBorders>
              <w:top w:val="nil"/>
              <w:left w:val="nil"/>
              <w:bottom w:val="single" w:sz="12" w:space="0" w:color="auto"/>
              <w:right w:val="nil"/>
            </w:tcBorders>
            <w:shd w:val="clear" w:color="auto" w:fill="auto"/>
            <w:vAlign w:val="center"/>
            <w:hideMark/>
          </w:tcPr>
          <w:p w14:paraId="085E186E"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(0.2136)</w:t>
            </w:r>
          </w:p>
        </w:tc>
        <w:tc>
          <w:tcPr>
            <w:tcW w:w="1196" w:type="dxa"/>
            <w:tcBorders>
              <w:top w:val="nil"/>
              <w:left w:val="nil"/>
              <w:bottom w:val="single" w:sz="12" w:space="0" w:color="auto"/>
              <w:right w:val="nil"/>
            </w:tcBorders>
            <w:shd w:val="clear" w:color="auto" w:fill="auto"/>
            <w:vAlign w:val="center"/>
            <w:hideMark/>
          </w:tcPr>
          <w:p w14:paraId="085E186F"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(0.1963)</w:t>
            </w:r>
          </w:p>
        </w:tc>
        <w:tc>
          <w:tcPr>
            <w:tcW w:w="1196" w:type="dxa"/>
            <w:tcBorders>
              <w:top w:val="nil"/>
              <w:left w:val="nil"/>
              <w:bottom w:val="single" w:sz="12" w:space="0" w:color="auto"/>
              <w:right w:val="single" w:sz="12" w:space="0" w:color="auto"/>
            </w:tcBorders>
            <w:shd w:val="clear" w:color="auto" w:fill="auto"/>
            <w:vAlign w:val="center"/>
            <w:hideMark/>
          </w:tcPr>
          <w:p w14:paraId="085E1870"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(0.2333)</w:t>
            </w:r>
          </w:p>
        </w:tc>
      </w:tr>
      <w:tr w:rsidR="00C504EF" w:rsidRPr="00C504EF" w14:paraId="085E1877" w14:textId="77777777" w:rsidTr="006A1256">
        <w:trPr>
          <w:trHeight w:val="318"/>
        </w:trPr>
        <w:tc>
          <w:tcPr>
            <w:tcW w:w="1424" w:type="dxa"/>
            <w:tcBorders>
              <w:top w:val="nil"/>
              <w:left w:val="single" w:sz="12" w:space="0" w:color="auto"/>
              <w:bottom w:val="nil"/>
              <w:right w:val="single" w:sz="12" w:space="0" w:color="auto"/>
            </w:tcBorders>
            <w:shd w:val="clear" w:color="auto" w:fill="auto"/>
            <w:vAlign w:val="center"/>
            <w:hideMark/>
          </w:tcPr>
          <w:p w14:paraId="085E1872"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2014 IL</w:t>
            </w:r>
          </w:p>
        </w:tc>
        <w:tc>
          <w:tcPr>
            <w:tcW w:w="1304" w:type="dxa"/>
            <w:tcBorders>
              <w:top w:val="nil"/>
              <w:left w:val="nil"/>
              <w:bottom w:val="nil"/>
              <w:right w:val="nil"/>
            </w:tcBorders>
            <w:shd w:val="clear" w:color="auto" w:fill="auto"/>
            <w:vAlign w:val="center"/>
            <w:hideMark/>
          </w:tcPr>
          <w:p w14:paraId="085E1873"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0.0016</w:t>
            </w:r>
          </w:p>
        </w:tc>
        <w:tc>
          <w:tcPr>
            <w:tcW w:w="1196" w:type="dxa"/>
            <w:tcBorders>
              <w:top w:val="nil"/>
              <w:left w:val="nil"/>
              <w:bottom w:val="nil"/>
              <w:right w:val="nil"/>
            </w:tcBorders>
            <w:shd w:val="clear" w:color="auto" w:fill="auto"/>
            <w:vAlign w:val="center"/>
            <w:hideMark/>
          </w:tcPr>
          <w:p w14:paraId="085E1874"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1.2897</w:t>
            </w:r>
          </w:p>
        </w:tc>
        <w:tc>
          <w:tcPr>
            <w:tcW w:w="1196" w:type="dxa"/>
            <w:tcBorders>
              <w:top w:val="nil"/>
              <w:left w:val="nil"/>
              <w:bottom w:val="nil"/>
              <w:right w:val="nil"/>
            </w:tcBorders>
            <w:shd w:val="clear" w:color="auto" w:fill="auto"/>
            <w:vAlign w:val="center"/>
            <w:hideMark/>
          </w:tcPr>
          <w:p w14:paraId="085E1875"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0.6913</w:t>
            </w:r>
          </w:p>
        </w:tc>
        <w:tc>
          <w:tcPr>
            <w:tcW w:w="1196" w:type="dxa"/>
            <w:tcBorders>
              <w:top w:val="nil"/>
              <w:left w:val="nil"/>
              <w:bottom w:val="nil"/>
              <w:right w:val="single" w:sz="12" w:space="0" w:color="auto"/>
            </w:tcBorders>
            <w:shd w:val="clear" w:color="auto" w:fill="auto"/>
            <w:vAlign w:val="center"/>
            <w:hideMark/>
          </w:tcPr>
          <w:p w14:paraId="085E1876"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1.7542</w:t>
            </w:r>
          </w:p>
        </w:tc>
      </w:tr>
      <w:tr w:rsidR="00C504EF" w:rsidRPr="00C504EF" w14:paraId="085E187D"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78" w14:textId="2ED75BC3"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79"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(0.0010)</w:t>
            </w:r>
          </w:p>
        </w:tc>
        <w:tc>
          <w:tcPr>
            <w:tcW w:w="1196" w:type="dxa"/>
            <w:tcBorders>
              <w:top w:val="nil"/>
              <w:left w:val="nil"/>
              <w:bottom w:val="single" w:sz="12" w:space="0" w:color="auto"/>
              <w:right w:val="nil"/>
            </w:tcBorders>
            <w:shd w:val="clear" w:color="auto" w:fill="auto"/>
            <w:vAlign w:val="center"/>
            <w:hideMark/>
          </w:tcPr>
          <w:p w14:paraId="085E187A"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(0.9389)</w:t>
            </w:r>
          </w:p>
        </w:tc>
        <w:tc>
          <w:tcPr>
            <w:tcW w:w="1196" w:type="dxa"/>
            <w:tcBorders>
              <w:top w:val="nil"/>
              <w:left w:val="nil"/>
              <w:bottom w:val="single" w:sz="12" w:space="0" w:color="auto"/>
              <w:right w:val="nil"/>
            </w:tcBorders>
            <w:shd w:val="clear" w:color="auto" w:fill="auto"/>
            <w:vAlign w:val="center"/>
            <w:hideMark/>
          </w:tcPr>
          <w:p w14:paraId="085E187B"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(0.5664)</w:t>
            </w:r>
          </w:p>
        </w:tc>
        <w:tc>
          <w:tcPr>
            <w:tcW w:w="1196" w:type="dxa"/>
            <w:tcBorders>
              <w:top w:val="nil"/>
              <w:left w:val="nil"/>
              <w:bottom w:val="single" w:sz="12" w:space="0" w:color="auto"/>
              <w:right w:val="single" w:sz="12" w:space="0" w:color="auto"/>
            </w:tcBorders>
            <w:shd w:val="clear" w:color="auto" w:fill="auto"/>
            <w:vAlign w:val="center"/>
            <w:hideMark/>
          </w:tcPr>
          <w:p w14:paraId="085E187C"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(1.1250)</w:t>
            </w:r>
          </w:p>
        </w:tc>
      </w:tr>
      <w:tr w:rsidR="00C504EF" w:rsidRPr="00C504EF" w14:paraId="085E1883" w14:textId="77777777" w:rsidTr="006A1256">
        <w:trPr>
          <w:trHeight w:val="318"/>
        </w:trPr>
        <w:tc>
          <w:tcPr>
            <w:tcW w:w="1424" w:type="dxa"/>
            <w:tcBorders>
              <w:top w:val="nil"/>
              <w:left w:val="single" w:sz="12" w:space="0" w:color="auto"/>
              <w:bottom w:val="nil"/>
              <w:right w:val="single" w:sz="12" w:space="0" w:color="auto"/>
            </w:tcBorders>
            <w:shd w:val="clear" w:color="auto" w:fill="auto"/>
            <w:vAlign w:val="center"/>
            <w:hideMark/>
          </w:tcPr>
          <w:p w14:paraId="085E187E"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2014 MI</w:t>
            </w:r>
          </w:p>
        </w:tc>
        <w:tc>
          <w:tcPr>
            <w:tcW w:w="1304" w:type="dxa"/>
            <w:tcBorders>
              <w:top w:val="nil"/>
              <w:left w:val="nil"/>
              <w:bottom w:val="nil"/>
              <w:right w:val="nil"/>
            </w:tcBorders>
            <w:shd w:val="clear" w:color="auto" w:fill="auto"/>
            <w:vAlign w:val="center"/>
            <w:hideMark/>
          </w:tcPr>
          <w:p w14:paraId="085E187F"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0.0022</w:t>
            </w:r>
          </w:p>
        </w:tc>
        <w:tc>
          <w:tcPr>
            <w:tcW w:w="1196" w:type="dxa"/>
            <w:tcBorders>
              <w:top w:val="nil"/>
              <w:left w:val="nil"/>
              <w:bottom w:val="nil"/>
              <w:right w:val="nil"/>
            </w:tcBorders>
            <w:shd w:val="clear" w:color="auto" w:fill="auto"/>
            <w:vAlign w:val="center"/>
            <w:hideMark/>
          </w:tcPr>
          <w:p w14:paraId="085E1880"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0.4255</w:t>
            </w:r>
          </w:p>
        </w:tc>
        <w:tc>
          <w:tcPr>
            <w:tcW w:w="1196" w:type="dxa"/>
            <w:tcBorders>
              <w:top w:val="nil"/>
              <w:left w:val="nil"/>
              <w:bottom w:val="nil"/>
              <w:right w:val="nil"/>
            </w:tcBorders>
            <w:shd w:val="clear" w:color="auto" w:fill="auto"/>
            <w:vAlign w:val="center"/>
            <w:hideMark/>
          </w:tcPr>
          <w:p w14:paraId="085E1881"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-0.2773</w:t>
            </w:r>
          </w:p>
        </w:tc>
        <w:tc>
          <w:tcPr>
            <w:tcW w:w="1196" w:type="dxa"/>
            <w:tcBorders>
              <w:top w:val="nil"/>
              <w:left w:val="nil"/>
              <w:bottom w:val="nil"/>
              <w:right w:val="single" w:sz="12" w:space="0" w:color="auto"/>
            </w:tcBorders>
            <w:shd w:val="clear" w:color="auto" w:fill="auto"/>
            <w:vAlign w:val="center"/>
            <w:hideMark/>
          </w:tcPr>
          <w:p w14:paraId="085E1882"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1.0485</w:t>
            </w:r>
          </w:p>
        </w:tc>
      </w:tr>
      <w:tr w:rsidR="00C504EF" w:rsidRPr="00C504EF" w14:paraId="085E1889"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84" w14:textId="0DCF6142"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85"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(0.0012)</w:t>
            </w:r>
          </w:p>
        </w:tc>
        <w:tc>
          <w:tcPr>
            <w:tcW w:w="1196" w:type="dxa"/>
            <w:tcBorders>
              <w:top w:val="nil"/>
              <w:left w:val="nil"/>
              <w:bottom w:val="single" w:sz="12" w:space="0" w:color="auto"/>
              <w:right w:val="nil"/>
            </w:tcBorders>
            <w:shd w:val="clear" w:color="auto" w:fill="auto"/>
            <w:vAlign w:val="center"/>
            <w:hideMark/>
          </w:tcPr>
          <w:p w14:paraId="085E1886"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(0.5964)</w:t>
            </w:r>
          </w:p>
        </w:tc>
        <w:tc>
          <w:tcPr>
            <w:tcW w:w="1196" w:type="dxa"/>
            <w:tcBorders>
              <w:top w:val="nil"/>
              <w:left w:val="nil"/>
              <w:bottom w:val="single" w:sz="12" w:space="0" w:color="auto"/>
              <w:right w:val="nil"/>
            </w:tcBorders>
            <w:shd w:val="clear" w:color="auto" w:fill="auto"/>
            <w:vAlign w:val="center"/>
            <w:hideMark/>
          </w:tcPr>
          <w:p w14:paraId="085E1887"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(0.4953)</w:t>
            </w:r>
          </w:p>
        </w:tc>
        <w:tc>
          <w:tcPr>
            <w:tcW w:w="1196" w:type="dxa"/>
            <w:tcBorders>
              <w:top w:val="nil"/>
              <w:left w:val="nil"/>
              <w:bottom w:val="single" w:sz="12" w:space="0" w:color="auto"/>
              <w:right w:val="single" w:sz="12" w:space="0" w:color="auto"/>
            </w:tcBorders>
            <w:shd w:val="clear" w:color="auto" w:fill="auto"/>
            <w:vAlign w:val="center"/>
            <w:hideMark/>
          </w:tcPr>
          <w:p w14:paraId="085E1888"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(0.6810)</w:t>
            </w:r>
          </w:p>
        </w:tc>
      </w:tr>
      <w:tr w:rsidR="00C504EF" w:rsidRPr="00C504EF" w14:paraId="085E188F" w14:textId="77777777" w:rsidTr="006A1256">
        <w:trPr>
          <w:trHeight w:val="318"/>
        </w:trPr>
        <w:tc>
          <w:tcPr>
            <w:tcW w:w="1424" w:type="dxa"/>
            <w:tcBorders>
              <w:top w:val="nil"/>
              <w:left w:val="single" w:sz="12" w:space="0" w:color="auto"/>
              <w:bottom w:val="nil"/>
              <w:right w:val="single" w:sz="12" w:space="0" w:color="auto"/>
            </w:tcBorders>
            <w:shd w:val="clear" w:color="auto" w:fill="auto"/>
            <w:vAlign w:val="center"/>
            <w:hideMark/>
          </w:tcPr>
          <w:p w14:paraId="085E188A"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2014 NY</w:t>
            </w:r>
          </w:p>
        </w:tc>
        <w:tc>
          <w:tcPr>
            <w:tcW w:w="1304" w:type="dxa"/>
            <w:tcBorders>
              <w:top w:val="nil"/>
              <w:left w:val="nil"/>
              <w:bottom w:val="nil"/>
              <w:right w:val="nil"/>
            </w:tcBorders>
            <w:shd w:val="clear" w:color="auto" w:fill="auto"/>
            <w:vAlign w:val="center"/>
            <w:hideMark/>
          </w:tcPr>
          <w:p w14:paraId="085E188B"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0.0019</w:t>
            </w:r>
          </w:p>
        </w:tc>
        <w:tc>
          <w:tcPr>
            <w:tcW w:w="1196" w:type="dxa"/>
            <w:tcBorders>
              <w:top w:val="nil"/>
              <w:left w:val="nil"/>
              <w:bottom w:val="nil"/>
              <w:right w:val="nil"/>
            </w:tcBorders>
            <w:shd w:val="clear" w:color="auto" w:fill="auto"/>
            <w:vAlign w:val="center"/>
            <w:hideMark/>
          </w:tcPr>
          <w:p w14:paraId="085E188C"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0.1986</w:t>
            </w:r>
          </w:p>
        </w:tc>
        <w:tc>
          <w:tcPr>
            <w:tcW w:w="1196" w:type="dxa"/>
            <w:tcBorders>
              <w:top w:val="nil"/>
              <w:left w:val="nil"/>
              <w:bottom w:val="nil"/>
              <w:right w:val="nil"/>
            </w:tcBorders>
            <w:shd w:val="clear" w:color="auto" w:fill="auto"/>
            <w:vAlign w:val="center"/>
            <w:hideMark/>
          </w:tcPr>
          <w:p w14:paraId="085E188D"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0.6927</w:t>
            </w:r>
          </w:p>
        </w:tc>
        <w:tc>
          <w:tcPr>
            <w:tcW w:w="1196" w:type="dxa"/>
            <w:tcBorders>
              <w:top w:val="nil"/>
              <w:left w:val="nil"/>
              <w:bottom w:val="nil"/>
              <w:right w:val="single" w:sz="12" w:space="0" w:color="auto"/>
            </w:tcBorders>
            <w:shd w:val="clear" w:color="auto" w:fill="auto"/>
            <w:vAlign w:val="center"/>
            <w:hideMark/>
          </w:tcPr>
          <w:p w14:paraId="085E188E"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0.4395</w:t>
            </w:r>
          </w:p>
        </w:tc>
      </w:tr>
      <w:tr w:rsidR="00C504EF" w:rsidRPr="00C504EF" w14:paraId="085E1895"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90" w14:textId="54E6486F"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91"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(0.0018)</w:t>
            </w:r>
          </w:p>
        </w:tc>
        <w:tc>
          <w:tcPr>
            <w:tcW w:w="1196" w:type="dxa"/>
            <w:tcBorders>
              <w:top w:val="nil"/>
              <w:left w:val="nil"/>
              <w:bottom w:val="single" w:sz="12" w:space="0" w:color="auto"/>
              <w:right w:val="nil"/>
            </w:tcBorders>
            <w:shd w:val="clear" w:color="auto" w:fill="auto"/>
            <w:vAlign w:val="center"/>
            <w:hideMark/>
          </w:tcPr>
          <w:p w14:paraId="085E1892"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(0.9400)</w:t>
            </w:r>
          </w:p>
        </w:tc>
        <w:tc>
          <w:tcPr>
            <w:tcW w:w="1196" w:type="dxa"/>
            <w:tcBorders>
              <w:top w:val="nil"/>
              <w:left w:val="nil"/>
              <w:bottom w:val="single" w:sz="12" w:space="0" w:color="auto"/>
              <w:right w:val="nil"/>
            </w:tcBorders>
            <w:shd w:val="clear" w:color="auto" w:fill="auto"/>
            <w:vAlign w:val="center"/>
            <w:hideMark/>
          </w:tcPr>
          <w:p w14:paraId="085E1893"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(0.9494)</w:t>
            </w:r>
          </w:p>
        </w:tc>
        <w:tc>
          <w:tcPr>
            <w:tcW w:w="1196" w:type="dxa"/>
            <w:tcBorders>
              <w:top w:val="nil"/>
              <w:left w:val="nil"/>
              <w:bottom w:val="single" w:sz="12" w:space="0" w:color="auto"/>
              <w:right w:val="single" w:sz="12" w:space="0" w:color="auto"/>
            </w:tcBorders>
            <w:shd w:val="clear" w:color="auto" w:fill="auto"/>
            <w:vAlign w:val="center"/>
            <w:hideMark/>
          </w:tcPr>
          <w:p w14:paraId="085E1894"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(0.9907)</w:t>
            </w:r>
          </w:p>
        </w:tc>
      </w:tr>
      <w:tr w:rsidR="00C504EF" w:rsidRPr="00C504EF" w14:paraId="085E189B" w14:textId="77777777" w:rsidTr="006A1256">
        <w:trPr>
          <w:trHeight w:val="318"/>
        </w:trPr>
        <w:tc>
          <w:tcPr>
            <w:tcW w:w="1424" w:type="dxa"/>
            <w:tcBorders>
              <w:top w:val="nil"/>
              <w:left w:val="single" w:sz="12" w:space="0" w:color="auto"/>
              <w:bottom w:val="nil"/>
              <w:right w:val="single" w:sz="12" w:space="0" w:color="auto"/>
            </w:tcBorders>
            <w:shd w:val="clear" w:color="auto" w:fill="auto"/>
            <w:vAlign w:val="center"/>
            <w:hideMark/>
          </w:tcPr>
          <w:p w14:paraId="085E1896"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2014 WA</w:t>
            </w:r>
            <w:r w:rsidRPr="00C504EF">
              <w:rPr>
                <w:rFonts w:ascii="Garamond" w:eastAsia="Times New Roman" w:hAnsi="Garamond" w:cs="Calibri"/>
                <w:i/>
                <w:iCs/>
                <w:sz w:val="24"/>
                <w:szCs w:val="24"/>
                <w:vertAlign w:val="superscript"/>
              </w:rPr>
              <w:footnoteReference w:id="26"/>
            </w:r>
          </w:p>
        </w:tc>
        <w:tc>
          <w:tcPr>
            <w:tcW w:w="1304" w:type="dxa"/>
            <w:tcBorders>
              <w:top w:val="nil"/>
              <w:left w:val="nil"/>
              <w:bottom w:val="nil"/>
              <w:right w:val="nil"/>
            </w:tcBorders>
            <w:shd w:val="clear" w:color="auto" w:fill="auto"/>
            <w:vAlign w:val="center"/>
            <w:hideMark/>
          </w:tcPr>
          <w:p w14:paraId="085E1897"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0.0002</w:t>
            </w:r>
          </w:p>
        </w:tc>
        <w:tc>
          <w:tcPr>
            <w:tcW w:w="1196" w:type="dxa"/>
            <w:tcBorders>
              <w:top w:val="nil"/>
              <w:left w:val="nil"/>
              <w:bottom w:val="nil"/>
              <w:right w:val="nil"/>
            </w:tcBorders>
            <w:shd w:val="clear" w:color="auto" w:fill="auto"/>
            <w:vAlign w:val="center"/>
            <w:hideMark/>
          </w:tcPr>
          <w:p w14:paraId="085E1898"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-11.0919</w:t>
            </w:r>
          </w:p>
        </w:tc>
        <w:tc>
          <w:tcPr>
            <w:tcW w:w="1196" w:type="dxa"/>
            <w:tcBorders>
              <w:top w:val="nil"/>
              <w:left w:val="nil"/>
              <w:bottom w:val="nil"/>
              <w:right w:val="nil"/>
            </w:tcBorders>
            <w:shd w:val="clear" w:color="auto" w:fill="auto"/>
            <w:vAlign w:val="center"/>
            <w:hideMark/>
          </w:tcPr>
          <w:p w14:paraId="085E1899"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15.2327</w:t>
            </w:r>
          </w:p>
        </w:tc>
        <w:tc>
          <w:tcPr>
            <w:tcW w:w="1196" w:type="dxa"/>
            <w:tcBorders>
              <w:top w:val="nil"/>
              <w:left w:val="nil"/>
              <w:bottom w:val="nil"/>
              <w:right w:val="single" w:sz="12" w:space="0" w:color="auto"/>
            </w:tcBorders>
            <w:shd w:val="clear" w:color="auto" w:fill="auto"/>
            <w:vAlign w:val="center"/>
            <w:hideMark/>
          </w:tcPr>
          <w:p w14:paraId="085E189A"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18.5140</w:t>
            </w:r>
          </w:p>
        </w:tc>
      </w:tr>
      <w:tr w:rsidR="00C504EF" w:rsidRPr="00C504EF" w14:paraId="085E18A1"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9C" w14:textId="48EA0104"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9D"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(0.0030)</w:t>
            </w:r>
          </w:p>
        </w:tc>
        <w:tc>
          <w:tcPr>
            <w:tcW w:w="1196" w:type="dxa"/>
            <w:tcBorders>
              <w:top w:val="nil"/>
              <w:left w:val="nil"/>
              <w:bottom w:val="single" w:sz="12" w:space="0" w:color="auto"/>
              <w:right w:val="nil"/>
            </w:tcBorders>
            <w:shd w:val="clear" w:color="auto" w:fill="auto"/>
            <w:vAlign w:val="center"/>
            <w:hideMark/>
          </w:tcPr>
          <w:p w14:paraId="085E189E"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(199.5858)</w:t>
            </w:r>
          </w:p>
        </w:tc>
        <w:tc>
          <w:tcPr>
            <w:tcW w:w="1196" w:type="dxa"/>
            <w:tcBorders>
              <w:top w:val="nil"/>
              <w:left w:val="nil"/>
              <w:bottom w:val="single" w:sz="12" w:space="0" w:color="auto"/>
              <w:right w:val="nil"/>
            </w:tcBorders>
            <w:shd w:val="clear" w:color="auto" w:fill="auto"/>
            <w:vAlign w:val="center"/>
            <w:hideMark/>
          </w:tcPr>
          <w:p w14:paraId="085E189F"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(259.6603)</w:t>
            </w:r>
          </w:p>
        </w:tc>
        <w:tc>
          <w:tcPr>
            <w:tcW w:w="1196" w:type="dxa"/>
            <w:tcBorders>
              <w:top w:val="nil"/>
              <w:left w:val="nil"/>
              <w:bottom w:val="single" w:sz="12" w:space="0" w:color="auto"/>
              <w:right w:val="single" w:sz="12" w:space="0" w:color="auto"/>
            </w:tcBorders>
            <w:shd w:val="clear" w:color="auto" w:fill="auto"/>
            <w:vAlign w:val="center"/>
            <w:hideMark/>
          </w:tcPr>
          <w:p w14:paraId="085E18A0"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(315.9351)</w:t>
            </w:r>
          </w:p>
        </w:tc>
      </w:tr>
      <w:tr w:rsidR="00C504EF" w:rsidRPr="00C504EF" w14:paraId="085E18A7" w14:textId="77777777" w:rsidTr="006A1256">
        <w:trPr>
          <w:trHeight w:val="942"/>
        </w:trPr>
        <w:tc>
          <w:tcPr>
            <w:tcW w:w="1424" w:type="dxa"/>
            <w:tcBorders>
              <w:top w:val="nil"/>
              <w:left w:val="single" w:sz="12" w:space="0" w:color="auto"/>
              <w:bottom w:val="nil"/>
              <w:right w:val="single" w:sz="12" w:space="0" w:color="auto"/>
            </w:tcBorders>
            <w:shd w:val="clear" w:color="auto" w:fill="auto"/>
            <w:vAlign w:val="center"/>
            <w:hideMark/>
          </w:tcPr>
          <w:p w14:paraId="085E18A2"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2015 PA SUPREME COURT</w:t>
            </w:r>
          </w:p>
        </w:tc>
        <w:tc>
          <w:tcPr>
            <w:tcW w:w="1304" w:type="dxa"/>
            <w:tcBorders>
              <w:top w:val="nil"/>
              <w:left w:val="nil"/>
              <w:bottom w:val="nil"/>
              <w:right w:val="nil"/>
            </w:tcBorders>
            <w:shd w:val="clear" w:color="auto" w:fill="auto"/>
            <w:vAlign w:val="center"/>
            <w:hideMark/>
          </w:tcPr>
          <w:p w14:paraId="085E18A3"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0.0116</w:t>
            </w:r>
          </w:p>
        </w:tc>
        <w:tc>
          <w:tcPr>
            <w:tcW w:w="1196" w:type="dxa"/>
            <w:tcBorders>
              <w:top w:val="nil"/>
              <w:left w:val="nil"/>
              <w:bottom w:val="nil"/>
              <w:right w:val="nil"/>
            </w:tcBorders>
            <w:shd w:val="clear" w:color="auto" w:fill="auto"/>
            <w:vAlign w:val="center"/>
            <w:hideMark/>
          </w:tcPr>
          <w:p w14:paraId="085E18A4"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-0.3215</w:t>
            </w:r>
          </w:p>
        </w:tc>
        <w:tc>
          <w:tcPr>
            <w:tcW w:w="1196" w:type="dxa"/>
            <w:tcBorders>
              <w:top w:val="nil"/>
              <w:left w:val="nil"/>
              <w:bottom w:val="nil"/>
              <w:right w:val="nil"/>
            </w:tcBorders>
            <w:shd w:val="clear" w:color="auto" w:fill="auto"/>
            <w:vAlign w:val="center"/>
            <w:hideMark/>
          </w:tcPr>
          <w:p w14:paraId="085E18A5"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0.1649</w:t>
            </w:r>
          </w:p>
        </w:tc>
        <w:tc>
          <w:tcPr>
            <w:tcW w:w="1196" w:type="dxa"/>
            <w:tcBorders>
              <w:top w:val="nil"/>
              <w:left w:val="nil"/>
              <w:bottom w:val="nil"/>
              <w:right w:val="single" w:sz="12" w:space="0" w:color="auto"/>
            </w:tcBorders>
            <w:shd w:val="clear" w:color="auto" w:fill="auto"/>
            <w:vAlign w:val="center"/>
            <w:hideMark/>
          </w:tcPr>
          <w:p w14:paraId="085E18A6"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-0.2050</w:t>
            </w:r>
          </w:p>
        </w:tc>
      </w:tr>
      <w:tr w:rsidR="00C504EF" w:rsidRPr="00C504EF" w14:paraId="085E18AD"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A8" w14:textId="091708D6"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A9"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(0.0045)</w:t>
            </w:r>
          </w:p>
        </w:tc>
        <w:tc>
          <w:tcPr>
            <w:tcW w:w="1196" w:type="dxa"/>
            <w:tcBorders>
              <w:top w:val="nil"/>
              <w:left w:val="nil"/>
              <w:bottom w:val="single" w:sz="12" w:space="0" w:color="auto"/>
              <w:right w:val="nil"/>
            </w:tcBorders>
            <w:shd w:val="clear" w:color="auto" w:fill="auto"/>
            <w:vAlign w:val="center"/>
            <w:hideMark/>
          </w:tcPr>
          <w:p w14:paraId="085E18AA"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(0.3925)</w:t>
            </w:r>
          </w:p>
        </w:tc>
        <w:tc>
          <w:tcPr>
            <w:tcW w:w="1196" w:type="dxa"/>
            <w:tcBorders>
              <w:top w:val="nil"/>
              <w:left w:val="nil"/>
              <w:bottom w:val="single" w:sz="12" w:space="0" w:color="auto"/>
              <w:right w:val="nil"/>
            </w:tcBorders>
            <w:shd w:val="clear" w:color="auto" w:fill="auto"/>
            <w:vAlign w:val="center"/>
            <w:hideMark/>
          </w:tcPr>
          <w:p w14:paraId="085E18AB"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(0.1970)</w:t>
            </w:r>
          </w:p>
        </w:tc>
        <w:tc>
          <w:tcPr>
            <w:tcW w:w="1196" w:type="dxa"/>
            <w:tcBorders>
              <w:top w:val="nil"/>
              <w:left w:val="nil"/>
              <w:bottom w:val="single" w:sz="12" w:space="0" w:color="auto"/>
              <w:right w:val="single" w:sz="12" w:space="0" w:color="auto"/>
            </w:tcBorders>
            <w:shd w:val="clear" w:color="auto" w:fill="auto"/>
            <w:vAlign w:val="center"/>
            <w:hideMark/>
          </w:tcPr>
          <w:p w14:paraId="085E18AC"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(0.3364)</w:t>
            </w:r>
          </w:p>
        </w:tc>
      </w:tr>
      <w:tr w:rsidR="00C504EF" w:rsidRPr="00C504EF" w14:paraId="085E18B3" w14:textId="77777777" w:rsidTr="006A1256">
        <w:trPr>
          <w:trHeight w:val="1254"/>
        </w:trPr>
        <w:tc>
          <w:tcPr>
            <w:tcW w:w="1424" w:type="dxa"/>
            <w:tcBorders>
              <w:top w:val="nil"/>
              <w:left w:val="single" w:sz="12" w:space="0" w:color="auto"/>
              <w:bottom w:val="nil"/>
              <w:right w:val="single" w:sz="12" w:space="0" w:color="auto"/>
            </w:tcBorders>
            <w:shd w:val="clear" w:color="auto" w:fill="auto"/>
            <w:vAlign w:val="center"/>
            <w:hideMark/>
          </w:tcPr>
          <w:p w14:paraId="085E18AE"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2015 PHILLY MAYORAL</w:t>
            </w:r>
          </w:p>
        </w:tc>
        <w:tc>
          <w:tcPr>
            <w:tcW w:w="1304" w:type="dxa"/>
            <w:tcBorders>
              <w:top w:val="nil"/>
              <w:left w:val="nil"/>
              <w:bottom w:val="nil"/>
              <w:right w:val="nil"/>
            </w:tcBorders>
            <w:shd w:val="clear" w:color="auto" w:fill="auto"/>
            <w:vAlign w:val="center"/>
            <w:hideMark/>
          </w:tcPr>
          <w:p w14:paraId="085E18AF"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0.0078</w:t>
            </w:r>
          </w:p>
        </w:tc>
        <w:tc>
          <w:tcPr>
            <w:tcW w:w="1196" w:type="dxa"/>
            <w:tcBorders>
              <w:top w:val="nil"/>
              <w:left w:val="nil"/>
              <w:bottom w:val="nil"/>
              <w:right w:val="nil"/>
            </w:tcBorders>
            <w:shd w:val="clear" w:color="auto" w:fill="auto"/>
            <w:vAlign w:val="center"/>
            <w:hideMark/>
          </w:tcPr>
          <w:p w14:paraId="085E18B0"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0.2097</w:t>
            </w:r>
          </w:p>
        </w:tc>
        <w:tc>
          <w:tcPr>
            <w:tcW w:w="1196" w:type="dxa"/>
            <w:tcBorders>
              <w:top w:val="nil"/>
              <w:left w:val="nil"/>
              <w:bottom w:val="nil"/>
              <w:right w:val="nil"/>
            </w:tcBorders>
            <w:shd w:val="clear" w:color="auto" w:fill="auto"/>
            <w:vAlign w:val="center"/>
            <w:hideMark/>
          </w:tcPr>
          <w:p w14:paraId="085E18B1"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0.2504</w:t>
            </w:r>
          </w:p>
        </w:tc>
        <w:tc>
          <w:tcPr>
            <w:tcW w:w="1196" w:type="dxa"/>
            <w:tcBorders>
              <w:top w:val="nil"/>
              <w:left w:val="nil"/>
              <w:bottom w:val="nil"/>
              <w:right w:val="single" w:sz="12" w:space="0" w:color="auto"/>
            </w:tcBorders>
            <w:shd w:val="clear" w:color="auto" w:fill="auto"/>
            <w:vAlign w:val="center"/>
            <w:hideMark/>
          </w:tcPr>
          <w:p w14:paraId="085E18B2"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0.0239</w:t>
            </w:r>
          </w:p>
        </w:tc>
      </w:tr>
      <w:tr w:rsidR="00C504EF" w:rsidRPr="00C504EF" w14:paraId="085E18B9"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B4" w14:textId="4798AD6F"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B5"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(0.0023)</w:t>
            </w:r>
          </w:p>
        </w:tc>
        <w:tc>
          <w:tcPr>
            <w:tcW w:w="1196" w:type="dxa"/>
            <w:tcBorders>
              <w:top w:val="nil"/>
              <w:left w:val="nil"/>
              <w:bottom w:val="single" w:sz="12" w:space="0" w:color="auto"/>
              <w:right w:val="nil"/>
            </w:tcBorders>
            <w:shd w:val="clear" w:color="auto" w:fill="auto"/>
            <w:vAlign w:val="center"/>
            <w:hideMark/>
          </w:tcPr>
          <w:p w14:paraId="085E18B6"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(0.2676)</w:t>
            </w:r>
          </w:p>
        </w:tc>
        <w:tc>
          <w:tcPr>
            <w:tcW w:w="1196" w:type="dxa"/>
            <w:tcBorders>
              <w:top w:val="nil"/>
              <w:left w:val="nil"/>
              <w:bottom w:val="single" w:sz="12" w:space="0" w:color="auto"/>
              <w:right w:val="nil"/>
            </w:tcBorders>
            <w:shd w:val="clear" w:color="auto" w:fill="auto"/>
            <w:vAlign w:val="center"/>
            <w:hideMark/>
          </w:tcPr>
          <w:p w14:paraId="085E18B7"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(0.2159)</w:t>
            </w:r>
          </w:p>
        </w:tc>
        <w:tc>
          <w:tcPr>
            <w:tcW w:w="1196" w:type="dxa"/>
            <w:tcBorders>
              <w:top w:val="nil"/>
              <w:left w:val="nil"/>
              <w:bottom w:val="single" w:sz="12" w:space="0" w:color="auto"/>
              <w:right w:val="single" w:sz="12" w:space="0" w:color="auto"/>
            </w:tcBorders>
            <w:shd w:val="clear" w:color="auto" w:fill="auto"/>
            <w:vAlign w:val="center"/>
            <w:hideMark/>
          </w:tcPr>
          <w:p w14:paraId="085E18B8"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(0.2739)</w:t>
            </w:r>
          </w:p>
        </w:tc>
      </w:tr>
      <w:tr w:rsidR="00C504EF" w:rsidRPr="00C504EF" w14:paraId="085E18BF" w14:textId="77777777" w:rsidTr="006A1256">
        <w:trPr>
          <w:trHeight w:val="318"/>
        </w:trPr>
        <w:tc>
          <w:tcPr>
            <w:tcW w:w="1424" w:type="dxa"/>
            <w:tcBorders>
              <w:top w:val="nil"/>
              <w:left w:val="single" w:sz="12" w:space="0" w:color="auto"/>
              <w:bottom w:val="nil"/>
              <w:right w:val="single" w:sz="12" w:space="0" w:color="auto"/>
            </w:tcBorders>
            <w:shd w:val="clear" w:color="auto" w:fill="auto"/>
            <w:vAlign w:val="center"/>
            <w:hideMark/>
          </w:tcPr>
          <w:p w14:paraId="085E18BA"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2016 NC</w:t>
            </w:r>
          </w:p>
        </w:tc>
        <w:tc>
          <w:tcPr>
            <w:tcW w:w="1304" w:type="dxa"/>
            <w:tcBorders>
              <w:top w:val="nil"/>
              <w:left w:val="nil"/>
              <w:bottom w:val="nil"/>
              <w:right w:val="nil"/>
            </w:tcBorders>
            <w:shd w:val="clear" w:color="auto" w:fill="auto"/>
            <w:vAlign w:val="center"/>
            <w:hideMark/>
          </w:tcPr>
          <w:p w14:paraId="085E18BB"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0.0024</w:t>
            </w:r>
          </w:p>
        </w:tc>
        <w:tc>
          <w:tcPr>
            <w:tcW w:w="1196" w:type="dxa"/>
            <w:tcBorders>
              <w:top w:val="nil"/>
              <w:left w:val="nil"/>
              <w:bottom w:val="nil"/>
              <w:right w:val="nil"/>
            </w:tcBorders>
            <w:shd w:val="clear" w:color="auto" w:fill="auto"/>
            <w:vAlign w:val="center"/>
            <w:hideMark/>
          </w:tcPr>
          <w:p w14:paraId="085E18BC"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nil"/>
              <w:right w:val="nil"/>
            </w:tcBorders>
            <w:shd w:val="clear" w:color="auto" w:fill="auto"/>
            <w:vAlign w:val="center"/>
            <w:hideMark/>
          </w:tcPr>
          <w:p w14:paraId="085E18BD"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nil"/>
              <w:right w:val="single" w:sz="12" w:space="0" w:color="auto"/>
            </w:tcBorders>
            <w:shd w:val="clear" w:color="auto" w:fill="auto"/>
            <w:vAlign w:val="center"/>
            <w:hideMark/>
          </w:tcPr>
          <w:p w14:paraId="085E18BE"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-0.2869</w:t>
            </w:r>
          </w:p>
        </w:tc>
      </w:tr>
      <w:tr w:rsidR="00C504EF" w:rsidRPr="00C504EF" w14:paraId="085E18C5"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C0" w14:textId="3715518D"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C1"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(0.0036)</w:t>
            </w:r>
          </w:p>
        </w:tc>
        <w:tc>
          <w:tcPr>
            <w:tcW w:w="1196" w:type="dxa"/>
            <w:tcBorders>
              <w:top w:val="nil"/>
              <w:left w:val="nil"/>
              <w:bottom w:val="single" w:sz="12" w:space="0" w:color="auto"/>
              <w:right w:val="nil"/>
            </w:tcBorders>
            <w:shd w:val="clear" w:color="auto" w:fill="auto"/>
            <w:vAlign w:val="center"/>
            <w:hideMark/>
          </w:tcPr>
          <w:p w14:paraId="085E18C2"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single" w:sz="12" w:space="0" w:color="auto"/>
              <w:right w:val="nil"/>
            </w:tcBorders>
            <w:shd w:val="clear" w:color="auto" w:fill="auto"/>
            <w:vAlign w:val="center"/>
            <w:hideMark/>
          </w:tcPr>
          <w:p w14:paraId="085E18C3"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single" w:sz="12" w:space="0" w:color="auto"/>
              <w:right w:val="single" w:sz="12" w:space="0" w:color="auto"/>
            </w:tcBorders>
            <w:shd w:val="clear" w:color="auto" w:fill="auto"/>
            <w:vAlign w:val="center"/>
            <w:hideMark/>
          </w:tcPr>
          <w:p w14:paraId="085E18C4"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(1.8542)</w:t>
            </w:r>
          </w:p>
        </w:tc>
      </w:tr>
      <w:tr w:rsidR="00C504EF" w:rsidRPr="00C504EF" w14:paraId="085E18CB" w14:textId="77777777" w:rsidTr="006A1256">
        <w:trPr>
          <w:trHeight w:val="318"/>
        </w:trPr>
        <w:tc>
          <w:tcPr>
            <w:tcW w:w="1424" w:type="dxa"/>
            <w:tcBorders>
              <w:top w:val="nil"/>
              <w:left w:val="single" w:sz="12" w:space="0" w:color="auto"/>
              <w:bottom w:val="nil"/>
              <w:right w:val="single" w:sz="12" w:space="0" w:color="auto"/>
            </w:tcBorders>
            <w:shd w:val="clear" w:color="auto" w:fill="auto"/>
            <w:vAlign w:val="center"/>
            <w:hideMark/>
          </w:tcPr>
          <w:p w14:paraId="085E18C6" w14:textId="77777777" w:rsidR="00C504EF" w:rsidRPr="00C504EF" w:rsidRDefault="00C504EF" w:rsidP="00C504EF">
            <w:pPr>
              <w:spacing w:after="0" w:line="240" w:lineRule="auto"/>
              <w:jc w:val="center"/>
              <w:rPr>
                <w:rFonts w:ascii="Garamond" w:eastAsia="Times New Roman" w:hAnsi="Garamond" w:cs="Calibri"/>
                <w:i/>
                <w:iCs/>
                <w:sz w:val="24"/>
                <w:szCs w:val="24"/>
              </w:rPr>
            </w:pPr>
            <w:r w:rsidRPr="00C504EF">
              <w:rPr>
                <w:rFonts w:ascii="Garamond" w:eastAsia="Times New Roman" w:hAnsi="Garamond" w:cs="Calibri"/>
                <w:i/>
                <w:iCs/>
                <w:sz w:val="24"/>
                <w:szCs w:val="24"/>
              </w:rPr>
              <w:t>2017 VA</w:t>
            </w:r>
          </w:p>
        </w:tc>
        <w:tc>
          <w:tcPr>
            <w:tcW w:w="1304" w:type="dxa"/>
            <w:tcBorders>
              <w:top w:val="nil"/>
              <w:left w:val="nil"/>
              <w:bottom w:val="nil"/>
              <w:right w:val="nil"/>
            </w:tcBorders>
            <w:shd w:val="clear" w:color="auto" w:fill="auto"/>
            <w:vAlign w:val="center"/>
            <w:hideMark/>
          </w:tcPr>
          <w:p w14:paraId="085E18C7"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0.0074</w:t>
            </w:r>
          </w:p>
        </w:tc>
        <w:tc>
          <w:tcPr>
            <w:tcW w:w="1196" w:type="dxa"/>
            <w:tcBorders>
              <w:top w:val="nil"/>
              <w:left w:val="nil"/>
              <w:bottom w:val="nil"/>
              <w:right w:val="nil"/>
            </w:tcBorders>
            <w:shd w:val="clear" w:color="auto" w:fill="auto"/>
            <w:vAlign w:val="center"/>
            <w:hideMark/>
          </w:tcPr>
          <w:p w14:paraId="085E18C8"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nil"/>
              <w:right w:val="nil"/>
            </w:tcBorders>
            <w:shd w:val="clear" w:color="auto" w:fill="auto"/>
            <w:vAlign w:val="center"/>
            <w:hideMark/>
          </w:tcPr>
          <w:p w14:paraId="085E18C9"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nil"/>
              <w:right w:val="single" w:sz="12" w:space="0" w:color="auto"/>
            </w:tcBorders>
            <w:shd w:val="clear" w:color="auto" w:fill="auto"/>
            <w:vAlign w:val="center"/>
            <w:hideMark/>
          </w:tcPr>
          <w:p w14:paraId="085E18CA"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0.6973</w:t>
            </w:r>
          </w:p>
        </w:tc>
      </w:tr>
      <w:tr w:rsidR="00C504EF" w:rsidRPr="00C504EF" w14:paraId="085E18D1" w14:textId="77777777" w:rsidTr="006A1256">
        <w:trPr>
          <w:trHeight w:val="318"/>
        </w:trPr>
        <w:tc>
          <w:tcPr>
            <w:tcW w:w="1424" w:type="dxa"/>
            <w:tcBorders>
              <w:top w:val="nil"/>
              <w:left w:val="single" w:sz="12" w:space="0" w:color="auto"/>
              <w:bottom w:val="single" w:sz="12" w:space="0" w:color="auto"/>
              <w:right w:val="single" w:sz="12" w:space="0" w:color="auto"/>
            </w:tcBorders>
            <w:shd w:val="clear" w:color="auto" w:fill="auto"/>
            <w:vAlign w:val="center"/>
            <w:hideMark/>
          </w:tcPr>
          <w:p w14:paraId="085E18CC" w14:textId="2B9B47CB" w:rsidR="00C504EF" w:rsidRPr="00C504EF" w:rsidRDefault="00C504EF" w:rsidP="00C504EF">
            <w:pPr>
              <w:spacing w:after="0" w:line="240" w:lineRule="auto"/>
              <w:jc w:val="center"/>
              <w:rPr>
                <w:rFonts w:ascii="Garamond" w:eastAsia="Times New Roman" w:hAnsi="Garamond" w:cs="Calibri"/>
                <w:sz w:val="24"/>
              </w:rPr>
            </w:pPr>
          </w:p>
        </w:tc>
        <w:tc>
          <w:tcPr>
            <w:tcW w:w="1304" w:type="dxa"/>
            <w:tcBorders>
              <w:top w:val="nil"/>
              <w:left w:val="nil"/>
              <w:bottom w:val="single" w:sz="12" w:space="0" w:color="auto"/>
              <w:right w:val="nil"/>
            </w:tcBorders>
            <w:shd w:val="clear" w:color="auto" w:fill="auto"/>
            <w:vAlign w:val="center"/>
            <w:hideMark/>
          </w:tcPr>
          <w:p w14:paraId="085E18CD"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(0.0053)</w:t>
            </w:r>
          </w:p>
        </w:tc>
        <w:tc>
          <w:tcPr>
            <w:tcW w:w="1196" w:type="dxa"/>
            <w:tcBorders>
              <w:top w:val="nil"/>
              <w:left w:val="nil"/>
              <w:bottom w:val="single" w:sz="12" w:space="0" w:color="auto"/>
              <w:right w:val="nil"/>
            </w:tcBorders>
            <w:shd w:val="clear" w:color="auto" w:fill="auto"/>
            <w:vAlign w:val="center"/>
            <w:hideMark/>
          </w:tcPr>
          <w:p w14:paraId="085E18CE"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single" w:sz="12" w:space="0" w:color="auto"/>
              <w:right w:val="nil"/>
            </w:tcBorders>
            <w:shd w:val="clear" w:color="auto" w:fill="auto"/>
            <w:vAlign w:val="center"/>
            <w:hideMark/>
          </w:tcPr>
          <w:p w14:paraId="085E18CF"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NA</w:t>
            </w:r>
          </w:p>
        </w:tc>
        <w:tc>
          <w:tcPr>
            <w:tcW w:w="1196" w:type="dxa"/>
            <w:tcBorders>
              <w:top w:val="nil"/>
              <w:left w:val="nil"/>
              <w:bottom w:val="single" w:sz="12" w:space="0" w:color="auto"/>
              <w:right w:val="single" w:sz="12" w:space="0" w:color="auto"/>
            </w:tcBorders>
            <w:shd w:val="clear" w:color="auto" w:fill="auto"/>
            <w:vAlign w:val="center"/>
            <w:hideMark/>
          </w:tcPr>
          <w:p w14:paraId="085E18D0" w14:textId="77777777" w:rsidR="00C504EF" w:rsidRPr="00C504EF" w:rsidRDefault="00C504EF" w:rsidP="00C504EF">
            <w:pPr>
              <w:spacing w:after="0" w:line="240" w:lineRule="auto"/>
              <w:jc w:val="center"/>
              <w:rPr>
                <w:rFonts w:ascii="Garamond" w:eastAsia="Times New Roman" w:hAnsi="Garamond" w:cs="Calibri"/>
                <w:sz w:val="24"/>
                <w:szCs w:val="24"/>
              </w:rPr>
            </w:pPr>
            <w:r w:rsidRPr="00C504EF">
              <w:rPr>
                <w:rFonts w:ascii="Garamond" w:eastAsia="Times New Roman" w:hAnsi="Garamond" w:cs="Calibri"/>
                <w:sz w:val="24"/>
                <w:szCs w:val="24"/>
              </w:rPr>
              <w:t>(0.6410)</w:t>
            </w:r>
          </w:p>
        </w:tc>
      </w:tr>
    </w:tbl>
    <w:p w14:paraId="085E18D2" w14:textId="49B8291E" w:rsidR="00C504EF" w:rsidRDefault="00C504EF" w:rsidP="00C504EF"/>
    <w:p w14:paraId="390E398B" w14:textId="67FEEE8E" w:rsidR="0039636F" w:rsidRDefault="0039636F" w:rsidP="00C504EF"/>
    <w:p w14:paraId="3A12B6AC" w14:textId="577B9805" w:rsidR="0039636F" w:rsidRDefault="0039636F" w:rsidP="00C504EF"/>
    <w:p w14:paraId="3B83CF8F" w14:textId="015D1C29" w:rsidR="0039636F" w:rsidRDefault="0039636F" w:rsidP="00C504EF"/>
    <w:p w14:paraId="6C0DFD53" w14:textId="1DBFDCDE" w:rsidR="0039636F" w:rsidRDefault="0039636F" w:rsidP="00C504EF"/>
    <w:p w14:paraId="001A4363" w14:textId="1C6E7F32" w:rsidR="006A7F88" w:rsidRPr="006A7F88" w:rsidRDefault="0039636F" w:rsidP="006A7F88">
      <w:pPr>
        <w:spacing w:line="480" w:lineRule="auto"/>
        <w:rPr>
          <w:rFonts w:ascii="Garamond" w:hAnsi="Garamond"/>
          <w:b/>
          <w:i/>
          <w:noProof/>
          <w:sz w:val="24"/>
          <w:szCs w:val="24"/>
        </w:rPr>
      </w:pPr>
      <w:r w:rsidRPr="00C504EF">
        <w:rPr>
          <w:rFonts w:ascii="Garamond" w:hAnsi="Garamond"/>
          <w:b/>
          <w:noProof/>
          <w:sz w:val="24"/>
          <w:szCs w:val="24"/>
        </w:rPr>
        <w:lastRenderedPageBreak/>
        <w:t>Table</w:t>
      </w:r>
      <w:r>
        <w:rPr>
          <w:rFonts w:ascii="Garamond" w:hAnsi="Garamond"/>
          <w:b/>
          <w:noProof/>
          <w:sz w:val="24"/>
          <w:szCs w:val="24"/>
        </w:rPr>
        <w:t xml:space="preserve"> 7</w:t>
      </w:r>
      <w:r w:rsidRPr="00C504EF">
        <w:rPr>
          <w:rFonts w:ascii="Garamond" w:hAnsi="Garamond"/>
          <w:b/>
          <w:noProof/>
          <w:sz w:val="24"/>
          <w:szCs w:val="24"/>
        </w:rPr>
        <w:t>.</w:t>
      </w:r>
      <w:r>
        <w:rPr>
          <w:rFonts w:ascii="Garamond" w:hAnsi="Garamond"/>
          <w:b/>
          <w:noProof/>
          <w:sz w:val="24"/>
          <w:szCs w:val="24"/>
        </w:rPr>
        <w:t>3</w:t>
      </w:r>
      <w:r w:rsidRPr="00C504EF">
        <w:rPr>
          <w:rFonts w:ascii="Garamond" w:hAnsi="Garamond"/>
          <w:noProof/>
          <w:sz w:val="24"/>
          <w:szCs w:val="24"/>
        </w:rPr>
        <w:t xml:space="preserve">: </w:t>
      </w:r>
      <w:r w:rsidR="00DB7494">
        <w:rPr>
          <w:rFonts w:ascii="Garamond" w:hAnsi="Garamond"/>
          <w:noProof/>
          <w:sz w:val="24"/>
          <w:szCs w:val="24"/>
        </w:rPr>
        <w:t xml:space="preserve">Prediction 1: </w:t>
      </w:r>
      <w:r w:rsidR="006A7F88" w:rsidRPr="00F97338">
        <w:rPr>
          <w:rFonts w:ascii="Garamond" w:hAnsi="Garamond"/>
          <w:noProof/>
          <w:sz w:val="24"/>
          <w:szCs w:val="24"/>
        </w:rPr>
        <w:t>Covariate-adjusted turnout in control and treatment across upstream and downstream elections</w:t>
      </w:r>
    </w:p>
    <w:tbl>
      <w:tblPr>
        <w:tblW w:w="5775" w:type="dxa"/>
        <w:tblInd w:w="-15" w:type="dxa"/>
        <w:tblLook w:val="04A0" w:firstRow="1" w:lastRow="0" w:firstColumn="1" w:lastColumn="0" w:noHBand="0" w:noVBand="1"/>
      </w:tblPr>
      <w:tblGrid>
        <w:gridCol w:w="1189"/>
        <w:gridCol w:w="999"/>
        <w:gridCol w:w="1294"/>
        <w:gridCol w:w="1294"/>
        <w:gridCol w:w="999"/>
      </w:tblGrid>
      <w:tr w:rsidR="0039636F" w:rsidRPr="00F14A44" w14:paraId="3234A904" w14:textId="77777777" w:rsidTr="00F97338">
        <w:trPr>
          <w:trHeight w:val="1553"/>
        </w:trPr>
        <w:tc>
          <w:tcPr>
            <w:tcW w:w="1189" w:type="dxa"/>
            <w:tcBorders>
              <w:top w:val="single" w:sz="12" w:space="0" w:color="auto"/>
              <w:left w:val="single" w:sz="12" w:space="0" w:color="auto"/>
              <w:bottom w:val="nil"/>
              <w:right w:val="single" w:sz="12" w:space="0" w:color="auto"/>
            </w:tcBorders>
            <w:shd w:val="clear" w:color="auto" w:fill="auto"/>
            <w:vAlign w:val="center"/>
            <w:hideMark/>
          </w:tcPr>
          <w:p w14:paraId="365D930D"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 </w:t>
            </w:r>
          </w:p>
        </w:tc>
        <w:tc>
          <w:tcPr>
            <w:tcW w:w="999" w:type="dxa"/>
            <w:tcBorders>
              <w:top w:val="single" w:sz="12" w:space="0" w:color="auto"/>
              <w:left w:val="nil"/>
              <w:bottom w:val="single" w:sz="12" w:space="0" w:color="auto"/>
              <w:right w:val="nil"/>
            </w:tcBorders>
            <w:shd w:val="clear" w:color="auto" w:fill="auto"/>
            <w:vAlign w:val="center"/>
            <w:hideMark/>
          </w:tcPr>
          <w:p w14:paraId="3EDF3CDA"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2014 General Election</w:t>
            </w:r>
          </w:p>
        </w:tc>
        <w:tc>
          <w:tcPr>
            <w:tcW w:w="1294" w:type="dxa"/>
            <w:tcBorders>
              <w:top w:val="single" w:sz="12" w:space="0" w:color="auto"/>
              <w:left w:val="nil"/>
              <w:bottom w:val="single" w:sz="12" w:space="0" w:color="auto"/>
              <w:right w:val="nil"/>
            </w:tcBorders>
            <w:shd w:val="clear" w:color="auto" w:fill="auto"/>
            <w:vAlign w:val="center"/>
            <w:hideMark/>
          </w:tcPr>
          <w:p w14:paraId="152E5CF3"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2016 Presidential Primary Election</w:t>
            </w:r>
          </w:p>
        </w:tc>
        <w:tc>
          <w:tcPr>
            <w:tcW w:w="1294" w:type="dxa"/>
            <w:tcBorders>
              <w:top w:val="single" w:sz="12" w:space="0" w:color="auto"/>
              <w:left w:val="nil"/>
              <w:bottom w:val="single" w:sz="12" w:space="0" w:color="auto"/>
              <w:right w:val="nil"/>
            </w:tcBorders>
            <w:shd w:val="clear" w:color="auto" w:fill="auto"/>
            <w:vAlign w:val="center"/>
            <w:hideMark/>
          </w:tcPr>
          <w:p w14:paraId="2EB0A361"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2016 Presidential General Election</w:t>
            </w:r>
          </w:p>
        </w:tc>
        <w:tc>
          <w:tcPr>
            <w:tcW w:w="999" w:type="dxa"/>
            <w:tcBorders>
              <w:top w:val="single" w:sz="12" w:space="0" w:color="auto"/>
              <w:left w:val="nil"/>
              <w:bottom w:val="single" w:sz="12" w:space="0" w:color="auto"/>
              <w:right w:val="single" w:sz="12" w:space="0" w:color="auto"/>
            </w:tcBorders>
            <w:shd w:val="clear" w:color="auto" w:fill="auto"/>
            <w:vAlign w:val="center"/>
            <w:hideMark/>
          </w:tcPr>
          <w:p w14:paraId="4978968E"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2018 Mid-term General Election</w:t>
            </w:r>
          </w:p>
        </w:tc>
      </w:tr>
      <w:tr w:rsidR="0039636F" w:rsidRPr="00F14A44" w14:paraId="0E803DD0" w14:textId="77777777" w:rsidTr="00F97338">
        <w:trPr>
          <w:trHeight w:val="315"/>
        </w:trPr>
        <w:tc>
          <w:tcPr>
            <w:tcW w:w="1189" w:type="dxa"/>
            <w:tcBorders>
              <w:top w:val="nil"/>
              <w:left w:val="single" w:sz="12" w:space="0" w:color="auto"/>
              <w:bottom w:val="nil"/>
              <w:right w:val="single" w:sz="12" w:space="0" w:color="auto"/>
            </w:tcBorders>
            <w:shd w:val="clear" w:color="auto" w:fill="auto"/>
            <w:vAlign w:val="center"/>
            <w:hideMark/>
          </w:tcPr>
          <w:p w14:paraId="2944D9B8"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Control</w:t>
            </w:r>
          </w:p>
        </w:tc>
        <w:tc>
          <w:tcPr>
            <w:tcW w:w="999" w:type="dxa"/>
            <w:tcBorders>
              <w:top w:val="nil"/>
              <w:left w:val="nil"/>
              <w:bottom w:val="nil"/>
              <w:right w:val="nil"/>
            </w:tcBorders>
            <w:shd w:val="clear" w:color="auto" w:fill="auto"/>
            <w:vAlign w:val="center"/>
            <w:hideMark/>
          </w:tcPr>
          <w:p w14:paraId="51612476"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70.15%</w:t>
            </w:r>
          </w:p>
        </w:tc>
        <w:tc>
          <w:tcPr>
            <w:tcW w:w="1294" w:type="dxa"/>
            <w:tcBorders>
              <w:top w:val="nil"/>
              <w:left w:val="nil"/>
              <w:bottom w:val="nil"/>
              <w:right w:val="nil"/>
            </w:tcBorders>
            <w:shd w:val="clear" w:color="auto" w:fill="auto"/>
            <w:vAlign w:val="center"/>
            <w:hideMark/>
          </w:tcPr>
          <w:p w14:paraId="16C09AB0"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54.43%</w:t>
            </w:r>
          </w:p>
        </w:tc>
        <w:tc>
          <w:tcPr>
            <w:tcW w:w="1294" w:type="dxa"/>
            <w:tcBorders>
              <w:top w:val="nil"/>
              <w:left w:val="nil"/>
              <w:bottom w:val="nil"/>
              <w:right w:val="nil"/>
            </w:tcBorders>
            <w:shd w:val="clear" w:color="auto" w:fill="auto"/>
            <w:vAlign w:val="center"/>
            <w:hideMark/>
          </w:tcPr>
          <w:p w14:paraId="75FB00EA"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86.14%</w:t>
            </w:r>
          </w:p>
        </w:tc>
        <w:tc>
          <w:tcPr>
            <w:tcW w:w="999" w:type="dxa"/>
            <w:tcBorders>
              <w:top w:val="nil"/>
              <w:left w:val="nil"/>
              <w:bottom w:val="nil"/>
              <w:right w:val="single" w:sz="12" w:space="0" w:color="auto"/>
            </w:tcBorders>
            <w:shd w:val="clear" w:color="auto" w:fill="auto"/>
            <w:vAlign w:val="center"/>
            <w:hideMark/>
          </w:tcPr>
          <w:p w14:paraId="395F0CF1"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74.22%</w:t>
            </w:r>
          </w:p>
        </w:tc>
      </w:tr>
      <w:tr w:rsidR="0039636F" w:rsidRPr="00F14A44" w14:paraId="65B84087" w14:textId="77777777" w:rsidTr="00F97338">
        <w:trPr>
          <w:trHeight w:val="623"/>
        </w:trPr>
        <w:tc>
          <w:tcPr>
            <w:tcW w:w="1189" w:type="dxa"/>
            <w:tcBorders>
              <w:top w:val="nil"/>
              <w:left w:val="single" w:sz="12" w:space="0" w:color="auto"/>
              <w:bottom w:val="single" w:sz="12" w:space="0" w:color="auto"/>
              <w:right w:val="single" w:sz="12" w:space="0" w:color="auto"/>
            </w:tcBorders>
            <w:shd w:val="clear" w:color="auto" w:fill="auto"/>
            <w:vAlign w:val="center"/>
            <w:hideMark/>
          </w:tcPr>
          <w:p w14:paraId="68D01A3E"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Treatment</w:t>
            </w:r>
          </w:p>
        </w:tc>
        <w:tc>
          <w:tcPr>
            <w:tcW w:w="999" w:type="dxa"/>
            <w:tcBorders>
              <w:top w:val="nil"/>
              <w:left w:val="nil"/>
              <w:bottom w:val="single" w:sz="12" w:space="0" w:color="auto"/>
              <w:right w:val="nil"/>
            </w:tcBorders>
            <w:shd w:val="clear" w:color="auto" w:fill="auto"/>
            <w:vAlign w:val="center"/>
            <w:hideMark/>
          </w:tcPr>
          <w:p w14:paraId="128BB9E2"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70.40%</w:t>
            </w:r>
          </w:p>
        </w:tc>
        <w:tc>
          <w:tcPr>
            <w:tcW w:w="1294" w:type="dxa"/>
            <w:tcBorders>
              <w:top w:val="nil"/>
              <w:left w:val="nil"/>
              <w:bottom w:val="single" w:sz="12" w:space="0" w:color="auto"/>
              <w:right w:val="nil"/>
            </w:tcBorders>
            <w:shd w:val="clear" w:color="auto" w:fill="auto"/>
            <w:vAlign w:val="center"/>
            <w:hideMark/>
          </w:tcPr>
          <w:p w14:paraId="1566C229"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54.53%</w:t>
            </w:r>
          </w:p>
        </w:tc>
        <w:tc>
          <w:tcPr>
            <w:tcW w:w="1294" w:type="dxa"/>
            <w:tcBorders>
              <w:top w:val="nil"/>
              <w:left w:val="nil"/>
              <w:bottom w:val="single" w:sz="12" w:space="0" w:color="auto"/>
              <w:right w:val="nil"/>
            </w:tcBorders>
            <w:shd w:val="clear" w:color="auto" w:fill="auto"/>
            <w:vAlign w:val="center"/>
            <w:hideMark/>
          </w:tcPr>
          <w:p w14:paraId="22335512"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86.20%</w:t>
            </w:r>
          </w:p>
        </w:tc>
        <w:tc>
          <w:tcPr>
            <w:tcW w:w="999" w:type="dxa"/>
            <w:tcBorders>
              <w:top w:val="nil"/>
              <w:left w:val="nil"/>
              <w:bottom w:val="single" w:sz="12" w:space="0" w:color="auto"/>
              <w:right w:val="single" w:sz="12" w:space="0" w:color="auto"/>
            </w:tcBorders>
            <w:shd w:val="clear" w:color="auto" w:fill="auto"/>
            <w:vAlign w:val="center"/>
            <w:hideMark/>
          </w:tcPr>
          <w:p w14:paraId="26535388" w14:textId="77777777" w:rsidR="0039636F" w:rsidRPr="00F14A44" w:rsidRDefault="0039636F" w:rsidP="00DE3D72">
            <w:pPr>
              <w:spacing w:after="0" w:line="240" w:lineRule="auto"/>
              <w:jc w:val="center"/>
              <w:rPr>
                <w:rFonts w:ascii="Garamond" w:eastAsia="Times New Roman" w:hAnsi="Garamond" w:cs="Calibri"/>
                <w:sz w:val="24"/>
                <w:szCs w:val="24"/>
              </w:rPr>
            </w:pPr>
            <w:r w:rsidRPr="00F14A44">
              <w:rPr>
                <w:rFonts w:ascii="Garamond" w:eastAsia="Times New Roman" w:hAnsi="Garamond" w:cs="Calibri"/>
                <w:sz w:val="24"/>
                <w:szCs w:val="24"/>
              </w:rPr>
              <w:t>74.45%</w:t>
            </w:r>
          </w:p>
        </w:tc>
      </w:tr>
    </w:tbl>
    <w:p w14:paraId="689056C1" w14:textId="77777777" w:rsidR="0039636F" w:rsidRPr="00F14A44" w:rsidRDefault="0039636F" w:rsidP="0039636F">
      <w:pPr>
        <w:rPr>
          <w:b/>
        </w:rPr>
      </w:pPr>
    </w:p>
    <w:p w14:paraId="2E467703" w14:textId="3F200F79" w:rsidR="00DB7494" w:rsidRPr="006A7F88" w:rsidRDefault="00DB7494" w:rsidP="00DB7494">
      <w:pPr>
        <w:spacing w:line="480" w:lineRule="auto"/>
        <w:rPr>
          <w:rFonts w:ascii="Garamond" w:hAnsi="Garamond"/>
          <w:b/>
          <w:i/>
          <w:noProof/>
          <w:sz w:val="24"/>
          <w:szCs w:val="24"/>
        </w:rPr>
      </w:pPr>
      <w:r w:rsidRPr="00C504EF">
        <w:rPr>
          <w:rFonts w:ascii="Garamond" w:hAnsi="Garamond"/>
          <w:b/>
          <w:noProof/>
          <w:sz w:val="24"/>
          <w:szCs w:val="24"/>
        </w:rPr>
        <w:t>Table</w:t>
      </w:r>
      <w:r>
        <w:rPr>
          <w:rFonts w:ascii="Garamond" w:hAnsi="Garamond"/>
          <w:b/>
          <w:noProof/>
          <w:sz w:val="24"/>
          <w:szCs w:val="24"/>
        </w:rPr>
        <w:t xml:space="preserve"> 7</w:t>
      </w:r>
      <w:r w:rsidRPr="00C504EF">
        <w:rPr>
          <w:rFonts w:ascii="Garamond" w:hAnsi="Garamond"/>
          <w:b/>
          <w:noProof/>
          <w:sz w:val="24"/>
          <w:szCs w:val="24"/>
        </w:rPr>
        <w:t>.</w:t>
      </w:r>
      <w:r>
        <w:rPr>
          <w:rFonts w:ascii="Garamond" w:hAnsi="Garamond"/>
          <w:b/>
          <w:noProof/>
          <w:sz w:val="24"/>
          <w:szCs w:val="24"/>
        </w:rPr>
        <w:t>4</w:t>
      </w:r>
      <w:r w:rsidRPr="00C504EF">
        <w:rPr>
          <w:rFonts w:ascii="Garamond" w:hAnsi="Garamond"/>
          <w:noProof/>
          <w:sz w:val="24"/>
          <w:szCs w:val="24"/>
        </w:rPr>
        <w:t xml:space="preserve">: </w:t>
      </w:r>
      <w:r>
        <w:rPr>
          <w:rFonts w:ascii="Garamond" w:hAnsi="Garamond"/>
          <w:noProof/>
          <w:sz w:val="24"/>
          <w:szCs w:val="24"/>
        </w:rPr>
        <w:t xml:space="preserve">Prediction 2: </w:t>
      </w:r>
      <w:r w:rsidRPr="00634E3A">
        <w:rPr>
          <w:rFonts w:ascii="Garamond" w:hAnsi="Garamond"/>
          <w:noProof/>
          <w:sz w:val="24"/>
          <w:szCs w:val="24"/>
        </w:rPr>
        <w:t>Covariate-adjusted turnout in control and treatment across upstream and downstream elections</w:t>
      </w:r>
    </w:p>
    <w:tbl>
      <w:tblPr>
        <w:tblW w:w="4251" w:type="dxa"/>
        <w:tblInd w:w="-15" w:type="dxa"/>
        <w:tblLook w:val="04A0" w:firstRow="1" w:lastRow="0" w:firstColumn="1" w:lastColumn="0" w:noHBand="0" w:noVBand="1"/>
      </w:tblPr>
      <w:tblGrid>
        <w:gridCol w:w="934"/>
        <w:gridCol w:w="1189"/>
        <w:gridCol w:w="1129"/>
        <w:gridCol w:w="999"/>
      </w:tblGrid>
      <w:tr w:rsidR="00DB7494" w:rsidRPr="00DB7494" w14:paraId="0E4714C3" w14:textId="77777777" w:rsidTr="00F97338">
        <w:trPr>
          <w:trHeight w:val="1245"/>
        </w:trPr>
        <w:tc>
          <w:tcPr>
            <w:tcW w:w="934" w:type="dxa"/>
            <w:tcBorders>
              <w:top w:val="single" w:sz="12" w:space="0" w:color="auto"/>
              <w:left w:val="single" w:sz="12" w:space="0" w:color="auto"/>
              <w:bottom w:val="single" w:sz="12" w:space="0" w:color="auto"/>
              <w:right w:val="nil"/>
            </w:tcBorders>
            <w:shd w:val="clear" w:color="auto" w:fill="auto"/>
            <w:vAlign w:val="center"/>
            <w:hideMark/>
          </w:tcPr>
          <w:p w14:paraId="14CD66D2"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 </w:t>
            </w:r>
          </w:p>
        </w:tc>
        <w:tc>
          <w:tcPr>
            <w:tcW w:w="1189" w:type="dxa"/>
            <w:tcBorders>
              <w:top w:val="single" w:sz="12" w:space="0" w:color="auto"/>
              <w:left w:val="nil"/>
              <w:bottom w:val="single" w:sz="12" w:space="0" w:color="auto"/>
              <w:right w:val="nil"/>
            </w:tcBorders>
            <w:shd w:val="clear" w:color="auto" w:fill="auto"/>
            <w:vAlign w:val="center"/>
            <w:hideMark/>
          </w:tcPr>
          <w:p w14:paraId="26EE42C2"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 </w:t>
            </w:r>
          </w:p>
        </w:tc>
        <w:tc>
          <w:tcPr>
            <w:tcW w:w="1129" w:type="dxa"/>
            <w:tcBorders>
              <w:top w:val="single" w:sz="12" w:space="0" w:color="auto"/>
              <w:left w:val="nil"/>
              <w:bottom w:val="single" w:sz="12" w:space="0" w:color="auto"/>
              <w:right w:val="nil"/>
            </w:tcBorders>
            <w:shd w:val="clear" w:color="auto" w:fill="auto"/>
            <w:vAlign w:val="center"/>
            <w:hideMark/>
          </w:tcPr>
          <w:p w14:paraId="1D83D65C"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Upstream Election</w:t>
            </w:r>
          </w:p>
        </w:tc>
        <w:tc>
          <w:tcPr>
            <w:tcW w:w="999" w:type="dxa"/>
            <w:tcBorders>
              <w:top w:val="single" w:sz="12" w:space="0" w:color="auto"/>
              <w:left w:val="nil"/>
              <w:bottom w:val="single" w:sz="12" w:space="0" w:color="auto"/>
              <w:right w:val="single" w:sz="12" w:space="0" w:color="auto"/>
            </w:tcBorders>
            <w:shd w:val="clear" w:color="auto" w:fill="auto"/>
            <w:vAlign w:val="center"/>
            <w:hideMark/>
          </w:tcPr>
          <w:p w14:paraId="65C33EA4"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2018 Mid-term General Election</w:t>
            </w:r>
          </w:p>
        </w:tc>
      </w:tr>
      <w:tr w:rsidR="00DB7494" w:rsidRPr="00DB7494" w14:paraId="274A306E" w14:textId="77777777" w:rsidTr="00F97338">
        <w:trPr>
          <w:trHeight w:val="315"/>
        </w:trPr>
        <w:tc>
          <w:tcPr>
            <w:tcW w:w="934" w:type="dxa"/>
            <w:vMerge w:val="restart"/>
            <w:tcBorders>
              <w:top w:val="nil"/>
              <w:left w:val="single" w:sz="12" w:space="0" w:color="auto"/>
              <w:bottom w:val="nil"/>
              <w:right w:val="nil"/>
            </w:tcBorders>
            <w:shd w:val="clear" w:color="auto" w:fill="auto"/>
            <w:vAlign w:val="center"/>
            <w:hideMark/>
          </w:tcPr>
          <w:p w14:paraId="57F447FE"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Low salience</w:t>
            </w:r>
          </w:p>
        </w:tc>
        <w:tc>
          <w:tcPr>
            <w:tcW w:w="1189" w:type="dxa"/>
            <w:tcBorders>
              <w:top w:val="nil"/>
              <w:left w:val="nil"/>
              <w:bottom w:val="nil"/>
              <w:right w:val="single" w:sz="12" w:space="0" w:color="auto"/>
            </w:tcBorders>
            <w:shd w:val="clear" w:color="auto" w:fill="auto"/>
            <w:vAlign w:val="center"/>
            <w:hideMark/>
          </w:tcPr>
          <w:p w14:paraId="517ABC3B"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Control</w:t>
            </w:r>
          </w:p>
        </w:tc>
        <w:tc>
          <w:tcPr>
            <w:tcW w:w="1129" w:type="dxa"/>
            <w:tcBorders>
              <w:top w:val="nil"/>
              <w:left w:val="nil"/>
              <w:bottom w:val="nil"/>
              <w:right w:val="nil"/>
            </w:tcBorders>
            <w:shd w:val="clear" w:color="auto" w:fill="auto"/>
            <w:vAlign w:val="center"/>
            <w:hideMark/>
          </w:tcPr>
          <w:p w14:paraId="6C93FEEB"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57.03%</w:t>
            </w:r>
          </w:p>
        </w:tc>
        <w:tc>
          <w:tcPr>
            <w:tcW w:w="999" w:type="dxa"/>
            <w:tcBorders>
              <w:top w:val="nil"/>
              <w:left w:val="nil"/>
              <w:bottom w:val="nil"/>
              <w:right w:val="single" w:sz="12" w:space="0" w:color="auto"/>
            </w:tcBorders>
            <w:shd w:val="clear" w:color="auto" w:fill="auto"/>
            <w:vAlign w:val="center"/>
            <w:hideMark/>
          </w:tcPr>
          <w:p w14:paraId="04A77543"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71.75%</w:t>
            </w:r>
          </w:p>
        </w:tc>
      </w:tr>
      <w:tr w:rsidR="00DB7494" w:rsidRPr="00DB7494" w14:paraId="39956A75" w14:textId="77777777" w:rsidTr="00F97338">
        <w:trPr>
          <w:trHeight w:val="615"/>
        </w:trPr>
        <w:tc>
          <w:tcPr>
            <w:tcW w:w="934" w:type="dxa"/>
            <w:vMerge/>
            <w:tcBorders>
              <w:top w:val="nil"/>
              <w:left w:val="single" w:sz="12" w:space="0" w:color="auto"/>
              <w:bottom w:val="nil"/>
              <w:right w:val="nil"/>
            </w:tcBorders>
            <w:vAlign w:val="center"/>
            <w:hideMark/>
          </w:tcPr>
          <w:p w14:paraId="6430C26D" w14:textId="77777777" w:rsidR="00DB7494" w:rsidRPr="00DB7494" w:rsidRDefault="00DB7494" w:rsidP="00DB7494">
            <w:pPr>
              <w:spacing w:after="0" w:line="240" w:lineRule="auto"/>
              <w:rPr>
                <w:rFonts w:ascii="Garamond" w:eastAsia="Times New Roman" w:hAnsi="Garamond" w:cs="Calibri"/>
                <w:sz w:val="24"/>
                <w:szCs w:val="24"/>
              </w:rPr>
            </w:pPr>
          </w:p>
        </w:tc>
        <w:tc>
          <w:tcPr>
            <w:tcW w:w="1189" w:type="dxa"/>
            <w:tcBorders>
              <w:top w:val="nil"/>
              <w:left w:val="nil"/>
              <w:bottom w:val="nil"/>
              <w:right w:val="single" w:sz="12" w:space="0" w:color="auto"/>
            </w:tcBorders>
            <w:shd w:val="clear" w:color="auto" w:fill="auto"/>
            <w:vAlign w:val="center"/>
            <w:hideMark/>
          </w:tcPr>
          <w:p w14:paraId="3D9FC0F7"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Treatment</w:t>
            </w:r>
          </w:p>
        </w:tc>
        <w:tc>
          <w:tcPr>
            <w:tcW w:w="1129" w:type="dxa"/>
            <w:tcBorders>
              <w:top w:val="nil"/>
              <w:left w:val="nil"/>
              <w:bottom w:val="nil"/>
              <w:right w:val="nil"/>
            </w:tcBorders>
            <w:shd w:val="clear" w:color="auto" w:fill="auto"/>
            <w:vAlign w:val="center"/>
            <w:hideMark/>
          </w:tcPr>
          <w:p w14:paraId="34BA96C1"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57.88%</w:t>
            </w:r>
          </w:p>
        </w:tc>
        <w:tc>
          <w:tcPr>
            <w:tcW w:w="999" w:type="dxa"/>
            <w:tcBorders>
              <w:top w:val="nil"/>
              <w:left w:val="nil"/>
              <w:bottom w:val="nil"/>
              <w:right w:val="single" w:sz="12" w:space="0" w:color="auto"/>
            </w:tcBorders>
            <w:shd w:val="clear" w:color="auto" w:fill="auto"/>
            <w:vAlign w:val="center"/>
            <w:hideMark/>
          </w:tcPr>
          <w:p w14:paraId="7536277A"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71.68%</w:t>
            </w:r>
          </w:p>
        </w:tc>
      </w:tr>
      <w:tr w:rsidR="00DB7494" w:rsidRPr="00DB7494" w14:paraId="4D8E5F1E" w14:textId="77777777" w:rsidTr="00F97338">
        <w:trPr>
          <w:trHeight w:val="308"/>
        </w:trPr>
        <w:tc>
          <w:tcPr>
            <w:tcW w:w="934" w:type="dxa"/>
            <w:vMerge w:val="restart"/>
            <w:tcBorders>
              <w:top w:val="nil"/>
              <w:left w:val="single" w:sz="12" w:space="0" w:color="auto"/>
              <w:bottom w:val="single" w:sz="12" w:space="0" w:color="000000"/>
              <w:right w:val="nil"/>
            </w:tcBorders>
            <w:shd w:val="clear" w:color="auto" w:fill="auto"/>
            <w:vAlign w:val="center"/>
            <w:hideMark/>
          </w:tcPr>
          <w:p w14:paraId="3421DD27"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High salience</w:t>
            </w:r>
          </w:p>
        </w:tc>
        <w:tc>
          <w:tcPr>
            <w:tcW w:w="1189" w:type="dxa"/>
            <w:tcBorders>
              <w:top w:val="nil"/>
              <w:left w:val="nil"/>
              <w:bottom w:val="nil"/>
              <w:right w:val="single" w:sz="12" w:space="0" w:color="auto"/>
            </w:tcBorders>
            <w:shd w:val="clear" w:color="auto" w:fill="auto"/>
            <w:vAlign w:val="center"/>
            <w:hideMark/>
          </w:tcPr>
          <w:p w14:paraId="122DE20F"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Control</w:t>
            </w:r>
          </w:p>
        </w:tc>
        <w:tc>
          <w:tcPr>
            <w:tcW w:w="1129" w:type="dxa"/>
            <w:tcBorders>
              <w:top w:val="nil"/>
              <w:left w:val="nil"/>
              <w:bottom w:val="nil"/>
              <w:right w:val="nil"/>
            </w:tcBorders>
            <w:shd w:val="clear" w:color="auto" w:fill="auto"/>
            <w:vAlign w:val="center"/>
            <w:hideMark/>
          </w:tcPr>
          <w:p w14:paraId="05461878"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70.15%</w:t>
            </w:r>
          </w:p>
        </w:tc>
        <w:tc>
          <w:tcPr>
            <w:tcW w:w="999" w:type="dxa"/>
            <w:tcBorders>
              <w:top w:val="nil"/>
              <w:left w:val="nil"/>
              <w:bottom w:val="nil"/>
              <w:right w:val="single" w:sz="12" w:space="0" w:color="auto"/>
            </w:tcBorders>
            <w:shd w:val="clear" w:color="auto" w:fill="auto"/>
            <w:vAlign w:val="center"/>
            <w:hideMark/>
          </w:tcPr>
          <w:p w14:paraId="6D255DDA"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72.00%</w:t>
            </w:r>
          </w:p>
        </w:tc>
      </w:tr>
      <w:tr w:rsidR="00DB7494" w:rsidRPr="00DB7494" w14:paraId="003B3D61" w14:textId="77777777" w:rsidTr="00F97338">
        <w:trPr>
          <w:trHeight w:val="623"/>
        </w:trPr>
        <w:tc>
          <w:tcPr>
            <w:tcW w:w="934" w:type="dxa"/>
            <w:vMerge/>
            <w:tcBorders>
              <w:top w:val="nil"/>
              <w:left w:val="single" w:sz="12" w:space="0" w:color="auto"/>
              <w:bottom w:val="single" w:sz="12" w:space="0" w:color="000000"/>
              <w:right w:val="nil"/>
            </w:tcBorders>
            <w:vAlign w:val="center"/>
            <w:hideMark/>
          </w:tcPr>
          <w:p w14:paraId="69E3E387" w14:textId="77777777" w:rsidR="00DB7494" w:rsidRPr="00DB7494" w:rsidRDefault="00DB7494" w:rsidP="00DB7494">
            <w:pPr>
              <w:spacing w:after="0" w:line="240" w:lineRule="auto"/>
              <w:rPr>
                <w:rFonts w:ascii="Garamond" w:eastAsia="Times New Roman" w:hAnsi="Garamond" w:cs="Calibri"/>
                <w:sz w:val="24"/>
                <w:szCs w:val="24"/>
              </w:rPr>
            </w:pPr>
          </w:p>
        </w:tc>
        <w:tc>
          <w:tcPr>
            <w:tcW w:w="1189" w:type="dxa"/>
            <w:tcBorders>
              <w:top w:val="nil"/>
              <w:left w:val="nil"/>
              <w:bottom w:val="single" w:sz="12" w:space="0" w:color="auto"/>
              <w:right w:val="single" w:sz="12" w:space="0" w:color="auto"/>
            </w:tcBorders>
            <w:shd w:val="clear" w:color="auto" w:fill="auto"/>
            <w:vAlign w:val="center"/>
            <w:hideMark/>
          </w:tcPr>
          <w:p w14:paraId="669CA5E1"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Treatment</w:t>
            </w:r>
          </w:p>
        </w:tc>
        <w:tc>
          <w:tcPr>
            <w:tcW w:w="1129" w:type="dxa"/>
            <w:tcBorders>
              <w:top w:val="nil"/>
              <w:left w:val="nil"/>
              <w:bottom w:val="single" w:sz="12" w:space="0" w:color="auto"/>
              <w:right w:val="nil"/>
            </w:tcBorders>
            <w:shd w:val="clear" w:color="auto" w:fill="auto"/>
            <w:vAlign w:val="center"/>
            <w:hideMark/>
          </w:tcPr>
          <w:p w14:paraId="2294A1E6"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70.41%</w:t>
            </w:r>
          </w:p>
        </w:tc>
        <w:tc>
          <w:tcPr>
            <w:tcW w:w="999" w:type="dxa"/>
            <w:tcBorders>
              <w:top w:val="nil"/>
              <w:left w:val="nil"/>
              <w:bottom w:val="single" w:sz="12" w:space="0" w:color="auto"/>
              <w:right w:val="single" w:sz="12" w:space="0" w:color="auto"/>
            </w:tcBorders>
            <w:shd w:val="clear" w:color="auto" w:fill="auto"/>
            <w:vAlign w:val="center"/>
            <w:hideMark/>
          </w:tcPr>
          <w:p w14:paraId="3B13C361" w14:textId="77777777" w:rsidR="00DB7494" w:rsidRPr="00DB7494" w:rsidRDefault="00DB7494" w:rsidP="00DB7494">
            <w:pPr>
              <w:spacing w:after="0" w:line="240" w:lineRule="auto"/>
              <w:jc w:val="center"/>
              <w:rPr>
                <w:rFonts w:ascii="Garamond" w:eastAsia="Times New Roman" w:hAnsi="Garamond" w:cs="Calibri"/>
                <w:sz w:val="24"/>
                <w:szCs w:val="24"/>
              </w:rPr>
            </w:pPr>
            <w:r w:rsidRPr="00DB7494">
              <w:rPr>
                <w:rFonts w:ascii="Garamond" w:eastAsia="Times New Roman" w:hAnsi="Garamond" w:cs="Calibri"/>
                <w:sz w:val="24"/>
                <w:szCs w:val="24"/>
              </w:rPr>
              <w:t>72.23%</w:t>
            </w:r>
          </w:p>
        </w:tc>
      </w:tr>
    </w:tbl>
    <w:p w14:paraId="7BE5B844" w14:textId="5F62AA1B" w:rsidR="00DB7494" w:rsidRDefault="00DB7494" w:rsidP="00C504EF"/>
    <w:p w14:paraId="6724B38F" w14:textId="07F66F10" w:rsidR="008A061E" w:rsidRDefault="008A061E" w:rsidP="00C504EF"/>
    <w:p w14:paraId="140F6DB7" w14:textId="070C84BD" w:rsidR="008A061E" w:rsidRDefault="008A061E" w:rsidP="00C504EF"/>
    <w:p w14:paraId="064CFE69" w14:textId="5ED8B2E6" w:rsidR="008A061E" w:rsidRDefault="008A061E" w:rsidP="00C504EF"/>
    <w:p w14:paraId="3A540B6E" w14:textId="07BCC2D1" w:rsidR="008A061E" w:rsidRDefault="008A061E" w:rsidP="00C504EF"/>
    <w:p w14:paraId="6F8A8EFC" w14:textId="3B561A87" w:rsidR="008A061E" w:rsidRDefault="008A061E" w:rsidP="00C504EF"/>
    <w:p w14:paraId="71449351" w14:textId="7DA66FBF" w:rsidR="008A061E" w:rsidRDefault="008A061E" w:rsidP="00C504EF"/>
    <w:p w14:paraId="7519E254" w14:textId="77777777" w:rsidR="008A061E" w:rsidRDefault="008A061E" w:rsidP="00C504EF"/>
    <w:p w14:paraId="746A6316" w14:textId="6DAB5665" w:rsidR="001C512C" w:rsidRDefault="001C512C" w:rsidP="001C512C">
      <w:pPr>
        <w:spacing w:line="480" w:lineRule="auto"/>
        <w:rPr>
          <w:rFonts w:ascii="Garamond" w:hAnsi="Garamond"/>
          <w:noProof/>
          <w:sz w:val="24"/>
          <w:szCs w:val="24"/>
        </w:rPr>
      </w:pPr>
      <w:r w:rsidRPr="00C504EF">
        <w:rPr>
          <w:rFonts w:ascii="Garamond" w:hAnsi="Garamond"/>
          <w:b/>
          <w:noProof/>
          <w:sz w:val="24"/>
          <w:szCs w:val="24"/>
        </w:rPr>
        <w:lastRenderedPageBreak/>
        <w:t>Table</w:t>
      </w:r>
      <w:r>
        <w:rPr>
          <w:rFonts w:ascii="Garamond" w:hAnsi="Garamond"/>
          <w:b/>
          <w:noProof/>
          <w:sz w:val="24"/>
          <w:szCs w:val="24"/>
        </w:rPr>
        <w:t xml:space="preserve"> 7</w:t>
      </w:r>
      <w:r w:rsidRPr="00C504EF">
        <w:rPr>
          <w:rFonts w:ascii="Garamond" w:hAnsi="Garamond"/>
          <w:b/>
          <w:noProof/>
          <w:sz w:val="24"/>
          <w:szCs w:val="24"/>
        </w:rPr>
        <w:t>.</w:t>
      </w:r>
      <w:r>
        <w:rPr>
          <w:rFonts w:ascii="Garamond" w:hAnsi="Garamond"/>
          <w:b/>
          <w:noProof/>
          <w:sz w:val="24"/>
          <w:szCs w:val="24"/>
        </w:rPr>
        <w:t>5</w:t>
      </w:r>
      <w:r w:rsidRPr="00C504EF">
        <w:rPr>
          <w:rFonts w:ascii="Garamond" w:hAnsi="Garamond"/>
          <w:noProof/>
          <w:sz w:val="24"/>
          <w:szCs w:val="24"/>
        </w:rPr>
        <w:t xml:space="preserve">: </w:t>
      </w:r>
      <w:r>
        <w:rPr>
          <w:rFonts w:ascii="Garamond" w:hAnsi="Garamond"/>
          <w:noProof/>
          <w:sz w:val="24"/>
          <w:szCs w:val="24"/>
        </w:rPr>
        <w:t xml:space="preserve">Prediction 3: </w:t>
      </w:r>
      <w:r w:rsidRPr="00634E3A">
        <w:rPr>
          <w:rFonts w:ascii="Garamond" w:hAnsi="Garamond"/>
          <w:noProof/>
          <w:sz w:val="24"/>
          <w:szCs w:val="24"/>
        </w:rPr>
        <w:t>Covariate-adjusted turnout in control and treatment across upstream and downstream elections</w:t>
      </w:r>
    </w:p>
    <w:tbl>
      <w:tblPr>
        <w:tblW w:w="4080" w:type="dxa"/>
        <w:tblInd w:w="-15" w:type="dxa"/>
        <w:tblLook w:val="04A0" w:firstRow="1" w:lastRow="0" w:firstColumn="1" w:lastColumn="0" w:noHBand="0" w:noVBand="1"/>
      </w:tblPr>
      <w:tblGrid>
        <w:gridCol w:w="758"/>
        <w:gridCol w:w="1189"/>
        <w:gridCol w:w="1129"/>
        <w:gridCol w:w="1004"/>
      </w:tblGrid>
      <w:tr w:rsidR="001C512C" w:rsidRPr="001C512C" w14:paraId="6011BFF1" w14:textId="77777777" w:rsidTr="001C512C">
        <w:trPr>
          <w:trHeight w:val="1245"/>
        </w:trPr>
        <w:tc>
          <w:tcPr>
            <w:tcW w:w="1020" w:type="dxa"/>
            <w:tcBorders>
              <w:top w:val="single" w:sz="12" w:space="0" w:color="auto"/>
              <w:left w:val="single" w:sz="12" w:space="0" w:color="auto"/>
              <w:bottom w:val="single" w:sz="12" w:space="0" w:color="auto"/>
              <w:right w:val="nil"/>
            </w:tcBorders>
            <w:shd w:val="clear" w:color="auto" w:fill="auto"/>
            <w:vAlign w:val="center"/>
            <w:hideMark/>
          </w:tcPr>
          <w:p w14:paraId="7CE4FF84"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 </w:t>
            </w:r>
          </w:p>
        </w:tc>
        <w:tc>
          <w:tcPr>
            <w:tcW w:w="1020" w:type="dxa"/>
            <w:tcBorders>
              <w:top w:val="single" w:sz="12" w:space="0" w:color="auto"/>
              <w:left w:val="nil"/>
              <w:bottom w:val="single" w:sz="12" w:space="0" w:color="auto"/>
              <w:right w:val="nil"/>
            </w:tcBorders>
            <w:shd w:val="clear" w:color="auto" w:fill="auto"/>
            <w:vAlign w:val="center"/>
            <w:hideMark/>
          </w:tcPr>
          <w:p w14:paraId="782B605D"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 </w:t>
            </w:r>
          </w:p>
        </w:tc>
        <w:tc>
          <w:tcPr>
            <w:tcW w:w="1020" w:type="dxa"/>
            <w:tcBorders>
              <w:top w:val="single" w:sz="12" w:space="0" w:color="auto"/>
              <w:left w:val="nil"/>
              <w:bottom w:val="single" w:sz="12" w:space="0" w:color="auto"/>
              <w:right w:val="nil"/>
            </w:tcBorders>
            <w:shd w:val="clear" w:color="auto" w:fill="auto"/>
            <w:vAlign w:val="center"/>
            <w:hideMark/>
          </w:tcPr>
          <w:p w14:paraId="331CC1E7"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Upstream Election</w:t>
            </w:r>
          </w:p>
        </w:tc>
        <w:tc>
          <w:tcPr>
            <w:tcW w:w="1020" w:type="dxa"/>
            <w:tcBorders>
              <w:top w:val="single" w:sz="12" w:space="0" w:color="auto"/>
              <w:left w:val="nil"/>
              <w:bottom w:val="single" w:sz="12" w:space="0" w:color="auto"/>
              <w:right w:val="single" w:sz="12" w:space="0" w:color="auto"/>
            </w:tcBorders>
            <w:shd w:val="clear" w:color="auto" w:fill="auto"/>
            <w:vAlign w:val="center"/>
            <w:hideMark/>
          </w:tcPr>
          <w:p w14:paraId="714786F8"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2018 Mid-term General Election</w:t>
            </w:r>
          </w:p>
        </w:tc>
      </w:tr>
      <w:tr w:rsidR="001C512C" w:rsidRPr="001C512C" w14:paraId="5BCFC182" w14:textId="77777777" w:rsidTr="001C512C">
        <w:trPr>
          <w:trHeight w:val="315"/>
        </w:trPr>
        <w:tc>
          <w:tcPr>
            <w:tcW w:w="1020" w:type="dxa"/>
            <w:vMerge w:val="restart"/>
            <w:tcBorders>
              <w:top w:val="nil"/>
              <w:left w:val="single" w:sz="12" w:space="0" w:color="auto"/>
              <w:bottom w:val="nil"/>
              <w:right w:val="nil"/>
            </w:tcBorders>
            <w:shd w:val="clear" w:color="auto" w:fill="auto"/>
            <w:vAlign w:val="center"/>
            <w:hideMark/>
          </w:tcPr>
          <w:p w14:paraId="23FD7777"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Dem Win</w:t>
            </w:r>
          </w:p>
        </w:tc>
        <w:tc>
          <w:tcPr>
            <w:tcW w:w="1020" w:type="dxa"/>
            <w:tcBorders>
              <w:top w:val="nil"/>
              <w:left w:val="nil"/>
              <w:bottom w:val="nil"/>
              <w:right w:val="single" w:sz="12" w:space="0" w:color="auto"/>
            </w:tcBorders>
            <w:shd w:val="clear" w:color="auto" w:fill="auto"/>
            <w:vAlign w:val="center"/>
            <w:hideMark/>
          </w:tcPr>
          <w:p w14:paraId="4DDCCDD2"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Control</w:t>
            </w:r>
          </w:p>
        </w:tc>
        <w:tc>
          <w:tcPr>
            <w:tcW w:w="1020" w:type="dxa"/>
            <w:tcBorders>
              <w:top w:val="nil"/>
              <w:left w:val="nil"/>
              <w:bottom w:val="nil"/>
              <w:right w:val="nil"/>
            </w:tcBorders>
            <w:shd w:val="clear" w:color="auto" w:fill="auto"/>
            <w:vAlign w:val="center"/>
            <w:hideMark/>
          </w:tcPr>
          <w:p w14:paraId="2AD0D6F8"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75.53%</w:t>
            </w:r>
          </w:p>
        </w:tc>
        <w:tc>
          <w:tcPr>
            <w:tcW w:w="1020" w:type="dxa"/>
            <w:tcBorders>
              <w:top w:val="nil"/>
              <w:left w:val="nil"/>
              <w:bottom w:val="nil"/>
              <w:right w:val="single" w:sz="12" w:space="0" w:color="auto"/>
            </w:tcBorders>
            <w:shd w:val="clear" w:color="auto" w:fill="auto"/>
            <w:vAlign w:val="center"/>
            <w:hideMark/>
          </w:tcPr>
          <w:p w14:paraId="28D3AE3A"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76.72%</w:t>
            </w:r>
          </w:p>
        </w:tc>
      </w:tr>
      <w:tr w:rsidR="001C512C" w:rsidRPr="001C512C" w14:paraId="78ECC009" w14:textId="77777777" w:rsidTr="001C512C">
        <w:trPr>
          <w:trHeight w:val="615"/>
        </w:trPr>
        <w:tc>
          <w:tcPr>
            <w:tcW w:w="1020" w:type="dxa"/>
            <w:vMerge/>
            <w:tcBorders>
              <w:top w:val="nil"/>
              <w:left w:val="single" w:sz="12" w:space="0" w:color="auto"/>
              <w:bottom w:val="nil"/>
              <w:right w:val="nil"/>
            </w:tcBorders>
            <w:vAlign w:val="center"/>
            <w:hideMark/>
          </w:tcPr>
          <w:p w14:paraId="4C3F7B48" w14:textId="77777777" w:rsidR="001C512C" w:rsidRPr="001C512C" w:rsidRDefault="001C512C" w:rsidP="001C512C">
            <w:pPr>
              <w:spacing w:after="0" w:line="240" w:lineRule="auto"/>
              <w:rPr>
                <w:rFonts w:ascii="Garamond" w:eastAsia="Times New Roman" w:hAnsi="Garamond" w:cs="Calibri"/>
                <w:sz w:val="24"/>
                <w:szCs w:val="24"/>
              </w:rPr>
            </w:pPr>
          </w:p>
        </w:tc>
        <w:tc>
          <w:tcPr>
            <w:tcW w:w="1020" w:type="dxa"/>
            <w:tcBorders>
              <w:top w:val="nil"/>
              <w:left w:val="nil"/>
              <w:bottom w:val="nil"/>
              <w:right w:val="single" w:sz="12" w:space="0" w:color="auto"/>
            </w:tcBorders>
            <w:shd w:val="clear" w:color="auto" w:fill="auto"/>
            <w:vAlign w:val="center"/>
            <w:hideMark/>
          </w:tcPr>
          <w:p w14:paraId="3A6957F1"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Treatment</w:t>
            </w:r>
          </w:p>
        </w:tc>
        <w:tc>
          <w:tcPr>
            <w:tcW w:w="1020" w:type="dxa"/>
            <w:tcBorders>
              <w:top w:val="nil"/>
              <w:left w:val="nil"/>
              <w:bottom w:val="nil"/>
              <w:right w:val="nil"/>
            </w:tcBorders>
            <w:shd w:val="clear" w:color="auto" w:fill="auto"/>
            <w:vAlign w:val="center"/>
            <w:hideMark/>
          </w:tcPr>
          <w:p w14:paraId="765F89C5"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75.72%</w:t>
            </w:r>
          </w:p>
        </w:tc>
        <w:tc>
          <w:tcPr>
            <w:tcW w:w="1020" w:type="dxa"/>
            <w:tcBorders>
              <w:top w:val="nil"/>
              <w:left w:val="nil"/>
              <w:bottom w:val="nil"/>
              <w:right w:val="single" w:sz="12" w:space="0" w:color="auto"/>
            </w:tcBorders>
            <w:shd w:val="clear" w:color="auto" w:fill="auto"/>
            <w:vAlign w:val="center"/>
            <w:hideMark/>
          </w:tcPr>
          <w:p w14:paraId="4A3546DF"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76.98%</w:t>
            </w:r>
          </w:p>
        </w:tc>
      </w:tr>
      <w:tr w:rsidR="001C512C" w:rsidRPr="001C512C" w14:paraId="5AE840C3" w14:textId="77777777" w:rsidTr="001C512C">
        <w:trPr>
          <w:trHeight w:val="308"/>
        </w:trPr>
        <w:tc>
          <w:tcPr>
            <w:tcW w:w="1020" w:type="dxa"/>
            <w:vMerge w:val="restart"/>
            <w:tcBorders>
              <w:top w:val="nil"/>
              <w:left w:val="single" w:sz="12" w:space="0" w:color="auto"/>
              <w:bottom w:val="single" w:sz="12" w:space="0" w:color="000000"/>
              <w:right w:val="nil"/>
            </w:tcBorders>
            <w:shd w:val="clear" w:color="auto" w:fill="auto"/>
            <w:vAlign w:val="center"/>
            <w:hideMark/>
          </w:tcPr>
          <w:p w14:paraId="2D90101B"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Dem Loss</w:t>
            </w:r>
          </w:p>
        </w:tc>
        <w:tc>
          <w:tcPr>
            <w:tcW w:w="1020" w:type="dxa"/>
            <w:tcBorders>
              <w:top w:val="nil"/>
              <w:left w:val="nil"/>
              <w:bottom w:val="nil"/>
              <w:right w:val="single" w:sz="12" w:space="0" w:color="auto"/>
            </w:tcBorders>
            <w:shd w:val="clear" w:color="auto" w:fill="auto"/>
            <w:vAlign w:val="center"/>
            <w:hideMark/>
          </w:tcPr>
          <w:p w14:paraId="0AC6B8F3"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Control</w:t>
            </w:r>
          </w:p>
        </w:tc>
        <w:tc>
          <w:tcPr>
            <w:tcW w:w="1020" w:type="dxa"/>
            <w:tcBorders>
              <w:top w:val="nil"/>
              <w:left w:val="nil"/>
              <w:bottom w:val="nil"/>
              <w:right w:val="nil"/>
            </w:tcBorders>
            <w:shd w:val="clear" w:color="auto" w:fill="auto"/>
            <w:vAlign w:val="center"/>
            <w:hideMark/>
          </w:tcPr>
          <w:p w14:paraId="04B1ED4A"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68.49%</w:t>
            </w:r>
          </w:p>
        </w:tc>
        <w:tc>
          <w:tcPr>
            <w:tcW w:w="1020" w:type="dxa"/>
            <w:tcBorders>
              <w:top w:val="nil"/>
              <w:left w:val="nil"/>
              <w:bottom w:val="nil"/>
              <w:right w:val="single" w:sz="12" w:space="0" w:color="auto"/>
            </w:tcBorders>
            <w:shd w:val="clear" w:color="auto" w:fill="auto"/>
            <w:vAlign w:val="center"/>
            <w:hideMark/>
          </w:tcPr>
          <w:p w14:paraId="38E8ED66"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55.83%</w:t>
            </w:r>
          </w:p>
        </w:tc>
      </w:tr>
      <w:tr w:rsidR="001C512C" w:rsidRPr="001C512C" w14:paraId="4EF490ED" w14:textId="77777777" w:rsidTr="001C512C">
        <w:trPr>
          <w:trHeight w:val="623"/>
        </w:trPr>
        <w:tc>
          <w:tcPr>
            <w:tcW w:w="1020" w:type="dxa"/>
            <w:vMerge/>
            <w:tcBorders>
              <w:top w:val="nil"/>
              <w:left w:val="single" w:sz="12" w:space="0" w:color="auto"/>
              <w:bottom w:val="single" w:sz="12" w:space="0" w:color="000000"/>
              <w:right w:val="nil"/>
            </w:tcBorders>
            <w:vAlign w:val="center"/>
            <w:hideMark/>
          </w:tcPr>
          <w:p w14:paraId="1B096976" w14:textId="77777777" w:rsidR="001C512C" w:rsidRPr="001C512C" w:rsidRDefault="001C512C" w:rsidP="001C512C">
            <w:pPr>
              <w:spacing w:after="0" w:line="240" w:lineRule="auto"/>
              <w:rPr>
                <w:rFonts w:ascii="Garamond" w:eastAsia="Times New Roman" w:hAnsi="Garamond" w:cs="Calibri"/>
                <w:sz w:val="24"/>
                <w:szCs w:val="24"/>
              </w:rPr>
            </w:pPr>
          </w:p>
        </w:tc>
        <w:tc>
          <w:tcPr>
            <w:tcW w:w="1020" w:type="dxa"/>
            <w:tcBorders>
              <w:top w:val="nil"/>
              <w:left w:val="nil"/>
              <w:bottom w:val="single" w:sz="12" w:space="0" w:color="auto"/>
              <w:right w:val="single" w:sz="12" w:space="0" w:color="auto"/>
            </w:tcBorders>
            <w:shd w:val="clear" w:color="auto" w:fill="auto"/>
            <w:vAlign w:val="center"/>
            <w:hideMark/>
          </w:tcPr>
          <w:p w14:paraId="531F8791"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Treatment</w:t>
            </w:r>
          </w:p>
        </w:tc>
        <w:tc>
          <w:tcPr>
            <w:tcW w:w="1020" w:type="dxa"/>
            <w:tcBorders>
              <w:top w:val="nil"/>
              <w:left w:val="nil"/>
              <w:bottom w:val="single" w:sz="12" w:space="0" w:color="auto"/>
              <w:right w:val="nil"/>
            </w:tcBorders>
            <w:shd w:val="clear" w:color="auto" w:fill="auto"/>
            <w:vAlign w:val="center"/>
            <w:hideMark/>
          </w:tcPr>
          <w:p w14:paraId="7BA0AC40"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69.37%</w:t>
            </w:r>
          </w:p>
        </w:tc>
        <w:tc>
          <w:tcPr>
            <w:tcW w:w="1020" w:type="dxa"/>
            <w:tcBorders>
              <w:top w:val="nil"/>
              <w:left w:val="nil"/>
              <w:bottom w:val="single" w:sz="12" w:space="0" w:color="auto"/>
              <w:right w:val="single" w:sz="12" w:space="0" w:color="auto"/>
            </w:tcBorders>
            <w:shd w:val="clear" w:color="auto" w:fill="auto"/>
            <w:vAlign w:val="center"/>
            <w:hideMark/>
          </w:tcPr>
          <w:p w14:paraId="5DFD06A3" w14:textId="77777777" w:rsidR="001C512C" w:rsidRPr="001C512C" w:rsidRDefault="001C512C" w:rsidP="001C512C">
            <w:pPr>
              <w:spacing w:after="0" w:line="240" w:lineRule="auto"/>
              <w:jc w:val="center"/>
              <w:rPr>
                <w:rFonts w:ascii="Garamond" w:eastAsia="Times New Roman" w:hAnsi="Garamond" w:cs="Calibri"/>
                <w:sz w:val="24"/>
                <w:szCs w:val="24"/>
              </w:rPr>
            </w:pPr>
            <w:r w:rsidRPr="001C512C">
              <w:rPr>
                <w:rFonts w:ascii="Garamond" w:eastAsia="Times New Roman" w:hAnsi="Garamond" w:cs="Calibri"/>
                <w:sz w:val="24"/>
                <w:szCs w:val="24"/>
              </w:rPr>
              <w:t>56.01%</w:t>
            </w:r>
          </w:p>
        </w:tc>
      </w:tr>
    </w:tbl>
    <w:p w14:paraId="611E508F" w14:textId="77777777" w:rsidR="001C512C" w:rsidRPr="006A7F88" w:rsidRDefault="001C512C" w:rsidP="001C512C">
      <w:pPr>
        <w:spacing w:line="480" w:lineRule="auto"/>
        <w:rPr>
          <w:rFonts w:ascii="Garamond" w:hAnsi="Garamond"/>
          <w:b/>
          <w:i/>
          <w:noProof/>
          <w:sz w:val="24"/>
          <w:szCs w:val="24"/>
        </w:rPr>
      </w:pPr>
    </w:p>
    <w:p w14:paraId="085E18D4" w14:textId="38A53B19" w:rsidR="00830DD6" w:rsidRDefault="00830DD6" w:rsidP="00C504EF"/>
    <w:p w14:paraId="35D8FBB5" w14:textId="35348D4D" w:rsidR="00F97338" w:rsidRDefault="00F97338" w:rsidP="00C504EF"/>
    <w:p w14:paraId="3C1D8ECD" w14:textId="15062033" w:rsidR="00F97338" w:rsidRDefault="00F97338" w:rsidP="00C504EF"/>
    <w:p w14:paraId="270E0DBC" w14:textId="3479B66C" w:rsidR="00F97338" w:rsidRDefault="00F97338" w:rsidP="00C504EF"/>
    <w:p w14:paraId="3C582786" w14:textId="0D348D62" w:rsidR="00F97338" w:rsidRDefault="00F97338" w:rsidP="00C504EF"/>
    <w:p w14:paraId="34208F57" w14:textId="388EA585" w:rsidR="00F97338" w:rsidRDefault="00F97338" w:rsidP="00C504EF"/>
    <w:p w14:paraId="5370C272" w14:textId="01E1F3CD" w:rsidR="00F97338" w:rsidRDefault="00F97338" w:rsidP="00C504EF"/>
    <w:p w14:paraId="5452A3D0" w14:textId="631CC1AF" w:rsidR="00F97338" w:rsidRDefault="00F97338" w:rsidP="00C504EF"/>
    <w:p w14:paraId="613F4371" w14:textId="00647F71" w:rsidR="00F97338" w:rsidRDefault="00F97338" w:rsidP="00C504EF"/>
    <w:p w14:paraId="2A79B9C4" w14:textId="6B7F4692" w:rsidR="00F97338" w:rsidRDefault="00F97338" w:rsidP="00C504EF"/>
    <w:p w14:paraId="0CC33911" w14:textId="599F6800" w:rsidR="00F97338" w:rsidRDefault="00F97338" w:rsidP="00C504EF"/>
    <w:p w14:paraId="5365B9F7" w14:textId="577D3C40" w:rsidR="00F97338" w:rsidRDefault="00F97338" w:rsidP="00C504EF"/>
    <w:p w14:paraId="7A7D4B66" w14:textId="2064A2B5" w:rsidR="00F97338" w:rsidRDefault="00F97338" w:rsidP="00C504EF"/>
    <w:p w14:paraId="4FC2C43B" w14:textId="6936CB6B" w:rsidR="00F97338" w:rsidRDefault="00F97338" w:rsidP="00C504EF"/>
    <w:p w14:paraId="7626B2DE" w14:textId="178D3276" w:rsidR="00F97338" w:rsidRDefault="00F97338" w:rsidP="00C504EF"/>
    <w:p w14:paraId="1ED59FD4" w14:textId="279CE2F5" w:rsidR="00F97338" w:rsidRDefault="00F97338" w:rsidP="00C504EF"/>
    <w:p w14:paraId="48BB902A" w14:textId="77777777" w:rsidR="00F97338" w:rsidRPr="00C504EF" w:rsidRDefault="00F97338" w:rsidP="00C504EF"/>
    <w:p w14:paraId="085E18D5" w14:textId="77777777" w:rsidR="00C504EF" w:rsidRPr="00AB0C49" w:rsidRDefault="00AB0C49" w:rsidP="00AB0C49">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26" w:name="_Toc83912433"/>
      <w:bookmarkStart w:id="27" w:name="_Toc129961288"/>
      <w:r w:rsidRPr="00AB0C49">
        <w:rPr>
          <w:rFonts w:ascii="Garamond" w:eastAsiaTheme="majorEastAsia" w:hAnsi="Garamond" w:cstheme="majorBidi"/>
          <w:b/>
          <w:i/>
          <w:sz w:val="28"/>
          <w:szCs w:val="26"/>
        </w:rPr>
        <w:lastRenderedPageBreak/>
        <w:t>An</w:t>
      </w:r>
      <w:r w:rsidR="00C504EF" w:rsidRPr="00AB0C49">
        <w:rPr>
          <w:rFonts w:ascii="Garamond" w:eastAsiaTheme="majorEastAsia" w:hAnsi="Garamond" w:cstheme="majorBidi"/>
          <w:b/>
          <w:i/>
          <w:sz w:val="28"/>
          <w:szCs w:val="26"/>
        </w:rPr>
        <w:t>onymized Canvasser Script and Training Documents</w:t>
      </w:r>
      <w:bookmarkEnd w:id="26"/>
      <w:bookmarkEnd w:id="27"/>
      <w:r w:rsidR="00C504EF" w:rsidRPr="00AB0C49">
        <w:rPr>
          <w:rFonts w:ascii="Garamond" w:eastAsiaTheme="majorEastAsia" w:hAnsi="Garamond" w:cstheme="majorBidi"/>
          <w:b/>
          <w:i/>
          <w:sz w:val="28"/>
          <w:szCs w:val="26"/>
        </w:rPr>
        <w:t xml:space="preserve"> </w:t>
      </w:r>
    </w:p>
    <w:p w14:paraId="085E18D6" w14:textId="77777777" w:rsidR="00C504EF" w:rsidRPr="00C504EF" w:rsidRDefault="00C504EF" w:rsidP="00C504EF">
      <w:pPr>
        <w:spacing w:line="480" w:lineRule="auto"/>
        <w:jc w:val="center"/>
        <w:rPr>
          <w:rFonts w:ascii="Garamond" w:hAnsi="Garamond"/>
          <w:sz w:val="24"/>
        </w:rPr>
      </w:pPr>
      <w:r w:rsidRPr="00C504EF">
        <w:rPr>
          <w:rFonts w:ascii="Garamond" w:hAnsi="Garamond"/>
          <w:sz w:val="24"/>
        </w:rPr>
        <w:t>November 4, 2014</w:t>
      </w:r>
    </w:p>
    <w:p w14:paraId="085E18D7" w14:textId="77777777" w:rsidR="00C504EF" w:rsidRPr="00C504EF" w:rsidRDefault="00C504EF" w:rsidP="00C504EF">
      <w:pPr>
        <w:spacing w:line="480" w:lineRule="auto"/>
        <w:jc w:val="center"/>
        <w:rPr>
          <w:rFonts w:ascii="Garamond" w:hAnsi="Garamond"/>
          <w:sz w:val="24"/>
        </w:rPr>
      </w:pPr>
      <w:r w:rsidRPr="00C504EF">
        <w:rPr>
          <w:rFonts w:ascii="Garamond" w:hAnsi="Garamond"/>
          <w:sz w:val="24"/>
        </w:rPr>
        <w:t xml:space="preserve">Governor: Mark </w:t>
      </w:r>
      <w:proofErr w:type="spellStart"/>
      <w:r w:rsidRPr="00C504EF">
        <w:rPr>
          <w:rFonts w:ascii="Garamond" w:hAnsi="Garamond"/>
          <w:sz w:val="24"/>
        </w:rPr>
        <w:t>Schauer</w:t>
      </w:r>
      <w:proofErr w:type="spellEnd"/>
      <w:r w:rsidRPr="00C504EF">
        <w:rPr>
          <w:rFonts w:ascii="Garamond" w:hAnsi="Garamond"/>
          <w:sz w:val="24"/>
        </w:rPr>
        <w:t>;</w:t>
      </w:r>
    </w:p>
    <w:p w14:paraId="085E18D8" w14:textId="77777777" w:rsidR="00C504EF" w:rsidRPr="00C504EF" w:rsidRDefault="00C504EF" w:rsidP="00C504EF">
      <w:pPr>
        <w:spacing w:line="480" w:lineRule="auto"/>
        <w:jc w:val="center"/>
        <w:rPr>
          <w:rFonts w:ascii="Garamond" w:hAnsi="Garamond"/>
          <w:sz w:val="24"/>
        </w:rPr>
      </w:pPr>
      <w:r w:rsidRPr="00C504EF">
        <w:rPr>
          <w:rFonts w:ascii="Garamond" w:hAnsi="Garamond"/>
          <w:sz w:val="24"/>
        </w:rPr>
        <w:t>US Senate: Gary Peters</w:t>
      </w:r>
    </w:p>
    <w:p w14:paraId="085E18D9" w14:textId="77777777" w:rsidR="00C504EF" w:rsidRPr="00C504EF" w:rsidRDefault="00C504EF" w:rsidP="00C504EF">
      <w:pPr>
        <w:spacing w:line="480" w:lineRule="auto"/>
        <w:rPr>
          <w:rFonts w:ascii="Garamond" w:hAnsi="Garamond"/>
          <w:sz w:val="32"/>
          <w:u w:val="single"/>
        </w:rPr>
      </w:pPr>
      <w:r w:rsidRPr="00C504EF">
        <w:rPr>
          <w:rFonts w:ascii="Garamond" w:hAnsi="Garamond"/>
          <w:sz w:val="24"/>
          <w:u w:val="single"/>
        </w:rPr>
        <w:t xml:space="preserve">[REDACTED] Persuasion Rap </w:t>
      </w:r>
    </w:p>
    <w:p w14:paraId="085E18DA"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Introduction</w:t>
      </w:r>
    </w:p>
    <w:p w14:paraId="085E18DB" w14:textId="77777777" w:rsidR="00C504EF" w:rsidRPr="00C504EF" w:rsidRDefault="00C504EF" w:rsidP="00C504EF">
      <w:pPr>
        <w:spacing w:line="480" w:lineRule="auto"/>
        <w:rPr>
          <w:rFonts w:ascii="Garamond" w:hAnsi="Garamond"/>
          <w:sz w:val="24"/>
        </w:rPr>
      </w:pPr>
      <w:r w:rsidRPr="00C504EF">
        <w:rPr>
          <w:rFonts w:ascii="Garamond" w:hAnsi="Garamond"/>
          <w:sz w:val="24"/>
        </w:rPr>
        <w:t>Hi, my name is ___ with [REDACTED]. Are you [name]? Great! We’re out today   talking with folks in [insert community] about the election for Governor and the Michigan House.</w:t>
      </w:r>
    </w:p>
    <w:p w14:paraId="085E18DC" w14:textId="77777777" w:rsidR="00C504EF" w:rsidRPr="00C504EF" w:rsidRDefault="00C504EF" w:rsidP="00C504EF">
      <w:pPr>
        <w:spacing w:line="480" w:lineRule="auto"/>
        <w:rPr>
          <w:rFonts w:ascii="Garamond" w:hAnsi="Garamond"/>
          <w:sz w:val="24"/>
        </w:rPr>
      </w:pPr>
      <w:r w:rsidRPr="00C504EF">
        <w:rPr>
          <w:rFonts w:ascii="Garamond" w:hAnsi="Garamond"/>
          <w:sz w:val="24"/>
          <w:u w:val="single"/>
        </w:rPr>
        <w:t>QUESTIONS</w:t>
      </w:r>
    </w:p>
    <w:p w14:paraId="085E18DD"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 xml:space="preserve">Question 1 </w:t>
      </w:r>
    </w:p>
    <w:p w14:paraId="085E18DE"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Are you planning to vote in the election? </w:t>
      </w:r>
    </w:p>
    <w:p w14:paraId="085E18DF" w14:textId="77777777" w:rsidR="00C504EF" w:rsidRPr="00C504EF" w:rsidRDefault="00C504EF" w:rsidP="00C504EF">
      <w:pPr>
        <w:spacing w:line="480" w:lineRule="auto"/>
        <w:rPr>
          <w:rFonts w:ascii="Garamond" w:hAnsi="Garamond"/>
          <w:sz w:val="24"/>
        </w:rPr>
      </w:pPr>
      <w:r w:rsidRPr="00C504EF">
        <w:rPr>
          <w:rFonts w:ascii="Garamond" w:hAnsi="Garamond"/>
          <w:sz w:val="24"/>
        </w:rPr>
        <w:t>[</w:t>
      </w:r>
      <w:r w:rsidRPr="00C504EF">
        <w:rPr>
          <w:rFonts w:ascii="Garamond" w:hAnsi="Garamond"/>
          <w:i/>
          <w:sz w:val="24"/>
        </w:rPr>
        <w:t>Do not record]</w:t>
      </w:r>
    </w:p>
    <w:p w14:paraId="085E18E0"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Question 2 (Voter ID Governor)</w:t>
      </w:r>
    </w:p>
    <w:p w14:paraId="085E18E1"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Thank you. If you were going to vote today in the election for Governor would you support for Republican Rick Snyder or Democrat Mark </w:t>
      </w:r>
      <w:proofErr w:type="spellStart"/>
      <w:r w:rsidRPr="00C504EF">
        <w:rPr>
          <w:rFonts w:ascii="Garamond" w:hAnsi="Garamond"/>
          <w:sz w:val="24"/>
        </w:rPr>
        <w:t>Schauer</w:t>
      </w:r>
      <w:proofErr w:type="spellEnd"/>
      <w:r w:rsidRPr="00C504EF">
        <w:rPr>
          <w:rFonts w:ascii="Garamond" w:hAnsi="Garamond"/>
          <w:sz w:val="24"/>
        </w:rPr>
        <w:t xml:space="preserve">? </w:t>
      </w:r>
    </w:p>
    <w:p w14:paraId="085E18E2" w14:textId="77777777" w:rsidR="00C504EF" w:rsidRPr="00C504EF" w:rsidRDefault="00C504EF" w:rsidP="00C504EF">
      <w:pPr>
        <w:spacing w:line="480" w:lineRule="auto"/>
        <w:rPr>
          <w:rFonts w:ascii="Garamond" w:hAnsi="Garamond"/>
          <w:sz w:val="24"/>
        </w:rPr>
      </w:pPr>
      <w:r w:rsidRPr="00C504EF">
        <w:rPr>
          <w:rFonts w:ascii="Garamond" w:hAnsi="Garamond"/>
          <w:sz w:val="24"/>
        </w:rPr>
        <w:t>[</w:t>
      </w:r>
      <w:r w:rsidRPr="00C504EF">
        <w:rPr>
          <w:rFonts w:ascii="Garamond" w:hAnsi="Garamond"/>
          <w:i/>
          <w:sz w:val="24"/>
        </w:rPr>
        <w:t>Record Response</w:t>
      </w:r>
      <w:r w:rsidRPr="00C504EF">
        <w:rPr>
          <w:rFonts w:ascii="Garamond" w:hAnsi="Garamond"/>
          <w:sz w:val="24"/>
        </w:rPr>
        <w:t xml:space="preserve">: Snyder-R, </w:t>
      </w:r>
      <w:proofErr w:type="spellStart"/>
      <w:r w:rsidRPr="00C504EF">
        <w:rPr>
          <w:rFonts w:ascii="Garamond" w:hAnsi="Garamond"/>
          <w:sz w:val="24"/>
        </w:rPr>
        <w:t>Schauer</w:t>
      </w:r>
      <w:proofErr w:type="spellEnd"/>
      <w:r w:rsidRPr="00C504EF">
        <w:rPr>
          <w:rFonts w:ascii="Garamond" w:hAnsi="Garamond"/>
          <w:sz w:val="24"/>
        </w:rPr>
        <w:t>-D, Unsure/Undecided]</w:t>
      </w:r>
      <w:r w:rsidRPr="00C504EF">
        <w:rPr>
          <w:rFonts w:ascii="Garamond" w:hAnsi="Garamond"/>
          <w:i/>
          <w:sz w:val="24"/>
        </w:rPr>
        <w:t>]</w:t>
      </w:r>
    </w:p>
    <w:p w14:paraId="085E18E3" w14:textId="77777777" w:rsidR="00C504EF" w:rsidRPr="00C504EF" w:rsidRDefault="00C504EF" w:rsidP="00C504EF">
      <w:pPr>
        <w:spacing w:line="480" w:lineRule="auto"/>
        <w:rPr>
          <w:rFonts w:ascii="Garamond" w:hAnsi="Garamond"/>
          <w:sz w:val="24"/>
        </w:rPr>
      </w:pPr>
    </w:p>
    <w:p w14:paraId="085E18E4" w14:textId="77777777" w:rsidR="00C504EF" w:rsidRPr="00C504EF" w:rsidRDefault="00C504EF" w:rsidP="00C504EF">
      <w:pPr>
        <w:spacing w:line="480" w:lineRule="auto"/>
        <w:rPr>
          <w:rFonts w:ascii="Garamond" w:hAnsi="Garamond"/>
          <w:sz w:val="24"/>
        </w:rPr>
      </w:pPr>
    </w:p>
    <w:p w14:paraId="085E18E5" w14:textId="77777777" w:rsidR="00C504EF" w:rsidRPr="00C504EF" w:rsidRDefault="00C504EF" w:rsidP="00C504EF">
      <w:pPr>
        <w:spacing w:line="480" w:lineRule="auto"/>
        <w:rPr>
          <w:rFonts w:ascii="Garamond" w:hAnsi="Garamond"/>
          <w:sz w:val="24"/>
        </w:rPr>
      </w:pPr>
    </w:p>
    <w:p w14:paraId="085E18E6" w14:textId="77777777" w:rsidR="00C504EF" w:rsidRPr="00C504EF" w:rsidRDefault="00C504EF" w:rsidP="00C504EF">
      <w:pPr>
        <w:spacing w:line="480" w:lineRule="auto"/>
        <w:rPr>
          <w:rFonts w:ascii="Garamond" w:hAnsi="Garamond"/>
          <w:sz w:val="24"/>
        </w:rPr>
      </w:pPr>
      <w:r w:rsidRPr="00C504EF">
        <w:rPr>
          <w:rFonts w:ascii="Garamond" w:hAnsi="Garamond"/>
          <w:sz w:val="24"/>
        </w:rPr>
        <w:lastRenderedPageBreak/>
        <w:t>MARK SCHAUER</w:t>
      </w:r>
    </w:p>
    <w:p w14:paraId="085E18E7"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PERSUASION AND ENDORSEMENTS</w:t>
      </w:r>
    </w:p>
    <w:p w14:paraId="085E18E8" w14:textId="77777777" w:rsidR="00C504EF" w:rsidRPr="00C504EF" w:rsidRDefault="00C504EF" w:rsidP="00C504EF">
      <w:pPr>
        <w:spacing w:line="480" w:lineRule="auto"/>
        <w:rPr>
          <w:rFonts w:ascii="Garamond" w:hAnsi="Garamond"/>
          <w:sz w:val="24"/>
        </w:rPr>
      </w:pPr>
      <w:r w:rsidRPr="00C504EF">
        <w:rPr>
          <w:rFonts w:ascii="Garamond" w:hAnsi="Garamond"/>
          <w:sz w:val="24"/>
        </w:rPr>
        <w:t>[REDACTED] is an independent organization that represents 120,000 Michiganders who want an economy that works for working people. We are not part of any political party or campaign and support candidates based on their record.</w:t>
      </w:r>
    </w:p>
    <w:p w14:paraId="085E18E9" w14:textId="77777777" w:rsidR="00C504EF" w:rsidRPr="00C504EF" w:rsidRDefault="00C504EF" w:rsidP="00C504EF">
      <w:pPr>
        <w:spacing w:line="480" w:lineRule="auto"/>
        <w:rPr>
          <w:rFonts w:ascii="Garamond" w:hAnsi="Garamond"/>
          <w:sz w:val="24"/>
        </w:rPr>
      </w:pPr>
      <w:r w:rsidRPr="00C504EF">
        <w:rPr>
          <w:rFonts w:ascii="Garamond" w:hAnsi="Garamond"/>
          <w:sz w:val="24"/>
        </w:rPr>
        <w:t>[IF SCHAUER]</w:t>
      </w:r>
    </w:p>
    <w:p w14:paraId="085E18EA"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 We are also supporting Mark </w:t>
      </w:r>
      <w:proofErr w:type="spellStart"/>
      <w:r w:rsidRPr="00C504EF">
        <w:rPr>
          <w:rFonts w:ascii="Garamond" w:hAnsi="Garamond"/>
          <w:sz w:val="24"/>
        </w:rPr>
        <w:t>Schauer</w:t>
      </w:r>
      <w:proofErr w:type="spellEnd"/>
      <w:r w:rsidRPr="00C504EF">
        <w:rPr>
          <w:rFonts w:ascii="Garamond" w:hAnsi="Garamond"/>
          <w:sz w:val="24"/>
        </w:rPr>
        <w:t xml:space="preserve"> to be the next Governor. Thanks for your support!</w:t>
      </w:r>
    </w:p>
    <w:p w14:paraId="085E18EB" w14:textId="77777777" w:rsidR="00C504EF" w:rsidRPr="00C504EF" w:rsidRDefault="00C504EF" w:rsidP="00C504EF">
      <w:pPr>
        <w:spacing w:line="480" w:lineRule="auto"/>
        <w:rPr>
          <w:rFonts w:ascii="Garamond" w:hAnsi="Garamond"/>
          <w:i/>
          <w:sz w:val="24"/>
        </w:rPr>
      </w:pPr>
      <w:r w:rsidRPr="00C504EF">
        <w:rPr>
          <w:rFonts w:ascii="Garamond" w:hAnsi="Garamond"/>
          <w:i/>
          <w:sz w:val="24"/>
        </w:rPr>
        <w:t>Hand over lit. Go to Peters</w:t>
      </w:r>
      <w:r w:rsidRPr="00C504EF">
        <w:rPr>
          <w:rFonts w:ascii="Garamond" w:hAnsi="Garamond"/>
          <w:sz w:val="24"/>
        </w:rPr>
        <w:t xml:space="preserve"> </w:t>
      </w:r>
      <w:r w:rsidRPr="00C504EF">
        <w:rPr>
          <w:rFonts w:ascii="Garamond" w:hAnsi="Garamond"/>
          <w:i/>
          <w:sz w:val="24"/>
        </w:rPr>
        <w:t>Endorsement</w:t>
      </w:r>
    </w:p>
    <w:p w14:paraId="085E18EC" w14:textId="77777777" w:rsidR="00C504EF" w:rsidRPr="00C504EF" w:rsidRDefault="00C504EF" w:rsidP="00C504EF">
      <w:pPr>
        <w:spacing w:line="480" w:lineRule="auto"/>
        <w:rPr>
          <w:rFonts w:ascii="Garamond" w:hAnsi="Garamond"/>
          <w:sz w:val="24"/>
        </w:rPr>
      </w:pPr>
      <w:r w:rsidRPr="00C504EF">
        <w:rPr>
          <w:rFonts w:ascii="Garamond" w:hAnsi="Garamond"/>
          <w:sz w:val="24"/>
        </w:rPr>
        <w:t>[IF UNDECIDED]</w:t>
      </w:r>
    </w:p>
    <w:p w14:paraId="085E18ED"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[REDACTED] has researched the issues and we have found that Mark </w:t>
      </w:r>
      <w:proofErr w:type="spellStart"/>
      <w:r w:rsidRPr="00C504EF">
        <w:rPr>
          <w:rFonts w:ascii="Garamond" w:hAnsi="Garamond"/>
          <w:sz w:val="24"/>
        </w:rPr>
        <w:t>Schauer</w:t>
      </w:r>
      <w:proofErr w:type="spellEnd"/>
      <w:r w:rsidRPr="00C504EF">
        <w:rPr>
          <w:rFonts w:ascii="Garamond" w:hAnsi="Garamond"/>
          <w:sz w:val="24"/>
        </w:rPr>
        <w:t xml:space="preserve"> has the strongest record of supporting working families and the issues important to the community. That is why he has the support of tens of thousands of working men and women in Michigan and will work to create good jobs and improve our schools. </w:t>
      </w:r>
    </w:p>
    <w:p w14:paraId="085E18EE"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So can we count on your vote for Mark </w:t>
      </w:r>
      <w:proofErr w:type="spellStart"/>
      <w:r w:rsidRPr="00C504EF">
        <w:rPr>
          <w:rFonts w:ascii="Garamond" w:hAnsi="Garamond"/>
          <w:sz w:val="24"/>
        </w:rPr>
        <w:t>Schauer</w:t>
      </w:r>
      <w:proofErr w:type="spellEnd"/>
      <w:r w:rsidRPr="00C504EF">
        <w:rPr>
          <w:rFonts w:ascii="Garamond" w:hAnsi="Garamond"/>
          <w:sz w:val="24"/>
        </w:rPr>
        <w:t xml:space="preserve"> for Governor? </w:t>
      </w:r>
    </w:p>
    <w:p w14:paraId="085E18EF" w14:textId="77777777" w:rsidR="00C504EF" w:rsidRPr="00C504EF" w:rsidRDefault="00C504EF" w:rsidP="00C504EF">
      <w:pPr>
        <w:spacing w:line="480" w:lineRule="auto"/>
        <w:rPr>
          <w:rFonts w:ascii="Garamond" w:hAnsi="Garamond"/>
          <w:sz w:val="24"/>
          <w:u w:val="single"/>
        </w:rPr>
      </w:pPr>
      <w:r w:rsidRPr="00C504EF">
        <w:rPr>
          <w:rFonts w:ascii="Garamond" w:hAnsi="Garamond"/>
          <w:i/>
          <w:sz w:val="24"/>
        </w:rPr>
        <w:t>Do not record response. Hand over lit. Go to Peters</w:t>
      </w:r>
      <w:r w:rsidRPr="00C504EF">
        <w:rPr>
          <w:rFonts w:ascii="Garamond" w:hAnsi="Garamond"/>
          <w:sz w:val="24"/>
        </w:rPr>
        <w:t xml:space="preserve"> </w:t>
      </w:r>
      <w:r w:rsidRPr="00C504EF">
        <w:rPr>
          <w:rFonts w:ascii="Garamond" w:hAnsi="Garamond"/>
          <w:i/>
          <w:sz w:val="24"/>
        </w:rPr>
        <w:t>Endorsement</w:t>
      </w:r>
      <w:r w:rsidRPr="00C504EF">
        <w:rPr>
          <w:rFonts w:ascii="Garamond" w:hAnsi="Garamond"/>
          <w:i/>
          <w:sz w:val="24"/>
          <w:u w:val="single"/>
        </w:rPr>
        <w:t>.</w:t>
      </w:r>
    </w:p>
    <w:p w14:paraId="085E18F0" w14:textId="77777777" w:rsidR="00C504EF" w:rsidRPr="00C504EF" w:rsidRDefault="00C504EF" w:rsidP="00C504EF">
      <w:pPr>
        <w:spacing w:line="480" w:lineRule="auto"/>
        <w:rPr>
          <w:rFonts w:ascii="Garamond" w:hAnsi="Garamond"/>
          <w:sz w:val="24"/>
        </w:rPr>
      </w:pPr>
      <w:r w:rsidRPr="00C504EF">
        <w:rPr>
          <w:rFonts w:ascii="Garamond" w:hAnsi="Garamond"/>
          <w:sz w:val="24"/>
        </w:rPr>
        <w:t>[IF OTHER CANDIDATE]</w:t>
      </w:r>
    </w:p>
    <w:p w14:paraId="085E18F1"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I understand. How you vote is a personal decision. [REDACTED] has done the research on the issues and we believe that Mark </w:t>
      </w:r>
      <w:proofErr w:type="spellStart"/>
      <w:r w:rsidRPr="00C504EF">
        <w:rPr>
          <w:rFonts w:ascii="Garamond" w:hAnsi="Garamond"/>
          <w:sz w:val="24"/>
        </w:rPr>
        <w:t>Schauer</w:t>
      </w:r>
      <w:proofErr w:type="spellEnd"/>
      <w:r w:rsidRPr="00C504EF">
        <w:rPr>
          <w:rFonts w:ascii="Garamond" w:hAnsi="Garamond"/>
          <w:sz w:val="24"/>
        </w:rPr>
        <w:t xml:space="preserve"> has the strongest track record of getting things done for working people and will be the strongest leader for Michiganders .</w:t>
      </w:r>
    </w:p>
    <w:p w14:paraId="085E18F2" w14:textId="77777777" w:rsidR="00C504EF" w:rsidRPr="00C504EF" w:rsidRDefault="00C504EF" w:rsidP="00C504EF">
      <w:pPr>
        <w:spacing w:line="480" w:lineRule="auto"/>
        <w:rPr>
          <w:rFonts w:ascii="Garamond" w:hAnsi="Garamond"/>
          <w:i/>
          <w:sz w:val="24"/>
        </w:rPr>
      </w:pPr>
      <w:r w:rsidRPr="00C504EF">
        <w:rPr>
          <w:rFonts w:ascii="Garamond" w:hAnsi="Garamond"/>
          <w:i/>
          <w:sz w:val="24"/>
        </w:rPr>
        <w:t>Hand over lit. Go to Peters</w:t>
      </w:r>
      <w:r w:rsidRPr="00C504EF">
        <w:rPr>
          <w:rFonts w:ascii="Garamond" w:hAnsi="Garamond"/>
          <w:sz w:val="24"/>
        </w:rPr>
        <w:t xml:space="preserve"> </w:t>
      </w:r>
      <w:r w:rsidRPr="00C504EF">
        <w:rPr>
          <w:rFonts w:ascii="Garamond" w:hAnsi="Garamond"/>
          <w:i/>
          <w:sz w:val="24"/>
        </w:rPr>
        <w:t>Endorsement.</w:t>
      </w:r>
    </w:p>
    <w:p w14:paraId="085E18F3" w14:textId="77777777" w:rsidR="00C504EF" w:rsidRPr="00C504EF" w:rsidRDefault="00C504EF" w:rsidP="00C504EF">
      <w:pPr>
        <w:spacing w:line="480" w:lineRule="auto"/>
        <w:rPr>
          <w:rFonts w:ascii="Garamond" w:hAnsi="Garamond"/>
          <w:sz w:val="24"/>
          <w:u w:val="single"/>
        </w:rPr>
      </w:pPr>
      <w:r w:rsidRPr="00C504EF">
        <w:rPr>
          <w:rFonts w:ascii="Garamond" w:hAnsi="Garamond"/>
          <w:sz w:val="24"/>
        </w:rPr>
        <w:lastRenderedPageBreak/>
        <w:t>US SENATE:</w:t>
      </w:r>
    </w:p>
    <w:p w14:paraId="085E18F4" w14:textId="77777777" w:rsidR="00C504EF" w:rsidRPr="00C504EF" w:rsidRDefault="00C504EF" w:rsidP="00C504EF">
      <w:pPr>
        <w:spacing w:line="480" w:lineRule="auto"/>
        <w:rPr>
          <w:rFonts w:ascii="Garamond" w:hAnsi="Garamond"/>
          <w:sz w:val="24"/>
        </w:rPr>
      </w:pPr>
      <w:r w:rsidRPr="00C504EF">
        <w:rPr>
          <w:rFonts w:ascii="Garamond" w:hAnsi="Garamond"/>
          <w:sz w:val="24"/>
        </w:rPr>
        <w:t>GARY PETERS</w:t>
      </w:r>
    </w:p>
    <w:p w14:paraId="085E18F5"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ENDORSEMENT</w:t>
      </w:r>
    </w:p>
    <w:p w14:paraId="085E18F6" w14:textId="77777777" w:rsidR="00C504EF" w:rsidRPr="00C504EF" w:rsidRDefault="00C504EF" w:rsidP="00C504EF">
      <w:pPr>
        <w:spacing w:line="480" w:lineRule="auto"/>
        <w:rPr>
          <w:rFonts w:ascii="Garamond" w:hAnsi="Garamond"/>
          <w:sz w:val="24"/>
        </w:rPr>
      </w:pPr>
      <w:r w:rsidRPr="00C504EF">
        <w:rPr>
          <w:rFonts w:ascii="Garamond" w:hAnsi="Garamond"/>
          <w:sz w:val="24"/>
        </w:rPr>
        <w:t>[REDACTED] has done the research and found that Gary Peters has the strongest record of fighting for Michigan. In Congress he helped deliver on the loans to save the auto industry jobs and start to turn around Michigan’s economy.</w:t>
      </w:r>
    </w:p>
    <w:p w14:paraId="085E18F7" w14:textId="77777777" w:rsidR="00C504EF" w:rsidRPr="00C504EF" w:rsidRDefault="00C504EF" w:rsidP="00C504EF">
      <w:pPr>
        <w:spacing w:line="480" w:lineRule="auto"/>
        <w:rPr>
          <w:rFonts w:ascii="Garamond" w:hAnsi="Garamond"/>
          <w:i/>
          <w:sz w:val="24"/>
        </w:rPr>
      </w:pPr>
      <w:r w:rsidRPr="00C504EF">
        <w:rPr>
          <w:rFonts w:ascii="Garamond" w:hAnsi="Garamond"/>
          <w:i/>
          <w:sz w:val="24"/>
        </w:rPr>
        <w:t xml:space="preserve">Go to Plan Making. </w:t>
      </w:r>
    </w:p>
    <w:p w14:paraId="085E18F8"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PLAN MAKING</w:t>
      </w:r>
    </w:p>
    <w:p w14:paraId="085E18F9" w14:textId="77777777" w:rsidR="00C504EF" w:rsidRPr="00C504EF" w:rsidRDefault="00C504EF" w:rsidP="00C504EF">
      <w:pPr>
        <w:spacing w:line="480" w:lineRule="auto"/>
        <w:rPr>
          <w:rFonts w:ascii="Garamond" w:hAnsi="Garamond"/>
          <w:sz w:val="24"/>
        </w:rPr>
      </w:pPr>
      <w:r w:rsidRPr="00C504EF">
        <w:rPr>
          <w:rFonts w:ascii="Garamond" w:hAnsi="Garamond"/>
          <w:sz w:val="24"/>
        </w:rPr>
        <w:t>[IF SCHAUER or UNDECIDED FOR STATE HOUSE]</w:t>
      </w:r>
    </w:p>
    <w:p w14:paraId="085E18FA" w14:textId="77777777" w:rsidR="00C504EF" w:rsidRPr="00C504EF" w:rsidRDefault="00C504EF" w:rsidP="00C504EF">
      <w:pPr>
        <w:spacing w:line="480" w:lineRule="auto"/>
        <w:rPr>
          <w:rFonts w:ascii="Garamond" w:hAnsi="Garamond" w:cs="Calibri"/>
          <w:sz w:val="24"/>
        </w:rPr>
      </w:pPr>
      <w:r w:rsidRPr="00C504EF">
        <w:rPr>
          <w:rFonts w:ascii="Garamond" w:hAnsi="Garamond" w:cs="Calibri"/>
          <w:sz w:val="24"/>
        </w:rPr>
        <w:t xml:space="preserve">Great! Thanks for your support. As you probably know, this election will determine the direction Michigan takes and turnout is going to be high.  </w:t>
      </w:r>
    </w:p>
    <w:p w14:paraId="085E18FB" w14:textId="77777777" w:rsidR="00C504EF" w:rsidRPr="00C504EF" w:rsidRDefault="00C504EF" w:rsidP="00C504EF">
      <w:pPr>
        <w:spacing w:line="480" w:lineRule="auto"/>
        <w:rPr>
          <w:rFonts w:ascii="Garamond" w:hAnsi="Garamond" w:cs="Calibri"/>
          <w:sz w:val="24"/>
        </w:rPr>
      </w:pPr>
      <w:r w:rsidRPr="00C504EF">
        <w:rPr>
          <w:rFonts w:ascii="Garamond" w:hAnsi="Garamond" w:cs="Calibri"/>
          <w:sz w:val="24"/>
        </w:rPr>
        <w:t>The polls open at 7 am and close at 8 pm on Election Day. When do you normally go- on your way to work? When you get off? Just before dinner? [LISTEN FOR RESPONSE &amp; FOLLOW UP IF APPROPRIATE. DRAW RESPONSE OUT OF VOTER.]</w:t>
      </w:r>
    </w:p>
    <w:p w14:paraId="085E18FC" w14:textId="77777777" w:rsidR="00C504EF" w:rsidRPr="00C504EF" w:rsidRDefault="00C504EF" w:rsidP="00C504EF">
      <w:pPr>
        <w:spacing w:line="480" w:lineRule="auto"/>
        <w:rPr>
          <w:rFonts w:ascii="Garamond" w:hAnsi="Garamond" w:cs="Calibri"/>
          <w:sz w:val="24"/>
        </w:rPr>
      </w:pPr>
      <w:r w:rsidRPr="00C504EF">
        <w:rPr>
          <w:rFonts w:ascii="Garamond" w:hAnsi="Garamond" w:cs="Calibri"/>
          <w:sz w:val="24"/>
        </w:rPr>
        <w:t>[FOR VOTERS WHO COMMIT TO TURNOUT]</w:t>
      </w:r>
    </w:p>
    <w:p w14:paraId="085E18FD" w14:textId="77777777" w:rsidR="00C504EF" w:rsidRPr="00C504EF" w:rsidRDefault="00C504EF" w:rsidP="00C504EF">
      <w:pPr>
        <w:spacing w:line="480" w:lineRule="auto"/>
        <w:rPr>
          <w:rFonts w:ascii="Garamond" w:hAnsi="Garamond" w:cs="Calibri"/>
          <w:sz w:val="24"/>
        </w:rPr>
      </w:pPr>
      <w:r w:rsidRPr="00C504EF">
        <w:rPr>
          <w:rFonts w:ascii="Garamond" w:hAnsi="Garamond" w:cs="Calibri"/>
          <w:sz w:val="24"/>
        </w:rPr>
        <w:t xml:space="preserve">Thanks.  You know one of the best ways to increase Mark </w:t>
      </w:r>
      <w:proofErr w:type="spellStart"/>
      <w:r w:rsidRPr="00C504EF">
        <w:rPr>
          <w:rFonts w:ascii="Garamond" w:hAnsi="Garamond" w:cs="Calibri"/>
          <w:sz w:val="24"/>
        </w:rPr>
        <w:t>Schauer’s</w:t>
      </w:r>
      <w:proofErr w:type="spellEnd"/>
      <w:r w:rsidRPr="00C504EF">
        <w:rPr>
          <w:rFonts w:ascii="Garamond" w:hAnsi="Garamond" w:cs="Calibri"/>
          <w:sz w:val="24"/>
        </w:rPr>
        <w:t xml:space="preserve"> chances of winning is to talk to your family about why this election matters to you.  Have you had a chance to talk to your family about this election? [LISTEN FOR RESPONSE &amp; FOLLOW UP IF APPROPRIATE]</w:t>
      </w:r>
    </w:p>
    <w:p w14:paraId="085E18FE" w14:textId="77777777" w:rsidR="00C504EF" w:rsidRPr="00C504EF" w:rsidRDefault="00C504EF" w:rsidP="00C504EF">
      <w:pPr>
        <w:spacing w:line="480" w:lineRule="auto"/>
        <w:rPr>
          <w:rFonts w:ascii="Garamond" w:hAnsi="Garamond" w:cs="Calibri"/>
          <w:i/>
          <w:sz w:val="24"/>
        </w:rPr>
      </w:pPr>
      <w:r w:rsidRPr="00C504EF">
        <w:rPr>
          <w:rFonts w:ascii="Garamond" w:hAnsi="Garamond" w:cs="Calibri"/>
          <w:i/>
          <w:sz w:val="24"/>
        </w:rPr>
        <w:t xml:space="preserve">Sample follow up question: “How do they feel about the Governor’s race? Did you share your reasons for voting for Mark </w:t>
      </w:r>
      <w:proofErr w:type="spellStart"/>
      <w:r w:rsidRPr="00C504EF">
        <w:rPr>
          <w:rFonts w:ascii="Garamond" w:hAnsi="Garamond" w:cs="Calibri"/>
          <w:i/>
          <w:sz w:val="24"/>
        </w:rPr>
        <w:t>Schauer</w:t>
      </w:r>
      <w:proofErr w:type="spellEnd"/>
      <w:r w:rsidRPr="00C504EF">
        <w:rPr>
          <w:rFonts w:ascii="Garamond" w:hAnsi="Garamond" w:cs="Calibri"/>
          <w:i/>
          <w:sz w:val="24"/>
        </w:rPr>
        <w:t>?”</w:t>
      </w:r>
    </w:p>
    <w:p w14:paraId="085E18FF" w14:textId="77777777" w:rsidR="00C504EF" w:rsidRPr="00C504EF" w:rsidRDefault="00C504EF" w:rsidP="00C504EF">
      <w:pPr>
        <w:spacing w:line="480" w:lineRule="auto"/>
        <w:rPr>
          <w:rFonts w:ascii="Garamond" w:hAnsi="Garamond" w:cs="Calibri"/>
          <w:sz w:val="24"/>
        </w:rPr>
      </w:pPr>
      <w:r w:rsidRPr="00C504EF">
        <w:rPr>
          <w:rFonts w:ascii="Garamond" w:hAnsi="Garamond" w:cs="Calibri"/>
          <w:sz w:val="24"/>
        </w:rPr>
        <w:lastRenderedPageBreak/>
        <w:t xml:space="preserve">Thanks, Goodnight. </w:t>
      </w:r>
    </w:p>
    <w:p w14:paraId="085E1900" w14:textId="77777777" w:rsidR="00C504EF" w:rsidRPr="00C504EF" w:rsidRDefault="00C504EF" w:rsidP="00C504EF">
      <w:pPr>
        <w:spacing w:line="480" w:lineRule="auto"/>
        <w:rPr>
          <w:rFonts w:ascii="Garamond" w:hAnsi="Garamond" w:cs="Calibri"/>
          <w:sz w:val="24"/>
        </w:rPr>
      </w:pPr>
    </w:p>
    <w:p w14:paraId="085E1901" w14:textId="77777777" w:rsidR="00C504EF" w:rsidRPr="00C504EF" w:rsidRDefault="00C504EF" w:rsidP="00C504EF">
      <w:pPr>
        <w:spacing w:line="480" w:lineRule="auto"/>
        <w:rPr>
          <w:rFonts w:ascii="Garamond" w:hAnsi="Garamond" w:cs="Calibri"/>
          <w:sz w:val="24"/>
        </w:rPr>
      </w:pPr>
    </w:p>
    <w:p w14:paraId="085E1902" w14:textId="77777777" w:rsidR="00C504EF" w:rsidRPr="00C504EF" w:rsidRDefault="00C504EF" w:rsidP="00C504EF">
      <w:pPr>
        <w:spacing w:line="480" w:lineRule="auto"/>
        <w:rPr>
          <w:rFonts w:ascii="Garamond" w:hAnsi="Garamond" w:cs="Calibri"/>
          <w:sz w:val="24"/>
        </w:rPr>
      </w:pPr>
    </w:p>
    <w:p w14:paraId="085E1903" w14:textId="77777777" w:rsidR="00C504EF" w:rsidRPr="00C504EF" w:rsidRDefault="00C504EF" w:rsidP="00C504EF">
      <w:pPr>
        <w:spacing w:line="480" w:lineRule="auto"/>
        <w:rPr>
          <w:rFonts w:ascii="Garamond" w:hAnsi="Garamond" w:cs="Calibri"/>
          <w:sz w:val="24"/>
        </w:rPr>
      </w:pPr>
    </w:p>
    <w:p w14:paraId="085E1904" w14:textId="77777777" w:rsidR="00C504EF" w:rsidRPr="00C504EF" w:rsidRDefault="00C504EF" w:rsidP="00C504EF">
      <w:pPr>
        <w:spacing w:line="480" w:lineRule="auto"/>
        <w:rPr>
          <w:rFonts w:ascii="Garamond" w:hAnsi="Garamond" w:cs="Calibri"/>
          <w:sz w:val="24"/>
        </w:rPr>
      </w:pPr>
    </w:p>
    <w:p w14:paraId="085E1905" w14:textId="77777777" w:rsidR="00C504EF" w:rsidRPr="00C504EF" w:rsidRDefault="00C504EF" w:rsidP="00C504EF">
      <w:pPr>
        <w:spacing w:line="480" w:lineRule="auto"/>
        <w:rPr>
          <w:rFonts w:ascii="Garamond" w:hAnsi="Garamond" w:cs="Calibri"/>
          <w:sz w:val="24"/>
        </w:rPr>
      </w:pPr>
    </w:p>
    <w:p w14:paraId="085E1906" w14:textId="77777777" w:rsidR="00C504EF" w:rsidRPr="00C504EF" w:rsidRDefault="00C504EF" w:rsidP="00C504EF">
      <w:pPr>
        <w:spacing w:line="480" w:lineRule="auto"/>
        <w:rPr>
          <w:rFonts w:ascii="Garamond" w:hAnsi="Garamond" w:cs="Calibri"/>
          <w:sz w:val="24"/>
        </w:rPr>
      </w:pPr>
    </w:p>
    <w:p w14:paraId="085E1907" w14:textId="77777777" w:rsidR="00C504EF" w:rsidRPr="00C504EF" w:rsidRDefault="00C504EF" w:rsidP="00C504EF">
      <w:pPr>
        <w:spacing w:line="480" w:lineRule="auto"/>
        <w:rPr>
          <w:rFonts w:ascii="Garamond" w:hAnsi="Garamond" w:cs="Calibri"/>
          <w:sz w:val="24"/>
        </w:rPr>
      </w:pPr>
    </w:p>
    <w:p w14:paraId="085E1908" w14:textId="77777777" w:rsidR="00C504EF" w:rsidRPr="00C504EF" w:rsidRDefault="00C504EF" w:rsidP="00C504EF">
      <w:pPr>
        <w:spacing w:line="480" w:lineRule="auto"/>
        <w:rPr>
          <w:rFonts w:ascii="Garamond" w:hAnsi="Garamond" w:cs="Calibri"/>
          <w:sz w:val="24"/>
        </w:rPr>
      </w:pPr>
    </w:p>
    <w:p w14:paraId="085E1909" w14:textId="77777777" w:rsidR="00C504EF" w:rsidRPr="00C504EF" w:rsidRDefault="00C504EF" w:rsidP="00C504EF">
      <w:pPr>
        <w:spacing w:line="480" w:lineRule="auto"/>
        <w:rPr>
          <w:rFonts w:ascii="Garamond" w:hAnsi="Garamond" w:cs="Calibri"/>
          <w:sz w:val="24"/>
        </w:rPr>
      </w:pPr>
    </w:p>
    <w:p w14:paraId="085E190A" w14:textId="77777777" w:rsidR="00C504EF" w:rsidRPr="00C504EF" w:rsidRDefault="00C504EF" w:rsidP="00C504EF">
      <w:pPr>
        <w:spacing w:line="480" w:lineRule="auto"/>
        <w:rPr>
          <w:rFonts w:ascii="Garamond" w:hAnsi="Garamond" w:cs="Calibri"/>
          <w:sz w:val="24"/>
        </w:rPr>
      </w:pPr>
    </w:p>
    <w:p w14:paraId="085E190B" w14:textId="77777777" w:rsidR="00C504EF" w:rsidRPr="00C504EF" w:rsidRDefault="00C504EF" w:rsidP="00C504EF">
      <w:pPr>
        <w:spacing w:line="480" w:lineRule="auto"/>
        <w:rPr>
          <w:rFonts w:ascii="Garamond" w:hAnsi="Garamond" w:cs="Calibri"/>
          <w:sz w:val="24"/>
        </w:rPr>
      </w:pPr>
    </w:p>
    <w:p w14:paraId="085E190C" w14:textId="77777777" w:rsidR="00C504EF" w:rsidRPr="00C504EF" w:rsidRDefault="00C504EF" w:rsidP="00C504EF">
      <w:pPr>
        <w:spacing w:line="480" w:lineRule="auto"/>
        <w:rPr>
          <w:rFonts w:ascii="Garamond" w:hAnsi="Garamond" w:cs="Calibri"/>
          <w:sz w:val="24"/>
        </w:rPr>
      </w:pPr>
    </w:p>
    <w:p w14:paraId="085E190D" w14:textId="77777777" w:rsidR="00C504EF" w:rsidRPr="00C504EF" w:rsidRDefault="00C504EF" w:rsidP="00C504EF">
      <w:pPr>
        <w:spacing w:line="480" w:lineRule="auto"/>
        <w:rPr>
          <w:rFonts w:ascii="Garamond" w:hAnsi="Garamond" w:cs="Calibri"/>
          <w:sz w:val="24"/>
        </w:rPr>
      </w:pPr>
    </w:p>
    <w:p w14:paraId="085E190E" w14:textId="77777777" w:rsidR="00C504EF" w:rsidRPr="00C504EF" w:rsidRDefault="00C504EF" w:rsidP="00C504EF">
      <w:pPr>
        <w:spacing w:line="480" w:lineRule="auto"/>
        <w:rPr>
          <w:rFonts w:ascii="Garamond" w:hAnsi="Garamond" w:cs="Calibri"/>
          <w:sz w:val="24"/>
        </w:rPr>
      </w:pPr>
    </w:p>
    <w:p w14:paraId="085E190F" w14:textId="77777777" w:rsidR="00C504EF" w:rsidRPr="00C504EF" w:rsidRDefault="00C504EF" w:rsidP="00C504EF">
      <w:pPr>
        <w:spacing w:line="480" w:lineRule="auto"/>
        <w:rPr>
          <w:rFonts w:ascii="Garamond" w:hAnsi="Garamond" w:cs="Calibri"/>
          <w:sz w:val="24"/>
        </w:rPr>
      </w:pPr>
    </w:p>
    <w:p w14:paraId="085E1910" w14:textId="77777777" w:rsidR="00C504EF" w:rsidRPr="00C504EF" w:rsidRDefault="00C504EF" w:rsidP="00C504EF">
      <w:pPr>
        <w:spacing w:line="480" w:lineRule="auto"/>
        <w:rPr>
          <w:rFonts w:ascii="Garamond" w:hAnsi="Garamond" w:cs="Calibri"/>
          <w:sz w:val="24"/>
        </w:rPr>
      </w:pPr>
    </w:p>
    <w:p w14:paraId="085E1911" w14:textId="77777777" w:rsidR="00C504EF" w:rsidRPr="00C504EF" w:rsidRDefault="00C504EF" w:rsidP="00C504EF">
      <w:pPr>
        <w:spacing w:line="480" w:lineRule="auto"/>
        <w:rPr>
          <w:rFonts w:ascii="Garamond" w:hAnsi="Garamond" w:cs="Calibri"/>
          <w:sz w:val="24"/>
        </w:rPr>
      </w:pPr>
    </w:p>
    <w:p w14:paraId="085E1912" w14:textId="77777777" w:rsidR="00C504EF" w:rsidRPr="00C504EF" w:rsidRDefault="00C504EF" w:rsidP="00C504EF">
      <w:pPr>
        <w:spacing w:line="480" w:lineRule="auto"/>
        <w:jc w:val="center"/>
        <w:rPr>
          <w:rFonts w:ascii="Garamond" w:hAnsi="Garamond"/>
          <w:sz w:val="24"/>
        </w:rPr>
      </w:pPr>
      <w:r w:rsidRPr="00C504EF">
        <w:rPr>
          <w:rFonts w:ascii="Garamond" w:hAnsi="Garamond"/>
          <w:sz w:val="24"/>
        </w:rPr>
        <w:lastRenderedPageBreak/>
        <w:t xml:space="preserve">2014 Michigan General Election </w:t>
      </w:r>
      <w:proofErr w:type="gramStart"/>
      <w:r w:rsidRPr="00C504EF">
        <w:rPr>
          <w:rFonts w:ascii="Garamond" w:hAnsi="Garamond"/>
          <w:sz w:val="24"/>
        </w:rPr>
        <w:t>For</w:t>
      </w:r>
      <w:proofErr w:type="gramEnd"/>
      <w:r w:rsidRPr="00C504EF">
        <w:rPr>
          <w:rFonts w:ascii="Garamond" w:hAnsi="Garamond"/>
          <w:sz w:val="24"/>
        </w:rPr>
        <w:t xml:space="preserve"> Governor</w:t>
      </w:r>
    </w:p>
    <w:p w14:paraId="085E1913" w14:textId="77777777" w:rsidR="00C504EF" w:rsidRPr="00C504EF" w:rsidRDefault="00C504EF" w:rsidP="00C504EF">
      <w:pPr>
        <w:spacing w:line="480" w:lineRule="auto"/>
        <w:jc w:val="center"/>
        <w:rPr>
          <w:rFonts w:ascii="Garamond" w:hAnsi="Garamond"/>
          <w:sz w:val="24"/>
        </w:rPr>
      </w:pPr>
      <w:r w:rsidRPr="00C504EF">
        <w:rPr>
          <w:rFonts w:ascii="Garamond" w:hAnsi="Garamond"/>
          <w:sz w:val="24"/>
        </w:rPr>
        <w:t xml:space="preserve">Mark </w:t>
      </w:r>
      <w:proofErr w:type="spellStart"/>
      <w:r w:rsidRPr="00C504EF">
        <w:rPr>
          <w:rFonts w:ascii="Garamond" w:hAnsi="Garamond"/>
          <w:sz w:val="24"/>
        </w:rPr>
        <w:t>Schauer</w:t>
      </w:r>
      <w:proofErr w:type="spellEnd"/>
    </w:p>
    <w:p w14:paraId="085E1914"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t>PERSUASION TALKING POINTS</w:t>
      </w:r>
    </w:p>
    <w:p w14:paraId="085E1915"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Crumbling Infrastructure:  Fixing our roads and bridges is not Governor Snyder’s priority. The delay means an added $1.8 billion in costs for taxpayers, nearly $400 per year in unnecessary auto repairs for the average driver and countless hours of frustration. Experts say that one in four bridges rated as structurally deficient. </w:t>
      </w:r>
    </w:p>
    <w:p w14:paraId="085E1916" w14:textId="77777777" w:rsidR="00C504EF" w:rsidRPr="00C504EF" w:rsidRDefault="00C504EF" w:rsidP="00C504EF">
      <w:pPr>
        <w:spacing w:line="480" w:lineRule="auto"/>
        <w:rPr>
          <w:rFonts w:ascii="Garamond" w:hAnsi="Garamond"/>
          <w:sz w:val="24"/>
        </w:rPr>
      </w:pPr>
    </w:p>
    <w:p w14:paraId="085E1917"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Mark </w:t>
      </w:r>
      <w:proofErr w:type="spellStart"/>
      <w:r w:rsidRPr="00C504EF">
        <w:rPr>
          <w:rFonts w:ascii="Garamond" w:hAnsi="Garamond"/>
          <w:sz w:val="24"/>
        </w:rPr>
        <w:t>Schauer</w:t>
      </w:r>
      <w:proofErr w:type="spellEnd"/>
      <w:r w:rsidRPr="00C504EF">
        <w:rPr>
          <w:rFonts w:ascii="Garamond" w:hAnsi="Garamond"/>
          <w:sz w:val="24"/>
        </w:rPr>
        <w:t xml:space="preserve"> will finally fix our roads and bridges by getting corporations to pay their fair share in taxes for the infrastructure they rely upon to conduct business.</w:t>
      </w:r>
    </w:p>
    <w:p w14:paraId="085E1918" w14:textId="77777777" w:rsidR="00C504EF" w:rsidRPr="00C504EF" w:rsidRDefault="00C504EF" w:rsidP="00C504EF">
      <w:pPr>
        <w:spacing w:line="480" w:lineRule="auto"/>
        <w:rPr>
          <w:rFonts w:ascii="Garamond" w:hAnsi="Garamond"/>
          <w:sz w:val="24"/>
        </w:rPr>
      </w:pPr>
    </w:p>
    <w:p w14:paraId="085E1919"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Jobs and the Economy: Rick Snyder promised to focus on job creation, but in the last four years, Michigan has trailed the nation and neighboring states like Ohio in adding new jobs. Instead of creating jobs, Snyder has pursued divisive policies like “right to work” that hurt middle class Michiganders. </w:t>
      </w:r>
    </w:p>
    <w:p w14:paraId="085E191A" w14:textId="77777777" w:rsidR="00C504EF" w:rsidRPr="00C504EF" w:rsidRDefault="00C504EF" w:rsidP="00C504EF">
      <w:pPr>
        <w:spacing w:line="480" w:lineRule="auto"/>
        <w:rPr>
          <w:rFonts w:ascii="Garamond" w:hAnsi="Garamond"/>
          <w:sz w:val="24"/>
        </w:rPr>
      </w:pPr>
    </w:p>
    <w:p w14:paraId="085E191B"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Mark </w:t>
      </w:r>
      <w:proofErr w:type="spellStart"/>
      <w:r w:rsidRPr="00C504EF">
        <w:rPr>
          <w:rFonts w:ascii="Garamond" w:hAnsi="Garamond"/>
          <w:sz w:val="24"/>
        </w:rPr>
        <w:t>Schauer</w:t>
      </w:r>
      <w:proofErr w:type="spellEnd"/>
      <w:r w:rsidRPr="00C504EF">
        <w:rPr>
          <w:rFonts w:ascii="Garamond" w:hAnsi="Garamond"/>
          <w:sz w:val="24"/>
        </w:rPr>
        <w:t xml:space="preserve"> has a record of defending Michigan jobs and workers. In Congress he supported the $80 billion investment to stabilize the auto industry. Since then, the money has been repaid and the Big Three are profitable. </w:t>
      </w:r>
      <w:proofErr w:type="spellStart"/>
      <w:r w:rsidRPr="00C504EF">
        <w:rPr>
          <w:rFonts w:ascii="Garamond" w:hAnsi="Garamond"/>
          <w:sz w:val="24"/>
        </w:rPr>
        <w:t>Schauer</w:t>
      </w:r>
      <w:proofErr w:type="spellEnd"/>
      <w:r w:rsidRPr="00C504EF">
        <w:rPr>
          <w:rFonts w:ascii="Garamond" w:hAnsi="Garamond"/>
          <w:sz w:val="24"/>
        </w:rPr>
        <w:t xml:space="preserve"> also wants to repeal the divisive Right to Work law, arguing that “Snyder cannot point to one job that’s been created as a result of right to work.”</w:t>
      </w:r>
    </w:p>
    <w:p w14:paraId="085E191C" w14:textId="77777777" w:rsidR="00C504EF" w:rsidRPr="00C504EF" w:rsidRDefault="00C504EF" w:rsidP="00C504EF">
      <w:pPr>
        <w:spacing w:line="480" w:lineRule="auto"/>
        <w:rPr>
          <w:rFonts w:ascii="Garamond" w:hAnsi="Garamond"/>
          <w:sz w:val="24"/>
        </w:rPr>
      </w:pPr>
    </w:p>
    <w:p w14:paraId="085E191D" w14:textId="77777777" w:rsidR="00C504EF" w:rsidRPr="00C504EF" w:rsidRDefault="00C504EF" w:rsidP="00C504EF">
      <w:pPr>
        <w:spacing w:line="480" w:lineRule="auto"/>
        <w:rPr>
          <w:rFonts w:ascii="Garamond" w:hAnsi="Garamond"/>
          <w:sz w:val="24"/>
        </w:rPr>
      </w:pPr>
      <w:r w:rsidRPr="00C504EF">
        <w:rPr>
          <w:rFonts w:ascii="Garamond" w:hAnsi="Garamond"/>
          <w:sz w:val="24"/>
        </w:rPr>
        <w:lastRenderedPageBreak/>
        <w:t xml:space="preserve">Failing our Schools: In his first year in office, Governor Snyder cut over $1 billion in state school funding- more than $400 per pupil. As a result, class sizes have increased, learning environments have suffered and more than 50 school districts have experienced a credit down grade. </w:t>
      </w:r>
    </w:p>
    <w:p w14:paraId="085E191E" w14:textId="77777777" w:rsidR="00C504EF" w:rsidRPr="00C504EF" w:rsidRDefault="00C504EF" w:rsidP="00C504EF">
      <w:pPr>
        <w:spacing w:line="480" w:lineRule="auto"/>
        <w:rPr>
          <w:rFonts w:ascii="Garamond" w:hAnsi="Garamond"/>
          <w:sz w:val="24"/>
        </w:rPr>
      </w:pPr>
    </w:p>
    <w:p w14:paraId="085E191F"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Mark </w:t>
      </w:r>
      <w:proofErr w:type="spellStart"/>
      <w:r w:rsidRPr="00C504EF">
        <w:rPr>
          <w:rFonts w:ascii="Garamond" w:hAnsi="Garamond"/>
          <w:sz w:val="24"/>
        </w:rPr>
        <w:t>Schauer</w:t>
      </w:r>
      <w:proofErr w:type="spellEnd"/>
      <w:r w:rsidRPr="00C504EF">
        <w:rPr>
          <w:rFonts w:ascii="Garamond" w:hAnsi="Garamond"/>
          <w:sz w:val="24"/>
        </w:rPr>
        <w:t xml:space="preserve"> will stop the diversion of Michigan School Aid fund dollars away from the classroom- nearly $400 per pupil that has resulted in increased class sizes and poorer learning environments, and threatens our finances. </w:t>
      </w:r>
    </w:p>
    <w:p w14:paraId="085E1920" w14:textId="77777777" w:rsidR="00C504EF" w:rsidRPr="00C504EF" w:rsidRDefault="00C504EF" w:rsidP="00C504EF">
      <w:pPr>
        <w:spacing w:line="480" w:lineRule="auto"/>
        <w:rPr>
          <w:rFonts w:ascii="Garamond" w:hAnsi="Garamond"/>
          <w:sz w:val="24"/>
        </w:rPr>
      </w:pPr>
    </w:p>
    <w:p w14:paraId="085E1921" w14:textId="77777777" w:rsidR="00C504EF" w:rsidRPr="00C504EF" w:rsidRDefault="00C504EF" w:rsidP="00C504EF">
      <w:pPr>
        <w:spacing w:line="480" w:lineRule="auto"/>
        <w:rPr>
          <w:rFonts w:ascii="Garamond" w:hAnsi="Garamond"/>
          <w:sz w:val="24"/>
          <w:u w:val="single"/>
        </w:rPr>
      </w:pPr>
    </w:p>
    <w:p w14:paraId="085E1922" w14:textId="77777777" w:rsidR="00C504EF" w:rsidRPr="00C504EF" w:rsidRDefault="00C504EF" w:rsidP="00C504EF">
      <w:pPr>
        <w:spacing w:line="480" w:lineRule="auto"/>
        <w:rPr>
          <w:rFonts w:ascii="Garamond" w:hAnsi="Garamond"/>
          <w:sz w:val="24"/>
          <w:u w:val="single"/>
        </w:rPr>
      </w:pPr>
    </w:p>
    <w:p w14:paraId="085E1923" w14:textId="77777777" w:rsidR="00C504EF" w:rsidRPr="00C504EF" w:rsidRDefault="00C504EF" w:rsidP="00C504EF">
      <w:pPr>
        <w:spacing w:line="480" w:lineRule="auto"/>
        <w:rPr>
          <w:rFonts w:ascii="Garamond" w:hAnsi="Garamond"/>
          <w:sz w:val="24"/>
          <w:u w:val="single"/>
        </w:rPr>
      </w:pPr>
    </w:p>
    <w:p w14:paraId="085E1924" w14:textId="77777777" w:rsidR="00C504EF" w:rsidRPr="00C504EF" w:rsidRDefault="00C504EF" w:rsidP="00C504EF">
      <w:pPr>
        <w:spacing w:line="480" w:lineRule="auto"/>
        <w:rPr>
          <w:rFonts w:ascii="Garamond" w:hAnsi="Garamond"/>
          <w:sz w:val="24"/>
          <w:u w:val="single"/>
        </w:rPr>
      </w:pPr>
    </w:p>
    <w:p w14:paraId="085E1925" w14:textId="77777777" w:rsidR="00C504EF" w:rsidRPr="00C504EF" w:rsidRDefault="00C504EF" w:rsidP="00C504EF">
      <w:pPr>
        <w:spacing w:line="480" w:lineRule="auto"/>
        <w:rPr>
          <w:rFonts w:ascii="Garamond" w:hAnsi="Garamond"/>
          <w:sz w:val="24"/>
          <w:u w:val="single"/>
        </w:rPr>
      </w:pPr>
    </w:p>
    <w:p w14:paraId="085E1926" w14:textId="77777777" w:rsidR="00C504EF" w:rsidRPr="00C504EF" w:rsidRDefault="00C504EF" w:rsidP="00C504EF">
      <w:pPr>
        <w:spacing w:line="480" w:lineRule="auto"/>
        <w:rPr>
          <w:rFonts w:ascii="Garamond" w:hAnsi="Garamond"/>
          <w:sz w:val="24"/>
          <w:u w:val="single"/>
        </w:rPr>
      </w:pPr>
    </w:p>
    <w:p w14:paraId="085E1927" w14:textId="77777777" w:rsidR="00C504EF" w:rsidRPr="00C504EF" w:rsidRDefault="00C504EF" w:rsidP="00C504EF">
      <w:pPr>
        <w:spacing w:line="480" w:lineRule="auto"/>
        <w:rPr>
          <w:rFonts w:ascii="Garamond" w:hAnsi="Garamond"/>
          <w:sz w:val="24"/>
          <w:u w:val="single"/>
        </w:rPr>
      </w:pPr>
    </w:p>
    <w:p w14:paraId="085E1928" w14:textId="77777777" w:rsidR="00C504EF" w:rsidRDefault="00C504EF" w:rsidP="00C504EF">
      <w:pPr>
        <w:spacing w:line="480" w:lineRule="auto"/>
        <w:rPr>
          <w:rFonts w:ascii="Garamond" w:hAnsi="Garamond"/>
          <w:sz w:val="24"/>
          <w:u w:val="single"/>
        </w:rPr>
      </w:pPr>
    </w:p>
    <w:p w14:paraId="085E1929" w14:textId="77777777" w:rsidR="003A4D84" w:rsidRDefault="003A4D84" w:rsidP="00C504EF">
      <w:pPr>
        <w:spacing w:line="480" w:lineRule="auto"/>
        <w:rPr>
          <w:rFonts w:ascii="Garamond" w:hAnsi="Garamond"/>
          <w:sz w:val="24"/>
          <w:u w:val="single"/>
        </w:rPr>
      </w:pPr>
    </w:p>
    <w:p w14:paraId="085E192A" w14:textId="77777777" w:rsidR="003A4D84" w:rsidRPr="00C504EF" w:rsidRDefault="003A4D84" w:rsidP="00C504EF">
      <w:pPr>
        <w:spacing w:line="480" w:lineRule="auto"/>
        <w:rPr>
          <w:rFonts w:ascii="Garamond" w:hAnsi="Garamond"/>
          <w:sz w:val="24"/>
          <w:u w:val="single"/>
        </w:rPr>
      </w:pPr>
    </w:p>
    <w:p w14:paraId="085E192B" w14:textId="77777777" w:rsidR="00C504EF" w:rsidRPr="00C504EF" w:rsidRDefault="00C504EF" w:rsidP="00C504EF">
      <w:pPr>
        <w:spacing w:line="480" w:lineRule="auto"/>
        <w:rPr>
          <w:rFonts w:ascii="Garamond" w:hAnsi="Garamond"/>
          <w:sz w:val="24"/>
          <w:u w:val="single"/>
        </w:rPr>
      </w:pPr>
    </w:p>
    <w:p w14:paraId="085E192C" w14:textId="77777777" w:rsidR="00C504EF" w:rsidRPr="00C504EF" w:rsidRDefault="00C504EF" w:rsidP="00C504EF">
      <w:pPr>
        <w:spacing w:line="480" w:lineRule="auto"/>
        <w:rPr>
          <w:rFonts w:ascii="Garamond" w:hAnsi="Garamond"/>
          <w:sz w:val="24"/>
          <w:u w:val="single"/>
        </w:rPr>
      </w:pPr>
    </w:p>
    <w:p w14:paraId="085E192D" w14:textId="77777777" w:rsidR="00C504EF" w:rsidRPr="00C504EF" w:rsidRDefault="00C504EF" w:rsidP="00C504EF">
      <w:pPr>
        <w:spacing w:line="480" w:lineRule="auto"/>
        <w:rPr>
          <w:rFonts w:ascii="Garamond" w:hAnsi="Garamond"/>
          <w:sz w:val="24"/>
          <w:u w:val="single"/>
        </w:rPr>
      </w:pPr>
      <w:r w:rsidRPr="00C504EF">
        <w:rPr>
          <w:rFonts w:ascii="Garamond" w:hAnsi="Garamond"/>
          <w:sz w:val="24"/>
          <w:u w:val="single"/>
        </w:rPr>
        <w:lastRenderedPageBreak/>
        <w:t>Training Memo</w:t>
      </w:r>
    </w:p>
    <w:p w14:paraId="085E192E" w14:textId="77777777" w:rsidR="00C504EF" w:rsidRPr="00C504EF" w:rsidRDefault="00C504EF" w:rsidP="00C504EF">
      <w:pPr>
        <w:spacing w:line="480" w:lineRule="auto"/>
        <w:rPr>
          <w:rFonts w:ascii="Garamond" w:hAnsi="Garamond"/>
          <w:sz w:val="24"/>
        </w:rPr>
      </w:pPr>
      <w:r w:rsidRPr="00C504EF">
        <w:rPr>
          <w:rFonts w:ascii="Garamond" w:hAnsi="Garamond"/>
          <w:sz w:val="24"/>
        </w:rPr>
        <w:t>Please distribute only to trainers</w:t>
      </w:r>
    </w:p>
    <w:p w14:paraId="085E192F" w14:textId="77777777" w:rsidR="00C504EF" w:rsidRPr="00C504EF" w:rsidRDefault="00C504EF" w:rsidP="00C504EF">
      <w:pPr>
        <w:spacing w:line="480" w:lineRule="auto"/>
        <w:rPr>
          <w:rFonts w:ascii="Garamond" w:hAnsi="Garamond" w:cs="Arial"/>
          <w:sz w:val="24"/>
        </w:rPr>
      </w:pPr>
      <w:r w:rsidRPr="00C504EF">
        <w:rPr>
          <w:rFonts w:ascii="Garamond" w:hAnsi="Garamond" w:cs="Arial"/>
          <w:sz w:val="24"/>
        </w:rPr>
        <w:t>Opening the Rap: Canvassers have found it works better to use the words “upcoming election” with voters versus “out talking about issues”. They found that voters perceive “out talking about issues” as a longer conversation compared to “upcoming election”. Again work with folks on what approach works best for them – if there is push back on “upcoming election” it may be better to approach the voter with “out talking about issues in our community”</w:t>
      </w:r>
    </w:p>
    <w:p w14:paraId="085E1930" w14:textId="77777777" w:rsidR="00C504EF" w:rsidRPr="00C504EF" w:rsidRDefault="00C504EF" w:rsidP="00C504EF">
      <w:pPr>
        <w:spacing w:line="480" w:lineRule="auto"/>
        <w:rPr>
          <w:rFonts w:ascii="Garamond" w:hAnsi="Garamond" w:cs="Arial"/>
          <w:sz w:val="24"/>
        </w:rPr>
      </w:pPr>
    </w:p>
    <w:p w14:paraId="085E1931"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Inclusive Language: Reminding the voter that we are part of the same community and share the same interests facilitates a more collaborative conversation.  For example, “That is why so many folks here in </w:t>
      </w:r>
      <w:r w:rsidRPr="00C504EF">
        <w:rPr>
          <w:rFonts w:ascii="Garamond" w:hAnsi="Garamond"/>
          <w:sz w:val="24"/>
          <w:u w:val="single"/>
        </w:rPr>
        <w:t>our community</w:t>
      </w:r>
      <w:r w:rsidRPr="00C504EF">
        <w:rPr>
          <w:rFonts w:ascii="Garamond" w:hAnsi="Garamond"/>
          <w:sz w:val="24"/>
        </w:rPr>
        <w:t xml:space="preserve"> have decided that they are voting for Mark </w:t>
      </w:r>
      <w:proofErr w:type="spellStart"/>
      <w:r w:rsidRPr="00C504EF">
        <w:rPr>
          <w:rFonts w:ascii="Garamond" w:hAnsi="Garamond"/>
          <w:sz w:val="24"/>
        </w:rPr>
        <w:t>Schauer</w:t>
      </w:r>
      <w:proofErr w:type="spellEnd"/>
      <w:r w:rsidRPr="00C504EF">
        <w:rPr>
          <w:rFonts w:ascii="Garamond" w:hAnsi="Garamond"/>
          <w:sz w:val="24"/>
        </w:rPr>
        <w:t>” assures the voter that we are looking at the issues from the same perspective. This approach assumes support.  By contrast, exclusive language like “you” and “they” imply social distance and that you are attempting to convince the person to share the perspective.</w:t>
      </w:r>
    </w:p>
    <w:p w14:paraId="085E1932" w14:textId="77777777" w:rsidR="00C504EF" w:rsidRPr="00C504EF" w:rsidRDefault="00C504EF" w:rsidP="00C504EF">
      <w:pPr>
        <w:spacing w:line="480" w:lineRule="auto"/>
        <w:rPr>
          <w:rFonts w:ascii="Garamond" w:hAnsi="Garamond"/>
          <w:sz w:val="24"/>
        </w:rPr>
      </w:pPr>
    </w:p>
    <w:p w14:paraId="085E1933"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Part of Something Bigger and Enthusiasm: It’s common for voters to want to feel like they are part of a larger effort to achieve a shared goal. Using language that conveys the point helps frame their decision to vote as part of a larger effort and makes them more likely to turnout. For example, “We have been talking to a lot of people who tell us that they are just tired of all of the negative attack ads that don’t do anything to fix the economy and other problems we are all facing. I am sure you probably feel the same way, right,” or “This is going to be an important election, and we are expecting high turnout” are effective ways to convey that just like in school, all of the popular </w:t>
      </w:r>
      <w:r w:rsidRPr="00C504EF">
        <w:rPr>
          <w:rFonts w:ascii="Garamond" w:hAnsi="Garamond"/>
          <w:sz w:val="24"/>
        </w:rPr>
        <w:lastRenderedPageBreak/>
        <w:t>students are participating. It is for the same reason that it is important to show the voter that we are enthusiastic about supporting candidates who support our issues.</w:t>
      </w:r>
    </w:p>
    <w:p w14:paraId="085E1934" w14:textId="77777777" w:rsidR="00C504EF" w:rsidRPr="00C504EF" w:rsidRDefault="00C504EF" w:rsidP="00C504EF">
      <w:pPr>
        <w:spacing w:line="480" w:lineRule="auto"/>
        <w:rPr>
          <w:rFonts w:ascii="Garamond" w:hAnsi="Garamond"/>
          <w:sz w:val="24"/>
        </w:rPr>
      </w:pPr>
    </w:p>
    <w:p w14:paraId="085E1935" w14:textId="77777777" w:rsidR="00C504EF" w:rsidRPr="00C504EF" w:rsidRDefault="00C504EF" w:rsidP="00C504EF">
      <w:pPr>
        <w:spacing w:line="480" w:lineRule="auto"/>
        <w:rPr>
          <w:rFonts w:ascii="Garamond" w:hAnsi="Garamond"/>
          <w:sz w:val="24"/>
        </w:rPr>
      </w:pPr>
      <w:r w:rsidRPr="00C504EF">
        <w:rPr>
          <w:rFonts w:ascii="Garamond" w:hAnsi="Garamond"/>
          <w:sz w:val="24"/>
        </w:rPr>
        <w:t xml:space="preserve">Clean IDs/Recording Responses: Capturing the initial response to issue and candidate ID questions is an important part of building the longer term political program. For example, know where we had the highest initial rate of support for candidate verses undecided voters informs where we prioritize future passes. While recording an ID after we have given some indication of our preferred candidate has value, the goal is to find those voters who are most likely to be with us. </w:t>
      </w:r>
    </w:p>
    <w:p w14:paraId="085E1936" w14:textId="77777777" w:rsidR="00C504EF" w:rsidRPr="00C504EF" w:rsidRDefault="00C504EF" w:rsidP="00C504EF">
      <w:pPr>
        <w:spacing w:line="480" w:lineRule="auto"/>
        <w:rPr>
          <w:rFonts w:ascii="Garamond" w:hAnsi="Garamond"/>
          <w:sz w:val="24"/>
        </w:rPr>
      </w:pPr>
    </w:p>
    <w:p w14:paraId="085E1937" w14:textId="77777777" w:rsidR="00C504EF" w:rsidRPr="00C504EF" w:rsidRDefault="00C504EF" w:rsidP="00C504EF">
      <w:pPr>
        <w:spacing w:line="480" w:lineRule="auto"/>
        <w:rPr>
          <w:rFonts w:ascii="Garamond" w:hAnsi="Garamond"/>
          <w:sz w:val="24"/>
        </w:rPr>
      </w:pPr>
      <w:r w:rsidRPr="00C504EF">
        <w:rPr>
          <w:rFonts w:ascii="Garamond" w:hAnsi="Garamond"/>
          <w:sz w:val="24"/>
        </w:rPr>
        <w:t>Plan Making: An important part of plan making is that we walk voters through thinking about when and where they are going to go vote. Using time prompts and inclusive language, and effective plan making conversation helps the voter think about voting in the context of their own lives. For example, “It will be important to have plan on when you go to the polls. I like to go in the morning before work, but a lot of people like to go in the evening before dinner.  What about you- when do you plan to head to the polls?” involves emphasizing everyday events that people plan their days around.</w:t>
      </w:r>
    </w:p>
    <w:p w14:paraId="085E1938" w14:textId="77777777" w:rsidR="00C504EF" w:rsidRPr="00C504EF" w:rsidRDefault="00C504EF" w:rsidP="00C504EF">
      <w:pPr>
        <w:spacing w:line="480" w:lineRule="auto"/>
        <w:rPr>
          <w:rFonts w:ascii="Garamond" w:hAnsi="Garamond"/>
          <w:sz w:val="24"/>
        </w:rPr>
      </w:pPr>
    </w:p>
    <w:p w14:paraId="085E1939" w14:textId="77777777" w:rsidR="00C504EF" w:rsidRPr="00C504EF" w:rsidRDefault="00C504EF" w:rsidP="00C504EF">
      <w:pPr>
        <w:spacing w:line="480" w:lineRule="auto"/>
        <w:rPr>
          <w:rFonts w:ascii="Garamond" w:hAnsi="Garamond"/>
          <w:sz w:val="24"/>
        </w:rPr>
      </w:pPr>
      <w:r w:rsidRPr="00C504EF">
        <w:rPr>
          <w:rFonts w:ascii="Garamond" w:hAnsi="Garamond" w:cs="Arial"/>
          <w:sz w:val="24"/>
        </w:rPr>
        <w:t xml:space="preserve">Talk </w:t>
      </w:r>
      <w:proofErr w:type="gramStart"/>
      <w:r w:rsidRPr="00C504EF">
        <w:rPr>
          <w:rFonts w:ascii="Garamond" w:hAnsi="Garamond" w:cs="Arial"/>
          <w:sz w:val="24"/>
        </w:rPr>
        <w:t>To</w:t>
      </w:r>
      <w:proofErr w:type="gramEnd"/>
      <w:r w:rsidRPr="00C504EF">
        <w:rPr>
          <w:rFonts w:ascii="Garamond" w:hAnsi="Garamond" w:cs="Arial"/>
          <w:sz w:val="24"/>
        </w:rPr>
        <w:t xml:space="preserve"> Your Family: A new part of the canvass is asking supportive voters to discuss the election with other voting members of their family.  Research studies performed by the [REDACTED] have shown that asking voters talk to family members about voting for Mark </w:t>
      </w:r>
      <w:proofErr w:type="spellStart"/>
      <w:r w:rsidRPr="00C504EF">
        <w:rPr>
          <w:rFonts w:ascii="Garamond" w:hAnsi="Garamond" w:cs="Arial"/>
          <w:sz w:val="24"/>
        </w:rPr>
        <w:t>Schauer</w:t>
      </w:r>
      <w:proofErr w:type="spellEnd"/>
      <w:r w:rsidRPr="00C504EF">
        <w:rPr>
          <w:rFonts w:ascii="Garamond" w:hAnsi="Garamond" w:cs="Arial"/>
          <w:sz w:val="24"/>
        </w:rPr>
        <w:t xml:space="preserve"> can increase overall vote probability for </w:t>
      </w:r>
      <w:proofErr w:type="spellStart"/>
      <w:r w:rsidRPr="00C504EF">
        <w:rPr>
          <w:rFonts w:ascii="Garamond" w:hAnsi="Garamond" w:cs="Arial"/>
          <w:sz w:val="24"/>
        </w:rPr>
        <w:t>Schauer</w:t>
      </w:r>
      <w:proofErr w:type="spellEnd"/>
      <w:r w:rsidRPr="00C504EF">
        <w:rPr>
          <w:rFonts w:ascii="Garamond" w:hAnsi="Garamond" w:cs="Arial"/>
          <w:sz w:val="24"/>
        </w:rPr>
        <w:t xml:space="preserve">.  The study found that getting supporters to talk to their family </w:t>
      </w:r>
      <w:r w:rsidRPr="00C504EF">
        <w:rPr>
          <w:rFonts w:ascii="Garamond" w:hAnsi="Garamond" w:cs="Arial"/>
          <w:sz w:val="24"/>
        </w:rPr>
        <w:lastRenderedPageBreak/>
        <w:t xml:space="preserve">members about the election was over THREE TIMES MORE EFFECTIVE than existing practices of getting uncommitted household members to support a candidate. </w:t>
      </w:r>
    </w:p>
    <w:p w14:paraId="085E193A" w14:textId="77777777" w:rsidR="00C504EF" w:rsidRPr="00C504EF" w:rsidRDefault="00C504EF" w:rsidP="00C504EF">
      <w:pPr>
        <w:spacing w:line="480" w:lineRule="auto"/>
        <w:rPr>
          <w:rFonts w:ascii="Garamond" w:hAnsi="Garamond"/>
          <w:sz w:val="24"/>
        </w:rPr>
      </w:pPr>
    </w:p>
    <w:p w14:paraId="085E193B" w14:textId="77777777" w:rsidR="003A4D84" w:rsidRDefault="003A4D84" w:rsidP="00C504EF">
      <w:pPr>
        <w:spacing w:line="480" w:lineRule="auto"/>
        <w:rPr>
          <w:rFonts w:ascii="Garamond" w:hAnsi="Garamond"/>
          <w:sz w:val="24"/>
        </w:rPr>
      </w:pPr>
    </w:p>
    <w:p w14:paraId="085E193C" w14:textId="77777777" w:rsidR="003A4D84" w:rsidRDefault="003A4D84" w:rsidP="00C504EF">
      <w:pPr>
        <w:spacing w:line="480" w:lineRule="auto"/>
        <w:rPr>
          <w:rFonts w:ascii="Garamond" w:hAnsi="Garamond"/>
          <w:sz w:val="24"/>
        </w:rPr>
      </w:pPr>
    </w:p>
    <w:p w14:paraId="085E193D" w14:textId="77777777" w:rsidR="003A4D84" w:rsidRDefault="003A4D84" w:rsidP="00C504EF">
      <w:pPr>
        <w:spacing w:line="480" w:lineRule="auto"/>
        <w:rPr>
          <w:rFonts w:ascii="Garamond" w:hAnsi="Garamond"/>
          <w:sz w:val="24"/>
        </w:rPr>
      </w:pPr>
    </w:p>
    <w:p w14:paraId="085E193E" w14:textId="77777777" w:rsidR="003A4D84" w:rsidRDefault="003A4D84" w:rsidP="00C504EF">
      <w:pPr>
        <w:spacing w:line="480" w:lineRule="auto"/>
        <w:rPr>
          <w:rFonts w:ascii="Garamond" w:hAnsi="Garamond"/>
          <w:sz w:val="24"/>
        </w:rPr>
      </w:pPr>
    </w:p>
    <w:p w14:paraId="085E193F" w14:textId="77777777" w:rsidR="003A4D84" w:rsidRDefault="003A4D84" w:rsidP="00C504EF">
      <w:pPr>
        <w:spacing w:line="480" w:lineRule="auto"/>
        <w:rPr>
          <w:rFonts w:ascii="Garamond" w:hAnsi="Garamond"/>
          <w:sz w:val="24"/>
        </w:rPr>
      </w:pPr>
    </w:p>
    <w:p w14:paraId="085E1940" w14:textId="77777777" w:rsidR="003A4D84" w:rsidRDefault="003A4D84" w:rsidP="00C504EF">
      <w:pPr>
        <w:spacing w:line="480" w:lineRule="auto"/>
        <w:rPr>
          <w:rFonts w:ascii="Garamond" w:hAnsi="Garamond"/>
          <w:sz w:val="24"/>
        </w:rPr>
      </w:pPr>
    </w:p>
    <w:p w14:paraId="085E1941" w14:textId="77777777" w:rsidR="003A4D84" w:rsidRDefault="003A4D84" w:rsidP="00C504EF">
      <w:pPr>
        <w:spacing w:line="480" w:lineRule="auto"/>
        <w:rPr>
          <w:rFonts w:ascii="Garamond" w:hAnsi="Garamond"/>
          <w:sz w:val="24"/>
        </w:rPr>
      </w:pPr>
    </w:p>
    <w:p w14:paraId="085E1942" w14:textId="77777777" w:rsidR="003A4D84" w:rsidRDefault="003A4D84" w:rsidP="00C504EF">
      <w:pPr>
        <w:spacing w:line="480" w:lineRule="auto"/>
        <w:rPr>
          <w:rFonts w:ascii="Garamond" w:hAnsi="Garamond"/>
          <w:sz w:val="24"/>
        </w:rPr>
      </w:pPr>
    </w:p>
    <w:p w14:paraId="085E1943" w14:textId="77777777" w:rsidR="003A4D84" w:rsidRDefault="003A4D84" w:rsidP="00C504EF">
      <w:pPr>
        <w:spacing w:line="480" w:lineRule="auto"/>
        <w:rPr>
          <w:rFonts w:ascii="Garamond" w:hAnsi="Garamond"/>
          <w:sz w:val="24"/>
        </w:rPr>
      </w:pPr>
    </w:p>
    <w:p w14:paraId="085E1944" w14:textId="77777777" w:rsidR="003A4D84" w:rsidRDefault="003A4D84" w:rsidP="00C504EF">
      <w:pPr>
        <w:spacing w:line="480" w:lineRule="auto"/>
        <w:rPr>
          <w:rFonts w:ascii="Garamond" w:hAnsi="Garamond"/>
          <w:sz w:val="24"/>
        </w:rPr>
      </w:pPr>
    </w:p>
    <w:p w14:paraId="085E1945" w14:textId="77777777" w:rsidR="003A4D84" w:rsidRDefault="003A4D84" w:rsidP="00C504EF">
      <w:pPr>
        <w:spacing w:line="480" w:lineRule="auto"/>
        <w:rPr>
          <w:rFonts w:ascii="Garamond" w:hAnsi="Garamond"/>
          <w:sz w:val="24"/>
        </w:rPr>
      </w:pPr>
    </w:p>
    <w:p w14:paraId="085E1946" w14:textId="77777777" w:rsidR="003A4D84" w:rsidRDefault="003A4D84" w:rsidP="00C504EF">
      <w:pPr>
        <w:spacing w:line="480" w:lineRule="auto"/>
        <w:rPr>
          <w:rFonts w:ascii="Garamond" w:hAnsi="Garamond"/>
          <w:sz w:val="24"/>
        </w:rPr>
      </w:pPr>
    </w:p>
    <w:p w14:paraId="085E1947" w14:textId="77777777" w:rsidR="003A4D84" w:rsidRDefault="003A4D84" w:rsidP="00C504EF">
      <w:pPr>
        <w:spacing w:line="480" w:lineRule="auto"/>
        <w:rPr>
          <w:rFonts w:ascii="Garamond" w:hAnsi="Garamond"/>
          <w:sz w:val="24"/>
        </w:rPr>
      </w:pPr>
    </w:p>
    <w:p w14:paraId="085E1948" w14:textId="77777777" w:rsidR="003A4D84" w:rsidRDefault="003A4D84" w:rsidP="00C504EF">
      <w:pPr>
        <w:spacing w:line="480" w:lineRule="auto"/>
        <w:rPr>
          <w:rFonts w:ascii="Garamond" w:hAnsi="Garamond"/>
          <w:sz w:val="24"/>
        </w:rPr>
      </w:pPr>
    </w:p>
    <w:p w14:paraId="085E1949" w14:textId="77777777" w:rsidR="003A4D84" w:rsidRDefault="003A4D84" w:rsidP="00C504EF">
      <w:pPr>
        <w:spacing w:line="480" w:lineRule="auto"/>
        <w:rPr>
          <w:rFonts w:ascii="Garamond" w:hAnsi="Garamond"/>
          <w:sz w:val="24"/>
        </w:rPr>
      </w:pPr>
    </w:p>
    <w:p w14:paraId="085E194B" w14:textId="77777777" w:rsidR="00E3152B" w:rsidRDefault="00E3152B" w:rsidP="00E3152B">
      <w:pPr>
        <w:pStyle w:val="ListParagraph"/>
        <w:keepNext/>
        <w:keepLines/>
        <w:numPr>
          <w:ilvl w:val="0"/>
          <w:numId w:val="2"/>
        </w:numPr>
        <w:spacing w:before="40" w:after="0" w:line="480" w:lineRule="auto"/>
        <w:outlineLvl w:val="1"/>
        <w:rPr>
          <w:rFonts w:ascii="Garamond" w:eastAsiaTheme="majorEastAsia" w:hAnsi="Garamond" w:cstheme="majorBidi"/>
          <w:b/>
          <w:i/>
          <w:sz w:val="28"/>
          <w:szCs w:val="26"/>
        </w:rPr>
      </w:pPr>
      <w:bookmarkStart w:id="28" w:name="_Toc129961289"/>
      <w:r w:rsidRPr="00E3152B">
        <w:rPr>
          <w:rFonts w:ascii="Garamond" w:eastAsiaTheme="majorEastAsia" w:hAnsi="Garamond" w:cstheme="majorBidi"/>
          <w:b/>
          <w:i/>
          <w:sz w:val="28"/>
          <w:szCs w:val="26"/>
        </w:rPr>
        <w:lastRenderedPageBreak/>
        <w:t>Additional References</w:t>
      </w:r>
      <w:bookmarkEnd w:id="28"/>
    </w:p>
    <w:p w14:paraId="4AC34437" w14:textId="77777777" w:rsidR="006F0681" w:rsidRPr="00383633" w:rsidRDefault="006F0681" w:rsidP="006F0681">
      <w:pPr>
        <w:spacing w:line="480" w:lineRule="auto"/>
        <w:ind w:left="720" w:hanging="720"/>
        <w:rPr>
          <w:rFonts w:ascii="Garamond" w:hAnsi="Garamond"/>
          <w:b/>
          <w:i/>
          <w:sz w:val="24"/>
        </w:rPr>
      </w:pPr>
      <w:proofErr w:type="spellStart"/>
      <w:r w:rsidRPr="00383633">
        <w:rPr>
          <w:rFonts w:ascii="Garamond" w:hAnsi="Garamond"/>
          <w:sz w:val="24"/>
        </w:rPr>
        <w:t>Achen</w:t>
      </w:r>
      <w:proofErr w:type="spellEnd"/>
      <w:r w:rsidRPr="00383633">
        <w:rPr>
          <w:rFonts w:ascii="Garamond" w:hAnsi="Garamond"/>
          <w:sz w:val="24"/>
        </w:rPr>
        <w:t>, C., &amp; Bartels, L. M. (2017). </w:t>
      </w:r>
      <w:r w:rsidRPr="00383633">
        <w:rPr>
          <w:rFonts w:ascii="Garamond" w:hAnsi="Garamond"/>
          <w:i/>
          <w:iCs/>
          <w:sz w:val="24"/>
        </w:rPr>
        <w:t>Democracy for realists</w:t>
      </w:r>
      <w:r w:rsidRPr="00383633">
        <w:rPr>
          <w:rFonts w:ascii="Garamond" w:hAnsi="Garamond"/>
          <w:sz w:val="24"/>
        </w:rPr>
        <w:t>. Princeton University Press.</w:t>
      </w:r>
    </w:p>
    <w:p w14:paraId="02B556E2" w14:textId="2D9F8F2C" w:rsidR="006A6359" w:rsidRDefault="006A6359" w:rsidP="006F0681">
      <w:pPr>
        <w:spacing w:line="480" w:lineRule="auto"/>
        <w:ind w:left="720" w:hanging="720"/>
        <w:rPr>
          <w:rFonts w:ascii="Garamond" w:hAnsi="Garamond"/>
          <w:sz w:val="24"/>
        </w:rPr>
      </w:pPr>
      <w:r w:rsidRPr="006A6359">
        <w:rPr>
          <w:rFonts w:ascii="Garamond" w:hAnsi="Garamond"/>
          <w:sz w:val="24"/>
        </w:rPr>
        <w:t>Anderson, T. W., &amp; Rubin, H. (1949). Estimation of the parameters of a single equation in a complete system of stochastic equations. </w:t>
      </w:r>
      <w:r w:rsidRPr="006A6359">
        <w:rPr>
          <w:rFonts w:ascii="Garamond" w:hAnsi="Garamond"/>
          <w:i/>
          <w:iCs/>
          <w:sz w:val="24"/>
        </w:rPr>
        <w:t>The Annals of mathematical statistics</w:t>
      </w:r>
      <w:r w:rsidRPr="006A6359">
        <w:rPr>
          <w:rFonts w:ascii="Garamond" w:hAnsi="Garamond"/>
          <w:sz w:val="24"/>
        </w:rPr>
        <w:t>, </w:t>
      </w:r>
      <w:r w:rsidRPr="006A6359">
        <w:rPr>
          <w:rFonts w:ascii="Garamond" w:hAnsi="Garamond"/>
          <w:i/>
          <w:iCs/>
          <w:sz w:val="24"/>
        </w:rPr>
        <w:t>20</w:t>
      </w:r>
      <w:r w:rsidRPr="006A6359">
        <w:rPr>
          <w:rFonts w:ascii="Garamond" w:hAnsi="Garamond"/>
          <w:sz w:val="24"/>
        </w:rPr>
        <w:t>(1), 46-63.</w:t>
      </w:r>
    </w:p>
    <w:p w14:paraId="5DFC3CEC" w14:textId="68CB4035" w:rsidR="002D3D58" w:rsidRDefault="002D3D58" w:rsidP="002D3D58">
      <w:pPr>
        <w:spacing w:line="480" w:lineRule="auto"/>
        <w:ind w:left="720" w:hanging="720"/>
        <w:rPr>
          <w:rFonts w:ascii="Garamond" w:hAnsi="Garamond"/>
          <w:sz w:val="24"/>
        </w:rPr>
      </w:pPr>
      <w:r w:rsidRPr="00164A3C">
        <w:rPr>
          <w:rFonts w:ascii="Garamond" w:hAnsi="Garamond"/>
          <w:sz w:val="24"/>
        </w:rPr>
        <w:t>Andrews, I., Stock, J. H., &amp; Sun, L. (2019). Weak instruments in instrumental variables regression: Theory and practice. </w:t>
      </w:r>
      <w:r w:rsidRPr="00164A3C">
        <w:rPr>
          <w:rFonts w:ascii="Garamond" w:hAnsi="Garamond"/>
          <w:i/>
          <w:iCs/>
          <w:sz w:val="24"/>
        </w:rPr>
        <w:t>Annual Review of Economics</w:t>
      </w:r>
      <w:r w:rsidRPr="00164A3C">
        <w:rPr>
          <w:rFonts w:ascii="Garamond" w:hAnsi="Garamond"/>
          <w:sz w:val="24"/>
        </w:rPr>
        <w:t>, </w:t>
      </w:r>
      <w:r w:rsidRPr="00164A3C">
        <w:rPr>
          <w:rFonts w:ascii="Garamond" w:hAnsi="Garamond"/>
          <w:i/>
          <w:iCs/>
          <w:sz w:val="24"/>
        </w:rPr>
        <w:t>11</w:t>
      </w:r>
      <w:r w:rsidRPr="00164A3C">
        <w:rPr>
          <w:rFonts w:ascii="Garamond" w:hAnsi="Garamond"/>
          <w:sz w:val="24"/>
        </w:rPr>
        <w:t>, 727-753.</w:t>
      </w:r>
    </w:p>
    <w:p w14:paraId="401CBBEF" w14:textId="477B3DBC" w:rsidR="006F0681" w:rsidRDefault="006F0681" w:rsidP="006F0681">
      <w:pPr>
        <w:spacing w:line="480" w:lineRule="auto"/>
        <w:ind w:left="720" w:hanging="720"/>
        <w:rPr>
          <w:rFonts w:ascii="Garamond" w:hAnsi="Garamond"/>
          <w:sz w:val="24"/>
        </w:rPr>
      </w:pPr>
      <w:proofErr w:type="spellStart"/>
      <w:r w:rsidRPr="0037355D">
        <w:rPr>
          <w:rFonts w:ascii="Garamond" w:hAnsi="Garamond"/>
          <w:sz w:val="24"/>
        </w:rPr>
        <w:t>Blais</w:t>
      </w:r>
      <w:proofErr w:type="spellEnd"/>
      <w:r w:rsidRPr="0037355D">
        <w:rPr>
          <w:rFonts w:ascii="Garamond" w:hAnsi="Garamond"/>
          <w:sz w:val="24"/>
        </w:rPr>
        <w:t>, A. (2000). </w:t>
      </w:r>
      <w:r w:rsidRPr="0037355D">
        <w:rPr>
          <w:rFonts w:ascii="Garamond" w:hAnsi="Garamond"/>
          <w:i/>
          <w:iCs/>
          <w:sz w:val="24"/>
        </w:rPr>
        <w:t>To vote or not to vote</w:t>
      </w:r>
      <w:proofErr w:type="gramStart"/>
      <w:r w:rsidRPr="0037355D">
        <w:rPr>
          <w:rFonts w:ascii="Garamond" w:hAnsi="Garamond"/>
          <w:i/>
          <w:iCs/>
          <w:sz w:val="24"/>
        </w:rPr>
        <w:t>?:</w:t>
      </w:r>
      <w:proofErr w:type="gramEnd"/>
      <w:r w:rsidRPr="0037355D">
        <w:rPr>
          <w:rFonts w:ascii="Garamond" w:hAnsi="Garamond"/>
          <w:i/>
          <w:iCs/>
          <w:sz w:val="24"/>
        </w:rPr>
        <w:t xml:space="preserve"> The merits and limits of rational choice theory</w:t>
      </w:r>
      <w:r w:rsidRPr="0037355D">
        <w:rPr>
          <w:rFonts w:ascii="Garamond" w:hAnsi="Garamond"/>
          <w:sz w:val="24"/>
        </w:rPr>
        <w:t>. University of Pittsburgh Press.</w:t>
      </w:r>
    </w:p>
    <w:p w14:paraId="671786EE" w14:textId="7128E884" w:rsidR="002D3D58" w:rsidRPr="0037355D" w:rsidRDefault="002D3D58" w:rsidP="006F0681">
      <w:pPr>
        <w:spacing w:line="480" w:lineRule="auto"/>
        <w:ind w:left="720" w:hanging="720"/>
        <w:rPr>
          <w:rFonts w:ascii="Garamond" w:hAnsi="Garamond"/>
          <w:sz w:val="24"/>
        </w:rPr>
      </w:pPr>
      <w:r w:rsidRPr="002D3D58">
        <w:rPr>
          <w:rFonts w:ascii="Garamond" w:hAnsi="Garamond"/>
          <w:sz w:val="24"/>
        </w:rPr>
        <w:t xml:space="preserve">Coffman, L. C., &amp; </w:t>
      </w:r>
      <w:proofErr w:type="spellStart"/>
      <w:r w:rsidRPr="002D3D58">
        <w:rPr>
          <w:rFonts w:ascii="Garamond" w:hAnsi="Garamond"/>
          <w:sz w:val="24"/>
        </w:rPr>
        <w:t>Niederle</w:t>
      </w:r>
      <w:proofErr w:type="spellEnd"/>
      <w:r w:rsidRPr="002D3D58">
        <w:rPr>
          <w:rFonts w:ascii="Garamond" w:hAnsi="Garamond"/>
          <w:sz w:val="24"/>
        </w:rPr>
        <w:t>, M. (2015). Pre-analysis plans have limited upside, especially where replications are feasible. </w:t>
      </w:r>
      <w:r w:rsidRPr="002D3D58">
        <w:rPr>
          <w:rFonts w:ascii="Garamond" w:hAnsi="Garamond"/>
          <w:i/>
          <w:iCs/>
          <w:sz w:val="24"/>
        </w:rPr>
        <w:t>Journal of Economic Perspectives</w:t>
      </w:r>
      <w:r w:rsidRPr="002D3D58">
        <w:rPr>
          <w:rFonts w:ascii="Garamond" w:hAnsi="Garamond"/>
          <w:sz w:val="24"/>
        </w:rPr>
        <w:t>, </w:t>
      </w:r>
      <w:r w:rsidRPr="002D3D58">
        <w:rPr>
          <w:rFonts w:ascii="Garamond" w:hAnsi="Garamond"/>
          <w:i/>
          <w:iCs/>
          <w:sz w:val="24"/>
        </w:rPr>
        <w:t>29</w:t>
      </w:r>
      <w:r w:rsidRPr="002D3D58">
        <w:rPr>
          <w:rFonts w:ascii="Garamond" w:hAnsi="Garamond"/>
          <w:sz w:val="24"/>
        </w:rPr>
        <w:t>(3), 81-98.</w:t>
      </w:r>
    </w:p>
    <w:p w14:paraId="2962A461"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Coppock</w:t>
      </w:r>
      <w:proofErr w:type="spellEnd"/>
      <w:r w:rsidRPr="0037355D">
        <w:rPr>
          <w:rFonts w:ascii="Garamond" w:hAnsi="Garamond"/>
          <w:sz w:val="24"/>
        </w:rPr>
        <w:t>, A., &amp; Green, D. P. (2016). Is voting habit forming? New evidence from experiments and regression discontinuities. </w:t>
      </w:r>
      <w:r w:rsidRPr="0037355D">
        <w:rPr>
          <w:rFonts w:ascii="Garamond" w:hAnsi="Garamond"/>
          <w:i/>
          <w:iCs/>
          <w:sz w:val="24"/>
        </w:rPr>
        <w:t>American Journal of Political Science</w:t>
      </w:r>
      <w:r w:rsidRPr="0037355D">
        <w:rPr>
          <w:rFonts w:ascii="Garamond" w:hAnsi="Garamond"/>
          <w:sz w:val="24"/>
        </w:rPr>
        <w:t>, </w:t>
      </w:r>
      <w:r w:rsidRPr="0037355D">
        <w:rPr>
          <w:rFonts w:ascii="Garamond" w:hAnsi="Garamond"/>
          <w:i/>
          <w:iCs/>
          <w:sz w:val="24"/>
        </w:rPr>
        <w:t>60</w:t>
      </w:r>
      <w:r w:rsidRPr="0037355D">
        <w:rPr>
          <w:rFonts w:ascii="Garamond" w:hAnsi="Garamond"/>
          <w:sz w:val="24"/>
        </w:rPr>
        <w:t>(4), 1044-1062.</w:t>
      </w:r>
    </w:p>
    <w:p w14:paraId="4848EDF0"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Davenport, T. C., Gerber, A. S., Green, D. P., Larimer, C. W., Mann, C. B., &amp; Panagopoulos, C. (2010). The enduring effects of social pressure: Tracking campaign experiments over a series of elections. </w:t>
      </w:r>
      <w:r w:rsidRPr="0037355D">
        <w:rPr>
          <w:rFonts w:ascii="Garamond" w:hAnsi="Garamond"/>
          <w:i/>
          <w:iCs/>
          <w:sz w:val="24"/>
        </w:rPr>
        <w:t>Political Behavior</w:t>
      </w:r>
      <w:r w:rsidRPr="0037355D">
        <w:rPr>
          <w:rFonts w:ascii="Garamond" w:hAnsi="Garamond"/>
          <w:sz w:val="24"/>
        </w:rPr>
        <w:t>, </w:t>
      </w:r>
      <w:r w:rsidRPr="0037355D">
        <w:rPr>
          <w:rFonts w:ascii="Garamond" w:hAnsi="Garamond"/>
          <w:i/>
          <w:iCs/>
          <w:sz w:val="24"/>
        </w:rPr>
        <w:t>32</w:t>
      </w:r>
      <w:r w:rsidRPr="0037355D">
        <w:rPr>
          <w:rFonts w:ascii="Garamond" w:hAnsi="Garamond"/>
          <w:sz w:val="24"/>
        </w:rPr>
        <w:t>(3), 423-430.</w:t>
      </w:r>
    </w:p>
    <w:p w14:paraId="30DCDBB7"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DellaVigna</w:t>
      </w:r>
      <w:proofErr w:type="spellEnd"/>
      <w:r w:rsidRPr="0037355D">
        <w:rPr>
          <w:rFonts w:ascii="Garamond" w:hAnsi="Garamond"/>
          <w:sz w:val="24"/>
        </w:rPr>
        <w:t xml:space="preserve">, S., List, J. A., </w:t>
      </w:r>
      <w:proofErr w:type="spellStart"/>
      <w:r w:rsidRPr="0037355D">
        <w:rPr>
          <w:rFonts w:ascii="Garamond" w:hAnsi="Garamond"/>
          <w:sz w:val="24"/>
        </w:rPr>
        <w:t>Malmendier</w:t>
      </w:r>
      <w:proofErr w:type="spellEnd"/>
      <w:r w:rsidRPr="0037355D">
        <w:rPr>
          <w:rFonts w:ascii="Garamond" w:hAnsi="Garamond"/>
          <w:sz w:val="24"/>
        </w:rPr>
        <w:t>, U., &amp; Rao, G. (2016). Voting to tell others. </w:t>
      </w:r>
      <w:r w:rsidRPr="0037355D">
        <w:rPr>
          <w:rFonts w:ascii="Garamond" w:hAnsi="Garamond"/>
          <w:i/>
          <w:iCs/>
          <w:sz w:val="24"/>
        </w:rPr>
        <w:t>The Review of Economic Studies</w:t>
      </w:r>
      <w:r w:rsidRPr="0037355D">
        <w:rPr>
          <w:rFonts w:ascii="Garamond" w:hAnsi="Garamond"/>
          <w:sz w:val="24"/>
        </w:rPr>
        <w:t>, </w:t>
      </w:r>
      <w:r w:rsidRPr="0037355D">
        <w:rPr>
          <w:rFonts w:ascii="Garamond" w:hAnsi="Garamond"/>
          <w:i/>
          <w:iCs/>
          <w:sz w:val="24"/>
        </w:rPr>
        <w:t>84</w:t>
      </w:r>
      <w:r w:rsidRPr="0037355D">
        <w:rPr>
          <w:rFonts w:ascii="Garamond" w:hAnsi="Garamond"/>
          <w:sz w:val="24"/>
        </w:rPr>
        <w:t>(1), 143-181.</w:t>
      </w:r>
    </w:p>
    <w:p w14:paraId="23E5D8EB"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Dinas</w:t>
      </w:r>
      <w:proofErr w:type="spellEnd"/>
      <w:r w:rsidRPr="0037355D">
        <w:rPr>
          <w:rFonts w:ascii="Garamond" w:hAnsi="Garamond"/>
          <w:sz w:val="24"/>
        </w:rPr>
        <w:t>, E. (2012). The formation of voting habits. </w:t>
      </w:r>
      <w:r w:rsidRPr="0037355D">
        <w:rPr>
          <w:rFonts w:ascii="Garamond" w:hAnsi="Garamond"/>
          <w:i/>
          <w:iCs/>
          <w:sz w:val="24"/>
        </w:rPr>
        <w:t>Journal of Elections, Public Opinion &amp; Parties</w:t>
      </w:r>
      <w:r w:rsidRPr="0037355D">
        <w:rPr>
          <w:rFonts w:ascii="Garamond" w:hAnsi="Garamond"/>
          <w:sz w:val="24"/>
        </w:rPr>
        <w:t>, </w:t>
      </w:r>
      <w:r w:rsidRPr="0037355D">
        <w:rPr>
          <w:rFonts w:ascii="Garamond" w:hAnsi="Garamond"/>
          <w:i/>
          <w:iCs/>
          <w:sz w:val="24"/>
        </w:rPr>
        <w:t>22</w:t>
      </w:r>
      <w:r w:rsidRPr="0037355D">
        <w:rPr>
          <w:rFonts w:ascii="Garamond" w:hAnsi="Garamond"/>
          <w:sz w:val="24"/>
        </w:rPr>
        <w:t>(4), 431-456.</w:t>
      </w:r>
    </w:p>
    <w:p w14:paraId="43BF7641"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Downs, A. (1957). </w:t>
      </w:r>
      <w:r w:rsidRPr="0037355D">
        <w:rPr>
          <w:rFonts w:ascii="Garamond" w:hAnsi="Garamond"/>
          <w:i/>
          <w:sz w:val="24"/>
        </w:rPr>
        <w:t>An economic theory of democracy.</w:t>
      </w:r>
      <w:r w:rsidRPr="0037355D">
        <w:rPr>
          <w:rFonts w:ascii="Garamond" w:hAnsi="Garamond"/>
          <w:sz w:val="24"/>
        </w:rPr>
        <w:t xml:space="preserve"> Harper and Row Publishers.</w:t>
      </w:r>
    </w:p>
    <w:p w14:paraId="23286F03"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lastRenderedPageBreak/>
        <w:t>Duckworth, A. L., &amp; Gross, J. J. (2020). Behavior change. </w:t>
      </w:r>
      <w:r w:rsidRPr="0037355D">
        <w:rPr>
          <w:rFonts w:ascii="Garamond" w:hAnsi="Garamond"/>
          <w:i/>
          <w:iCs/>
          <w:sz w:val="24"/>
        </w:rPr>
        <w:t>Organizational Behavior and Human Decision Processes</w:t>
      </w:r>
      <w:r w:rsidRPr="0037355D">
        <w:rPr>
          <w:rFonts w:ascii="Garamond" w:hAnsi="Garamond"/>
          <w:sz w:val="24"/>
        </w:rPr>
        <w:t>, </w:t>
      </w:r>
      <w:r w:rsidRPr="0037355D">
        <w:rPr>
          <w:rFonts w:ascii="Garamond" w:hAnsi="Garamond"/>
          <w:i/>
          <w:iCs/>
          <w:sz w:val="24"/>
        </w:rPr>
        <w:t>161</w:t>
      </w:r>
      <w:r w:rsidRPr="0037355D">
        <w:rPr>
          <w:rFonts w:ascii="Garamond" w:hAnsi="Garamond"/>
          <w:sz w:val="24"/>
        </w:rPr>
        <w:t>, 39-49.</w:t>
      </w:r>
    </w:p>
    <w:p w14:paraId="61377FEF"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Etang</w:t>
      </w:r>
      <w:proofErr w:type="spellEnd"/>
      <w:r w:rsidRPr="0037355D">
        <w:rPr>
          <w:rFonts w:ascii="Garamond" w:hAnsi="Garamond"/>
          <w:sz w:val="24"/>
        </w:rPr>
        <w:t>, A., Fielding, D., &amp; Knowles, S. Looking for Framing Effects in Expressive Voting Experiments.</w:t>
      </w:r>
    </w:p>
    <w:p w14:paraId="2933D65B"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Franklin, M. N., &amp; </w:t>
      </w:r>
      <w:proofErr w:type="spellStart"/>
      <w:r w:rsidRPr="0037355D">
        <w:rPr>
          <w:rFonts w:ascii="Garamond" w:hAnsi="Garamond"/>
          <w:sz w:val="24"/>
        </w:rPr>
        <w:t>Hobolt</w:t>
      </w:r>
      <w:proofErr w:type="spellEnd"/>
      <w:r w:rsidRPr="0037355D">
        <w:rPr>
          <w:rFonts w:ascii="Garamond" w:hAnsi="Garamond"/>
          <w:sz w:val="24"/>
        </w:rPr>
        <w:t>, S. B. (2011). The legacy of lethargy: How elections to the European Parliament depress turnout. </w:t>
      </w:r>
      <w:r w:rsidRPr="0037355D">
        <w:rPr>
          <w:rFonts w:ascii="Garamond" w:hAnsi="Garamond"/>
          <w:i/>
          <w:iCs/>
          <w:sz w:val="24"/>
        </w:rPr>
        <w:t>Electoral Studies</w:t>
      </w:r>
      <w:r w:rsidRPr="0037355D">
        <w:rPr>
          <w:rFonts w:ascii="Garamond" w:hAnsi="Garamond"/>
          <w:sz w:val="24"/>
        </w:rPr>
        <w:t>, </w:t>
      </w:r>
      <w:r w:rsidRPr="0037355D">
        <w:rPr>
          <w:rFonts w:ascii="Garamond" w:hAnsi="Garamond"/>
          <w:i/>
          <w:iCs/>
          <w:sz w:val="24"/>
        </w:rPr>
        <w:t>30</w:t>
      </w:r>
      <w:r w:rsidRPr="0037355D">
        <w:rPr>
          <w:rFonts w:ascii="Garamond" w:hAnsi="Garamond"/>
          <w:sz w:val="24"/>
        </w:rPr>
        <w:t>(1), 67-76.</w:t>
      </w:r>
    </w:p>
    <w:p w14:paraId="44B3356E"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Frey, E., &amp; Rogers, T. (2014). Persistence: How treatment effects persist after interventions stop. </w:t>
      </w:r>
      <w:r w:rsidRPr="0037355D">
        <w:rPr>
          <w:rFonts w:ascii="Garamond" w:hAnsi="Garamond"/>
          <w:i/>
          <w:iCs/>
          <w:sz w:val="24"/>
        </w:rPr>
        <w:t>Policy Insights from the Behavioral and Brain Sciences</w:t>
      </w:r>
      <w:r w:rsidRPr="0037355D">
        <w:rPr>
          <w:rFonts w:ascii="Garamond" w:hAnsi="Garamond"/>
          <w:sz w:val="24"/>
        </w:rPr>
        <w:t>, </w:t>
      </w:r>
      <w:r w:rsidRPr="0037355D">
        <w:rPr>
          <w:rFonts w:ascii="Garamond" w:hAnsi="Garamond"/>
          <w:i/>
          <w:iCs/>
          <w:sz w:val="24"/>
        </w:rPr>
        <w:t>1</w:t>
      </w:r>
      <w:r w:rsidRPr="0037355D">
        <w:rPr>
          <w:rFonts w:ascii="Garamond" w:hAnsi="Garamond"/>
          <w:sz w:val="24"/>
        </w:rPr>
        <w:t>(1), 172-179.</w:t>
      </w:r>
    </w:p>
    <w:p w14:paraId="2A1584AB"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Fujiwara, T., </w:t>
      </w:r>
      <w:proofErr w:type="spellStart"/>
      <w:r w:rsidRPr="0037355D">
        <w:rPr>
          <w:rFonts w:ascii="Garamond" w:hAnsi="Garamond"/>
          <w:sz w:val="24"/>
        </w:rPr>
        <w:t>Meng</w:t>
      </w:r>
      <w:proofErr w:type="spellEnd"/>
      <w:r w:rsidRPr="0037355D">
        <w:rPr>
          <w:rFonts w:ascii="Garamond" w:hAnsi="Garamond"/>
          <w:sz w:val="24"/>
        </w:rPr>
        <w:t xml:space="preserve">, K., &amp; </w:t>
      </w:r>
      <w:proofErr w:type="spellStart"/>
      <w:r w:rsidRPr="0037355D">
        <w:rPr>
          <w:rFonts w:ascii="Garamond" w:hAnsi="Garamond"/>
          <w:sz w:val="24"/>
        </w:rPr>
        <w:t>Vogl</w:t>
      </w:r>
      <w:proofErr w:type="spellEnd"/>
      <w:r w:rsidRPr="0037355D">
        <w:rPr>
          <w:rFonts w:ascii="Garamond" w:hAnsi="Garamond"/>
          <w:sz w:val="24"/>
        </w:rPr>
        <w:t>, T. (2016). Habit formation in voting: Evidence from rainy elections. </w:t>
      </w:r>
      <w:r w:rsidRPr="0037355D">
        <w:rPr>
          <w:rFonts w:ascii="Garamond" w:hAnsi="Garamond"/>
          <w:i/>
          <w:iCs/>
          <w:sz w:val="24"/>
        </w:rPr>
        <w:t>American Economic Journal: Applied Economics</w:t>
      </w:r>
      <w:r w:rsidRPr="0037355D">
        <w:rPr>
          <w:rFonts w:ascii="Garamond" w:hAnsi="Garamond"/>
          <w:sz w:val="24"/>
        </w:rPr>
        <w:t>, </w:t>
      </w:r>
      <w:r w:rsidRPr="0037355D">
        <w:rPr>
          <w:rFonts w:ascii="Garamond" w:hAnsi="Garamond"/>
          <w:i/>
          <w:iCs/>
          <w:sz w:val="24"/>
        </w:rPr>
        <w:t>8</w:t>
      </w:r>
      <w:r w:rsidRPr="0037355D">
        <w:rPr>
          <w:rFonts w:ascii="Garamond" w:hAnsi="Garamond"/>
          <w:sz w:val="24"/>
        </w:rPr>
        <w:t>(4), 160-88.</w:t>
      </w:r>
    </w:p>
    <w:p w14:paraId="168F6772"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Garcia </w:t>
      </w:r>
      <w:proofErr w:type="spellStart"/>
      <w:r w:rsidRPr="0037355D">
        <w:rPr>
          <w:rFonts w:ascii="Garamond" w:hAnsi="Garamond"/>
          <w:sz w:val="24"/>
        </w:rPr>
        <w:t>Bedolla</w:t>
      </w:r>
      <w:proofErr w:type="spellEnd"/>
      <w:r w:rsidRPr="0037355D">
        <w:rPr>
          <w:rFonts w:ascii="Garamond" w:hAnsi="Garamond"/>
          <w:sz w:val="24"/>
        </w:rPr>
        <w:t>, L, &amp; Michelson, M. R. (2012). </w:t>
      </w:r>
      <w:r w:rsidRPr="0037355D">
        <w:rPr>
          <w:rFonts w:ascii="Garamond" w:hAnsi="Garamond"/>
          <w:i/>
          <w:iCs/>
          <w:sz w:val="24"/>
        </w:rPr>
        <w:t>Mobilizing Inclusion</w:t>
      </w:r>
      <w:r w:rsidRPr="0037355D">
        <w:rPr>
          <w:rFonts w:ascii="Garamond" w:hAnsi="Garamond"/>
          <w:sz w:val="24"/>
        </w:rPr>
        <w:t>. Yale University Press.</w:t>
      </w:r>
    </w:p>
    <w:p w14:paraId="1680334B"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Gelman</w:t>
      </w:r>
      <w:proofErr w:type="spellEnd"/>
      <w:r w:rsidRPr="0037355D">
        <w:rPr>
          <w:rFonts w:ascii="Garamond" w:hAnsi="Garamond"/>
          <w:sz w:val="24"/>
        </w:rPr>
        <w:t>, A. (2007). Struggles with survey weighting and regression modeling. </w:t>
      </w:r>
      <w:r w:rsidRPr="0037355D">
        <w:rPr>
          <w:rFonts w:ascii="Garamond" w:hAnsi="Garamond"/>
          <w:i/>
          <w:iCs/>
          <w:sz w:val="24"/>
        </w:rPr>
        <w:t>Statistical Science</w:t>
      </w:r>
      <w:r w:rsidRPr="0037355D">
        <w:rPr>
          <w:rFonts w:ascii="Garamond" w:hAnsi="Garamond"/>
          <w:sz w:val="24"/>
        </w:rPr>
        <w:t>, </w:t>
      </w:r>
      <w:r w:rsidRPr="0037355D">
        <w:rPr>
          <w:rFonts w:ascii="Garamond" w:hAnsi="Garamond"/>
          <w:i/>
          <w:iCs/>
          <w:sz w:val="24"/>
        </w:rPr>
        <w:t>22</w:t>
      </w:r>
      <w:r w:rsidRPr="0037355D">
        <w:rPr>
          <w:rFonts w:ascii="Garamond" w:hAnsi="Garamond"/>
          <w:sz w:val="24"/>
        </w:rPr>
        <w:t>(2), 153-164.</w:t>
      </w:r>
    </w:p>
    <w:p w14:paraId="4F3C8489"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Gerber, AS, and DP Green (2012): </w:t>
      </w:r>
      <w:r w:rsidRPr="0037355D">
        <w:rPr>
          <w:rFonts w:ascii="Garamond" w:hAnsi="Garamond"/>
          <w:bCs/>
          <w:i/>
          <w:sz w:val="24"/>
        </w:rPr>
        <w:t>Field</w:t>
      </w:r>
      <w:r w:rsidRPr="0037355D">
        <w:rPr>
          <w:rFonts w:ascii="Garamond" w:hAnsi="Garamond"/>
          <w:i/>
          <w:sz w:val="24"/>
        </w:rPr>
        <w:t> </w:t>
      </w:r>
      <w:r w:rsidRPr="0037355D">
        <w:rPr>
          <w:rFonts w:ascii="Garamond" w:hAnsi="Garamond"/>
          <w:bCs/>
          <w:i/>
          <w:sz w:val="24"/>
        </w:rPr>
        <w:t>Experiments</w:t>
      </w:r>
      <w:r w:rsidRPr="0037355D">
        <w:rPr>
          <w:rFonts w:ascii="Garamond" w:hAnsi="Garamond"/>
          <w:i/>
          <w:sz w:val="24"/>
        </w:rPr>
        <w:t>: </w:t>
      </w:r>
      <w:r w:rsidRPr="0037355D">
        <w:rPr>
          <w:rFonts w:ascii="Garamond" w:hAnsi="Garamond"/>
          <w:bCs/>
          <w:i/>
          <w:sz w:val="24"/>
        </w:rPr>
        <w:t>Design</w:t>
      </w:r>
      <w:r w:rsidRPr="0037355D">
        <w:rPr>
          <w:rFonts w:ascii="Garamond" w:hAnsi="Garamond"/>
          <w:i/>
          <w:sz w:val="24"/>
        </w:rPr>
        <w:t>, </w:t>
      </w:r>
      <w:r w:rsidRPr="0037355D">
        <w:rPr>
          <w:rFonts w:ascii="Garamond" w:hAnsi="Garamond"/>
          <w:bCs/>
          <w:i/>
          <w:sz w:val="24"/>
        </w:rPr>
        <w:t>Analysis</w:t>
      </w:r>
      <w:r w:rsidRPr="0037355D">
        <w:rPr>
          <w:rFonts w:ascii="Garamond" w:hAnsi="Garamond"/>
          <w:i/>
          <w:sz w:val="24"/>
        </w:rPr>
        <w:t>, </w:t>
      </w:r>
      <w:r w:rsidRPr="0037355D">
        <w:rPr>
          <w:rFonts w:ascii="Garamond" w:hAnsi="Garamond"/>
          <w:bCs/>
          <w:i/>
          <w:sz w:val="24"/>
        </w:rPr>
        <w:t>and Interpretation</w:t>
      </w:r>
      <w:r w:rsidRPr="0037355D">
        <w:rPr>
          <w:rFonts w:ascii="Garamond" w:hAnsi="Garamond"/>
          <w:sz w:val="24"/>
        </w:rPr>
        <w:t>, WW Norton &amp; Co.</w:t>
      </w:r>
    </w:p>
    <w:p w14:paraId="5FB54FC3"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Gerber, A. S., Green, D. P., &amp; Larimer, C. W. (2008). Social pressure and voter turnout: Evidence from a large-scale field experiment. </w:t>
      </w:r>
      <w:r w:rsidRPr="0037355D">
        <w:rPr>
          <w:rFonts w:ascii="Garamond" w:hAnsi="Garamond"/>
          <w:i/>
          <w:iCs/>
          <w:sz w:val="24"/>
        </w:rPr>
        <w:t>American political Science review</w:t>
      </w:r>
      <w:r w:rsidRPr="0037355D">
        <w:rPr>
          <w:rFonts w:ascii="Garamond" w:hAnsi="Garamond"/>
          <w:sz w:val="24"/>
        </w:rPr>
        <w:t>, </w:t>
      </w:r>
      <w:r w:rsidRPr="0037355D">
        <w:rPr>
          <w:rFonts w:ascii="Garamond" w:hAnsi="Garamond"/>
          <w:i/>
          <w:iCs/>
          <w:sz w:val="24"/>
        </w:rPr>
        <w:t>102</w:t>
      </w:r>
      <w:r w:rsidRPr="0037355D">
        <w:rPr>
          <w:rFonts w:ascii="Garamond" w:hAnsi="Garamond"/>
          <w:sz w:val="24"/>
        </w:rPr>
        <w:t>(1), 33-48.</w:t>
      </w:r>
    </w:p>
    <w:p w14:paraId="49C1DD6E"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Gerber, A. S., Green, D. P., &amp; </w:t>
      </w:r>
      <w:proofErr w:type="spellStart"/>
      <w:r w:rsidRPr="0037355D">
        <w:rPr>
          <w:rFonts w:ascii="Garamond" w:hAnsi="Garamond"/>
          <w:sz w:val="24"/>
        </w:rPr>
        <w:t>Shachar</w:t>
      </w:r>
      <w:proofErr w:type="spellEnd"/>
      <w:r w:rsidRPr="0037355D">
        <w:rPr>
          <w:rFonts w:ascii="Garamond" w:hAnsi="Garamond"/>
          <w:sz w:val="24"/>
        </w:rPr>
        <w:t>, R. (2003). Voting may be habit</w:t>
      </w:r>
      <w:r w:rsidRPr="0037355D">
        <w:rPr>
          <w:rFonts w:ascii="Times New Roman" w:hAnsi="Times New Roman" w:cs="Times New Roman"/>
          <w:sz w:val="24"/>
        </w:rPr>
        <w:t>‐</w:t>
      </w:r>
      <w:r w:rsidRPr="0037355D">
        <w:rPr>
          <w:rFonts w:ascii="Garamond" w:hAnsi="Garamond"/>
          <w:sz w:val="24"/>
        </w:rPr>
        <w:t>forming: evidence from a randomized field experiment.</w:t>
      </w:r>
      <w:r w:rsidRPr="0037355D">
        <w:rPr>
          <w:rFonts w:ascii="Garamond" w:hAnsi="Garamond" w:cs="Garamond"/>
          <w:sz w:val="24"/>
        </w:rPr>
        <w:t> </w:t>
      </w:r>
      <w:r w:rsidRPr="0037355D">
        <w:rPr>
          <w:rFonts w:ascii="Garamond" w:hAnsi="Garamond"/>
          <w:i/>
          <w:iCs/>
          <w:sz w:val="24"/>
        </w:rPr>
        <w:t>American journal of political science</w:t>
      </w:r>
      <w:r w:rsidRPr="0037355D">
        <w:rPr>
          <w:rFonts w:ascii="Garamond" w:hAnsi="Garamond"/>
          <w:sz w:val="24"/>
        </w:rPr>
        <w:t>, </w:t>
      </w:r>
      <w:r w:rsidRPr="0037355D">
        <w:rPr>
          <w:rFonts w:ascii="Garamond" w:hAnsi="Garamond"/>
          <w:i/>
          <w:iCs/>
          <w:sz w:val="24"/>
        </w:rPr>
        <w:t>47</w:t>
      </w:r>
      <w:r w:rsidRPr="0037355D">
        <w:rPr>
          <w:rFonts w:ascii="Garamond" w:hAnsi="Garamond"/>
          <w:sz w:val="24"/>
        </w:rPr>
        <w:t>(3), 540-550.</w:t>
      </w:r>
    </w:p>
    <w:p w14:paraId="2D58ACE3"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Gerber, A. S., Huber, G. A., Doherty, D., &amp; Dowling, C. M. (2016). Why people vote: estimating the social returns to voting. </w:t>
      </w:r>
      <w:r w:rsidRPr="0037355D">
        <w:rPr>
          <w:rFonts w:ascii="Garamond" w:hAnsi="Garamond"/>
          <w:i/>
          <w:iCs/>
          <w:sz w:val="24"/>
        </w:rPr>
        <w:t>British Journal of Political Science</w:t>
      </w:r>
      <w:r w:rsidRPr="0037355D">
        <w:rPr>
          <w:rFonts w:ascii="Garamond" w:hAnsi="Garamond"/>
          <w:sz w:val="24"/>
        </w:rPr>
        <w:t>, </w:t>
      </w:r>
      <w:r w:rsidRPr="0037355D">
        <w:rPr>
          <w:rFonts w:ascii="Garamond" w:hAnsi="Garamond"/>
          <w:i/>
          <w:iCs/>
          <w:sz w:val="24"/>
        </w:rPr>
        <w:t>46</w:t>
      </w:r>
      <w:r w:rsidRPr="0037355D">
        <w:rPr>
          <w:rFonts w:ascii="Garamond" w:hAnsi="Garamond"/>
          <w:sz w:val="24"/>
        </w:rPr>
        <w:t>(2), 241-264.</w:t>
      </w:r>
    </w:p>
    <w:p w14:paraId="6C01C841" w14:textId="2413CCFF" w:rsidR="006428FF" w:rsidRDefault="006428FF" w:rsidP="006F0681">
      <w:pPr>
        <w:spacing w:line="480" w:lineRule="auto"/>
        <w:ind w:left="720" w:hanging="720"/>
        <w:rPr>
          <w:rFonts w:ascii="Garamond" w:hAnsi="Garamond"/>
          <w:sz w:val="24"/>
        </w:rPr>
      </w:pPr>
      <w:r w:rsidRPr="006428FF">
        <w:rPr>
          <w:rFonts w:ascii="Garamond" w:hAnsi="Garamond"/>
          <w:sz w:val="24"/>
        </w:rPr>
        <w:lastRenderedPageBreak/>
        <w:t>Gerber, A. S., Huber, G. A., Doherty, D., &amp; Dowling, C. M. (2016). Why people vote: estimating the social returns to voting. </w:t>
      </w:r>
      <w:r w:rsidRPr="006428FF">
        <w:rPr>
          <w:rFonts w:ascii="Garamond" w:hAnsi="Garamond"/>
          <w:i/>
          <w:iCs/>
          <w:sz w:val="24"/>
        </w:rPr>
        <w:t>British Journal of Political Science</w:t>
      </w:r>
      <w:r w:rsidRPr="006428FF">
        <w:rPr>
          <w:rFonts w:ascii="Garamond" w:hAnsi="Garamond"/>
          <w:sz w:val="24"/>
        </w:rPr>
        <w:t>, </w:t>
      </w:r>
      <w:r w:rsidRPr="006428FF">
        <w:rPr>
          <w:rFonts w:ascii="Garamond" w:hAnsi="Garamond"/>
          <w:i/>
          <w:iCs/>
          <w:sz w:val="24"/>
        </w:rPr>
        <w:t>46</w:t>
      </w:r>
      <w:r w:rsidRPr="006428FF">
        <w:rPr>
          <w:rFonts w:ascii="Garamond" w:hAnsi="Garamond"/>
          <w:sz w:val="24"/>
        </w:rPr>
        <w:t>(2), 241-264.</w:t>
      </w:r>
    </w:p>
    <w:p w14:paraId="554F5846" w14:textId="443623A2" w:rsidR="006F0681" w:rsidRPr="0037355D" w:rsidRDefault="006F0681" w:rsidP="006F0681">
      <w:pPr>
        <w:spacing w:line="480" w:lineRule="auto"/>
        <w:ind w:left="720" w:hanging="720"/>
        <w:rPr>
          <w:rFonts w:ascii="Garamond" w:hAnsi="Garamond"/>
          <w:sz w:val="24"/>
        </w:rPr>
      </w:pPr>
      <w:r w:rsidRPr="0037355D">
        <w:rPr>
          <w:rFonts w:ascii="Garamond" w:hAnsi="Garamond"/>
          <w:sz w:val="24"/>
        </w:rPr>
        <w:t>Green, D. P., &amp; Gerber, A. S. (2019). </w:t>
      </w:r>
      <w:r w:rsidRPr="0037355D">
        <w:rPr>
          <w:rFonts w:ascii="Garamond" w:hAnsi="Garamond"/>
          <w:i/>
          <w:iCs/>
          <w:sz w:val="24"/>
        </w:rPr>
        <w:t>Get out the vote: How to increase voter turnout</w:t>
      </w:r>
      <w:r w:rsidRPr="0037355D">
        <w:rPr>
          <w:rFonts w:ascii="Garamond" w:hAnsi="Garamond"/>
          <w:sz w:val="24"/>
        </w:rPr>
        <w:t xml:space="preserve">. Brookings Institution Press. </w:t>
      </w:r>
    </w:p>
    <w:p w14:paraId="5FFA63B9"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Green, D. P., McGrath, M. C., &amp; </w:t>
      </w:r>
      <w:proofErr w:type="spellStart"/>
      <w:r w:rsidRPr="0037355D">
        <w:rPr>
          <w:rFonts w:ascii="Garamond" w:hAnsi="Garamond"/>
          <w:sz w:val="24"/>
        </w:rPr>
        <w:t>Aronow</w:t>
      </w:r>
      <w:proofErr w:type="spellEnd"/>
      <w:r w:rsidRPr="0037355D">
        <w:rPr>
          <w:rFonts w:ascii="Garamond" w:hAnsi="Garamond"/>
          <w:sz w:val="24"/>
        </w:rPr>
        <w:t>, P. M. (2013). Field experiments and the study of voter turnout. </w:t>
      </w:r>
      <w:r w:rsidRPr="0037355D">
        <w:rPr>
          <w:rFonts w:ascii="Garamond" w:hAnsi="Garamond"/>
          <w:i/>
          <w:iCs/>
          <w:sz w:val="24"/>
        </w:rPr>
        <w:t>Journal of Elections, Public Opinion and Parties</w:t>
      </w:r>
      <w:r w:rsidRPr="0037355D">
        <w:rPr>
          <w:rFonts w:ascii="Garamond" w:hAnsi="Garamond"/>
          <w:sz w:val="24"/>
        </w:rPr>
        <w:t>, </w:t>
      </w:r>
      <w:r w:rsidRPr="0037355D">
        <w:rPr>
          <w:rFonts w:ascii="Garamond" w:hAnsi="Garamond"/>
          <w:i/>
          <w:iCs/>
          <w:sz w:val="24"/>
        </w:rPr>
        <w:t>23</w:t>
      </w:r>
      <w:r w:rsidRPr="0037355D">
        <w:rPr>
          <w:rFonts w:ascii="Garamond" w:hAnsi="Garamond"/>
          <w:sz w:val="24"/>
        </w:rPr>
        <w:t>(1), 27-48.</w:t>
      </w:r>
    </w:p>
    <w:p w14:paraId="23D0986F"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Green, D. P., &amp; Shapiro, I. (1996). Pathologies revisited: Reflections on our critics. </w:t>
      </w:r>
      <w:r w:rsidRPr="0037355D">
        <w:rPr>
          <w:rFonts w:ascii="Garamond" w:hAnsi="Garamond"/>
          <w:i/>
          <w:iCs/>
          <w:sz w:val="24"/>
        </w:rPr>
        <w:t>The rational choice controversy</w:t>
      </w:r>
      <w:r w:rsidRPr="0037355D">
        <w:rPr>
          <w:rFonts w:ascii="Garamond" w:hAnsi="Garamond"/>
          <w:sz w:val="24"/>
        </w:rPr>
        <w:t>, 235-276.</w:t>
      </w:r>
    </w:p>
    <w:p w14:paraId="31D8693C" w14:textId="115F5C52" w:rsidR="006428FF" w:rsidRDefault="006428FF" w:rsidP="006428FF">
      <w:pPr>
        <w:spacing w:line="480" w:lineRule="auto"/>
        <w:ind w:left="720" w:hanging="720"/>
        <w:rPr>
          <w:rFonts w:ascii="Garamond" w:hAnsi="Garamond"/>
          <w:sz w:val="24"/>
        </w:rPr>
      </w:pPr>
      <w:proofErr w:type="spellStart"/>
      <w:r w:rsidRPr="0037355D">
        <w:rPr>
          <w:rFonts w:ascii="Garamond" w:hAnsi="Garamond"/>
          <w:sz w:val="24"/>
        </w:rPr>
        <w:t>Gollwitzer</w:t>
      </w:r>
      <w:proofErr w:type="spellEnd"/>
      <w:r w:rsidRPr="0037355D">
        <w:rPr>
          <w:rFonts w:ascii="Garamond" w:hAnsi="Garamond"/>
          <w:sz w:val="24"/>
        </w:rPr>
        <w:t xml:space="preserve">, P. M., &amp; </w:t>
      </w:r>
      <w:proofErr w:type="spellStart"/>
      <w:r w:rsidRPr="0037355D">
        <w:rPr>
          <w:rFonts w:ascii="Garamond" w:hAnsi="Garamond"/>
          <w:sz w:val="24"/>
        </w:rPr>
        <w:t>Sheeran</w:t>
      </w:r>
      <w:proofErr w:type="spellEnd"/>
      <w:r w:rsidRPr="0037355D">
        <w:rPr>
          <w:rFonts w:ascii="Garamond" w:hAnsi="Garamond"/>
          <w:sz w:val="24"/>
        </w:rPr>
        <w:t>, P. (2006). Implementation intentions and goal achievement: A meta</w:t>
      </w:r>
      <w:r w:rsidRPr="0037355D">
        <w:rPr>
          <w:rFonts w:ascii="Times New Roman" w:hAnsi="Times New Roman" w:cs="Times New Roman"/>
          <w:sz w:val="24"/>
        </w:rPr>
        <w:t>‐</w:t>
      </w:r>
      <w:r w:rsidRPr="0037355D">
        <w:rPr>
          <w:rFonts w:ascii="Garamond" w:hAnsi="Garamond"/>
          <w:sz w:val="24"/>
        </w:rPr>
        <w:t>analysis of effects and processes.</w:t>
      </w:r>
      <w:r w:rsidRPr="0037355D">
        <w:rPr>
          <w:rFonts w:ascii="Garamond" w:hAnsi="Garamond" w:cs="Garamond"/>
          <w:sz w:val="24"/>
        </w:rPr>
        <w:t> </w:t>
      </w:r>
      <w:r w:rsidRPr="0037355D">
        <w:rPr>
          <w:rFonts w:ascii="Garamond" w:hAnsi="Garamond"/>
          <w:i/>
          <w:iCs/>
          <w:sz w:val="24"/>
        </w:rPr>
        <w:t>Advances in experimental social psychology</w:t>
      </w:r>
      <w:r w:rsidRPr="0037355D">
        <w:rPr>
          <w:rFonts w:ascii="Garamond" w:hAnsi="Garamond"/>
          <w:sz w:val="24"/>
        </w:rPr>
        <w:t>, </w:t>
      </w:r>
      <w:r w:rsidRPr="0037355D">
        <w:rPr>
          <w:rFonts w:ascii="Garamond" w:hAnsi="Garamond"/>
          <w:i/>
          <w:iCs/>
          <w:sz w:val="24"/>
        </w:rPr>
        <w:t>38</w:t>
      </w:r>
      <w:r>
        <w:rPr>
          <w:rFonts w:ascii="Garamond" w:hAnsi="Garamond"/>
          <w:sz w:val="24"/>
        </w:rPr>
        <w:t>, 69-119.</w:t>
      </w:r>
    </w:p>
    <w:p w14:paraId="5EF76669" w14:textId="71471940" w:rsidR="002D55D5" w:rsidRDefault="002D55D5" w:rsidP="002D55D5">
      <w:pPr>
        <w:spacing w:line="480" w:lineRule="auto"/>
        <w:ind w:left="720" w:hanging="720"/>
        <w:rPr>
          <w:rFonts w:ascii="Garamond" w:hAnsi="Garamond"/>
          <w:sz w:val="24"/>
        </w:rPr>
      </w:pPr>
      <w:r w:rsidRPr="00415ED3">
        <w:rPr>
          <w:rFonts w:ascii="Garamond" w:hAnsi="Garamond"/>
          <w:sz w:val="24"/>
        </w:rPr>
        <w:t xml:space="preserve">Hill, S. J., &amp; </w:t>
      </w:r>
      <w:proofErr w:type="spellStart"/>
      <w:r w:rsidRPr="00415ED3">
        <w:rPr>
          <w:rFonts w:ascii="Garamond" w:hAnsi="Garamond"/>
          <w:sz w:val="24"/>
        </w:rPr>
        <w:t>Kousser</w:t>
      </w:r>
      <w:proofErr w:type="spellEnd"/>
      <w:r w:rsidRPr="00415ED3">
        <w:rPr>
          <w:rFonts w:ascii="Garamond" w:hAnsi="Garamond"/>
          <w:sz w:val="24"/>
        </w:rPr>
        <w:t>, T. (2016). Turning out unlikely voters? A field experiment in the top-two primary. </w:t>
      </w:r>
      <w:r w:rsidRPr="00415ED3">
        <w:rPr>
          <w:rFonts w:ascii="Garamond" w:hAnsi="Garamond"/>
          <w:i/>
          <w:iCs/>
          <w:sz w:val="24"/>
        </w:rPr>
        <w:t>Political Behavior</w:t>
      </w:r>
      <w:r w:rsidRPr="00415ED3">
        <w:rPr>
          <w:rFonts w:ascii="Garamond" w:hAnsi="Garamond"/>
          <w:sz w:val="24"/>
        </w:rPr>
        <w:t>, </w:t>
      </w:r>
      <w:r w:rsidRPr="00415ED3">
        <w:rPr>
          <w:rFonts w:ascii="Garamond" w:hAnsi="Garamond"/>
          <w:i/>
          <w:iCs/>
          <w:sz w:val="24"/>
        </w:rPr>
        <w:t>38</w:t>
      </w:r>
      <w:r>
        <w:rPr>
          <w:rFonts w:ascii="Garamond" w:hAnsi="Garamond"/>
          <w:sz w:val="24"/>
        </w:rPr>
        <w:t>(2), 413-432.</w:t>
      </w:r>
    </w:p>
    <w:p w14:paraId="1474A734" w14:textId="51C0728D" w:rsidR="006F0681" w:rsidRPr="0037355D" w:rsidRDefault="006F0681" w:rsidP="006F0681">
      <w:pPr>
        <w:spacing w:line="480" w:lineRule="auto"/>
        <w:ind w:left="720" w:hanging="720"/>
        <w:rPr>
          <w:rFonts w:ascii="Garamond" w:hAnsi="Garamond"/>
          <w:sz w:val="24"/>
        </w:rPr>
      </w:pPr>
      <w:r w:rsidRPr="0037355D">
        <w:rPr>
          <w:rFonts w:ascii="Garamond" w:hAnsi="Garamond"/>
          <w:sz w:val="24"/>
        </w:rPr>
        <w:t>Holbein, J., A Rangel, M., Moore, R., &amp; Croft, M. (2021). Are Voting Treatments Transformative? Expanding Upon and Meta-Analyzing the Evidence. Expanding Upon and Meta-Analyzing the Evidence.</w:t>
      </w:r>
    </w:p>
    <w:p w14:paraId="5A3F374D" w14:textId="2AB102A6" w:rsidR="006F0681" w:rsidRDefault="006F0681" w:rsidP="006F0681">
      <w:pPr>
        <w:spacing w:line="480" w:lineRule="auto"/>
        <w:ind w:left="720" w:hanging="720"/>
        <w:rPr>
          <w:rFonts w:ascii="Garamond" w:hAnsi="Garamond"/>
          <w:sz w:val="24"/>
        </w:rPr>
      </w:pPr>
      <w:proofErr w:type="spellStart"/>
      <w:r w:rsidRPr="0037355D">
        <w:rPr>
          <w:rFonts w:ascii="Garamond" w:hAnsi="Garamond"/>
          <w:sz w:val="24"/>
        </w:rPr>
        <w:t>Jakee</w:t>
      </w:r>
      <w:proofErr w:type="spellEnd"/>
      <w:r w:rsidRPr="0037355D">
        <w:rPr>
          <w:rFonts w:ascii="Garamond" w:hAnsi="Garamond"/>
          <w:sz w:val="24"/>
        </w:rPr>
        <w:t>, K., &amp; Sun, G. Z. (2006). Is compulsory voting more democratic</w:t>
      </w:r>
      <w:proofErr w:type="gramStart"/>
      <w:r w:rsidRPr="0037355D">
        <w:rPr>
          <w:rFonts w:ascii="Garamond" w:hAnsi="Garamond"/>
          <w:sz w:val="24"/>
        </w:rPr>
        <w:t>?.</w:t>
      </w:r>
      <w:proofErr w:type="gramEnd"/>
      <w:r w:rsidRPr="0037355D">
        <w:rPr>
          <w:rFonts w:ascii="Garamond" w:hAnsi="Garamond"/>
          <w:sz w:val="24"/>
        </w:rPr>
        <w:t> </w:t>
      </w:r>
      <w:r w:rsidRPr="0037355D">
        <w:rPr>
          <w:rFonts w:ascii="Garamond" w:hAnsi="Garamond"/>
          <w:i/>
          <w:iCs/>
          <w:sz w:val="24"/>
        </w:rPr>
        <w:t>Public Choice</w:t>
      </w:r>
      <w:r w:rsidRPr="0037355D">
        <w:rPr>
          <w:rFonts w:ascii="Garamond" w:hAnsi="Garamond"/>
          <w:sz w:val="24"/>
        </w:rPr>
        <w:t>, </w:t>
      </w:r>
      <w:r w:rsidRPr="0037355D">
        <w:rPr>
          <w:rFonts w:ascii="Garamond" w:hAnsi="Garamond"/>
          <w:i/>
          <w:iCs/>
          <w:sz w:val="24"/>
        </w:rPr>
        <w:t>129</w:t>
      </w:r>
      <w:r w:rsidRPr="0037355D">
        <w:rPr>
          <w:rFonts w:ascii="Garamond" w:hAnsi="Garamond"/>
          <w:sz w:val="24"/>
        </w:rPr>
        <w:t>(1), 61-75.</w:t>
      </w:r>
    </w:p>
    <w:p w14:paraId="63BF5858" w14:textId="29FB39B0" w:rsidR="008C7271" w:rsidRDefault="008C7271" w:rsidP="006F0681">
      <w:pPr>
        <w:spacing w:line="480" w:lineRule="auto"/>
        <w:ind w:left="720" w:hanging="720"/>
        <w:rPr>
          <w:rFonts w:ascii="Garamond" w:hAnsi="Garamond"/>
          <w:sz w:val="24"/>
        </w:rPr>
      </w:pPr>
      <w:r w:rsidRPr="008C7271">
        <w:rPr>
          <w:rFonts w:ascii="Garamond" w:hAnsi="Garamond"/>
          <w:sz w:val="24"/>
        </w:rPr>
        <w:t xml:space="preserve">Just, D. R., &amp; </w:t>
      </w:r>
      <w:proofErr w:type="spellStart"/>
      <w:r w:rsidRPr="008C7271">
        <w:rPr>
          <w:rFonts w:ascii="Garamond" w:hAnsi="Garamond"/>
          <w:sz w:val="24"/>
        </w:rPr>
        <w:t>Gabrielyan</w:t>
      </w:r>
      <w:proofErr w:type="spellEnd"/>
      <w:r w:rsidRPr="008C7271">
        <w:rPr>
          <w:rFonts w:ascii="Garamond" w:hAnsi="Garamond"/>
          <w:sz w:val="24"/>
        </w:rPr>
        <w:t>, G. (2018). Influencing the food choices of SNAP consumers: Lessons from economics, psychology and marketing. </w:t>
      </w:r>
      <w:r w:rsidRPr="008C7271">
        <w:rPr>
          <w:rFonts w:ascii="Garamond" w:hAnsi="Garamond"/>
          <w:i/>
          <w:iCs/>
          <w:sz w:val="24"/>
        </w:rPr>
        <w:t>Food Policy</w:t>
      </w:r>
      <w:r w:rsidRPr="008C7271">
        <w:rPr>
          <w:rFonts w:ascii="Garamond" w:hAnsi="Garamond"/>
          <w:sz w:val="24"/>
        </w:rPr>
        <w:t>, </w:t>
      </w:r>
      <w:r w:rsidRPr="008C7271">
        <w:rPr>
          <w:rFonts w:ascii="Garamond" w:hAnsi="Garamond"/>
          <w:i/>
          <w:iCs/>
          <w:sz w:val="24"/>
        </w:rPr>
        <w:t>79</w:t>
      </w:r>
      <w:r w:rsidRPr="008C7271">
        <w:rPr>
          <w:rFonts w:ascii="Garamond" w:hAnsi="Garamond"/>
          <w:sz w:val="24"/>
        </w:rPr>
        <w:t>, 309-317.</w:t>
      </w:r>
    </w:p>
    <w:p w14:paraId="25E0DBE6" w14:textId="3C698502" w:rsidR="00F035C6" w:rsidRDefault="00F035C6" w:rsidP="006F0681">
      <w:pPr>
        <w:spacing w:line="480" w:lineRule="auto"/>
        <w:ind w:left="720" w:hanging="720"/>
        <w:rPr>
          <w:rFonts w:ascii="Garamond" w:hAnsi="Garamond"/>
          <w:sz w:val="24"/>
        </w:rPr>
      </w:pPr>
      <w:proofErr w:type="spellStart"/>
      <w:r w:rsidRPr="00F035C6">
        <w:rPr>
          <w:rFonts w:ascii="Garamond" w:hAnsi="Garamond"/>
          <w:sz w:val="24"/>
        </w:rPr>
        <w:t>Keele</w:t>
      </w:r>
      <w:proofErr w:type="spellEnd"/>
      <w:r w:rsidRPr="00F035C6">
        <w:rPr>
          <w:rFonts w:ascii="Garamond" w:hAnsi="Garamond"/>
          <w:sz w:val="24"/>
        </w:rPr>
        <w:t>, L., &amp; Morgan, J. W. (2016).</w:t>
      </w:r>
      <w:r w:rsidRPr="00F035C6">
        <w:rPr>
          <w:rFonts w:ascii="Arial" w:hAnsi="Arial" w:cs="Arial"/>
          <w:color w:val="222222"/>
          <w:sz w:val="20"/>
          <w:szCs w:val="20"/>
          <w:shd w:val="clear" w:color="auto" w:fill="FFFFFF"/>
        </w:rPr>
        <w:t xml:space="preserve"> </w:t>
      </w:r>
      <w:r w:rsidRPr="00F035C6">
        <w:rPr>
          <w:rFonts w:ascii="Garamond" w:hAnsi="Garamond"/>
          <w:sz w:val="24"/>
        </w:rPr>
        <w:t>How strong is strong enough? Strengthening instruments through mat</w:t>
      </w:r>
      <w:r>
        <w:rPr>
          <w:rFonts w:ascii="Garamond" w:hAnsi="Garamond"/>
          <w:sz w:val="24"/>
        </w:rPr>
        <w:t>ching and weak instrument tests</w:t>
      </w:r>
      <w:r w:rsidRPr="00F035C6">
        <w:rPr>
          <w:rFonts w:ascii="Garamond" w:hAnsi="Garamond"/>
          <w:sz w:val="24"/>
        </w:rPr>
        <w:t>. </w:t>
      </w:r>
      <w:r w:rsidRPr="00F035C6">
        <w:rPr>
          <w:rFonts w:ascii="Garamond" w:hAnsi="Garamond"/>
          <w:i/>
          <w:iCs/>
          <w:sz w:val="24"/>
        </w:rPr>
        <w:t>The Annals of Applied Statistics</w:t>
      </w:r>
      <w:r w:rsidRPr="00F035C6">
        <w:rPr>
          <w:rFonts w:ascii="Garamond" w:hAnsi="Garamond"/>
          <w:sz w:val="24"/>
        </w:rPr>
        <w:t>, 1086-1106.</w:t>
      </w:r>
    </w:p>
    <w:p w14:paraId="5D97FB3D" w14:textId="2BEAB8A6" w:rsidR="007D43BC" w:rsidRDefault="007D43BC" w:rsidP="007D43BC">
      <w:pPr>
        <w:spacing w:line="480" w:lineRule="auto"/>
        <w:ind w:left="720" w:hanging="720"/>
        <w:rPr>
          <w:rFonts w:ascii="Garamond" w:hAnsi="Garamond"/>
          <w:sz w:val="24"/>
        </w:rPr>
      </w:pPr>
      <w:proofErr w:type="spellStart"/>
      <w:r w:rsidRPr="005B25F9">
        <w:rPr>
          <w:rFonts w:ascii="Garamond" w:hAnsi="Garamond"/>
          <w:sz w:val="24"/>
        </w:rPr>
        <w:lastRenderedPageBreak/>
        <w:t>Kleibergen</w:t>
      </w:r>
      <w:proofErr w:type="spellEnd"/>
      <w:r w:rsidRPr="005B25F9">
        <w:rPr>
          <w:rFonts w:ascii="Garamond" w:hAnsi="Garamond"/>
          <w:sz w:val="24"/>
        </w:rPr>
        <w:t xml:space="preserve">, F., &amp; </w:t>
      </w:r>
      <w:proofErr w:type="spellStart"/>
      <w:r w:rsidRPr="005B25F9">
        <w:rPr>
          <w:rFonts w:ascii="Garamond" w:hAnsi="Garamond"/>
          <w:sz w:val="24"/>
        </w:rPr>
        <w:t>Paap</w:t>
      </w:r>
      <w:proofErr w:type="spellEnd"/>
      <w:r w:rsidRPr="005B25F9">
        <w:rPr>
          <w:rFonts w:ascii="Garamond" w:hAnsi="Garamond"/>
          <w:sz w:val="24"/>
        </w:rPr>
        <w:t>, R. (2006). Generalized reduced rank tests using the singular value decomposition. </w:t>
      </w:r>
      <w:r w:rsidRPr="005B25F9">
        <w:rPr>
          <w:rFonts w:ascii="Garamond" w:hAnsi="Garamond"/>
          <w:i/>
          <w:iCs/>
          <w:sz w:val="24"/>
        </w:rPr>
        <w:t>Journal of econometrics</w:t>
      </w:r>
      <w:r w:rsidRPr="005B25F9">
        <w:rPr>
          <w:rFonts w:ascii="Garamond" w:hAnsi="Garamond"/>
          <w:sz w:val="24"/>
        </w:rPr>
        <w:t>, </w:t>
      </w:r>
      <w:r w:rsidRPr="005B25F9">
        <w:rPr>
          <w:rFonts w:ascii="Garamond" w:hAnsi="Garamond"/>
          <w:i/>
          <w:iCs/>
          <w:sz w:val="24"/>
        </w:rPr>
        <w:t>133</w:t>
      </w:r>
      <w:r w:rsidRPr="005B25F9">
        <w:rPr>
          <w:rFonts w:ascii="Garamond" w:hAnsi="Garamond"/>
          <w:sz w:val="24"/>
        </w:rPr>
        <w:t>(1), 97-126.</w:t>
      </w:r>
    </w:p>
    <w:p w14:paraId="66BA815C" w14:textId="086D6AA5" w:rsidR="002D3D58" w:rsidRPr="0037355D" w:rsidRDefault="002D3D58" w:rsidP="007D43BC">
      <w:pPr>
        <w:spacing w:line="480" w:lineRule="auto"/>
        <w:ind w:left="720" w:hanging="720"/>
        <w:rPr>
          <w:rFonts w:ascii="Garamond" w:hAnsi="Garamond"/>
          <w:sz w:val="24"/>
        </w:rPr>
      </w:pPr>
      <w:proofErr w:type="spellStart"/>
      <w:r w:rsidRPr="002D3D58">
        <w:rPr>
          <w:rFonts w:ascii="Garamond" w:hAnsi="Garamond"/>
          <w:sz w:val="24"/>
        </w:rPr>
        <w:t>Laitin</w:t>
      </w:r>
      <w:proofErr w:type="spellEnd"/>
      <w:r w:rsidRPr="002D3D58">
        <w:rPr>
          <w:rFonts w:ascii="Garamond" w:hAnsi="Garamond"/>
          <w:sz w:val="24"/>
        </w:rPr>
        <w:t>, D. D. (2013). Fisheries management. </w:t>
      </w:r>
      <w:r w:rsidRPr="002D3D58">
        <w:rPr>
          <w:rFonts w:ascii="Garamond" w:hAnsi="Garamond"/>
          <w:i/>
          <w:iCs/>
          <w:sz w:val="24"/>
        </w:rPr>
        <w:t>Political Analysis</w:t>
      </w:r>
      <w:r w:rsidRPr="002D3D58">
        <w:rPr>
          <w:rFonts w:ascii="Garamond" w:hAnsi="Garamond"/>
          <w:sz w:val="24"/>
        </w:rPr>
        <w:t>, </w:t>
      </w:r>
      <w:r w:rsidRPr="002D3D58">
        <w:rPr>
          <w:rFonts w:ascii="Garamond" w:hAnsi="Garamond"/>
          <w:i/>
          <w:iCs/>
          <w:sz w:val="24"/>
        </w:rPr>
        <w:t>21</w:t>
      </w:r>
      <w:r w:rsidRPr="002D3D58">
        <w:rPr>
          <w:rFonts w:ascii="Garamond" w:hAnsi="Garamond"/>
          <w:sz w:val="24"/>
        </w:rPr>
        <w:t>(1), 42-47.</w:t>
      </w:r>
    </w:p>
    <w:p w14:paraId="463974C4"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Lally</w:t>
      </w:r>
      <w:proofErr w:type="spellEnd"/>
      <w:r w:rsidRPr="0037355D">
        <w:rPr>
          <w:rFonts w:ascii="Garamond" w:hAnsi="Garamond"/>
          <w:sz w:val="24"/>
        </w:rPr>
        <w:t>, P., &amp; Gardner, B. (2013). Promoting habit formation. </w:t>
      </w:r>
      <w:r w:rsidRPr="0037355D">
        <w:rPr>
          <w:rFonts w:ascii="Garamond" w:hAnsi="Garamond"/>
          <w:i/>
          <w:iCs/>
          <w:sz w:val="24"/>
        </w:rPr>
        <w:t>Health psychology review</w:t>
      </w:r>
      <w:r w:rsidRPr="0037355D">
        <w:rPr>
          <w:rFonts w:ascii="Garamond" w:hAnsi="Garamond"/>
          <w:sz w:val="24"/>
        </w:rPr>
        <w:t>, </w:t>
      </w:r>
      <w:r w:rsidRPr="0037355D">
        <w:rPr>
          <w:rFonts w:ascii="Garamond" w:hAnsi="Garamond"/>
          <w:i/>
          <w:iCs/>
          <w:sz w:val="24"/>
        </w:rPr>
        <w:t>7</w:t>
      </w:r>
      <w:r w:rsidRPr="0037355D">
        <w:rPr>
          <w:rFonts w:ascii="Garamond" w:hAnsi="Garamond"/>
          <w:sz w:val="24"/>
        </w:rPr>
        <w:t>(sup1), S137-S158.</w:t>
      </w:r>
    </w:p>
    <w:p w14:paraId="25415D58"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Lally</w:t>
      </w:r>
      <w:proofErr w:type="spellEnd"/>
      <w:r w:rsidRPr="0037355D">
        <w:rPr>
          <w:rFonts w:ascii="Garamond" w:hAnsi="Garamond"/>
          <w:sz w:val="24"/>
        </w:rPr>
        <w:t xml:space="preserve">, P., Van Jaarsveld, C. H., Potts, H. W., &amp; Wardle, J. (2010). How are habits formed: Modelling habit formation in the real </w:t>
      </w:r>
      <w:proofErr w:type="gramStart"/>
      <w:r w:rsidRPr="0037355D">
        <w:rPr>
          <w:rFonts w:ascii="Garamond" w:hAnsi="Garamond"/>
          <w:sz w:val="24"/>
        </w:rPr>
        <w:t>world.</w:t>
      </w:r>
      <w:proofErr w:type="gramEnd"/>
      <w:r w:rsidRPr="0037355D">
        <w:rPr>
          <w:rFonts w:ascii="Garamond" w:hAnsi="Garamond"/>
          <w:sz w:val="24"/>
        </w:rPr>
        <w:t> </w:t>
      </w:r>
      <w:r w:rsidRPr="0037355D">
        <w:rPr>
          <w:rFonts w:ascii="Garamond" w:hAnsi="Garamond"/>
          <w:i/>
          <w:iCs/>
          <w:sz w:val="24"/>
        </w:rPr>
        <w:t>European journal of social psychology</w:t>
      </w:r>
      <w:r w:rsidRPr="0037355D">
        <w:rPr>
          <w:rFonts w:ascii="Garamond" w:hAnsi="Garamond"/>
          <w:sz w:val="24"/>
        </w:rPr>
        <w:t>, </w:t>
      </w:r>
      <w:r w:rsidRPr="0037355D">
        <w:rPr>
          <w:rFonts w:ascii="Garamond" w:hAnsi="Garamond"/>
          <w:i/>
          <w:iCs/>
          <w:sz w:val="24"/>
        </w:rPr>
        <w:t>40</w:t>
      </w:r>
      <w:r w:rsidRPr="0037355D">
        <w:rPr>
          <w:rFonts w:ascii="Garamond" w:hAnsi="Garamond"/>
          <w:sz w:val="24"/>
        </w:rPr>
        <w:t>(6), 998-1009.</w:t>
      </w:r>
    </w:p>
    <w:p w14:paraId="57A6C026"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Meredith, M. (2009). Persistence in political participation. </w:t>
      </w:r>
      <w:r w:rsidRPr="0037355D">
        <w:rPr>
          <w:rFonts w:ascii="Garamond" w:hAnsi="Garamond"/>
          <w:i/>
          <w:iCs/>
          <w:sz w:val="24"/>
        </w:rPr>
        <w:t>Quarterly Journal of Political Science</w:t>
      </w:r>
      <w:r w:rsidRPr="0037355D">
        <w:rPr>
          <w:rFonts w:ascii="Garamond" w:hAnsi="Garamond"/>
          <w:sz w:val="24"/>
        </w:rPr>
        <w:t>, </w:t>
      </w:r>
      <w:r w:rsidRPr="0037355D">
        <w:rPr>
          <w:rFonts w:ascii="Garamond" w:hAnsi="Garamond"/>
          <w:i/>
          <w:iCs/>
          <w:sz w:val="24"/>
        </w:rPr>
        <w:t>4</w:t>
      </w:r>
      <w:r w:rsidRPr="0037355D">
        <w:rPr>
          <w:rFonts w:ascii="Garamond" w:hAnsi="Garamond"/>
          <w:sz w:val="24"/>
        </w:rPr>
        <w:t>(3), 187-209.</w:t>
      </w:r>
    </w:p>
    <w:p w14:paraId="096063DE" w14:textId="3F449ABE" w:rsidR="00AB0298" w:rsidRPr="0037355D" w:rsidRDefault="00AB0298" w:rsidP="00AB0298">
      <w:pPr>
        <w:spacing w:line="480" w:lineRule="auto"/>
        <w:ind w:left="720" w:hanging="720"/>
        <w:rPr>
          <w:rFonts w:ascii="Garamond" w:hAnsi="Garamond"/>
          <w:sz w:val="24"/>
        </w:rPr>
      </w:pPr>
      <w:r w:rsidRPr="00A00C5B">
        <w:rPr>
          <w:rFonts w:ascii="Garamond" w:hAnsi="Garamond"/>
          <w:sz w:val="24"/>
        </w:rPr>
        <w:t>Michelson, M. R. (2003). Dos Palos revisited: Testing the lasting effects of voter mobilization. In Annual Meeting of the Midwest Political Science Association.</w:t>
      </w:r>
    </w:p>
    <w:p w14:paraId="6266E5A0" w14:textId="77777777" w:rsidR="006F0681" w:rsidRDefault="006F0681" w:rsidP="006F0681">
      <w:pPr>
        <w:spacing w:line="480" w:lineRule="auto"/>
        <w:ind w:left="720" w:hanging="720"/>
        <w:rPr>
          <w:rFonts w:ascii="Garamond" w:hAnsi="Garamond"/>
          <w:sz w:val="24"/>
        </w:rPr>
      </w:pPr>
      <w:r w:rsidRPr="0037355D">
        <w:rPr>
          <w:rFonts w:ascii="Garamond" w:hAnsi="Garamond"/>
          <w:sz w:val="24"/>
        </w:rPr>
        <w:t>Nickerson, D. W., &amp; Rogers, T. (2010). Do you have a voting plan? Implementation intentions, voter turnout, and organic plan making. </w:t>
      </w:r>
      <w:r w:rsidRPr="0037355D">
        <w:rPr>
          <w:rFonts w:ascii="Garamond" w:hAnsi="Garamond"/>
          <w:i/>
          <w:iCs/>
          <w:sz w:val="24"/>
        </w:rPr>
        <w:t>Psychological Science</w:t>
      </w:r>
      <w:r w:rsidRPr="0037355D">
        <w:rPr>
          <w:rFonts w:ascii="Garamond" w:hAnsi="Garamond"/>
          <w:sz w:val="24"/>
        </w:rPr>
        <w:t>, </w:t>
      </w:r>
      <w:r w:rsidRPr="0037355D">
        <w:rPr>
          <w:rFonts w:ascii="Garamond" w:hAnsi="Garamond"/>
          <w:i/>
          <w:iCs/>
          <w:sz w:val="24"/>
        </w:rPr>
        <w:t>21</w:t>
      </w:r>
      <w:r w:rsidRPr="0037355D">
        <w:rPr>
          <w:rFonts w:ascii="Garamond" w:hAnsi="Garamond"/>
          <w:sz w:val="24"/>
        </w:rPr>
        <w:t>(2), 194-199.</w:t>
      </w:r>
    </w:p>
    <w:p w14:paraId="20840F28" w14:textId="77777777" w:rsidR="006F0681" w:rsidRDefault="006F0681" w:rsidP="006F0681">
      <w:pPr>
        <w:spacing w:line="480" w:lineRule="auto"/>
        <w:ind w:left="720" w:hanging="720"/>
        <w:rPr>
          <w:rFonts w:ascii="Garamond" w:hAnsi="Garamond"/>
          <w:sz w:val="24"/>
        </w:rPr>
      </w:pPr>
      <w:proofErr w:type="spellStart"/>
      <w:r w:rsidRPr="00BE336B">
        <w:rPr>
          <w:rFonts w:ascii="Garamond" w:hAnsi="Garamond"/>
          <w:sz w:val="24"/>
        </w:rPr>
        <w:t>Nosek</w:t>
      </w:r>
      <w:proofErr w:type="spellEnd"/>
      <w:r w:rsidRPr="00BE336B">
        <w:rPr>
          <w:rFonts w:ascii="Garamond" w:hAnsi="Garamond"/>
          <w:sz w:val="24"/>
        </w:rPr>
        <w:t xml:space="preserve">, B. A., </w:t>
      </w:r>
      <w:proofErr w:type="spellStart"/>
      <w:r w:rsidRPr="00BE336B">
        <w:rPr>
          <w:rFonts w:ascii="Garamond" w:hAnsi="Garamond"/>
          <w:sz w:val="24"/>
        </w:rPr>
        <w:t>Ebersole</w:t>
      </w:r>
      <w:proofErr w:type="spellEnd"/>
      <w:r w:rsidRPr="00BE336B">
        <w:rPr>
          <w:rFonts w:ascii="Garamond" w:hAnsi="Garamond"/>
          <w:sz w:val="24"/>
        </w:rPr>
        <w:t xml:space="preserve">, C. R., </w:t>
      </w:r>
      <w:proofErr w:type="spellStart"/>
      <w:r w:rsidRPr="00BE336B">
        <w:rPr>
          <w:rFonts w:ascii="Garamond" w:hAnsi="Garamond"/>
          <w:sz w:val="24"/>
        </w:rPr>
        <w:t>DeHaven</w:t>
      </w:r>
      <w:proofErr w:type="spellEnd"/>
      <w:r w:rsidRPr="00BE336B">
        <w:rPr>
          <w:rFonts w:ascii="Garamond" w:hAnsi="Garamond"/>
          <w:sz w:val="24"/>
        </w:rPr>
        <w:t>, A. C., &amp; Mellor, D. T. (2018). The preregistration revolution. </w:t>
      </w:r>
      <w:r w:rsidRPr="00BE336B">
        <w:rPr>
          <w:rFonts w:ascii="Garamond" w:hAnsi="Garamond"/>
          <w:i/>
          <w:iCs/>
          <w:sz w:val="24"/>
        </w:rPr>
        <w:t>Proceedings of the National Academy of Sciences</w:t>
      </w:r>
      <w:r w:rsidRPr="00BE336B">
        <w:rPr>
          <w:rFonts w:ascii="Garamond" w:hAnsi="Garamond"/>
          <w:sz w:val="24"/>
        </w:rPr>
        <w:t>, </w:t>
      </w:r>
      <w:r w:rsidRPr="00BE336B">
        <w:rPr>
          <w:rFonts w:ascii="Garamond" w:hAnsi="Garamond"/>
          <w:i/>
          <w:iCs/>
          <w:sz w:val="24"/>
        </w:rPr>
        <w:t>115</w:t>
      </w:r>
      <w:r w:rsidRPr="00BE336B">
        <w:rPr>
          <w:rFonts w:ascii="Garamond" w:hAnsi="Garamond"/>
          <w:sz w:val="24"/>
        </w:rPr>
        <w:t>(11), 2600-2606.</w:t>
      </w:r>
    </w:p>
    <w:p w14:paraId="054637D1" w14:textId="77777777" w:rsidR="006F0681" w:rsidRDefault="006F0681" w:rsidP="006F0681">
      <w:pPr>
        <w:spacing w:line="480" w:lineRule="auto"/>
        <w:ind w:left="720" w:hanging="720"/>
        <w:rPr>
          <w:rFonts w:ascii="Garamond" w:hAnsi="Garamond"/>
          <w:sz w:val="24"/>
        </w:rPr>
      </w:pPr>
      <w:proofErr w:type="spellStart"/>
      <w:r w:rsidRPr="00BE336B">
        <w:rPr>
          <w:rFonts w:ascii="Garamond" w:hAnsi="Garamond"/>
          <w:sz w:val="24"/>
        </w:rPr>
        <w:t>Ofosu</w:t>
      </w:r>
      <w:proofErr w:type="spellEnd"/>
      <w:r w:rsidRPr="00BE336B">
        <w:rPr>
          <w:rFonts w:ascii="Garamond" w:hAnsi="Garamond"/>
          <w:sz w:val="24"/>
        </w:rPr>
        <w:t>, G. K., &amp; Posner, D. N. (2021). Pre-analysis plans: An early stocktaking. </w:t>
      </w:r>
      <w:r w:rsidRPr="00BE336B">
        <w:rPr>
          <w:rFonts w:ascii="Garamond" w:hAnsi="Garamond"/>
          <w:i/>
          <w:iCs/>
          <w:sz w:val="24"/>
        </w:rPr>
        <w:t>Perspectives on Politics</w:t>
      </w:r>
      <w:r w:rsidRPr="00BE336B">
        <w:rPr>
          <w:rFonts w:ascii="Garamond" w:hAnsi="Garamond"/>
          <w:sz w:val="24"/>
        </w:rPr>
        <w:t xml:space="preserve">, 1-17. </w:t>
      </w:r>
    </w:p>
    <w:p w14:paraId="71D80EEF" w14:textId="77777777" w:rsidR="006F0681" w:rsidRPr="0037355D" w:rsidRDefault="006F0681" w:rsidP="006F0681">
      <w:pPr>
        <w:spacing w:line="480" w:lineRule="auto"/>
        <w:ind w:left="720" w:hanging="720"/>
        <w:rPr>
          <w:rFonts w:ascii="Garamond" w:hAnsi="Garamond"/>
          <w:sz w:val="24"/>
        </w:rPr>
      </w:pPr>
      <w:proofErr w:type="spellStart"/>
      <w:r w:rsidRPr="00E243D2">
        <w:rPr>
          <w:rFonts w:ascii="Garamond" w:hAnsi="Garamond"/>
          <w:sz w:val="24"/>
        </w:rPr>
        <w:t>Olken</w:t>
      </w:r>
      <w:proofErr w:type="spellEnd"/>
      <w:r w:rsidRPr="00E243D2">
        <w:rPr>
          <w:rFonts w:ascii="Garamond" w:hAnsi="Garamond"/>
          <w:sz w:val="24"/>
        </w:rPr>
        <w:t>, B. A. (2015). Promises and perils of pre-analysis plans. </w:t>
      </w:r>
      <w:r w:rsidRPr="00E243D2">
        <w:rPr>
          <w:rFonts w:ascii="Garamond" w:hAnsi="Garamond"/>
          <w:i/>
          <w:iCs/>
          <w:sz w:val="24"/>
        </w:rPr>
        <w:t>Journal of Economic Perspectives</w:t>
      </w:r>
      <w:r w:rsidRPr="00E243D2">
        <w:rPr>
          <w:rFonts w:ascii="Garamond" w:hAnsi="Garamond"/>
          <w:sz w:val="24"/>
        </w:rPr>
        <w:t>, </w:t>
      </w:r>
      <w:r w:rsidRPr="00E243D2">
        <w:rPr>
          <w:rFonts w:ascii="Garamond" w:hAnsi="Garamond"/>
          <w:i/>
          <w:iCs/>
          <w:sz w:val="24"/>
        </w:rPr>
        <w:t>29</w:t>
      </w:r>
      <w:r w:rsidRPr="00E243D2">
        <w:rPr>
          <w:rFonts w:ascii="Garamond" w:hAnsi="Garamond"/>
          <w:sz w:val="24"/>
        </w:rPr>
        <w:t>(3), 61-80.</w:t>
      </w:r>
    </w:p>
    <w:p w14:paraId="08C1E801" w14:textId="0C3782F3" w:rsidR="006F0681" w:rsidRDefault="006F0681" w:rsidP="006F0681">
      <w:pPr>
        <w:spacing w:line="480" w:lineRule="auto"/>
        <w:ind w:left="720" w:hanging="720"/>
        <w:rPr>
          <w:rFonts w:ascii="Garamond" w:hAnsi="Garamond"/>
          <w:sz w:val="24"/>
        </w:rPr>
      </w:pPr>
      <w:r w:rsidRPr="0037355D">
        <w:rPr>
          <w:rFonts w:ascii="Garamond" w:hAnsi="Garamond"/>
          <w:sz w:val="24"/>
        </w:rPr>
        <w:t>Purcell, P. J. (2020). Geographic Mobility and Annual Earnings in the United States. </w:t>
      </w:r>
      <w:r w:rsidRPr="0037355D">
        <w:rPr>
          <w:rFonts w:ascii="Garamond" w:hAnsi="Garamond"/>
          <w:i/>
          <w:iCs/>
          <w:sz w:val="24"/>
        </w:rPr>
        <w:t>Soc. Sec. Bull.</w:t>
      </w:r>
      <w:r w:rsidRPr="0037355D">
        <w:rPr>
          <w:rFonts w:ascii="Garamond" w:hAnsi="Garamond"/>
          <w:sz w:val="24"/>
        </w:rPr>
        <w:t>, </w:t>
      </w:r>
      <w:r w:rsidRPr="0037355D">
        <w:rPr>
          <w:rFonts w:ascii="Garamond" w:hAnsi="Garamond"/>
          <w:i/>
          <w:iCs/>
          <w:sz w:val="24"/>
        </w:rPr>
        <w:t>80</w:t>
      </w:r>
      <w:r w:rsidRPr="0037355D">
        <w:rPr>
          <w:rFonts w:ascii="Garamond" w:hAnsi="Garamond"/>
          <w:sz w:val="24"/>
        </w:rPr>
        <w:t>, 1.</w:t>
      </w:r>
    </w:p>
    <w:p w14:paraId="48A76983" w14:textId="3E466004" w:rsidR="008C7271" w:rsidRPr="0037355D" w:rsidRDefault="008C7271" w:rsidP="008C7271">
      <w:pPr>
        <w:spacing w:line="480" w:lineRule="auto"/>
        <w:ind w:left="720" w:hanging="720"/>
        <w:rPr>
          <w:rFonts w:ascii="Garamond" w:hAnsi="Garamond"/>
          <w:sz w:val="24"/>
        </w:rPr>
      </w:pPr>
      <w:r w:rsidRPr="00415ED3">
        <w:rPr>
          <w:rFonts w:ascii="Garamond" w:hAnsi="Garamond"/>
          <w:i/>
          <w:sz w:val="24"/>
        </w:rPr>
        <w:lastRenderedPageBreak/>
        <w:t>RCP.</w:t>
      </w:r>
      <w:r w:rsidRPr="00415ED3">
        <w:rPr>
          <w:rFonts w:ascii="Garamond" w:hAnsi="Garamond"/>
          <w:sz w:val="24"/>
        </w:rPr>
        <w:t xml:space="preserve"> (2014). 2014 Governor Races. </w:t>
      </w:r>
      <w:r w:rsidRPr="00415ED3">
        <w:rPr>
          <w:rFonts w:ascii="Garamond" w:hAnsi="Garamond"/>
          <w:i/>
          <w:sz w:val="24"/>
        </w:rPr>
        <w:t>Real Clear Politics</w:t>
      </w:r>
      <w:r w:rsidRPr="00415ED3">
        <w:rPr>
          <w:rFonts w:ascii="Garamond" w:hAnsi="Garamond"/>
          <w:sz w:val="24"/>
        </w:rPr>
        <w:t xml:space="preserve">. </w:t>
      </w:r>
      <w:hyperlink r:id="rId13" w:history="1">
        <w:r w:rsidRPr="00415ED3">
          <w:rPr>
            <w:rFonts w:ascii="Garamond" w:hAnsi="Garamond"/>
            <w:color w:val="0563C1" w:themeColor="hyperlink"/>
            <w:sz w:val="24"/>
            <w:u w:val="single"/>
          </w:rPr>
          <w:t>https://www.realclearpolitics.com/epolls/2014/governor/2014_elections_governor_map.html</w:t>
        </w:r>
      </w:hyperlink>
      <w:r>
        <w:rPr>
          <w:rFonts w:ascii="Garamond" w:hAnsi="Garamond"/>
          <w:sz w:val="24"/>
        </w:rPr>
        <w:t xml:space="preserve"> </w:t>
      </w:r>
    </w:p>
    <w:p w14:paraId="11EE2789"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Riker, W. H., &amp; </w:t>
      </w:r>
      <w:proofErr w:type="spellStart"/>
      <w:r w:rsidRPr="0037355D">
        <w:rPr>
          <w:rFonts w:ascii="Garamond" w:hAnsi="Garamond"/>
          <w:sz w:val="24"/>
        </w:rPr>
        <w:t>Ordeshook</w:t>
      </w:r>
      <w:proofErr w:type="spellEnd"/>
      <w:r w:rsidRPr="0037355D">
        <w:rPr>
          <w:rFonts w:ascii="Garamond" w:hAnsi="Garamond"/>
          <w:sz w:val="24"/>
        </w:rPr>
        <w:t>, P. C. (1968). A Theory of the Calculus of Voting. </w:t>
      </w:r>
      <w:r w:rsidRPr="0037355D">
        <w:rPr>
          <w:rFonts w:ascii="Garamond" w:hAnsi="Garamond"/>
          <w:i/>
          <w:iCs/>
          <w:sz w:val="24"/>
        </w:rPr>
        <w:t>American political science review</w:t>
      </w:r>
      <w:r w:rsidRPr="0037355D">
        <w:rPr>
          <w:rFonts w:ascii="Garamond" w:hAnsi="Garamond"/>
          <w:sz w:val="24"/>
        </w:rPr>
        <w:t>, </w:t>
      </w:r>
      <w:r w:rsidRPr="0037355D">
        <w:rPr>
          <w:rFonts w:ascii="Garamond" w:hAnsi="Garamond"/>
          <w:i/>
          <w:iCs/>
          <w:sz w:val="24"/>
        </w:rPr>
        <w:t>62</w:t>
      </w:r>
      <w:r w:rsidRPr="0037355D">
        <w:rPr>
          <w:rFonts w:ascii="Garamond" w:hAnsi="Garamond"/>
          <w:sz w:val="24"/>
        </w:rPr>
        <w:t>(1), 25-42.</w:t>
      </w:r>
    </w:p>
    <w:p w14:paraId="786F7CF2"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Rogers, T., &amp; Frey, E. (2014). Changing behavior beyond the here and now. </w:t>
      </w:r>
      <w:hyperlink r:id="rId14" w:history="1">
        <w:r w:rsidRPr="0037355D">
          <w:rPr>
            <w:rFonts w:ascii="Garamond" w:hAnsi="Garamond"/>
            <w:color w:val="0563C1" w:themeColor="hyperlink"/>
            <w:sz w:val="24"/>
            <w:u w:val="single"/>
          </w:rPr>
          <w:t>https://papers.ssrn.com/sol3/papers.cfm?abstract_id=2410465</w:t>
        </w:r>
      </w:hyperlink>
      <w:r w:rsidRPr="0037355D">
        <w:rPr>
          <w:rFonts w:ascii="Garamond" w:hAnsi="Garamond"/>
          <w:sz w:val="24"/>
        </w:rPr>
        <w:t xml:space="preserve"> </w:t>
      </w:r>
    </w:p>
    <w:p w14:paraId="6819495F"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Rogers, T., Fox, C. R., &amp; Gerber, A. S. (2013). Rethinking why people vote. In </w:t>
      </w:r>
      <w:r w:rsidRPr="0037355D">
        <w:rPr>
          <w:rFonts w:ascii="Garamond" w:hAnsi="Garamond"/>
          <w:i/>
          <w:iCs/>
          <w:sz w:val="24"/>
        </w:rPr>
        <w:t>The behavioral foundations of public policy</w:t>
      </w:r>
      <w:r w:rsidRPr="0037355D">
        <w:rPr>
          <w:rFonts w:ascii="Garamond" w:hAnsi="Garamond"/>
          <w:sz w:val="24"/>
        </w:rPr>
        <w:t> (pp. 91-107). Princeton University Press.</w:t>
      </w:r>
    </w:p>
    <w:p w14:paraId="2D20AC49"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Rogers, T., Green, D. P., Ternovski, J., &amp; Young, C. F. (2017). Social pressure and voting: A field experiment conducted in a high-salience election. </w:t>
      </w:r>
      <w:r w:rsidRPr="0037355D">
        <w:rPr>
          <w:rFonts w:ascii="Garamond" w:hAnsi="Garamond"/>
          <w:i/>
          <w:iCs/>
          <w:sz w:val="24"/>
        </w:rPr>
        <w:t>Electoral Studies</w:t>
      </w:r>
      <w:r w:rsidRPr="0037355D">
        <w:rPr>
          <w:rFonts w:ascii="Garamond" w:hAnsi="Garamond"/>
          <w:sz w:val="24"/>
        </w:rPr>
        <w:t>, </w:t>
      </w:r>
      <w:r w:rsidRPr="0037355D">
        <w:rPr>
          <w:rFonts w:ascii="Garamond" w:hAnsi="Garamond"/>
          <w:i/>
          <w:iCs/>
          <w:sz w:val="24"/>
        </w:rPr>
        <w:t>46</w:t>
      </w:r>
      <w:r w:rsidRPr="0037355D">
        <w:rPr>
          <w:rFonts w:ascii="Garamond" w:hAnsi="Garamond"/>
          <w:sz w:val="24"/>
        </w:rPr>
        <w:t>, 87-100.</w:t>
      </w:r>
    </w:p>
    <w:p w14:paraId="597E4023"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 xml:space="preserve">Rogers, T., Ternovski, J., &amp; </w:t>
      </w:r>
      <w:proofErr w:type="spellStart"/>
      <w:r w:rsidRPr="0037355D">
        <w:rPr>
          <w:rFonts w:ascii="Garamond" w:hAnsi="Garamond"/>
          <w:sz w:val="24"/>
        </w:rPr>
        <w:t>Yoeli</w:t>
      </w:r>
      <w:proofErr w:type="spellEnd"/>
      <w:r w:rsidRPr="0037355D">
        <w:rPr>
          <w:rFonts w:ascii="Garamond" w:hAnsi="Garamond"/>
          <w:sz w:val="24"/>
        </w:rPr>
        <w:t>, E. (2016). Potential follow-up increases private contributions to public goods. </w:t>
      </w:r>
      <w:r w:rsidRPr="0037355D">
        <w:rPr>
          <w:rFonts w:ascii="Garamond" w:hAnsi="Garamond"/>
          <w:i/>
          <w:iCs/>
          <w:sz w:val="24"/>
        </w:rPr>
        <w:t>Proceedings of the national academy of sciences</w:t>
      </w:r>
      <w:r w:rsidRPr="0037355D">
        <w:rPr>
          <w:rFonts w:ascii="Garamond" w:hAnsi="Garamond"/>
          <w:sz w:val="24"/>
        </w:rPr>
        <w:t>, </w:t>
      </w:r>
      <w:r w:rsidRPr="0037355D">
        <w:rPr>
          <w:rFonts w:ascii="Garamond" w:hAnsi="Garamond"/>
          <w:i/>
          <w:iCs/>
          <w:sz w:val="24"/>
        </w:rPr>
        <w:t>113</w:t>
      </w:r>
      <w:r w:rsidRPr="0037355D">
        <w:rPr>
          <w:rFonts w:ascii="Garamond" w:hAnsi="Garamond"/>
          <w:sz w:val="24"/>
        </w:rPr>
        <w:t>(19), 5218-5220.</w:t>
      </w:r>
    </w:p>
    <w:p w14:paraId="5B6F73D4" w14:textId="77777777" w:rsidR="006F0681" w:rsidRPr="0037355D" w:rsidRDefault="006F0681" w:rsidP="006F0681">
      <w:pPr>
        <w:spacing w:line="480" w:lineRule="auto"/>
        <w:ind w:left="720" w:hanging="720"/>
        <w:rPr>
          <w:rFonts w:ascii="Garamond" w:hAnsi="Garamond"/>
          <w:sz w:val="24"/>
        </w:rPr>
      </w:pPr>
      <w:r w:rsidRPr="0037355D">
        <w:rPr>
          <w:rFonts w:ascii="Garamond" w:hAnsi="Garamond"/>
          <w:sz w:val="24"/>
        </w:rPr>
        <w:t>Rolfe, M. (2012). </w:t>
      </w:r>
      <w:r w:rsidRPr="0037355D">
        <w:rPr>
          <w:rFonts w:ascii="Garamond" w:hAnsi="Garamond"/>
          <w:i/>
          <w:iCs/>
          <w:sz w:val="24"/>
        </w:rPr>
        <w:t>Voter turnout: A social theory of political participation</w:t>
      </w:r>
      <w:r w:rsidRPr="0037355D">
        <w:rPr>
          <w:rFonts w:ascii="Garamond" w:hAnsi="Garamond"/>
          <w:sz w:val="24"/>
        </w:rPr>
        <w:t>. Cambridge University Press.</w:t>
      </w:r>
    </w:p>
    <w:p w14:paraId="5DBB622F" w14:textId="77777777" w:rsidR="006F0681" w:rsidRPr="0037355D" w:rsidRDefault="006F0681" w:rsidP="006F0681">
      <w:pPr>
        <w:spacing w:line="480" w:lineRule="auto"/>
        <w:ind w:left="720" w:hanging="720"/>
        <w:rPr>
          <w:rFonts w:ascii="Garamond" w:hAnsi="Garamond"/>
          <w:sz w:val="24"/>
        </w:rPr>
      </w:pPr>
      <w:proofErr w:type="spellStart"/>
      <w:r w:rsidRPr="0037355D">
        <w:rPr>
          <w:rFonts w:ascii="Garamond" w:hAnsi="Garamond"/>
          <w:sz w:val="24"/>
        </w:rPr>
        <w:t>Smets</w:t>
      </w:r>
      <w:proofErr w:type="spellEnd"/>
      <w:r w:rsidRPr="0037355D">
        <w:rPr>
          <w:rFonts w:ascii="Garamond" w:hAnsi="Garamond"/>
          <w:sz w:val="24"/>
        </w:rPr>
        <w:t>, K., &amp; Van Ham, C. (2013). The embarrassment of riches? A meta-analysis of individual-level research on voter turnout. </w:t>
      </w:r>
      <w:r w:rsidRPr="0037355D">
        <w:rPr>
          <w:rFonts w:ascii="Garamond" w:hAnsi="Garamond"/>
          <w:i/>
          <w:iCs/>
          <w:sz w:val="24"/>
        </w:rPr>
        <w:t>Electoral studies</w:t>
      </w:r>
      <w:r w:rsidRPr="0037355D">
        <w:rPr>
          <w:rFonts w:ascii="Garamond" w:hAnsi="Garamond"/>
          <w:sz w:val="24"/>
        </w:rPr>
        <w:t>, </w:t>
      </w:r>
      <w:r w:rsidRPr="0037355D">
        <w:rPr>
          <w:rFonts w:ascii="Garamond" w:hAnsi="Garamond"/>
          <w:i/>
          <w:iCs/>
          <w:sz w:val="24"/>
        </w:rPr>
        <w:t>32</w:t>
      </w:r>
      <w:r w:rsidRPr="0037355D">
        <w:rPr>
          <w:rFonts w:ascii="Garamond" w:hAnsi="Garamond"/>
          <w:sz w:val="24"/>
        </w:rPr>
        <w:t>(2), 344-359.</w:t>
      </w:r>
    </w:p>
    <w:p w14:paraId="78B27A90" w14:textId="77777777" w:rsidR="006F0681" w:rsidRDefault="006F0681" w:rsidP="006F0681">
      <w:pPr>
        <w:spacing w:line="480" w:lineRule="auto"/>
        <w:ind w:left="720" w:hanging="720"/>
        <w:rPr>
          <w:rFonts w:ascii="Garamond" w:hAnsi="Garamond"/>
          <w:sz w:val="24"/>
        </w:rPr>
      </w:pPr>
      <w:proofErr w:type="spellStart"/>
      <w:r w:rsidRPr="0037355D">
        <w:rPr>
          <w:rFonts w:ascii="Garamond" w:hAnsi="Garamond"/>
          <w:sz w:val="24"/>
        </w:rPr>
        <w:t>Solvak</w:t>
      </w:r>
      <w:proofErr w:type="spellEnd"/>
      <w:r w:rsidRPr="0037355D">
        <w:rPr>
          <w:rFonts w:ascii="Garamond" w:hAnsi="Garamond"/>
          <w:sz w:val="24"/>
        </w:rPr>
        <w:t>, M., &amp; Vassil, K. (2018). Could Internet Voting Halt Declining Electoral Turnout? New Evidence That E</w:t>
      </w:r>
      <w:r w:rsidRPr="0037355D">
        <w:rPr>
          <w:rFonts w:ascii="Times New Roman" w:hAnsi="Times New Roman" w:cs="Times New Roman"/>
          <w:sz w:val="24"/>
        </w:rPr>
        <w:t>‐</w:t>
      </w:r>
      <w:r w:rsidRPr="0037355D">
        <w:rPr>
          <w:rFonts w:ascii="Garamond" w:hAnsi="Garamond"/>
          <w:sz w:val="24"/>
        </w:rPr>
        <w:t>Voting Is Habit Forming.</w:t>
      </w:r>
      <w:r w:rsidRPr="0037355D">
        <w:rPr>
          <w:rFonts w:ascii="Garamond" w:hAnsi="Garamond" w:cs="Garamond"/>
          <w:sz w:val="24"/>
        </w:rPr>
        <w:t> </w:t>
      </w:r>
      <w:r w:rsidRPr="0037355D">
        <w:rPr>
          <w:rFonts w:ascii="Garamond" w:hAnsi="Garamond"/>
          <w:i/>
          <w:iCs/>
          <w:sz w:val="24"/>
        </w:rPr>
        <w:t>Policy &amp; Internet</w:t>
      </w:r>
      <w:r w:rsidRPr="0037355D">
        <w:rPr>
          <w:rFonts w:ascii="Garamond" w:hAnsi="Garamond"/>
          <w:sz w:val="24"/>
        </w:rPr>
        <w:t>, </w:t>
      </w:r>
      <w:r w:rsidRPr="0037355D">
        <w:rPr>
          <w:rFonts w:ascii="Garamond" w:hAnsi="Garamond"/>
          <w:i/>
          <w:iCs/>
          <w:sz w:val="24"/>
        </w:rPr>
        <w:t>10</w:t>
      </w:r>
      <w:r w:rsidRPr="0037355D">
        <w:rPr>
          <w:rFonts w:ascii="Garamond" w:hAnsi="Garamond"/>
          <w:sz w:val="24"/>
        </w:rPr>
        <w:t>(1), 4-21.</w:t>
      </w:r>
    </w:p>
    <w:p w14:paraId="6B736632" w14:textId="77777777" w:rsidR="00F035C6" w:rsidRDefault="00F035C6" w:rsidP="00F035C6">
      <w:pPr>
        <w:spacing w:line="480" w:lineRule="auto"/>
        <w:ind w:left="720" w:hanging="720"/>
        <w:rPr>
          <w:rFonts w:ascii="Garamond" w:hAnsi="Garamond"/>
          <w:sz w:val="24"/>
        </w:rPr>
      </w:pPr>
      <w:proofErr w:type="spellStart"/>
      <w:r w:rsidRPr="00D35725">
        <w:rPr>
          <w:rFonts w:ascii="Garamond" w:hAnsi="Garamond"/>
          <w:sz w:val="24"/>
        </w:rPr>
        <w:t>Staiger</w:t>
      </w:r>
      <w:proofErr w:type="spellEnd"/>
      <w:r w:rsidRPr="00D35725">
        <w:rPr>
          <w:rFonts w:ascii="Garamond" w:hAnsi="Garamond"/>
          <w:sz w:val="24"/>
        </w:rPr>
        <w:t>, D., &amp; Stock, J. H. (1997). Instrumental Variables Regression with Weak Instruments. </w:t>
      </w:r>
      <w:proofErr w:type="spellStart"/>
      <w:r w:rsidRPr="00D35725">
        <w:rPr>
          <w:rFonts w:ascii="Garamond" w:hAnsi="Garamond"/>
          <w:i/>
          <w:iCs/>
          <w:sz w:val="24"/>
        </w:rPr>
        <w:t>Econometrica</w:t>
      </w:r>
      <w:proofErr w:type="spellEnd"/>
      <w:r w:rsidRPr="00D35725">
        <w:rPr>
          <w:rFonts w:ascii="Garamond" w:hAnsi="Garamond"/>
          <w:sz w:val="24"/>
        </w:rPr>
        <w:t>, </w:t>
      </w:r>
      <w:r w:rsidRPr="00D35725">
        <w:rPr>
          <w:rFonts w:ascii="Garamond" w:hAnsi="Garamond"/>
          <w:i/>
          <w:iCs/>
          <w:sz w:val="24"/>
        </w:rPr>
        <w:t>65</w:t>
      </w:r>
      <w:r w:rsidRPr="00D35725">
        <w:rPr>
          <w:rFonts w:ascii="Garamond" w:hAnsi="Garamond"/>
          <w:sz w:val="24"/>
        </w:rPr>
        <w:t>(3), 557-586.</w:t>
      </w:r>
    </w:p>
    <w:p w14:paraId="44A23839" w14:textId="77777777" w:rsidR="00F035C6" w:rsidRDefault="00F035C6" w:rsidP="00CA1FF5">
      <w:pPr>
        <w:spacing w:line="480" w:lineRule="auto"/>
        <w:ind w:left="720" w:hanging="720"/>
        <w:rPr>
          <w:rFonts w:ascii="Garamond" w:hAnsi="Garamond"/>
          <w:sz w:val="24"/>
        </w:rPr>
      </w:pPr>
    </w:p>
    <w:p w14:paraId="0625E2FD" w14:textId="44672925" w:rsidR="00CA1FF5" w:rsidRDefault="00CA1FF5" w:rsidP="00CA1FF5">
      <w:pPr>
        <w:spacing w:line="480" w:lineRule="auto"/>
        <w:ind w:left="720" w:hanging="720"/>
        <w:rPr>
          <w:rFonts w:ascii="Garamond" w:hAnsi="Garamond"/>
          <w:sz w:val="24"/>
        </w:rPr>
      </w:pPr>
      <w:r w:rsidRPr="005B25F9">
        <w:rPr>
          <w:rFonts w:ascii="Garamond" w:hAnsi="Garamond"/>
          <w:sz w:val="24"/>
        </w:rPr>
        <w:lastRenderedPageBreak/>
        <w:t xml:space="preserve">Stock, J., &amp; </w:t>
      </w:r>
      <w:proofErr w:type="spellStart"/>
      <w:r w:rsidRPr="005B25F9">
        <w:rPr>
          <w:rFonts w:ascii="Garamond" w:hAnsi="Garamond"/>
          <w:sz w:val="24"/>
        </w:rPr>
        <w:t>Yogo</w:t>
      </w:r>
      <w:proofErr w:type="spellEnd"/>
      <w:r w:rsidRPr="005B25F9">
        <w:rPr>
          <w:rFonts w:ascii="Garamond" w:hAnsi="Garamond"/>
          <w:sz w:val="24"/>
        </w:rPr>
        <w:t>, M. (2005). Asymptotic distributions of instrumental variables statistics with many instruments. </w:t>
      </w:r>
      <w:r w:rsidRPr="005B25F9">
        <w:rPr>
          <w:rFonts w:ascii="Garamond" w:hAnsi="Garamond"/>
          <w:i/>
          <w:iCs/>
          <w:sz w:val="24"/>
        </w:rPr>
        <w:t>Identification and inference for econometric models: Essays in honor of Thomas Rothenberg</w:t>
      </w:r>
      <w:r w:rsidRPr="005B25F9">
        <w:rPr>
          <w:rFonts w:ascii="Garamond" w:hAnsi="Garamond"/>
          <w:sz w:val="24"/>
        </w:rPr>
        <w:t>, </w:t>
      </w:r>
      <w:r w:rsidRPr="005B25F9">
        <w:rPr>
          <w:rFonts w:ascii="Garamond" w:hAnsi="Garamond"/>
          <w:i/>
          <w:iCs/>
          <w:sz w:val="24"/>
        </w:rPr>
        <w:t>6</w:t>
      </w:r>
      <w:r w:rsidRPr="005B25F9">
        <w:rPr>
          <w:rFonts w:ascii="Garamond" w:hAnsi="Garamond"/>
          <w:sz w:val="24"/>
        </w:rPr>
        <w:t>, 109-120.</w:t>
      </w:r>
    </w:p>
    <w:p w14:paraId="7214F02E" w14:textId="77777777" w:rsidR="006F0681" w:rsidRDefault="006F0681" w:rsidP="006F0681">
      <w:pPr>
        <w:spacing w:line="480" w:lineRule="auto"/>
        <w:ind w:left="720" w:hanging="720"/>
        <w:rPr>
          <w:rFonts w:ascii="Garamond" w:hAnsi="Garamond"/>
          <w:sz w:val="24"/>
        </w:rPr>
      </w:pPr>
    </w:p>
    <w:p w14:paraId="284EF6F2" w14:textId="77777777" w:rsidR="006F0681" w:rsidRDefault="006F0681" w:rsidP="006F0681">
      <w:pPr>
        <w:spacing w:line="480" w:lineRule="auto"/>
        <w:ind w:left="720" w:hanging="720"/>
        <w:rPr>
          <w:rFonts w:ascii="Garamond" w:hAnsi="Garamond"/>
          <w:sz w:val="24"/>
        </w:rPr>
      </w:pPr>
    </w:p>
    <w:p w14:paraId="78645A7B" w14:textId="77777777" w:rsidR="006F0681" w:rsidRDefault="006F0681" w:rsidP="006F0681">
      <w:pPr>
        <w:spacing w:line="480" w:lineRule="auto"/>
        <w:ind w:left="720" w:hanging="720"/>
        <w:rPr>
          <w:rFonts w:ascii="Garamond" w:hAnsi="Garamond"/>
          <w:sz w:val="24"/>
        </w:rPr>
      </w:pPr>
    </w:p>
    <w:p w14:paraId="3CF02635" w14:textId="77777777" w:rsidR="006F0681" w:rsidRDefault="006F0681" w:rsidP="006F0681">
      <w:pPr>
        <w:spacing w:line="480" w:lineRule="auto"/>
        <w:ind w:left="720" w:hanging="720"/>
        <w:rPr>
          <w:rFonts w:ascii="Garamond" w:hAnsi="Garamond"/>
          <w:sz w:val="24"/>
        </w:rPr>
      </w:pPr>
    </w:p>
    <w:p w14:paraId="63F68D1A" w14:textId="77777777" w:rsidR="006F0681" w:rsidRDefault="006F0681" w:rsidP="006F0681">
      <w:pPr>
        <w:spacing w:line="480" w:lineRule="auto"/>
        <w:ind w:left="720" w:hanging="720"/>
        <w:rPr>
          <w:rFonts w:ascii="Garamond" w:hAnsi="Garamond"/>
          <w:sz w:val="24"/>
        </w:rPr>
      </w:pPr>
    </w:p>
    <w:p w14:paraId="04901416" w14:textId="77777777" w:rsidR="006F0681" w:rsidRDefault="006F0681" w:rsidP="006F0681"/>
    <w:p w14:paraId="085E1972" w14:textId="78BECCC9" w:rsidR="00E3152B" w:rsidRDefault="00E3152B" w:rsidP="00E3152B">
      <w:pPr>
        <w:spacing w:line="480" w:lineRule="auto"/>
        <w:ind w:left="720" w:hanging="720"/>
        <w:rPr>
          <w:rFonts w:ascii="Garamond" w:hAnsi="Garamond"/>
          <w:sz w:val="24"/>
        </w:rPr>
      </w:pPr>
    </w:p>
    <w:p w14:paraId="37A65063" w14:textId="2E929915" w:rsidR="004C0D51" w:rsidRDefault="004C0D51" w:rsidP="00E3152B">
      <w:pPr>
        <w:spacing w:line="480" w:lineRule="auto"/>
        <w:ind w:left="720" w:hanging="720"/>
        <w:rPr>
          <w:rFonts w:ascii="Garamond" w:hAnsi="Garamond"/>
          <w:sz w:val="24"/>
        </w:rPr>
      </w:pPr>
    </w:p>
    <w:p w14:paraId="490787E1" w14:textId="4A8B48C6" w:rsidR="004C0D51" w:rsidRDefault="004C0D51" w:rsidP="00E3152B">
      <w:pPr>
        <w:spacing w:line="480" w:lineRule="auto"/>
        <w:ind w:left="720" w:hanging="720"/>
        <w:rPr>
          <w:rFonts w:ascii="Garamond" w:hAnsi="Garamond"/>
          <w:sz w:val="24"/>
        </w:rPr>
      </w:pPr>
    </w:p>
    <w:p w14:paraId="2C74E476" w14:textId="66F31589" w:rsidR="004C0D51" w:rsidRDefault="004C0D51" w:rsidP="00E3152B">
      <w:pPr>
        <w:spacing w:line="480" w:lineRule="auto"/>
        <w:ind w:left="720" w:hanging="720"/>
        <w:rPr>
          <w:rFonts w:ascii="Garamond" w:hAnsi="Garamond"/>
          <w:sz w:val="24"/>
        </w:rPr>
      </w:pPr>
    </w:p>
    <w:p w14:paraId="168E0AA1" w14:textId="7E657AAD" w:rsidR="00BD0CD6" w:rsidRDefault="00BD0CD6" w:rsidP="00E3152B">
      <w:pPr>
        <w:spacing w:line="480" w:lineRule="auto"/>
        <w:ind w:left="720" w:hanging="720"/>
        <w:rPr>
          <w:rFonts w:ascii="Garamond" w:hAnsi="Garamond"/>
          <w:sz w:val="24"/>
        </w:rPr>
      </w:pPr>
    </w:p>
    <w:p w14:paraId="1620377C" w14:textId="77777777" w:rsidR="00BD0CD6" w:rsidRDefault="00BD0CD6" w:rsidP="00E3152B">
      <w:pPr>
        <w:spacing w:line="480" w:lineRule="auto"/>
        <w:ind w:left="720" w:hanging="720"/>
        <w:rPr>
          <w:rFonts w:ascii="Garamond" w:hAnsi="Garamond"/>
          <w:sz w:val="24"/>
        </w:rPr>
      </w:pPr>
    </w:p>
    <w:sectPr w:rsidR="00BD0CD6" w:rsidSect="00CC6E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CD62" w14:textId="77777777" w:rsidR="005C5F38" w:rsidRDefault="005C5F38" w:rsidP="006A1FCD">
      <w:pPr>
        <w:spacing w:after="0" w:line="240" w:lineRule="auto"/>
      </w:pPr>
      <w:r>
        <w:separator/>
      </w:r>
    </w:p>
  </w:endnote>
  <w:endnote w:type="continuationSeparator" w:id="0">
    <w:p w14:paraId="64C1BC04" w14:textId="77777777" w:rsidR="005C5F38" w:rsidRDefault="005C5F38" w:rsidP="006A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89311931"/>
      <w:docPartObj>
        <w:docPartGallery w:val="Page Numbers (Bottom of Page)"/>
        <w:docPartUnique/>
      </w:docPartObj>
    </w:sdtPr>
    <w:sdtEndPr>
      <w:rPr>
        <w:noProof/>
      </w:rPr>
    </w:sdtEndPr>
    <w:sdtContent>
      <w:p w14:paraId="085E197D" w14:textId="64F80F91" w:rsidR="00DE3D72" w:rsidRPr="006D2877" w:rsidRDefault="00DE3D72">
        <w:pPr>
          <w:pStyle w:val="Footer"/>
          <w:jc w:val="center"/>
          <w:rPr>
            <w:rFonts w:ascii="Garamond" w:hAnsi="Garamond"/>
          </w:rPr>
        </w:pPr>
        <w:r w:rsidRPr="006D2877">
          <w:rPr>
            <w:rFonts w:ascii="Garamond" w:hAnsi="Garamond"/>
          </w:rPr>
          <w:fldChar w:fldCharType="begin"/>
        </w:r>
        <w:r w:rsidRPr="006D2877">
          <w:rPr>
            <w:rFonts w:ascii="Garamond" w:hAnsi="Garamond"/>
          </w:rPr>
          <w:instrText xml:space="preserve"> PAGE   \* MERGEFORMAT </w:instrText>
        </w:r>
        <w:r w:rsidRPr="006D2877">
          <w:rPr>
            <w:rFonts w:ascii="Garamond" w:hAnsi="Garamond"/>
          </w:rPr>
          <w:fldChar w:fldCharType="separate"/>
        </w:r>
        <w:r w:rsidR="00B84109">
          <w:rPr>
            <w:rFonts w:ascii="Garamond" w:hAnsi="Garamond"/>
            <w:noProof/>
          </w:rPr>
          <w:t>24</w:t>
        </w:r>
        <w:r w:rsidRPr="006D2877">
          <w:rPr>
            <w:rFonts w:ascii="Garamond" w:hAnsi="Garamond"/>
            <w:noProof/>
          </w:rPr>
          <w:fldChar w:fldCharType="end"/>
        </w:r>
      </w:p>
    </w:sdtContent>
  </w:sdt>
  <w:p w14:paraId="085E197E" w14:textId="77777777" w:rsidR="00DE3D72" w:rsidRDefault="00DE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40BF" w14:textId="77777777" w:rsidR="005C5F38" w:rsidRDefault="005C5F38" w:rsidP="006A1FCD">
      <w:pPr>
        <w:spacing w:after="0" w:line="240" w:lineRule="auto"/>
      </w:pPr>
      <w:r>
        <w:separator/>
      </w:r>
    </w:p>
  </w:footnote>
  <w:footnote w:type="continuationSeparator" w:id="0">
    <w:p w14:paraId="4A69756A" w14:textId="77777777" w:rsidR="005C5F38" w:rsidRDefault="005C5F38" w:rsidP="006A1FCD">
      <w:pPr>
        <w:spacing w:after="0" w:line="240" w:lineRule="auto"/>
      </w:pPr>
      <w:r>
        <w:continuationSeparator/>
      </w:r>
    </w:p>
  </w:footnote>
  <w:footnote w:id="1">
    <w:p w14:paraId="085E197F"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This variable is also referred to as the “civic duty” benefit of voting (e.g., Gerber et al., 2016), but since this benefit may imply some extrinsic social dimension (i.e., “duty” implies some obligation to others, which may be enforced through social sanctions), I opt to use “warm glow.”   </w:t>
      </w:r>
    </w:p>
  </w:footnote>
  <w:footnote w:id="2">
    <w:p w14:paraId="085E1980"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This intervention exploited the fact that whether or not someone has voted is public record in the United States.</w:t>
      </w:r>
    </w:p>
  </w:footnote>
  <w:footnote w:id="3">
    <w:p w14:paraId="085E1981"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“90% of respondents on the 1984 GSS claimed voting was a very important civic obligation" (Rolfe, 2012, p. 50)</w:t>
      </w:r>
    </w:p>
  </w:footnote>
  <w:footnote w:id="4">
    <w:p w14:paraId="085E1982"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Though for conceptual clarity in later discussions, I decomposed their “social image” functional into social cost and social benefit.  </w:t>
      </w:r>
    </w:p>
  </w:footnote>
  <w:footnote w:id="5">
    <w:p w14:paraId="085E1983"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In fact, the exact cost-benefit equation can vary from person to person. In the theoretical framework I propose in this manuscript, the cost-benefit equation is simply one stage in an overarching process of recurring behavior. The cost-benefit equation for any given individual outputs an expected utility; the other stages in my theoretical framework use only the resulting expected utility and do not refer to the specific costs and benefits that produced that expected utility.  </w:t>
      </w:r>
    </w:p>
  </w:footnote>
  <w:footnote w:id="6">
    <w:p w14:paraId="085E1984"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Note that the theory of expressive voting (e.g., Rogers, Fox, and Gerber, 2013) can be incorporated in the “warm glow” variable and the social cost/benefits of voting (e.g., </w:t>
      </w:r>
      <w:proofErr w:type="spellStart"/>
      <w:r w:rsidRPr="00467F2E">
        <w:rPr>
          <w:rFonts w:ascii="Garamond" w:hAnsi="Garamond"/>
        </w:rPr>
        <w:t>Etang</w:t>
      </w:r>
      <w:proofErr w:type="spellEnd"/>
      <w:r w:rsidRPr="00467F2E">
        <w:rPr>
          <w:rFonts w:ascii="Garamond" w:hAnsi="Garamond"/>
        </w:rPr>
        <w:t xml:space="preserve">, Fielding, &amp; Knowles, 2016). </w:t>
      </w:r>
    </w:p>
  </w:footnote>
  <w:footnote w:id="7">
    <w:p w14:paraId="3F47C194" w14:textId="77777777" w:rsidR="00DE3D72" w:rsidRPr="00467F2E" w:rsidRDefault="00DE3D72" w:rsidP="000B1D5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For a more thorough criticism of construing persistent voting as “habitual,” see </w:t>
      </w:r>
      <w:proofErr w:type="spellStart"/>
      <w:r w:rsidRPr="00467F2E">
        <w:rPr>
          <w:rFonts w:ascii="Garamond" w:hAnsi="Garamond"/>
        </w:rPr>
        <w:t>Dinas</w:t>
      </w:r>
      <w:proofErr w:type="spellEnd"/>
      <w:r w:rsidRPr="00467F2E">
        <w:rPr>
          <w:rFonts w:ascii="Garamond" w:hAnsi="Garamond"/>
        </w:rPr>
        <w:t xml:space="preserve"> (2012; 435-436)</w:t>
      </w:r>
    </w:p>
  </w:footnote>
  <w:footnote w:id="8">
    <w:p w14:paraId="53113097" w14:textId="77777777" w:rsidR="00DE3D72" w:rsidRPr="00467F2E" w:rsidRDefault="00DE3D72" w:rsidP="000B1D5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Studies that use such formal models of voting tend to draw on other theories and empirical research for concrete predictions (e.g., Fujiwara, </w:t>
      </w:r>
      <w:proofErr w:type="spellStart"/>
      <w:r w:rsidRPr="00467F2E">
        <w:rPr>
          <w:rFonts w:ascii="Garamond" w:hAnsi="Garamond"/>
        </w:rPr>
        <w:t>Meng</w:t>
      </w:r>
      <w:proofErr w:type="spellEnd"/>
      <w:r w:rsidRPr="00467F2E">
        <w:rPr>
          <w:rFonts w:ascii="Garamond" w:hAnsi="Garamond"/>
        </w:rPr>
        <w:t xml:space="preserve"> &amp; </w:t>
      </w:r>
      <w:proofErr w:type="spellStart"/>
      <w:r w:rsidRPr="00467F2E">
        <w:rPr>
          <w:rFonts w:ascii="Garamond" w:hAnsi="Garamond"/>
        </w:rPr>
        <w:t>Vogl</w:t>
      </w:r>
      <w:proofErr w:type="spellEnd"/>
      <w:r w:rsidRPr="00467F2E">
        <w:rPr>
          <w:rFonts w:ascii="Garamond" w:hAnsi="Garamond"/>
        </w:rPr>
        <w:t xml:space="preserve">, 2016). </w:t>
      </w:r>
    </w:p>
  </w:footnote>
  <w:footnote w:id="9">
    <w:p w14:paraId="6A4ABBF2" w14:textId="77777777" w:rsidR="00DE3D72" w:rsidRPr="00467F2E" w:rsidRDefault="00DE3D72" w:rsidP="0055535B">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Heuristic behaviors need not be habitual in the strict psychological sense. An example of heuristic behavior that is not habitual would be entering a new cafeteria and opting for a new healthy food option, because it is most prominently displayed (e.g., Just &amp; </w:t>
      </w:r>
      <w:proofErr w:type="spellStart"/>
      <w:r w:rsidRPr="00467F2E">
        <w:rPr>
          <w:rFonts w:ascii="Garamond" w:hAnsi="Garamond"/>
        </w:rPr>
        <w:t>Gabrielyan</w:t>
      </w:r>
      <w:proofErr w:type="spellEnd"/>
      <w:r w:rsidRPr="00467F2E">
        <w:rPr>
          <w:rFonts w:ascii="Garamond" w:hAnsi="Garamond"/>
        </w:rPr>
        <w:t>, 2018)</w:t>
      </w:r>
    </w:p>
  </w:footnote>
  <w:footnote w:id="10">
    <w:p w14:paraId="085E1985"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For a more detailed discussion of how social interactions after voting can exacerbate turnout persistence, see Fujiwara, </w:t>
      </w:r>
      <w:proofErr w:type="spellStart"/>
      <w:r w:rsidRPr="00467F2E">
        <w:rPr>
          <w:rFonts w:ascii="Garamond" w:hAnsi="Garamond"/>
        </w:rPr>
        <w:t>Meng</w:t>
      </w:r>
      <w:proofErr w:type="spellEnd"/>
      <w:r w:rsidRPr="00467F2E">
        <w:rPr>
          <w:rFonts w:ascii="Garamond" w:hAnsi="Garamond"/>
        </w:rPr>
        <w:t xml:space="preserve">, and </w:t>
      </w:r>
      <w:proofErr w:type="spellStart"/>
      <w:r w:rsidRPr="00467F2E">
        <w:rPr>
          <w:rFonts w:ascii="Garamond" w:hAnsi="Garamond"/>
        </w:rPr>
        <w:t>Vogl</w:t>
      </w:r>
      <w:proofErr w:type="spellEnd"/>
      <w:r w:rsidRPr="00467F2E">
        <w:rPr>
          <w:rFonts w:ascii="Garamond" w:hAnsi="Garamond"/>
        </w:rPr>
        <w:t xml:space="preserve"> (2016; 182-3).</w:t>
      </w:r>
    </w:p>
  </w:footnote>
  <w:footnote w:id="11">
    <w:p w14:paraId="085E1986"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It’s worth noting that there are some scholars who asserted that the warm glow variable from voting is so large that it doesn’t lead to turnout persistence, but is also “transformative” in changing individuals’ overall political engagement (e.g., </w:t>
      </w:r>
      <w:proofErr w:type="spellStart"/>
      <w:r w:rsidRPr="00467F2E">
        <w:rPr>
          <w:rFonts w:ascii="Garamond" w:hAnsi="Garamond"/>
        </w:rPr>
        <w:t>Jakee</w:t>
      </w:r>
      <w:proofErr w:type="spellEnd"/>
      <w:r w:rsidRPr="00467F2E">
        <w:rPr>
          <w:rFonts w:ascii="Garamond" w:hAnsi="Garamond"/>
        </w:rPr>
        <w:t xml:space="preserve"> and Sun, 2006). A large meta-analysis has found little evidence that voting is transformative (Holbein et al., 2021).   </w:t>
      </w:r>
    </w:p>
  </w:footnote>
  <w:footnote w:id="12">
    <w:p w14:paraId="085E1987"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Of course, a very plausible alternative explanation is that this difference in voting persistence may simply be an artifact of two systematically different types of voters. </w:t>
      </w:r>
    </w:p>
  </w:footnote>
  <w:footnote w:id="13">
    <w:p w14:paraId="085E1988"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See </w:t>
      </w:r>
      <w:proofErr w:type="spellStart"/>
      <w:r w:rsidRPr="00467F2E">
        <w:rPr>
          <w:rFonts w:ascii="Garamond" w:hAnsi="Garamond"/>
        </w:rPr>
        <w:t>Achen</w:t>
      </w:r>
      <w:proofErr w:type="spellEnd"/>
      <w:r w:rsidRPr="00467F2E">
        <w:rPr>
          <w:rFonts w:ascii="Garamond" w:hAnsi="Garamond"/>
        </w:rPr>
        <w:t xml:space="preserve"> and Bartels (2017) for prominent examples of voters making misattribution errors. </w:t>
      </w:r>
    </w:p>
  </w:footnote>
  <w:footnote w:id="14">
    <w:p w14:paraId="085E1989"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Or reducing turnout, as with rain on an Election Day.</w:t>
      </w:r>
    </w:p>
  </w:footnote>
  <w:footnote w:id="15">
    <w:p w14:paraId="085E198A"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A reduction of the transaction cost of voting could be construed as the informational benefit of voting, but this </w:t>
      </w:r>
      <w:proofErr w:type="spellStart"/>
      <w:r w:rsidRPr="00467F2E">
        <w:rPr>
          <w:rFonts w:ascii="Garamond" w:hAnsi="Garamond"/>
        </w:rPr>
        <w:t>endogeneity</w:t>
      </w:r>
      <w:proofErr w:type="spellEnd"/>
      <w:r w:rsidRPr="00467F2E">
        <w:rPr>
          <w:rFonts w:ascii="Garamond" w:hAnsi="Garamond"/>
        </w:rPr>
        <w:t xml:space="preserve"> cannot be completely eliminated in any study of in-person voting (for a more detailed discussion of this mechanism see Meredith, 2009). It is also possible that talking to someone in-person about an upcoming election may change the social cost or social benefit of voting, but that effect is likely to be smaller than that of social pressure nudges, because the canvassers’ script did not reference whether or not someone votes is public record—nor did it instruct canvassers to ask about participants’ prior turnout.    </w:t>
      </w:r>
    </w:p>
  </w:footnote>
  <w:footnote w:id="16">
    <w:p w14:paraId="085E198B"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Although they emphasize door-to-door contact, they also employ direct mail, phone and digital outreach.</w:t>
      </w:r>
    </w:p>
  </w:footnote>
  <w:footnote w:id="17">
    <w:p w14:paraId="085E198C"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Additionally, door-to-door canvassing has proven to have the largest persistence effects in prior research (Garcia </w:t>
      </w:r>
      <w:proofErr w:type="spellStart"/>
      <w:r w:rsidRPr="00467F2E">
        <w:rPr>
          <w:rFonts w:ascii="Garamond" w:hAnsi="Garamond"/>
        </w:rPr>
        <w:t>Bedolla</w:t>
      </w:r>
      <w:proofErr w:type="spellEnd"/>
      <w:r w:rsidRPr="00467F2E">
        <w:rPr>
          <w:rFonts w:ascii="Garamond" w:hAnsi="Garamond"/>
        </w:rPr>
        <w:t xml:space="preserve"> and Michelson, 2012; 188). </w:t>
      </w:r>
    </w:p>
  </w:footnote>
  <w:footnote w:id="18">
    <w:p w14:paraId="085E198D"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The impacts on the cost-benefit equation in the Appraisal Stage may still occur. It is possible that the plan-making component may lower the transactional cost of voting by providing implicit information about how much time voting takes, but it should be noted that the vast majority of the individuals in our sample have voted before and already have some information about the voting process. It is therefore less likely that their expected transactional costs of voting will change meaningfully as a result of the conversation. (This would not be the case if the sample was predominantly new voters.) </w:t>
      </w:r>
    </w:p>
  </w:footnote>
  <w:footnote w:id="19">
    <w:p w14:paraId="085E198E"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The recurring contact is made without knowledge of the treatment assignment in any given election. </w:t>
      </w:r>
    </w:p>
  </w:footnote>
  <w:footnote w:id="20">
    <w:p w14:paraId="085E198F"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I do not use sampling weights as weighting to a particular population will inevitably reflect arbitrary choices by the researcher (for a more thorough discussion of sampling weights, see </w:t>
      </w:r>
      <w:proofErr w:type="spellStart"/>
      <w:r w:rsidRPr="00467F2E">
        <w:rPr>
          <w:rFonts w:ascii="Garamond" w:hAnsi="Garamond"/>
        </w:rPr>
        <w:t>Gelman</w:t>
      </w:r>
      <w:proofErr w:type="spellEnd"/>
      <w:r w:rsidRPr="00467F2E">
        <w:rPr>
          <w:rFonts w:ascii="Garamond" w:hAnsi="Garamond"/>
        </w:rPr>
        <w:t xml:space="preserve"> (2007)).  </w:t>
      </w:r>
    </w:p>
  </w:footnote>
  <w:footnote w:id="21">
    <w:p w14:paraId="085E1990"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This does not necessarily mean that the entire script was delivered. “Successfully contacted” denotes that the individual on the canvass list opened the door and affirmatively identified themselves. </w:t>
      </w:r>
    </w:p>
  </w:footnote>
  <w:footnote w:id="22">
    <w:p w14:paraId="023BF116" w14:textId="77777777" w:rsidR="00DE3D72" w:rsidRPr="00467F2E" w:rsidRDefault="00DE3D72" w:rsidP="001D2AAB">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The partner organization uses paid canvassers and had strict oversight measures to ensure the canvass was actually conducted. </w:t>
      </w:r>
    </w:p>
  </w:footnote>
  <w:footnote w:id="23">
    <w:p w14:paraId="509C9CCD" w14:textId="77777777" w:rsidR="00DE3D72" w:rsidRPr="00467F2E" w:rsidRDefault="00DE3D72" w:rsidP="001D2AAB">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I report all downstream C</w:t>
      </w:r>
      <w:r>
        <w:rPr>
          <w:rFonts w:ascii="Garamond" w:hAnsi="Garamond"/>
        </w:rPr>
        <w:t xml:space="preserve">ACEs for all experiments in Table </w:t>
      </w:r>
      <w:r w:rsidRPr="00467F2E">
        <w:rPr>
          <w:rFonts w:ascii="Garamond" w:hAnsi="Garamond"/>
        </w:rPr>
        <w:t>7</w:t>
      </w:r>
      <w:r>
        <w:rPr>
          <w:rFonts w:ascii="Garamond" w:hAnsi="Garamond"/>
        </w:rPr>
        <w:t>.2</w:t>
      </w:r>
      <w:r w:rsidRPr="00467F2E">
        <w:rPr>
          <w:rFonts w:ascii="Garamond" w:hAnsi="Garamond"/>
        </w:rPr>
        <w:t xml:space="preserve"> and find that this is indeed the case.</w:t>
      </w:r>
    </w:p>
  </w:footnote>
  <w:footnote w:id="24">
    <w:p w14:paraId="23384D14" w14:textId="48E72F72" w:rsidR="00DE3D72" w:rsidRPr="00467F2E" w:rsidRDefault="00DE3D72" w:rsidP="001D2AAB">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The aggregate CACE’s instrument is not weak with and without the Washington experiment (with Washington: </w:t>
      </w:r>
      <w:proofErr w:type="spellStart"/>
      <w:r w:rsidRPr="00467F2E">
        <w:rPr>
          <w:rFonts w:ascii="Garamond" w:hAnsi="Garamond"/>
        </w:rPr>
        <w:t>Kleiberge</w:t>
      </w:r>
      <w:r>
        <w:rPr>
          <w:rFonts w:ascii="Garamond" w:hAnsi="Garamond"/>
        </w:rPr>
        <w:t>n</w:t>
      </w:r>
      <w:proofErr w:type="spellEnd"/>
      <w:r>
        <w:rPr>
          <w:rFonts w:ascii="Garamond" w:hAnsi="Garamond"/>
        </w:rPr>
        <w:t xml:space="preserve"> &amp; </w:t>
      </w:r>
      <w:proofErr w:type="spellStart"/>
      <w:r>
        <w:rPr>
          <w:rFonts w:ascii="Garamond" w:hAnsi="Garamond"/>
        </w:rPr>
        <w:t>Paap</w:t>
      </w:r>
      <w:proofErr w:type="spellEnd"/>
      <w:r>
        <w:rPr>
          <w:rFonts w:ascii="Garamond" w:hAnsi="Garamond"/>
        </w:rPr>
        <w:t xml:space="preserve"> (2006) F-statistic=25.3</w:t>
      </w:r>
      <w:r w:rsidRPr="00467F2E">
        <w:rPr>
          <w:rFonts w:ascii="Garamond" w:hAnsi="Garamond"/>
        </w:rPr>
        <w:t xml:space="preserve"> and with</w:t>
      </w:r>
      <w:r>
        <w:rPr>
          <w:rFonts w:ascii="Garamond" w:hAnsi="Garamond"/>
        </w:rPr>
        <w:t>out Washington, F-statistic=26.</w:t>
      </w:r>
      <w:r w:rsidRPr="00467F2E">
        <w:rPr>
          <w:rFonts w:ascii="Garamond" w:hAnsi="Garamond"/>
        </w:rPr>
        <w:t>0, over the 9.0 Stock-</w:t>
      </w:r>
      <w:proofErr w:type="spellStart"/>
      <w:r w:rsidRPr="00467F2E">
        <w:rPr>
          <w:rFonts w:ascii="Garamond" w:hAnsi="Garamond"/>
        </w:rPr>
        <w:t>Yogo</w:t>
      </w:r>
      <w:proofErr w:type="spellEnd"/>
      <w:r w:rsidRPr="00467F2E">
        <w:rPr>
          <w:rFonts w:ascii="Garamond" w:hAnsi="Garamond"/>
        </w:rPr>
        <w:t xml:space="preserve"> 15% maximal IV size critical value (Stock &amp; </w:t>
      </w:r>
      <w:proofErr w:type="spellStart"/>
      <w:r w:rsidRPr="00467F2E">
        <w:rPr>
          <w:rFonts w:ascii="Garamond" w:hAnsi="Garamond"/>
        </w:rPr>
        <w:t>Yogo</w:t>
      </w:r>
      <w:proofErr w:type="spellEnd"/>
      <w:r w:rsidRPr="00467F2E">
        <w:rPr>
          <w:rFonts w:ascii="Garamond" w:hAnsi="Garamond"/>
        </w:rPr>
        <w:t>, 2005)).</w:t>
      </w:r>
    </w:p>
  </w:footnote>
  <w:footnote w:id="25">
    <w:p w14:paraId="085E1993" w14:textId="77777777"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The income variable is modelled by the data vendor, </w:t>
      </w:r>
      <w:proofErr w:type="spellStart"/>
      <w:r w:rsidRPr="00467F2E">
        <w:rPr>
          <w:rFonts w:ascii="Garamond" w:hAnsi="Garamond"/>
        </w:rPr>
        <w:t>Catalist</w:t>
      </w:r>
      <w:proofErr w:type="spellEnd"/>
      <w:r w:rsidRPr="00467F2E">
        <w:rPr>
          <w:rFonts w:ascii="Garamond" w:hAnsi="Garamond"/>
        </w:rPr>
        <w:t xml:space="preserve">, by appending commercial consumer data to the voter file. </w:t>
      </w:r>
    </w:p>
  </w:footnote>
  <w:footnote w:id="26">
    <w:p w14:paraId="085E1999" w14:textId="37DBC940" w:rsidR="00DE3D72" w:rsidRPr="00467F2E" w:rsidRDefault="00DE3D72" w:rsidP="00830DD6">
      <w:pPr>
        <w:pStyle w:val="FootnoteText"/>
        <w:rPr>
          <w:rFonts w:ascii="Garamond" w:hAnsi="Garamond"/>
        </w:rPr>
      </w:pPr>
      <w:r w:rsidRPr="00467F2E">
        <w:rPr>
          <w:rStyle w:val="FootnoteReference"/>
          <w:rFonts w:ascii="Garamond" w:hAnsi="Garamond"/>
        </w:rPr>
        <w:footnoteRef/>
      </w:r>
      <w:r w:rsidRPr="00467F2E">
        <w:rPr>
          <w:rFonts w:ascii="Garamond" w:hAnsi="Garamond"/>
        </w:rPr>
        <w:t xml:space="preserve"> Washington was omitted from the main analysis since it is very likely that this analysis suffers from too weak an instrument. The first stage impact </w:t>
      </w:r>
      <w:r w:rsidR="00D846E3">
        <w:rPr>
          <w:rFonts w:ascii="Garamond" w:hAnsi="Garamond"/>
        </w:rPr>
        <w:t xml:space="preserve">on upstream turnout was close </w:t>
      </w:r>
      <w:r w:rsidRPr="00467F2E">
        <w:rPr>
          <w:rFonts w:ascii="Garamond" w:hAnsi="Garamond"/>
        </w:rPr>
        <w:t>to a perfect zero with a p-value 0.95.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14"/>
    <w:multiLevelType w:val="hybridMultilevel"/>
    <w:tmpl w:val="0CB8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19FF"/>
    <w:multiLevelType w:val="hybridMultilevel"/>
    <w:tmpl w:val="B9C8E0BC"/>
    <w:lvl w:ilvl="0" w:tplc="9BC0B38C">
      <w:start w:val="1"/>
      <w:numFmt w:val="decimal"/>
      <w:lvlText w:val="%1."/>
      <w:lvlJc w:val="left"/>
      <w:pPr>
        <w:ind w:left="580" w:hanging="360"/>
      </w:pPr>
      <w:rPr>
        <w:rFonts w:eastAsiaTheme="minorHAns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1B6C3CFE"/>
    <w:multiLevelType w:val="hybridMultilevel"/>
    <w:tmpl w:val="F7DC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22015"/>
    <w:multiLevelType w:val="hybridMultilevel"/>
    <w:tmpl w:val="F75A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15BA0"/>
    <w:multiLevelType w:val="hybridMultilevel"/>
    <w:tmpl w:val="F75A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B111A"/>
    <w:multiLevelType w:val="hybridMultilevel"/>
    <w:tmpl w:val="F75A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E75B6"/>
    <w:multiLevelType w:val="hybridMultilevel"/>
    <w:tmpl w:val="F75A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D0902"/>
    <w:multiLevelType w:val="hybridMultilevel"/>
    <w:tmpl w:val="14BCD342"/>
    <w:lvl w:ilvl="0" w:tplc="4754E85E">
      <w:start w:val="1"/>
      <w:numFmt w:val="decimal"/>
      <w:lvlText w:val="%1."/>
      <w:lvlJc w:val="left"/>
      <w:pPr>
        <w:ind w:left="580" w:hanging="360"/>
      </w:pPr>
      <w:rPr>
        <w:rFonts w:ascii="Garamond" w:eastAsiaTheme="majorEastAsia" w:hAnsi="Garamond" w:cstheme="majorBidi" w:hint="default"/>
        <w:color w:val="0563C1" w:themeColor="hyperlink"/>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7C006623"/>
    <w:multiLevelType w:val="hybridMultilevel"/>
    <w:tmpl w:val="F75A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4"/>
    <w:rsid w:val="00024AF7"/>
    <w:rsid w:val="0003430D"/>
    <w:rsid w:val="000617E5"/>
    <w:rsid w:val="00065347"/>
    <w:rsid w:val="000A6E5D"/>
    <w:rsid w:val="000B1D56"/>
    <w:rsid w:val="000C6521"/>
    <w:rsid w:val="000E6E44"/>
    <w:rsid w:val="00124E1E"/>
    <w:rsid w:val="00127C36"/>
    <w:rsid w:val="00142C5D"/>
    <w:rsid w:val="0014316B"/>
    <w:rsid w:val="00154C1E"/>
    <w:rsid w:val="00175B17"/>
    <w:rsid w:val="00185C13"/>
    <w:rsid w:val="001866BF"/>
    <w:rsid w:val="0019788A"/>
    <w:rsid w:val="001A5F01"/>
    <w:rsid w:val="001A6ED6"/>
    <w:rsid w:val="001C512C"/>
    <w:rsid w:val="001D2AAB"/>
    <w:rsid w:val="002323AE"/>
    <w:rsid w:val="00233A00"/>
    <w:rsid w:val="002368F0"/>
    <w:rsid w:val="00240212"/>
    <w:rsid w:val="00243224"/>
    <w:rsid w:val="0024391D"/>
    <w:rsid w:val="00252778"/>
    <w:rsid w:val="00267EFB"/>
    <w:rsid w:val="00270F41"/>
    <w:rsid w:val="00293954"/>
    <w:rsid w:val="002A1D48"/>
    <w:rsid w:val="002C2D31"/>
    <w:rsid w:val="002D3D58"/>
    <w:rsid w:val="002D55D5"/>
    <w:rsid w:val="00313A83"/>
    <w:rsid w:val="00315631"/>
    <w:rsid w:val="00333ABF"/>
    <w:rsid w:val="0035681D"/>
    <w:rsid w:val="003649E9"/>
    <w:rsid w:val="00374A32"/>
    <w:rsid w:val="00375FDB"/>
    <w:rsid w:val="00383633"/>
    <w:rsid w:val="00387139"/>
    <w:rsid w:val="00391399"/>
    <w:rsid w:val="0039636F"/>
    <w:rsid w:val="003A4D84"/>
    <w:rsid w:val="003D5483"/>
    <w:rsid w:val="003E0111"/>
    <w:rsid w:val="003F21F9"/>
    <w:rsid w:val="00423639"/>
    <w:rsid w:val="00435CA4"/>
    <w:rsid w:val="0044233D"/>
    <w:rsid w:val="004440CB"/>
    <w:rsid w:val="0045327E"/>
    <w:rsid w:val="00457FF7"/>
    <w:rsid w:val="00467F2E"/>
    <w:rsid w:val="00480693"/>
    <w:rsid w:val="004B08E1"/>
    <w:rsid w:val="004B0CBA"/>
    <w:rsid w:val="004C0D51"/>
    <w:rsid w:val="004D3A43"/>
    <w:rsid w:val="004D6849"/>
    <w:rsid w:val="004E4C00"/>
    <w:rsid w:val="00502DA5"/>
    <w:rsid w:val="00504063"/>
    <w:rsid w:val="005046ED"/>
    <w:rsid w:val="00520EA6"/>
    <w:rsid w:val="00531B41"/>
    <w:rsid w:val="005373FE"/>
    <w:rsid w:val="0055535B"/>
    <w:rsid w:val="005557A8"/>
    <w:rsid w:val="00556D89"/>
    <w:rsid w:val="00564E08"/>
    <w:rsid w:val="00571628"/>
    <w:rsid w:val="00591C2D"/>
    <w:rsid w:val="00596621"/>
    <w:rsid w:val="005A1689"/>
    <w:rsid w:val="005A649B"/>
    <w:rsid w:val="005C4F49"/>
    <w:rsid w:val="005C5F38"/>
    <w:rsid w:val="005D5F63"/>
    <w:rsid w:val="005E1118"/>
    <w:rsid w:val="005F5D5E"/>
    <w:rsid w:val="00612B0E"/>
    <w:rsid w:val="00614C09"/>
    <w:rsid w:val="006248C1"/>
    <w:rsid w:val="00626967"/>
    <w:rsid w:val="006428FF"/>
    <w:rsid w:val="00647968"/>
    <w:rsid w:val="00652715"/>
    <w:rsid w:val="00663AE6"/>
    <w:rsid w:val="00681261"/>
    <w:rsid w:val="006A1256"/>
    <w:rsid w:val="006A1FCD"/>
    <w:rsid w:val="006A3996"/>
    <w:rsid w:val="006A6359"/>
    <w:rsid w:val="006A7F88"/>
    <w:rsid w:val="006B4EDE"/>
    <w:rsid w:val="006B7A40"/>
    <w:rsid w:val="006C2389"/>
    <w:rsid w:val="006D3002"/>
    <w:rsid w:val="006F01A4"/>
    <w:rsid w:val="006F053A"/>
    <w:rsid w:val="006F0681"/>
    <w:rsid w:val="00713941"/>
    <w:rsid w:val="00722CFF"/>
    <w:rsid w:val="007467FD"/>
    <w:rsid w:val="00747D34"/>
    <w:rsid w:val="007729C4"/>
    <w:rsid w:val="00785EA9"/>
    <w:rsid w:val="00790E4A"/>
    <w:rsid w:val="00791B38"/>
    <w:rsid w:val="007952C7"/>
    <w:rsid w:val="007A1EA1"/>
    <w:rsid w:val="007C4C11"/>
    <w:rsid w:val="007D43BC"/>
    <w:rsid w:val="007F64CC"/>
    <w:rsid w:val="008072A1"/>
    <w:rsid w:val="00820859"/>
    <w:rsid w:val="00830DD6"/>
    <w:rsid w:val="008333C4"/>
    <w:rsid w:val="008431D7"/>
    <w:rsid w:val="00872F98"/>
    <w:rsid w:val="008841EE"/>
    <w:rsid w:val="008A061E"/>
    <w:rsid w:val="008A0C7A"/>
    <w:rsid w:val="008A3D98"/>
    <w:rsid w:val="008B1DE3"/>
    <w:rsid w:val="008C25DB"/>
    <w:rsid w:val="008C661B"/>
    <w:rsid w:val="008C7271"/>
    <w:rsid w:val="008D7AC1"/>
    <w:rsid w:val="008E3CC3"/>
    <w:rsid w:val="00902F04"/>
    <w:rsid w:val="00945DC3"/>
    <w:rsid w:val="00951498"/>
    <w:rsid w:val="009601EF"/>
    <w:rsid w:val="0097288C"/>
    <w:rsid w:val="00991468"/>
    <w:rsid w:val="00993124"/>
    <w:rsid w:val="009A33D4"/>
    <w:rsid w:val="009E44F1"/>
    <w:rsid w:val="009F2F17"/>
    <w:rsid w:val="009F3BDB"/>
    <w:rsid w:val="009F73A6"/>
    <w:rsid w:val="00A1466D"/>
    <w:rsid w:val="00A23DC5"/>
    <w:rsid w:val="00A41E8F"/>
    <w:rsid w:val="00A620DF"/>
    <w:rsid w:val="00A63235"/>
    <w:rsid w:val="00A63C6D"/>
    <w:rsid w:val="00A7527B"/>
    <w:rsid w:val="00A81AE8"/>
    <w:rsid w:val="00A85BF8"/>
    <w:rsid w:val="00AA5887"/>
    <w:rsid w:val="00AB0298"/>
    <w:rsid w:val="00AB0C49"/>
    <w:rsid w:val="00AB1CE3"/>
    <w:rsid w:val="00AB7C3C"/>
    <w:rsid w:val="00AC5B01"/>
    <w:rsid w:val="00AE65D9"/>
    <w:rsid w:val="00B07000"/>
    <w:rsid w:val="00B2188D"/>
    <w:rsid w:val="00B25D39"/>
    <w:rsid w:val="00B41AC4"/>
    <w:rsid w:val="00B50F0C"/>
    <w:rsid w:val="00B5699E"/>
    <w:rsid w:val="00B6426E"/>
    <w:rsid w:val="00B72C2F"/>
    <w:rsid w:val="00B84109"/>
    <w:rsid w:val="00BA2F43"/>
    <w:rsid w:val="00BB276F"/>
    <w:rsid w:val="00BB6852"/>
    <w:rsid w:val="00BC5CB3"/>
    <w:rsid w:val="00BD0CD6"/>
    <w:rsid w:val="00C0069A"/>
    <w:rsid w:val="00C00F36"/>
    <w:rsid w:val="00C03E76"/>
    <w:rsid w:val="00C04EC9"/>
    <w:rsid w:val="00C06055"/>
    <w:rsid w:val="00C07B40"/>
    <w:rsid w:val="00C147CE"/>
    <w:rsid w:val="00C23111"/>
    <w:rsid w:val="00C504EF"/>
    <w:rsid w:val="00C6014C"/>
    <w:rsid w:val="00C610A0"/>
    <w:rsid w:val="00C62C92"/>
    <w:rsid w:val="00C63C5B"/>
    <w:rsid w:val="00C64A31"/>
    <w:rsid w:val="00C7421F"/>
    <w:rsid w:val="00C84F22"/>
    <w:rsid w:val="00CA1FF5"/>
    <w:rsid w:val="00CB2D7A"/>
    <w:rsid w:val="00CC2249"/>
    <w:rsid w:val="00CC6E1E"/>
    <w:rsid w:val="00CF13C2"/>
    <w:rsid w:val="00CF49F6"/>
    <w:rsid w:val="00D008DE"/>
    <w:rsid w:val="00D13EAC"/>
    <w:rsid w:val="00D15A16"/>
    <w:rsid w:val="00D23BE9"/>
    <w:rsid w:val="00D345B8"/>
    <w:rsid w:val="00D705F8"/>
    <w:rsid w:val="00D8169A"/>
    <w:rsid w:val="00D846E3"/>
    <w:rsid w:val="00DA20C9"/>
    <w:rsid w:val="00DB25EC"/>
    <w:rsid w:val="00DB4A0B"/>
    <w:rsid w:val="00DB7494"/>
    <w:rsid w:val="00DE3D72"/>
    <w:rsid w:val="00DE7E2B"/>
    <w:rsid w:val="00DF19AD"/>
    <w:rsid w:val="00E14423"/>
    <w:rsid w:val="00E23528"/>
    <w:rsid w:val="00E243D2"/>
    <w:rsid w:val="00E274A8"/>
    <w:rsid w:val="00E30E6E"/>
    <w:rsid w:val="00E3152B"/>
    <w:rsid w:val="00E533C8"/>
    <w:rsid w:val="00E626D1"/>
    <w:rsid w:val="00E64368"/>
    <w:rsid w:val="00E65EEB"/>
    <w:rsid w:val="00E94EC8"/>
    <w:rsid w:val="00E95418"/>
    <w:rsid w:val="00E95795"/>
    <w:rsid w:val="00EC4488"/>
    <w:rsid w:val="00F00AB7"/>
    <w:rsid w:val="00F035C6"/>
    <w:rsid w:val="00F05C1E"/>
    <w:rsid w:val="00F15AAE"/>
    <w:rsid w:val="00F16BCF"/>
    <w:rsid w:val="00F2513A"/>
    <w:rsid w:val="00F33F80"/>
    <w:rsid w:val="00F361CB"/>
    <w:rsid w:val="00F4050F"/>
    <w:rsid w:val="00F60EFC"/>
    <w:rsid w:val="00F7003A"/>
    <w:rsid w:val="00F82029"/>
    <w:rsid w:val="00F97338"/>
    <w:rsid w:val="00FA177D"/>
    <w:rsid w:val="00FD0927"/>
    <w:rsid w:val="00FD3417"/>
    <w:rsid w:val="00FD4B94"/>
    <w:rsid w:val="00FD4DAD"/>
    <w:rsid w:val="00FE584B"/>
    <w:rsid w:val="00FF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1652"/>
  <w15:chartTrackingRefBased/>
  <w15:docId w15:val="{547E85D7-9213-49D3-BEB9-10187F8B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C2D"/>
    <w:pPr>
      <w:keepNext/>
      <w:keepLines/>
      <w:spacing w:before="40" w:after="0" w:line="480" w:lineRule="auto"/>
      <w:outlineLvl w:val="1"/>
    </w:pPr>
    <w:rPr>
      <w:rFonts w:ascii="Garamond" w:eastAsiaTheme="majorEastAsia" w:hAnsi="Garamond" w:cstheme="majorBidi"/>
      <w:b/>
      <w:i/>
      <w:sz w:val="28"/>
      <w:szCs w:val="26"/>
    </w:rPr>
  </w:style>
  <w:style w:type="paragraph" w:styleId="Heading3">
    <w:name w:val="heading 3"/>
    <w:basedOn w:val="Normal"/>
    <w:next w:val="Normal"/>
    <w:link w:val="Heading3Char"/>
    <w:uiPriority w:val="9"/>
    <w:unhideWhenUsed/>
    <w:qFormat/>
    <w:rsid w:val="00591C2D"/>
    <w:pPr>
      <w:spacing w:line="480" w:lineRule="auto"/>
      <w:outlineLvl w:val="2"/>
    </w:pPr>
    <w:rPr>
      <w:rFonts w:ascii="Garamond" w:hAnsi="Garamond"/>
      <w:i/>
      <w:sz w:val="28"/>
      <w:szCs w:val="24"/>
      <w:u w:val="single"/>
    </w:rPr>
  </w:style>
  <w:style w:type="paragraph" w:styleId="Heading4">
    <w:name w:val="heading 4"/>
    <w:basedOn w:val="Normal"/>
    <w:next w:val="Normal"/>
    <w:link w:val="Heading4Char"/>
    <w:uiPriority w:val="9"/>
    <w:unhideWhenUsed/>
    <w:qFormat/>
    <w:rsid w:val="00591C2D"/>
    <w:pPr>
      <w:keepNext/>
      <w:keepLines/>
      <w:spacing w:before="40" w:after="0" w:line="480" w:lineRule="auto"/>
      <w:outlineLvl w:val="3"/>
    </w:pPr>
    <w:rPr>
      <w:rFonts w:ascii="Garamond" w:eastAsiaTheme="majorEastAsia" w:hAnsi="Garamond"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591C2D"/>
    <w:pPr>
      <w:spacing w:line="480" w:lineRule="auto"/>
    </w:pPr>
    <w:rPr>
      <w:rFonts w:ascii="Garamond" w:hAnsi="Garamond"/>
      <w:b/>
      <w:noProof/>
      <w:sz w:val="24"/>
      <w:szCs w:val="24"/>
    </w:rPr>
  </w:style>
  <w:style w:type="character" w:customStyle="1" w:styleId="TableChar">
    <w:name w:val="Table Char"/>
    <w:basedOn w:val="DefaultParagraphFont"/>
    <w:link w:val="Table"/>
    <w:rsid w:val="00591C2D"/>
    <w:rPr>
      <w:rFonts w:ascii="Garamond" w:hAnsi="Garamond"/>
      <w:b/>
      <w:noProof/>
      <w:sz w:val="24"/>
      <w:szCs w:val="24"/>
    </w:rPr>
  </w:style>
  <w:style w:type="character" w:customStyle="1" w:styleId="Heading2Char">
    <w:name w:val="Heading 2 Char"/>
    <w:basedOn w:val="DefaultParagraphFont"/>
    <w:link w:val="Heading2"/>
    <w:uiPriority w:val="9"/>
    <w:rsid w:val="00591C2D"/>
    <w:rPr>
      <w:rFonts w:ascii="Garamond" w:eastAsiaTheme="majorEastAsia" w:hAnsi="Garamond" w:cstheme="majorBidi"/>
      <w:b/>
      <w:i/>
      <w:sz w:val="28"/>
      <w:szCs w:val="26"/>
    </w:rPr>
  </w:style>
  <w:style w:type="character" w:customStyle="1" w:styleId="Heading3Char">
    <w:name w:val="Heading 3 Char"/>
    <w:basedOn w:val="DefaultParagraphFont"/>
    <w:link w:val="Heading3"/>
    <w:uiPriority w:val="9"/>
    <w:rsid w:val="00591C2D"/>
    <w:rPr>
      <w:rFonts w:ascii="Garamond" w:hAnsi="Garamond"/>
      <w:i/>
      <w:sz w:val="28"/>
      <w:szCs w:val="24"/>
      <w:u w:val="single"/>
    </w:rPr>
  </w:style>
  <w:style w:type="character" w:customStyle="1" w:styleId="Heading4Char">
    <w:name w:val="Heading 4 Char"/>
    <w:basedOn w:val="DefaultParagraphFont"/>
    <w:link w:val="Heading4"/>
    <w:uiPriority w:val="9"/>
    <w:rsid w:val="00591C2D"/>
    <w:rPr>
      <w:rFonts w:ascii="Garamond" w:eastAsiaTheme="majorEastAsia" w:hAnsi="Garamond" w:cstheme="majorBidi"/>
      <w:i/>
      <w:iCs/>
      <w:sz w:val="28"/>
    </w:rPr>
  </w:style>
  <w:style w:type="paragraph" w:styleId="Footer">
    <w:name w:val="footer"/>
    <w:basedOn w:val="Normal"/>
    <w:link w:val="FooterChar"/>
    <w:uiPriority w:val="99"/>
    <w:unhideWhenUsed/>
    <w:rsid w:val="006A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CD"/>
  </w:style>
  <w:style w:type="paragraph" w:styleId="FootnoteText">
    <w:name w:val="footnote text"/>
    <w:basedOn w:val="Normal"/>
    <w:link w:val="FootnoteTextChar"/>
    <w:uiPriority w:val="99"/>
    <w:semiHidden/>
    <w:unhideWhenUsed/>
    <w:rsid w:val="006A1FCD"/>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6A1FCD"/>
    <w:rPr>
      <w:sz w:val="20"/>
      <w:szCs w:val="20"/>
    </w:rPr>
  </w:style>
  <w:style w:type="character" w:styleId="FootnoteReference">
    <w:name w:val="footnote reference"/>
    <w:basedOn w:val="DefaultParagraphFont"/>
    <w:uiPriority w:val="99"/>
    <w:semiHidden/>
    <w:unhideWhenUsed/>
    <w:rsid w:val="006A1FCD"/>
    <w:rPr>
      <w:vertAlign w:val="superscript"/>
    </w:rPr>
  </w:style>
  <w:style w:type="character" w:customStyle="1" w:styleId="Heading1Char">
    <w:name w:val="Heading 1 Char"/>
    <w:basedOn w:val="DefaultParagraphFont"/>
    <w:link w:val="Heading1"/>
    <w:uiPriority w:val="9"/>
    <w:rsid w:val="00614C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4C09"/>
    <w:pPr>
      <w:outlineLvl w:val="9"/>
    </w:pPr>
  </w:style>
  <w:style w:type="paragraph" w:styleId="TOC2">
    <w:name w:val="toc 2"/>
    <w:basedOn w:val="Normal"/>
    <w:next w:val="Normal"/>
    <w:autoRedefine/>
    <w:uiPriority w:val="39"/>
    <w:unhideWhenUsed/>
    <w:rsid w:val="00614C09"/>
    <w:pPr>
      <w:spacing w:after="100"/>
      <w:ind w:left="220"/>
    </w:pPr>
  </w:style>
  <w:style w:type="paragraph" w:styleId="TOC3">
    <w:name w:val="toc 3"/>
    <w:basedOn w:val="Normal"/>
    <w:next w:val="Normal"/>
    <w:autoRedefine/>
    <w:uiPriority w:val="39"/>
    <w:unhideWhenUsed/>
    <w:rsid w:val="00614C09"/>
    <w:pPr>
      <w:spacing w:after="100"/>
      <w:ind w:left="440"/>
    </w:pPr>
  </w:style>
  <w:style w:type="character" w:styleId="Hyperlink">
    <w:name w:val="Hyperlink"/>
    <w:basedOn w:val="DefaultParagraphFont"/>
    <w:uiPriority w:val="99"/>
    <w:unhideWhenUsed/>
    <w:rsid w:val="00614C09"/>
    <w:rPr>
      <w:color w:val="0563C1" w:themeColor="hyperlink"/>
      <w:u w:val="single"/>
    </w:rPr>
  </w:style>
  <w:style w:type="paragraph" w:styleId="ListParagraph">
    <w:name w:val="List Paragraph"/>
    <w:basedOn w:val="Normal"/>
    <w:uiPriority w:val="34"/>
    <w:qFormat/>
    <w:rsid w:val="00127C36"/>
    <w:pPr>
      <w:ind w:left="720"/>
      <w:contextualSpacing/>
    </w:pPr>
  </w:style>
  <w:style w:type="paragraph" w:styleId="BalloonText">
    <w:name w:val="Balloon Text"/>
    <w:basedOn w:val="Normal"/>
    <w:link w:val="BalloonTextChar"/>
    <w:uiPriority w:val="99"/>
    <w:semiHidden/>
    <w:unhideWhenUsed/>
    <w:rsid w:val="00FE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4B"/>
    <w:rPr>
      <w:rFonts w:ascii="Segoe UI" w:hAnsi="Segoe UI" w:cs="Segoe UI"/>
      <w:sz w:val="18"/>
      <w:szCs w:val="18"/>
    </w:rPr>
  </w:style>
  <w:style w:type="character" w:styleId="CommentReference">
    <w:name w:val="annotation reference"/>
    <w:basedOn w:val="DefaultParagraphFont"/>
    <w:uiPriority w:val="99"/>
    <w:semiHidden/>
    <w:unhideWhenUsed/>
    <w:rsid w:val="007952C7"/>
    <w:rPr>
      <w:sz w:val="16"/>
      <w:szCs w:val="16"/>
    </w:rPr>
  </w:style>
  <w:style w:type="paragraph" w:styleId="CommentText">
    <w:name w:val="annotation text"/>
    <w:basedOn w:val="Normal"/>
    <w:link w:val="CommentTextChar"/>
    <w:uiPriority w:val="99"/>
    <w:semiHidden/>
    <w:unhideWhenUsed/>
    <w:rsid w:val="007952C7"/>
    <w:pPr>
      <w:spacing w:line="240" w:lineRule="auto"/>
    </w:pPr>
    <w:rPr>
      <w:sz w:val="20"/>
      <w:szCs w:val="20"/>
    </w:rPr>
  </w:style>
  <w:style w:type="character" w:customStyle="1" w:styleId="CommentTextChar">
    <w:name w:val="Comment Text Char"/>
    <w:basedOn w:val="DefaultParagraphFont"/>
    <w:link w:val="CommentText"/>
    <w:uiPriority w:val="99"/>
    <w:semiHidden/>
    <w:rsid w:val="007952C7"/>
    <w:rPr>
      <w:sz w:val="20"/>
      <w:szCs w:val="20"/>
    </w:rPr>
  </w:style>
  <w:style w:type="paragraph" w:styleId="CommentSubject">
    <w:name w:val="annotation subject"/>
    <w:basedOn w:val="CommentText"/>
    <w:next w:val="CommentText"/>
    <w:link w:val="CommentSubjectChar"/>
    <w:uiPriority w:val="99"/>
    <w:semiHidden/>
    <w:unhideWhenUsed/>
    <w:rsid w:val="007952C7"/>
    <w:rPr>
      <w:b/>
      <w:bCs/>
    </w:rPr>
  </w:style>
  <w:style w:type="character" w:customStyle="1" w:styleId="CommentSubjectChar">
    <w:name w:val="Comment Subject Char"/>
    <w:basedOn w:val="CommentTextChar"/>
    <w:link w:val="CommentSubject"/>
    <w:uiPriority w:val="99"/>
    <w:semiHidden/>
    <w:rsid w:val="00795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429">
      <w:bodyDiv w:val="1"/>
      <w:marLeft w:val="0"/>
      <w:marRight w:val="0"/>
      <w:marTop w:val="0"/>
      <w:marBottom w:val="0"/>
      <w:divBdr>
        <w:top w:val="none" w:sz="0" w:space="0" w:color="auto"/>
        <w:left w:val="none" w:sz="0" w:space="0" w:color="auto"/>
        <w:bottom w:val="none" w:sz="0" w:space="0" w:color="auto"/>
        <w:right w:val="none" w:sz="0" w:space="0" w:color="auto"/>
      </w:divBdr>
    </w:div>
    <w:div w:id="797377811">
      <w:bodyDiv w:val="1"/>
      <w:marLeft w:val="0"/>
      <w:marRight w:val="0"/>
      <w:marTop w:val="0"/>
      <w:marBottom w:val="0"/>
      <w:divBdr>
        <w:top w:val="none" w:sz="0" w:space="0" w:color="auto"/>
        <w:left w:val="none" w:sz="0" w:space="0" w:color="auto"/>
        <w:bottom w:val="none" w:sz="0" w:space="0" w:color="auto"/>
        <w:right w:val="none" w:sz="0" w:space="0" w:color="auto"/>
      </w:divBdr>
    </w:div>
    <w:div w:id="9544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lclearpolitics.com/epolls/2014/governor/2014_elections_governor_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pers.ssrn.com/sol3/papers.cfm?abstract_id=241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1c2465-24c3-4ed3-b6f4-ec97b93c79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CDB0EB3E3504588D5ED05D0C60E08" ma:contentTypeVersion="14" ma:contentTypeDescription="Create a new document." ma:contentTypeScope="" ma:versionID="074bb92001160293015bfbb8e6a9ef8e">
  <xsd:schema xmlns:xsd="http://www.w3.org/2001/XMLSchema" xmlns:xs="http://www.w3.org/2001/XMLSchema" xmlns:p="http://schemas.microsoft.com/office/2006/metadata/properties" xmlns:ns3="65c9b154-240a-4583-bab7-9ef827678c17" xmlns:ns4="b61c2465-24c3-4ed3-b6f4-ec97b93c796d" targetNamespace="http://schemas.microsoft.com/office/2006/metadata/properties" ma:root="true" ma:fieldsID="4a5179aa1248e87e07ae16b83bacdfff" ns3:_="" ns4:_="">
    <xsd:import namespace="65c9b154-240a-4583-bab7-9ef827678c17"/>
    <xsd:import namespace="b61c2465-24c3-4ed3-b6f4-ec97b93c79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9b154-240a-4583-bab7-9ef827678c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c2465-24c3-4ed3-b6f4-ec97b93c79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EEA1-9251-4D90-8EA4-F1EB31167061}">
  <ds:schemaRefs>
    <ds:schemaRef ds:uri="http://schemas.microsoft.com/office/2006/metadata/properties"/>
    <ds:schemaRef ds:uri="http://schemas.microsoft.com/office/infopath/2007/PartnerControls"/>
    <ds:schemaRef ds:uri="b61c2465-24c3-4ed3-b6f4-ec97b93c796d"/>
  </ds:schemaRefs>
</ds:datastoreItem>
</file>

<file path=customXml/itemProps2.xml><?xml version="1.0" encoding="utf-8"?>
<ds:datastoreItem xmlns:ds="http://schemas.openxmlformats.org/officeDocument/2006/customXml" ds:itemID="{1C696683-0382-4490-ABC5-E4FFAD3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9b154-240a-4583-bab7-9ef827678c17"/>
    <ds:schemaRef ds:uri="b61c2465-24c3-4ed3-b6f4-ec97b93c7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35870-D227-4D3E-AFDE-FFFDFE313988}">
  <ds:schemaRefs>
    <ds:schemaRef ds:uri="http://schemas.microsoft.com/sharepoint/v3/contenttype/forms"/>
  </ds:schemaRefs>
</ds:datastoreItem>
</file>

<file path=customXml/itemProps4.xml><?xml version="1.0" encoding="utf-8"?>
<ds:datastoreItem xmlns:ds="http://schemas.openxmlformats.org/officeDocument/2006/customXml" ds:itemID="{B56CD54B-C4EE-4857-B5AA-767C3227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5521</TotalTime>
  <Pages>46</Pages>
  <Words>9222</Words>
  <Characters>52198</Characters>
  <Application>Microsoft Office Word</Application>
  <DocSecurity>0</DocSecurity>
  <Lines>1043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Ternovski, John</dc:creator>
  <cp:keywords/>
  <dc:description/>
  <cp:lastModifiedBy>Ternovski, John  Civ USAF USAFA HQ/OLEA</cp:lastModifiedBy>
  <cp:revision>40</cp:revision>
  <cp:lastPrinted>2023-03-17T22:01:00Z</cp:lastPrinted>
  <dcterms:created xsi:type="dcterms:W3CDTF">2023-03-16T22:10:00Z</dcterms:created>
  <dcterms:modified xsi:type="dcterms:W3CDTF">2023-04-03T20:00:00Z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0x010100D2CCDB0EB3E3504588D5ED05D0C60E08</vt:lpwstr>
  </property>
</Properties>
</file>