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Appendix 1: Recommended Reporting Standards for Experiments (Laboratory, Field, Survey)</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This appendix describes recommended minimum reporting standards for experimental research. These are minimum standards and cannot anticipate all the particular things that are worth reporting in each study. Further, the reporting recommendations generally leave the question of how statistical analysis should be conducted and reported to the researcher, though there are several basic features of the data that we include as recommended minimum reporting standards. This appendix is taken verbatim from a document that was put together by the Standards Committee of the Experimental Research section of APSA. (The committee members were Alan Gerber (Chair), Kevin Arceneaux, Cheryl Boudreau, Conor Dowling, Sunshine Hillygus, and Tom Palfrey.) We view this as a tool for researchers who wish to communicate their work more effectively and a checklist that may be helpful to the researcher who wants to prepare a study that can be easily understood and evaluated. The standards are similar to the CONSORT reporting standards, which have been embraced by medical researchers conducting experimental research and are now the minimum reporting requirements for several major medical journals.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A. Hypotheses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State specific objectives or hypotheses.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What question(s) was (were) the experiment designed to address?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What are the specific hypotheses to be tested?</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The survey was administered as part of a research study examining the following questions:</w:t>
      </w: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What determines the nature of violence inflicted by military forces on the battlefield? Given the brutality of war, the general blurring of categories of </w:t>
      </w:r>
      <w:r>
        <w:rPr>
          <w:rFonts w:ascii="Times New Roman" w:hAnsi="Times New Roman" w:hint="default"/>
          <w:i w:val="1"/>
          <w:iCs w:val="1"/>
          <w:rtl w:val="1"/>
          <w:lang w:val="ar-SA" w:bidi="ar-SA"/>
        </w:rPr>
        <w:t>“</w:t>
      </w:r>
      <w:r>
        <w:rPr>
          <w:rFonts w:ascii="Times New Roman" w:hAnsi="Times New Roman"/>
          <w:i w:val="1"/>
          <w:iCs w:val="1"/>
          <w:rtl w:val="0"/>
          <w:lang w:val="it-IT"/>
        </w:rPr>
        <w:t>civilian</w:t>
      </w:r>
      <w:r>
        <w:rPr>
          <w:rFonts w:ascii="Times New Roman" w:hAnsi="Times New Roman" w:hint="default"/>
          <w:i w:val="1"/>
          <w:iCs w:val="1"/>
          <w:rtl w:val="0"/>
        </w:rPr>
        <w:t xml:space="preserve">” </w:t>
      </w:r>
      <w:r>
        <w:rPr>
          <w:rFonts w:ascii="Times New Roman" w:hAnsi="Times New Roman"/>
          <w:i w:val="1"/>
          <w:iCs w:val="1"/>
          <w:rtl w:val="0"/>
          <w:lang w:val="en-US"/>
        </w:rPr>
        <w:t xml:space="preserve">and </w:t>
      </w:r>
      <w:r>
        <w:rPr>
          <w:rFonts w:ascii="Times New Roman" w:hAnsi="Times New Roman" w:hint="default"/>
          <w:i w:val="1"/>
          <w:iCs w:val="1"/>
          <w:rtl w:val="1"/>
          <w:lang w:val="ar-SA" w:bidi="ar-SA"/>
        </w:rPr>
        <w:t>“</w:t>
      </w:r>
      <w:r>
        <w:rPr>
          <w:rFonts w:ascii="Times New Roman" w:hAnsi="Times New Roman"/>
          <w:i w:val="1"/>
          <w:iCs w:val="1"/>
          <w:rtl w:val="0"/>
          <w:lang w:val="fr-FR"/>
        </w:rPr>
        <w:t>combatant,</w:t>
      </w:r>
      <w:r>
        <w:rPr>
          <w:rFonts w:ascii="Times New Roman" w:hAnsi="Times New Roman" w:hint="default"/>
          <w:i w:val="1"/>
          <w:iCs w:val="1"/>
          <w:rtl w:val="0"/>
        </w:rPr>
        <w:t xml:space="preserve">” </w:t>
      </w:r>
      <w:r>
        <w:rPr>
          <w:rFonts w:ascii="Times New Roman" w:hAnsi="Times New Roman"/>
          <w:i w:val="1"/>
          <w:iCs w:val="1"/>
          <w:rtl w:val="0"/>
          <w:lang w:val="en-US"/>
        </w:rPr>
        <w:t>the frequent reliance of combatants on civilian populations for support, and the minimal enforcement of the laws of war on the battlefield, why do some combatants and some armed groups engage in restraint?</w:t>
      </w:r>
    </w:p>
    <w:p>
      <w:pPr>
        <w:pStyle w:val="Default"/>
        <w:bidi w:val="0"/>
        <w:spacing w:before="0" w:line="240" w:lineRule="auto"/>
        <w:ind w:left="0" w:right="0" w:firstLine="0"/>
        <w:jc w:val="left"/>
        <w:rPr>
          <w:rFonts w:ascii="Times New Roman" w:cs="Times New Roman" w:hAnsi="Times New Roman" w:eastAsia="Times New Roman"/>
          <w:i w:val="1"/>
          <w:iCs w:val="1"/>
          <w:rtl w:val="0"/>
        </w:rPr>
      </w:pP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As part of this study, the survey was administered to assess the views and experiences of U.S. Army </w:t>
      </w:r>
      <w:r>
        <w:rPr>
          <w:rFonts w:ascii="Times New Roman" w:hAnsi="Times New Roman"/>
          <w:i w:val="1"/>
          <w:iCs w:val="1"/>
          <w:rtl w:val="0"/>
          <w:lang w:val="en-US"/>
        </w:rPr>
        <w:t xml:space="preserve">soldiers and </w:t>
      </w:r>
      <w:r>
        <w:rPr>
          <w:rFonts w:ascii="Times New Roman" w:hAnsi="Times New Roman"/>
          <w:i w:val="1"/>
          <w:iCs w:val="1"/>
          <w:rtl w:val="0"/>
        </w:rPr>
        <w:t>veterans.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B. Subjects and Context</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Report eligibility and exclusion criteria for participants.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Why was this subject pool selected? Who was eligible to participate in the study? What would result in the exclusion of a participant? Were any aspects of recruitment changed (such as the exclusion criteria) after recruitment began?</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Any current or former member of the U.S. Army was eligible to participate in the survey. The survey pool was derived from a </w:t>
      </w:r>
      <w:r>
        <w:rPr>
          <w:rFonts w:ascii="Times New Roman" w:hAnsi="Times New Roman"/>
          <w:i w:val="1"/>
          <w:iCs w:val="1"/>
          <w:rtl w:val="0"/>
          <w:lang w:val="en-US"/>
        </w:rPr>
        <w:t>survey firm</w:t>
      </w:r>
      <w:r>
        <w:rPr>
          <w:rFonts w:ascii="Times New Roman" w:hAnsi="Times New Roman"/>
          <w:i w:val="1"/>
          <w:iCs w:val="1"/>
          <w:rtl w:val="0"/>
          <w:lang w:val="en-US"/>
        </w:rPr>
        <w:t xml:space="preserve"> panel of respondents who self-identified as current or former members of the U.S. military. Respondents self-identifying with no military experience were excluded from the survey. No recruiting criteria changed after recruitment.</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Report procedures used to recruit and select participants.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How were participants contacted for recruitment? Were incentives offered?</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If there is a survey: Identify the survey firm used and describe how they recruit respondents.</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The survey firm recruited respondents through online advertisement.</w:t>
      </w:r>
      <w:r>
        <w:rPr>
          <w:rFonts w:ascii="Times New Roman" w:hAnsi="Times New Roman" w:hint="default"/>
          <w:i w:val="1"/>
          <w:iCs w:val="1"/>
          <w:rtl w:val="0"/>
        </w:rPr>
        <w:t> </w:t>
      </w:r>
      <w:r>
        <w:rPr>
          <w:rFonts w:ascii="Times New Roman" w:hAnsi="Times New Roman"/>
          <w:i w:val="1"/>
          <w:iCs w:val="1"/>
          <w:rtl w:val="0"/>
          <w:lang w:val="en-US"/>
        </w:rPr>
        <w:t xml:space="preserve">The survey was conducted in two rounds with different samples of respondents (each of whom was paid $2 as well as one </w:t>
      </w:r>
      <w:r>
        <w:rPr>
          <w:rFonts w:ascii="Times New Roman" w:hAnsi="Times New Roman"/>
          <w:i w:val="1"/>
          <w:iCs w:val="1"/>
          <w:rtl w:val="0"/>
          <w:lang w:val="en-US"/>
        </w:rPr>
        <w:t>vendor</w:t>
      </w:r>
      <w:r>
        <w:rPr>
          <w:rFonts w:ascii="Times New Roman" w:hAnsi="Times New Roman"/>
          <w:i w:val="1"/>
          <w:iCs w:val="1"/>
          <w:rtl w:val="0"/>
          <w:lang w:val="en-US"/>
        </w:rPr>
        <w:t xml:space="preserve"> "Loyalty Credit" valued at $0.67 (when redeemed after receiving 3 credits), for a total value equivalent to $2.67)).</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Report recruitment dates defining the periods of recruitment and when the experiments were conducted.</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Also list dates of any repeated measurements as part of a follow-up.</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We fielded Round 1 from April 14 to April 20, 2021.</w:t>
      </w:r>
      <w:r>
        <w:rPr>
          <w:rFonts w:ascii="Times New Roman" w:hAnsi="Times New Roman" w:hint="default"/>
          <w:i w:val="1"/>
          <w:iCs w:val="1"/>
          <w:rtl w:val="0"/>
        </w:rPr>
        <w:t> </w:t>
      </w:r>
      <w:r>
        <w:rPr>
          <w:rFonts w:ascii="Times New Roman" w:hAnsi="Times New Roman"/>
          <w:i w:val="1"/>
          <w:iCs w:val="1"/>
          <w:rtl w:val="0"/>
          <w:lang w:val="en-US"/>
        </w:rPr>
        <w:t xml:space="preserve">After the </w:t>
      </w:r>
      <w:r>
        <w:rPr>
          <w:rFonts w:ascii="Times New Roman" w:hAnsi="Times New Roman"/>
          <w:i w:val="1"/>
          <w:iCs w:val="1"/>
          <w:rtl w:val="0"/>
          <w:lang w:val="en-US"/>
        </w:rPr>
        <w:t xml:space="preserve">survey </w:t>
      </w:r>
      <w:r>
        <w:rPr>
          <w:rFonts w:ascii="Times New Roman" w:hAnsi="Times New Roman"/>
          <w:i w:val="1"/>
          <w:iCs w:val="1"/>
          <w:rtl w:val="0"/>
          <w:lang w:val="en-US"/>
        </w:rPr>
        <w:t>firm switched to a different sub-vendor in an effort to improve the data quality, we fielded Round 2 from April 22 to May 3</w:t>
      </w:r>
      <w:r>
        <w:rPr>
          <w:rFonts w:ascii="Times New Roman" w:hAnsi="Times New Roman"/>
          <w:i w:val="1"/>
          <w:iCs w:val="1"/>
          <w:rtl w:val="0"/>
          <w:lang w:val="en-US"/>
        </w:rPr>
        <w:t>, 2021</w:t>
      </w:r>
      <w:r>
        <w:rPr>
          <w:rFonts w:ascii="Times New Roman" w:hAnsi="Times New Roman"/>
          <w:i w:val="1"/>
          <w:iCs w:val="1"/>
          <w:rtl w:val="0"/>
        </w:rPr>
        <w:t>.</w:t>
      </w:r>
    </w:p>
    <w:p>
      <w:pPr>
        <w:pStyle w:val="Default"/>
        <w:bidi w:val="0"/>
        <w:spacing w:before="0" w:line="240" w:lineRule="auto"/>
        <w:ind w:left="720" w:right="0" w:hanging="72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Describe settings and locations where the data were collected.</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In the field, lab, classroom, or some other specialized setting?</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Other relevant specifics of the population: e.g., large public university vs. small private university; geographic location; etc.</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If there is a survey: Provide response rate and how it was calculated.</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Responses were provided by </w:t>
      </w:r>
      <w:r>
        <w:rPr>
          <w:rFonts w:ascii="Times New Roman" w:hAnsi="Times New Roman"/>
          <w:i w:val="1"/>
          <w:iCs w:val="1"/>
          <w:rtl w:val="0"/>
          <w:lang w:val="en-US"/>
        </w:rPr>
        <w:t>the survey firm</w:t>
      </w:r>
      <w:r>
        <w:rPr>
          <w:rFonts w:ascii="Times New Roman" w:hAnsi="Times New Roman"/>
          <w:i w:val="1"/>
          <w:iCs w:val="1"/>
          <w:rtl w:val="0"/>
          <w:lang w:val="en-US"/>
        </w:rPr>
        <w:t xml:space="preserve">; response rate to </w:t>
      </w:r>
      <w:r>
        <w:rPr>
          <w:rFonts w:ascii="Times New Roman" w:hAnsi="Times New Roman"/>
          <w:i w:val="1"/>
          <w:iCs w:val="1"/>
          <w:rtl w:val="0"/>
          <w:lang w:val="en-US"/>
        </w:rPr>
        <w:t>its</w:t>
      </w:r>
      <w:r>
        <w:rPr>
          <w:rFonts w:ascii="Times New Roman" w:hAnsi="Times New Roman"/>
          <w:i w:val="1"/>
          <w:iCs w:val="1"/>
          <w:rtl w:val="0"/>
          <w:lang w:val="en-US"/>
        </w:rPr>
        <w:t xml:space="preserve"> online recruiting for this project was not provided. </w:t>
      </w:r>
      <w:r>
        <w:rPr>
          <w:rFonts w:ascii="Times New Roman" w:hAnsi="Times New Roman" w:hint="default"/>
          <w:i w:val="1"/>
          <w:iCs w:val="1"/>
          <w:rtl w:val="0"/>
        </w:rPr>
        <w:t>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C. Allocation Method</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Report details of the procedure used to generate the assignment sequence (e.g., randomization procedures).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Not applicable</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If random assignment used, report details of procedure (e.g., any restrictions, blocking).</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Note the unit of randomization (individuals, groups, households, etc.). Pay careful attention to report clustered random assignment if subjects were assigned at some level other than the individual subject.</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Not applicable</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If random assignment used, to help detect errors such as problems in the procedure used for random assignment or failure to properly account for blocking, provide a table (in text or appendix) showing baseline means and standard deviations for demographic characteristics and other pretreatment measures (if collected) by experimental group.</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If blocking was used, and group assignment proportions were not equal across blocks, provide a table for each of the blocks. If there are too many blocks for this to be practical, combine blocks to present weighted averages of covariates using inverse probability weighting.</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Not applicable</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rPr>
        <w:t>Describe blinding.</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Were participants, those administering the interventions, and those assessing the outcomes unaware of condition assignments?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If blinding took place, include a statement regarding how it was accomplished and how the success of blinding was evaluated.</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Not applicable</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D. Treatments</w:t>
      </w:r>
    </w:p>
    <w:p>
      <w:pPr>
        <w:pStyle w:val="Default"/>
        <w:bidi w:val="0"/>
        <w:spacing w:before="0" w:line="240" w:lineRule="auto"/>
        <w:ind w:left="720" w:right="0" w:hanging="720"/>
        <w:jc w:val="left"/>
        <w:rPr>
          <w:rFonts w:ascii="Times New Roman" w:cs="Times New Roman" w:hAnsi="Times New Roman" w:eastAsia="Times New Roman"/>
          <w:rtl w:val="0"/>
        </w:rPr>
      </w:pPr>
      <w:r>
        <w:rPr>
          <w:rFonts w:ascii="Times New Roman" w:hAnsi="Times New Roman"/>
          <w:rtl w:val="0"/>
          <w:lang w:val="en-US"/>
        </w:rPr>
        <w:t>As there were no survey experimental treatments, this section is not applicable.</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Provide a detailed description of the interventions in each treatment condition, as well as a description of the control group.</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Descriptions should be sufficient to allow precise replication: Summary or paraphrasing of experimental instructions in the article text; verbatim instructions and/or other treatment materials provided in an appendix.</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State how and when manipulations or interventions were administered.</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Method of delivery: Pen-and-paper vs. computer or Internet vs. face-to-face communications vs. over the telephone.</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If computerized, the software should be described and cited. (If possible, programs should be included in an appendix so as to be available for purposes of replication.)</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For lab experiments (and other experiments, when relevant):</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Not applicable</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Report the number of repetitions of the experimental task and the group rotation protocol. Report the ordering of treatments for within-subject designs. Any piggybacking of other protocols should be reported. Report any use of experienced subjects or subjects used in more than one session or treatment.</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Report time span: How long did each experiment last? How many sessions were subjects expected to attend? If there were multiple sessions, how much time passed between them?</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Report total number of sessions conducted and number of subjects used in each session.</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Report whether deception was used.</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Report treatment fidelity: Evidence on whether the treatment was delivered as intended.</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Report any instructional anomalies or inaccuracies.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Were subjects given quizzes on the experimental instructions?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Were there practice rounds? If so, how many and what were the results?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Did subjects complete a post-experiment debriefing, interview, or questionnaire? If so, is there evidence that subjects understood the instructions and treatments?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Did the experimental team observe aspects of the intervention?</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Provide descriptions of manipulation checks, if any.</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Were incentives given? If so, what were they and how were they administered?</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Not applicable</w:t>
      </w:r>
      <w:r>
        <w:rPr>
          <w:rFonts w:ascii="Times New Roman" w:hAnsi="Times New Roman"/>
          <w:i w:val="1"/>
          <w:iCs w:val="1"/>
          <w:rtl w:val="0"/>
          <w:lang w:val="en-US"/>
        </w:rPr>
        <w:t xml:space="preserve"> for presented results</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E. Results</w:t>
      </w:r>
    </w:p>
    <w:p>
      <w:pPr>
        <w:pStyle w:val="Default"/>
        <w:bidi w:val="0"/>
        <w:spacing w:before="0" w:line="240" w:lineRule="auto"/>
        <w:ind w:left="0" w:right="0" w:firstLine="0"/>
        <w:jc w:val="left"/>
        <w:rPr>
          <w:rFonts w:ascii="Times New Roman" w:cs="Times New Roman" w:hAnsi="Times New Roman" w:eastAsia="Times New Roman"/>
          <w:b w:val="0"/>
          <w:bCs w:val="0"/>
          <w:rtl w:val="0"/>
        </w:rPr>
      </w:pPr>
      <w:r>
        <w:rPr>
          <w:rFonts w:ascii="Times New Roman" w:hAnsi="Times New Roman"/>
          <w:b w:val="1"/>
          <w:bCs w:val="1"/>
          <w:rtl w:val="0"/>
          <w:lang w:val="en-US"/>
        </w:rPr>
        <w:t>1. Outcome Measures and Covariates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Provide precise definitions of all primary and secondary measures and covariates.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Not applicable. See Online Appendix for definition of response categories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For indices, provide exact description of how they are formed. For survey items, provide exact question wording in an appendix. Provide a copy of the complete survey questionnaire (in an online appendix if it is long).</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Clearly state which of the outcomes and subgroup analyses were specified prior to the experiment and which were the result of exploratory analysis.</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Not applicable</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line="240" w:lineRule="auto"/>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2. CONSORT Participant Flow Diagram</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Complete CONSORT Participant Flow Diagram</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 xml:space="preserve">An example of a CONSORT flow diagram can be found at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eur01.safelinks.protection.outlook.com/?url=http%3A%2F%2Fwww.consort-statement.org%2F&amp;data=04%7C01%7Ct.gift%40ucl.ac.uk%7C016a7f5bf8154ca01ad508da0b7c1f72%7C1faf88fea9984c5b93c9210a11d9a5c2%7C0%7C0%7C637834926022968726%7CUnknown%7CTWFpbGZsb3d8eyJWIjoiMC4wLjAwMDAiLCJQIjoiV2luMzIiLCJBTiI6Ik1haWwiLCJXVCI6Mn0%3D%7C3000&amp;sdata=xSF9aj47y41AHzASlGEvWif03x3JaGaCqa2f%2FwKA6PA%3D&amp;reserved=0"</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http://www.consort-statement.org</w:t>
      </w:r>
      <w:r>
        <w:rPr>
          <w:rFonts w:ascii="Times New Roman" w:cs="Times New Roman" w:hAnsi="Times New Roman" w:eastAsia="Times New Roman"/>
          <w:rtl w:val="0"/>
        </w:rPr>
        <w:fldChar w:fldCharType="end" w:fldLock="0"/>
      </w:r>
      <w:r>
        <w:rPr>
          <w:rFonts w:ascii="Times New Roman" w:hAnsi="Times New Roman"/>
          <w:rtl w:val="0"/>
          <w:lang w:val="en-US"/>
        </w:rPr>
        <w:t>. The flow diagram records the initial number of subjects deemed eligible for the experiment and all losses of subjects during the course of the experiment. The flow chart follows the subjects from initial recruitment to the sample used in the main analyses, providing readers clear information on the amount of attrition and exclusions. The chart also reports the portion of each treatment group that received the allocated intervention and if not, why this was not accomplished. Naturally, in the event that there is zero or very trivial non-compliance with group assignment or zero or very trivial attrition, researchers may decide it is more convenient to report the information that would otherwise be shown in the CONSORT diagram in the text and omit the diagram.</w:t>
      </w:r>
    </w:p>
    <w:p>
      <w:pPr>
        <w:pStyle w:val="Default"/>
        <w:bidi w:val="0"/>
        <w:spacing w:before="0" w:line="240" w:lineRule="auto"/>
        <w:ind w:left="0" w:right="0" w:firstLine="0"/>
        <w:jc w:val="left"/>
        <w:rPr>
          <w:rStyle w:val="None"/>
          <w:rFonts w:ascii="Times New Roman" w:cs="Times New Roman" w:hAnsi="Times New Roman" w:eastAsia="Times New Roman"/>
          <w:b w:val="0"/>
          <w:bCs w:val="0"/>
          <w:rtl w:val="0"/>
        </w:rPr>
      </w:pPr>
      <w:r>
        <w:rPr>
          <w:rFonts w:ascii="Times New Roman" w:hAnsi="Times New Roman"/>
          <w:b w:val="1"/>
          <w:bCs w:val="1"/>
          <w:rtl w:val="0"/>
          <w:lang w:val="en-US"/>
        </w:rPr>
        <w:t>Note that the CONSORT flow chart entries include:</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Number of subjects initially assessed for eligibility for the study.</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Exclusions prior to random assignment and reasons for the exclusions.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Number of subjects initially assigned to each experimental group.</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The proportion of each group that received its allocated intervention and the reasons why subjects did not receive the intended intervention.</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The number of subjects in each group that dropped out or for other reasons do not have outcome data.</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The number of subjects in each group that are included in the statistical analysis, and the reasons for any exclusions.</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Not applicable. </w:t>
      </w:r>
      <w:r>
        <w:rPr>
          <w:rFonts w:ascii="Times New Roman" w:hAnsi="Times New Roman"/>
          <w:i w:val="1"/>
          <w:iCs w:val="1"/>
          <w:rtl w:val="0"/>
          <w:lang w:val="en-US"/>
        </w:rPr>
        <w:t>The survey firm</w:t>
      </w:r>
      <w:r>
        <w:rPr>
          <w:rFonts w:ascii="Times New Roman" w:hAnsi="Times New Roman"/>
          <w:i w:val="1"/>
          <w:iCs w:val="1"/>
          <w:rtl w:val="0"/>
          <w:lang w:val="en-US"/>
        </w:rPr>
        <w:t xml:space="preserve"> provided 406 responses in which respondents self-identified as current </w:t>
      </w:r>
      <w:r>
        <w:rPr>
          <w:rFonts w:ascii="Times New Roman" w:hAnsi="Times New Roman"/>
          <w:i w:val="1"/>
          <w:iCs w:val="1"/>
          <w:rtl w:val="0"/>
          <w:lang w:val="en-US"/>
        </w:rPr>
        <w:t xml:space="preserve">U.S. </w:t>
      </w:r>
      <w:r>
        <w:rPr>
          <w:rFonts w:ascii="Times New Roman" w:hAnsi="Times New Roman"/>
          <w:i w:val="1"/>
          <w:iCs w:val="1"/>
          <w:rtl w:val="0"/>
          <w:lang w:val="en-US"/>
        </w:rPr>
        <w:t>Army soldiers or veterans. All these were eligible for the study and were included in the analysis.</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3. Statistical Analysis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Researchers will conduct statistical analysis and report their results in the manner they deem appropriate. We recommend that this reporting include the following:</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Report sample means and standard deviations for the outcome variables using intent-to-treat (ITT) analysis (means for the entire collection of subjects assigned to a group, whether the treatment is successfully delivered or not).</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If the experiment uses block randomization with unequal assignment rates, present ITT analysis by block or present overall means using inverse probability weighting.</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Note whether the level of analysis differs from level of randomization and estimate appropriate standard errors.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If there is attrition, discuss reasons for attrition and examine whether attrition is related to pretreatment variables.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Report other missing data (not outcome variables):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Frequency or percentages of missing data by group.</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Methods for addressing missing data (e.g., listwise deletion, imputation methods).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For each primary and secondary outcome and for each subgroup, provide summary of the number of cases deleted from each analysis and rationale for dropping the cases.</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For survey experiments: Describe in detail any weighting procedures that are used.</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Not applicable. No statistical analysis of variables was conducted for this study.</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Style w:val="None"/>
          <w:rFonts w:ascii="Times New Roman" w:cs="Times New Roman" w:hAnsi="Times New Roman" w:eastAsia="Times New Roman"/>
          <w:b w:val="0"/>
          <w:bCs w:val="0"/>
          <w:rtl w:val="0"/>
        </w:rPr>
      </w:pPr>
      <w:r>
        <w:rPr>
          <w:rFonts w:ascii="Times New Roman" w:hAnsi="Times New Roman"/>
          <w:b w:val="1"/>
          <w:bCs w:val="1"/>
          <w:rtl w:val="0"/>
          <w:lang w:val="en-US"/>
        </w:rPr>
        <w:t>F. Other Information</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xml:space="preserve">·         • </w:t>
      </w:r>
      <w:r>
        <w:rPr>
          <w:rFonts w:ascii="Times New Roman" w:hAnsi="Times New Roman"/>
          <w:rtl w:val="0"/>
          <w:lang w:val="en-US"/>
        </w:rPr>
        <w:t>Provide additional information about the experiment.</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Was the experiment reviewed and approved by an IRB?</w:t>
      </w:r>
    </w:p>
    <w:p>
      <w:pPr>
        <w:pStyle w:val="Default"/>
        <w:bidi w:val="0"/>
        <w:spacing w:before="0" w:line="240" w:lineRule="auto"/>
        <w:ind w:left="720" w:right="0" w:hanging="720"/>
        <w:jc w:val="left"/>
        <w:rPr>
          <w:rFonts w:ascii="Times New Roman" w:cs="Times New Roman" w:hAnsi="Times New Roman" w:eastAsia="Times New Roman"/>
          <w:rtl w:val="0"/>
        </w:rPr>
      </w:pPr>
    </w:p>
    <w:p>
      <w:pPr>
        <w:pStyle w:val="Default"/>
        <w:bidi w:val="0"/>
        <w:spacing w:before="0" w:line="240" w:lineRule="auto"/>
        <w:ind w:left="720" w:right="0" w:hanging="720"/>
        <w:jc w:val="left"/>
        <w:rPr>
          <w:rFonts w:ascii="Times New Roman" w:cs="Times New Roman" w:hAnsi="Times New Roman" w:eastAsia="Times New Roman"/>
          <w:i w:val="1"/>
          <w:iCs w:val="1"/>
          <w:rtl w:val="0"/>
        </w:rPr>
      </w:pPr>
      <w:r>
        <w:rPr>
          <w:rFonts w:ascii="Times New Roman" w:hAnsi="Times New Roman"/>
          <w:i w:val="1"/>
          <w:iCs w:val="1"/>
          <w:rtl w:val="0"/>
          <w:lang w:val="en-US"/>
        </w:rPr>
        <w:t>Yes</w:t>
      </w:r>
    </w:p>
    <w:p>
      <w:pPr>
        <w:pStyle w:val="Default"/>
        <w:bidi w:val="0"/>
        <w:spacing w:before="0" w:line="240" w:lineRule="auto"/>
        <w:ind w:left="720" w:right="0" w:hanging="72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If the experimental protocol was registered, where and how can the filing be accessed?</w:t>
      </w:r>
    </w:p>
    <w:p>
      <w:pPr>
        <w:pStyle w:val="Default"/>
        <w:bidi w:val="0"/>
        <w:spacing w:before="0" w:line="240" w:lineRule="auto"/>
        <w:ind w:left="720" w:right="0" w:hanging="720"/>
        <w:jc w:val="left"/>
        <w:rPr>
          <w:rFonts w:ascii="Times New Roman" w:cs="Times New Roman" w:hAnsi="Times New Roman" w:eastAsia="Times New Roman"/>
          <w:rtl w:val="0"/>
        </w:rPr>
      </w:pPr>
    </w:p>
    <w:p>
      <w:pPr>
        <w:pStyle w:val="Default"/>
        <w:bidi w:val="0"/>
        <w:spacing w:before="0" w:line="240" w:lineRule="auto"/>
        <w:ind w:left="720" w:right="0" w:hanging="720"/>
        <w:jc w:val="left"/>
        <w:rPr>
          <w:rFonts w:ascii="Times New Roman" w:cs="Times New Roman" w:hAnsi="Times New Roman" w:eastAsia="Times New Roman"/>
          <w:i w:val="1"/>
          <w:iCs w:val="1"/>
          <w:rtl w:val="0"/>
        </w:rPr>
      </w:pPr>
      <w:r>
        <w:rPr>
          <w:rFonts w:ascii="Times New Roman" w:hAnsi="Times New Roman"/>
          <w:i w:val="1"/>
          <w:iCs w:val="1"/>
          <w:rtl w:val="0"/>
          <w:lang w:val="en-US"/>
        </w:rPr>
        <w:t>Indiana University-Bloomington Office of Human Subjects Research</w:t>
      </w:r>
    </w:p>
    <w:p>
      <w:pPr>
        <w:pStyle w:val="Default"/>
        <w:bidi w:val="0"/>
        <w:spacing w:before="0" w:line="240" w:lineRule="auto"/>
        <w:ind w:left="720" w:right="0" w:hanging="72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What was the source of funding? What was the role of the funders in the analysis of the experiment?</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No funding was used for this study; the survey firm did not charge for the survey based on the</w:t>
      </w:r>
      <w:r>
        <w:rPr>
          <w:rFonts w:ascii="Times New Roman" w:hAnsi="Times New Roman"/>
          <w:i w:val="1"/>
          <w:iCs w:val="1"/>
          <w:rtl w:val="0"/>
          <w:lang w:val="en-US"/>
        </w:rPr>
        <w:t xml:space="preserve"> </w:t>
      </w:r>
      <w:r>
        <w:rPr>
          <w:rFonts w:ascii="Times New Roman" w:hAnsi="Times New Roman"/>
          <w:i w:val="1"/>
          <w:iCs w:val="1"/>
          <w:rtl w:val="0"/>
          <w:lang w:val="en-US"/>
        </w:rPr>
        <w:t>high levels of fraudulent responses.</w:t>
      </w:r>
    </w:p>
    <w:p>
      <w:pPr>
        <w:pStyle w:val="Default"/>
        <w:bidi w:val="0"/>
        <w:spacing w:before="0" w:line="240" w:lineRule="auto"/>
        <w:ind w:left="720" w:right="0" w:hanging="72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Were there any restrictions or arrangements regarding what findings could be published? Are there any funding sources where conflict of interest might be an issue?</w:t>
      </w:r>
    </w:p>
    <w:p>
      <w:pPr>
        <w:pStyle w:val="Default"/>
        <w:bidi w:val="0"/>
        <w:spacing w:before="0" w:line="240" w:lineRule="auto"/>
        <w:ind w:left="720" w:right="0" w:hanging="720"/>
        <w:jc w:val="left"/>
        <w:rPr>
          <w:rFonts w:ascii="Times New Roman" w:cs="Times New Roman" w:hAnsi="Times New Roman" w:eastAsia="Times New Roman"/>
          <w:rtl w:val="0"/>
        </w:rPr>
      </w:pPr>
    </w:p>
    <w:p>
      <w:pPr>
        <w:pStyle w:val="Default"/>
        <w:bidi w:val="0"/>
        <w:spacing w:before="0" w:line="240" w:lineRule="auto"/>
        <w:ind w:left="720" w:right="0" w:hanging="720"/>
        <w:jc w:val="left"/>
        <w:rPr>
          <w:rFonts w:ascii="Times New Roman" w:cs="Times New Roman" w:hAnsi="Times New Roman" w:eastAsia="Times New Roman"/>
          <w:i w:val="1"/>
          <w:iCs w:val="1"/>
          <w:rtl w:val="0"/>
        </w:rPr>
      </w:pPr>
      <w:r>
        <w:rPr>
          <w:rFonts w:ascii="Times New Roman" w:hAnsi="Times New Roman"/>
          <w:i w:val="1"/>
          <w:iCs w:val="1"/>
          <w:rtl w:val="0"/>
        </w:rPr>
        <w:t>No</w:t>
      </w:r>
    </w:p>
    <w:p>
      <w:pPr>
        <w:pStyle w:val="Default"/>
        <w:bidi w:val="0"/>
        <w:spacing w:before="0" w:line="240" w:lineRule="auto"/>
        <w:ind w:left="720" w:right="0" w:hanging="72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rPr>
        <w:t>o</w:t>
      </w:r>
      <w:r>
        <w:rPr>
          <w:rFonts w:ascii="Times New Roman" w:hAnsi="Times New Roman" w:hint="default"/>
          <w:rtl w:val="0"/>
        </w:rPr>
        <w:t xml:space="preserve">    </w:t>
      </w:r>
      <w:r>
        <w:rPr>
          <w:rFonts w:ascii="Arial Unicode MS" w:cs="Arial Unicode MS" w:hAnsi="Arial Unicode MS" w:eastAsia="Arial Unicode MS" w:hint="default"/>
          <w:b w:val="0"/>
          <w:bCs w:val="0"/>
          <w:i w:val="0"/>
          <w:iCs w:val="0"/>
          <w:rtl w:val="0"/>
        </w:rPr>
        <w:t>∘</w:t>
      </w:r>
      <w:r>
        <w:rPr>
          <w:rFonts w:ascii="Times New Roman" w:hAnsi="Times New Roman"/>
          <w:rtl w:val="0"/>
        </w:rPr>
        <w:t xml:space="preserve"> </w:t>
      </w:r>
      <w:r>
        <w:rPr>
          <w:rFonts w:ascii="Times New Roman" w:hAnsi="Times New Roman"/>
          <w:rtl w:val="0"/>
          <w:lang w:val="en-US"/>
        </w:rPr>
        <w:t>If a replication data set is available, provide the URL.</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hint="default"/>
          <w:rtl w:val="0"/>
        </w:rPr>
        <w:t> </w:t>
      </w:r>
    </w:p>
    <w:p>
      <w:pPr>
        <w:pStyle w:val="Default"/>
        <w:bidi w:val="0"/>
        <w:spacing w:before="0" w:line="240" w:lineRule="auto"/>
        <w:ind w:left="0" w:right="0" w:firstLine="0"/>
        <w:jc w:val="left"/>
        <w:rPr>
          <w:rtl w:val="0"/>
        </w:rPr>
      </w:pPr>
      <w:r>
        <w:rPr>
          <w:rFonts w:ascii="Times New Roman" w:hAnsi="Times New Roman"/>
          <w:i w:val="1"/>
          <w:iCs w:val="1"/>
          <w:rtl w:val="0"/>
          <w:lang w:val="en-US"/>
        </w:rPr>
        <w:t xml:space="preserve">Replication data </w:t>
      </w:r>
      <w:r>
        <w:rPr>
          <w:rFonts w:ascii="Times New Roman" w:hAnsi="Times New Roman"/>
          <w:i w:val="1"/>
          <w:iCs w:val="1"/>
          <w:rtl w:val="0"/>
          <w:lang w:val="en-US"/>
        </w:rPr>
        <w:t>are</w:t>
      </w:r>
      <w:r>
        <w:rPr>
          <w:rFonts w:ascii="Times New Roman" w:hAnsi="Times New Roman"/>
          <w:i w:val="1"/>
          <w:iCs w:val="1"/>
          <w:rtl w:val="0"/>
          <w:lang w:val="en-US"/>
        </w:rPr>
        <w:t xml:space="preserve"> available at: </w:t>
      </w:r>
      <w:r>
        <w:rPr>
          <w:rStyle w:val="Hyperlink.1"/>
          <w:rFonts w:ascii="Times New Roman" w:cs="Times New Roman" w:hAnsi="Times New Roman" w:eastAsia="Times New Roman"/>
          <w:i w:val="1"/>
          <w:iCs w:val="1"/>
          <w:rtl w:val="0"/>
        </w:rPr>
        <w:fldChar w:fldCharType="begin" w:fldLock="0"/>
      </w:r>
      <w:r>
        <w:rPr>
          <w:rStyle w:val="Hyperlink.1"/>
          <w:rFonts w:ascii="Times New Roman" w:cs="Times New Roman" w:hAnsi="Times New Roman" w:eastAsia="Times New Roman"/>
          <w:i w:val="1"/>
          <w:iCs w:val="1"/>
          <w:rtl w:val="0"/>
        </w:rPr>
        <w:instrText xml:space="preserve"> HYPERLINK "https://doi.org/10.7910/DVN/Y1FEOX"</w:instrText>
      </w:r>
      <w:r>
        <w:rPr>
          <w:rStyle w:val="Hyperlink.1"/>
          <w:rFonts w:ascii="Times New Roman" w:cs="Times New Roman" w:hAnsi="Times New Roman" w:eastAsia="Times New Roman"/>
          <w:i w:val="1"/>
          <w:iCs w:val="1"/>
          <w:rtl w:val="0"/>
        </w:rPr>
        <w:fldChar w:fldCharType="separate" w:fldLock="0"/>
      </w:r>
      <w:r>
        <w:rPr>
          <w:rStyle w:val="Hyperlink.1"/>
          <w:rFonts w:ascii="Times New Roman" w:hAnsi="Times New Roman"/>
          <w:i w:val="1"/>
          <w:iCs w:val="1"/>
          <w:rtl w:val="0"/>
          <w:lang w:val="en-US"/>
        </w:rPr>
        <w:t>https://doi.org/10.7910/DVN/Y1FEOX</w:t>
      </w:r>
      <w:r>
        <w:rPr>
          <w:rFonts w:ascii="Times New Roman" w:cs="Times New Roman" w:hAnsi="Times New Roman" w:eastAsia="Times New Roman"/>
          <w:i w:val="1"/>
          <w:iCs w:val="1"/>
          <w:rtl w:val="0"/>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