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9328" w14:textId="77777777" w:rsidR="009A5A91" w:rsidRDefault="009A5A91" w:rsidP="00D83DF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A</w:t>
      </w:r>
    </w:p>
    <w:p w14:paraId="30574ECF" w14:textId="77777777" w:rsidR="00053A8B" w:rsidRPr="00053A8B" w:rsidRDefault="00053A8B" w:rsidP="00D83DFE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053A8B">
        <w:rPr>
          <w:rFonts w:ascii="Times New Roman" w:hAnsi="Times New Roman"/>
          <w:sz w:val="24"/>
          <w:szCs w:val="24"/>
        </w:rPr>
        <w:t xml:space="preserve">Below are the estimates for equations (4a) and (4b) using aggregate loss likelihood estimates and limiting the sample to those from </w:t>
      </w:r>
      <w:proofErr w:type="spellStart"/>
      <w:r w:rsidRPr="00053A8B">
        <w:rPr>
          <w:rFonts w:ascii="Times New Roman" w:hAnsi="Times New Roman"/>
          <w:sz w:val="24"/>
          <w:szCs w:val="24"/>
        </w:rPr>
        <w:t>Kayser-Lindstadt</w:t>
      </w:r>
      <w:proofErr w:type="spellEnd"/>
      <w:r w:rsidRPr="00053A8B">
        <w:rPr>
          <w:rFonts w:ascii="Times New Roman" w:hAnsi="Times New Roman"/>
          <w:sz w:val="24"/>
          <w:szCs w:val="24"/>
        </w:rPr>
        <w:t xml:space="preserve"> (2015). </w:t>
      </w:r>
      <w:r>
        <w:rPr>
          <w:rFonts w:ascii="Times New Roman" w:hAnsi="Times New Roman"/>
          <w:sz w:val="24"/>
          <w:szCs w:val="24"/>
        </w:rPr>
        <w:t>The results suggest that there could be some merit in working with narrower samples from aggregate data. Effectively this means that elections</w:t>
      </w:r>
      <w:r w:rsidR="003C29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where there are very small chances of</w:t>
      </w:r>
      <w:r w:rsidR="003C2966">
        <w:rPr>
          <w:rFonts w:ascii="Times New Roman" w:hAnsi="Times New Roman"/>
          <w:sz w:val="24"/>
          <w:szCs w:val="24"/>
        </w:rPr>
        <w:t xml:space="preserve"> a swing taking place according to district level densities, produce swings even more rarely than predicted by these densities.</w:t>
      </w:r>
    </w:p>
    <w:p w14:paraId="2077169F" w14:textId="77777777" w:rsidR="00053A8B" w:rsidRPr="00C35463" w:rsidRDefault="00053A8B" w:rsidP="00053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463">
        <w:rPr>
          <w:rFonts w:ascii="Times New Roman" w:hAnsi="Times New Roman"/>
          <w:sz w:val="24"/>
          <w:szCs w:val="24"/>
        </w:rPr>
        <w:t>Within Country Determinants of Centra</w:t>
      </w:r>
      <w:r w:rsidR="003C2966">
        <w:rPr>
          <w:rFonts w:ascii="Times New Roman" w:hAnsi="Times New Roman"/>
          <w:sz w:val="24"/>
          <w:szCs w:val="24"/>
        </w:rPr>
        <w:t>l Government Balances (limited sample</w:t>
      </w:r>
      <w:r w:rsidRPr="00C35463">
        <w:rPr>
          <w:rFonts w:ascii="Times New Roman" w:hAnsi="Times New Roman"/>
          <w:sz w:val="24"/>
          <w:szCs w:val="24"/>
        </w:rPr>
        <w:t>)</w:t>
      </w:r>
    </w:p>
    <w:p w14:paraId="13AB86D0" w14:textId="77777777" w:rsidR="00053A8B" w:rsidRPr="00053A8B" w:rsidRDefault="00053A8B" w:rsidP="00053A8B">
      <w:pPr>
        <w:spacing w:after="0" w:line="240" w:lineRule="auto"/>
        <w:ind w:left="144"/>
        <w:rPr>
          <w:rFonts w:ascii="Times New Roman" w:hAnsi="Times New Roman"/>
          <w:sz w:val="20"/>
          <w:szCs w:val="20"/>
        </w:rPr>
      </w:pPr>
      <w:r w:rsidRPr="00876B30">
        <w:rPr>
          <w:rFonts w:ascii="Times New Roman" w:hAnsi="Times New Roman"/>
          <w:sz w:val="20"/>
          <w:szCs w:val="20"/>
        </w:rPr>
        <w:t>(Fixed effects with</w:t>
      </w:r>
      <w:r>
        <w:rPr>
          <w:rFonts w:ascii="Times New Roman" w:hAnsi="Times New Roman"/>
          <w:sz w:val="20"/>
          <w:szCs w:val="20"/>
        </w:rPr>
        <w:t xml:space="preserve"> cluster robust</w:t>
      </w:r>
      <w:r w:rsidRPr="00876B30">
        <w:rPr>
          <w:rFonts w:ascii="Times New Roman" w:hAnsi="Times New Roman"/>
          <w:sz w:val="20"/>
          <w:szCs w:val="20"/>
        </w:rPr>
        <w:t xml:space="preserve"> standard errors in </w:t>
      </w:r>
      <w:r>
        <w:rPr>
          <w:rFonts w:ascii="Times New Roman" w:hAnsi="Times New Roman"/>
          <w:sz w:val="20"/>
          <w:szCs w:val="20"/>
        </w:rPr>
        <w:t>parenthesis)</w:t>
      </w:r>
    </w:p>
    <w:tbl>
      <w:tblPr>
        <w:tblStyle w:val="PlainTable5"/>
        <w:tblW w:w="0" w:type="auto"/>
        <w:jc w:val="center"/>
        <w:tblLook w:val="06A0" w:firstRow="1" w:lastRow="0" w:firstColumn="1" w:lastColumn="0" w:noHBand="1" w:noVBand="1"/>
      </w:tblPr>
      <w:tblGrid>
        <w:gridCol w:w="3687"/>
        <w:gridCol w:w="1117"/>
        <w:gridCol w:w="994"/>
        <w:gridCol w:w="1040"/>
        <w:gridCol w:w="994"/>
      </w:tblGrid>
      <w:tr w:rsidR="001B5AC5" w14:paraId="3B494B40" w14:textId="77777777" w:rsidTr="001B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7" w:type="dxa"/>
            <w:tcBorders>
              <w:top w:val="single" w:sz="4" w:space="0" w:color="auto"/>
              <w:right w:val="single" w:sz="4" w:space="0" w:color="auto"/>
            </w:tcBorders>
          </w:tcPr>
          <w:p w14:paraId="365FA41E" w14:textId="77777777" w:rsidR="001B5AC5" w:rsidRPr="00C31ADC" w:rsidRDefault="001B5AC5" w:rsidP="001574A7">
            <w:pPr>
              <w:spacing w:after="0" w:line="240" w:lineRule="auto"/>
              <w:jc w:val="left"/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  <w:szCs w:val="20"/>
              </w:rPr>
              <w:t xml:space="preserve">   </w:t>
            </w:r>
            <w:r w:rsidRPr="00C31ADC">
              <w:rPr>
                <w:rFonts w:ascii="Times New Roman" w:hAnsi="Times New Roman"/>
                <w:b/>
                <w:i w:val="0"/>
                <w:sz w:val="20"/>
                <w:szCs w:val="20"/>
              </w:rPr>
              <w:t>Variables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27A" w14:textId="77777777" w:rsidR="001B5AC5" w:rsidRPr="00E77DF3" w:rsidRDefault="001B5AC5" w:rsidP="001574A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 xml:space="preserve"> Aggregate Sample (a)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120D" w14:textId="77777777" w:rsidR="001B5AC5" w:rsidRPr="00E77DF3" w:rsidRDefault="001B5AC5" w:rsidP="001574A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Aggregate Sample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(b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5AC5" w14:paraId="2BE424FD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05D89784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E72" w14:textId="77777777" w:rsidR="001B5AC5" w:rsidRPr="00354328" w:rsidRDefault="001B5AC5" w:rsidP="001574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354328">
              <w:rPr>
                <w:rFonts w:ascii="Times New Roman" w:hAnsi="Times New Roman"/>
                <w:i/>
                <w:sz w:val="20"/>
                <w:szCs w:val="20"/>
              </w:rPr>
              <w:t>Linear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DCB" w14:textId="77777777" w:rsidR="001B5AC5" w:rsidRPr="00354328" w:rsidRDefault="001B5AC5" w:rsidP="001574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354328">
              <w:rPr>
                <w:rFonts w:ascii="Times New Roman" w:hAnsi="Times New Roman"/>
                <w:i/>
                <w:sz w:val="20"/>
                <w:szCs w:val="20"/>
              </w:rPr>
              <w:t>quadratic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18B" w14:textId="77777777" w:rsidR="001B5AC5" w:rsidRPr="00354328" w:rsidRDefault="001B5AC5" w:rsidP="001574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354328">
              <w:rPr>
                <w:rFonts w:ascii="Times New Roman" w:hAnsi="Times New Roman"/>
                <w:i/>
                <w:sz w:val="20"/>
                <w:szCs w:val="20"/>
              </w:rPr>
              <w:t>linear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172" w14:textId="77777777" w:rsidR="001B5AC5" w:rsidRPr="00354328" w:rsidRDefault="001B5AC5" w:rsidP="001574A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354328">
              <w:rPr>
                <w:rFonts w:ascii="Times New Roman" w:hAnsi="Times New Roman"/>
                <w:i/>
                <w:sz w:val="20"/>
                <w:szCs w:val="20"/>
              </w:rPr>
              <w:t>quadratic</w:t>
            </w:r>
          </w:p>
        </w:tc>
      </w:tr>
      <w:tr w:rsidR="001B5AC5" w14:paraId="7FF85B9C" w14:textId="77777777" w:rsidTr="001B5AC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bottom w:val="single" w:sz="4" w:space="0" w:color="auto"/>
            </w:tcBorders>
          </w:tcPr>
          <w:p w14:paraId="6A6BB7D4" w14:textId="77777777" w:rsidR="001B5AC5" w:rsidRPr="00E77DF3" w:rsidRDefault="001B5AC5" w:rsidP="00157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178298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994" w:type="dxa"/>
          </w:tcPr>
          <w:p w14:paraId="39DD7D3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040" w:type="dxa"/>
          </w:tcPr>
          <w:p w14:paraId="0118FBFA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994" w:type="dxa"/>
          </w:tcPr>
          <w:p w14:paraId="36874F42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</w:tr>
      <w:tr w:rsidR="001B5AC5" w14:paraId="724E87D0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</w:tcBorders>
          </w:tcPr>
          <w:p w14:paraId="75DF63A8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 xml:space="preserve">Central Government Surplus/Deficit </w:t>
            </w:r>
            <w:r w:rsidRPr="00E77DF3">
              <w:rPr>
                <w:rFonts w:ascii="Times New Roman" w:hAnsi="Times New Roman"/>
                <w:bCs/>
                <w:i w:val="0"/>
                <w:sz w:val="20"/>
                <w:szCs w:val="20"/>
              </w:rPr>
              <w:t>(t-1)</w:t>
            </w:r>
          </w:p>
          <w:p w14:paraId="15FF2B21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 xml:space="preserve"> (%GDP)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792657A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0.78***</w:t>
            </w:r>
          </w:p>
          <w:p w14:paraId="4EFD39CB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39F0D7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0.78***</w:t>
            </w:r>
          </w:p>
          <w:p w14:paraId="67D47D92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5DE24718" w14:textId="0E869684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0.7</w:t>
            </w:r>
            <w:r w:rsidR="00485B47">
              <w:rPr>
                <w:rFonts w:ascii="Times New Roman" w:hAnsi="Times New Roman"/>
                <w:sz w:val="20"/>
                <w:szCs w:val="20"/>
              </w:rPr>
              <w:t>7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14:paraId="4CCE43A0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20053E26" w14:textId="7916C5CA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0.7</w:t>
            </w:r>
            <w:r w:rsidR="00485B47">
              <w:rPr>
                <w:rFonts w:ascii="Times New Roman" w:hAnsi="Times New Roman"/>
                <w:sz w:val="20"/>
                <w:szCs w:val="20"/>
              </w:rPr>
              <w:t>7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14:paraId="042DF64D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(0.03)</w:t>
            </w:r>
          </w:p>
        </w:tc>
      </w:tr>
      <w:tr w:rsidR="001B5AC5" w14:paraId="63FC44B1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49BD3E55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 xml:space="preserve">Central Government Surplus/Deficit </w:t>
            </w:r>
            <w:r w:rsidRPr="00E77DF3">
              <w:rPr>
                <w:rFonts w:ascii="Times New Roman" w:hAnsi="Times New Roman"/>
                <w:bCs/>
                <w:i w:val="0"/>
                <w:sz w:val="20"/>
                <w:szCs w:val="20"/>
              </w:rPr>
              <w:t>(t-1)</w:t>
            </w:r>
          </w:p>
          <w:p w14:paraId="7C0D21CF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*Parties in Government</w:t>
            </w:r>
          </w:p>
        </w:tc>
        <w:tc>
          <w:tcPr>
            <w:tcW w:w="1117" w:type="dxa"/>
          </w:tcPr>
          <w:p w14:paraId="1ED707B9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0.02</w:t>
            </w:r>
          </w:p>
          <w:p w14:paraId="3A50120F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(0.02)</w:t>
            </w:r>
          </w:p>
        </w:tc>
        <w:tc>
          <w:tcPr>
            <w:tcW w:w="994" w:type="dxa"/>
          </w:tcPr>
          <w:p w14:paraId="2CD198BA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0.02</w:t>
            </w:r>
          </w:p>
          <w:p w14:paraId="7FDCD1C9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(0.02)</w:t>
            </w:r>
          </w:p>
        </w:tc>
        <w:tc>
          <w:tcPr>
            <w:tcW w:w="1040" w:type="dxa"/>
          </w:tcPr>
          <w:p w14:paraId="5569116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0.02</w:t>
            </w:r>
          </w:p>
          <w:p w14:paraId="3ACD0F75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(0.02)</w:t>
            </w:r>
          </w:p>
        </w:tc>
        <w:tc>
          <w:tcPr>
            <w:tcW w:w="994" w:type="dxa"/>
          </w:tcPr>
          <w:p w14:paraId="67D6C515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0.02</w:t>
            </w:r>
          </w:p>
          <w:p w14:paraId="35539EB5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(0.02)</w:t>
            </w:r>
          </w:p>
        </w:tc>
      </w:tr>
      <w:tr w:rsidR="001B5AC5" w14:paraId="65C2CE58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5FE42A51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GDP growth</w:t>
            </w:r>
          </w:p>
        </w:tc>
        <w:tc>
          <w:tcPr>
            <w:tcW w:w="1117" w:type="dxa"/>
          </w:tcPr>
          <w:p w14:paraId="4F385478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0.36***</w:t>
            </w:r>
          </w:p>
          <w:p w14:paraId="3F0D60C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(0.08)</w:t>
            </w:r>
          </w:p>
        </w:tc>
        <w:tc>
          <w:tcPr>
            <w:tcW w:w="994" w:type="dxa"/>
          </w:tcPr>
          <w:p w14:paraId="7F467C52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0.36***</w:t>
            </w:r>
          </w:p>
          <w:p w14:paraId="4E1C4150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(0.08)</w:t>
            </w:r>
          </w:p>
        </w:tc>
        <w:tc>
          <w:tcPr>
            <w:tcW w:w="1040" w:type="dxa"/>
          </w:tcPr>
          <w:p w14:paraId="2D0266B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0.36***</w:t>
            </w:r>
          </w:p>
          <w:p w14:paraId="502B4D5A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(0.08)</w:t>
            </w:r>
          </w:p>
        </w:tc>
        <w:tc>
          <w:tcPr>
            <w:tcW w:w="994" w:type="dxa"/>
          </w:tcPr>
          <w:p w14:paraId="28434B7D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0.36***</w:t>
            </w:r>
          </w:p>
          <w:p w14:paraId="38B3D36D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(0.08)</w:t>
            </w:r>
          </w:p>
        </w:tc>
      </w:tr>
      <w:tr w:rsidR="001B5AC5" w14:paraId="2EFFAF1C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7D72E653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Inflation (ln)</w:t>
            </w:r>
          </w:p>
        </w:tc>
        <w:tc>
          <w:tcPr>
            <w:tcW w:w="1117" w:type="dxa"/>
          </w:tcPr>
          <w:p w14:paraId="3BFAEE9F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-0.10</w:t>
            </w:r>
          </w:p>
          <w:p w14:paraId="24A115F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(0.14)</w:t>
            </w:r>
          </w:p>
        </w:tc>
        <w:tc>
          <w:tcPr>
            <w:tcW w:w="994" w:type="dxa"/>
          </w:tcPr>
          <w:p w14:paraId="52D4742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-0.09</w:t>
            </w:r>
          </w:p>
          <w:p w14:paraId="3B78EAB0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(0.15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14:paraId="28D038B5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-0.09</w:t>
            </w:r>
          </w:p>
          <w:p w14:paraId="571C384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(0.14)</w:t>
            </w:r>
          </w:p>
        </w:tc>
        <w:tc>
          <w:tcPr>
            <w:tcW w:w="994" w:type="dxa"/>
          </w:tcPr>
          <w:p w14:paraId="70A7719A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-0.09</w:t>
            </w:r>
          </w:p>
          <w:p w14:paraId="62BE062C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(0.15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5AC5" w14:paraId="42B05ED6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21ED98F2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Unemployment</w:t>
            </w:r>
          </w:p>
        </w:tc>
        <w:tc>
          <w:tcPr>
            <w:tcW w:w="1117" w:type="dxa"/>
          </w:tcPr>
          <w:p w14:paraId="3311323D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-0.04</w:t>
            </w:r>
          </w:p>
          <w:p w14:paraId="35C11C16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  <w:tc>
          <w:tcPr>
            <w:tcW w:w="994" w:type="dxa"/>
          </w:tcPr>
          <w:p w14:paraId="4C5F4E3C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-0.05</w:t>
            </w:r>
          </w:p>
          <w:p w14:paraId="7F493041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  <w:tc>
          <w:tcPr>
            <w:tcW w:w="1040" w:type="dxa"/>
          </w:tcPr>
          <w:p w14:paraId="35CD335C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-0.04</w:t>
            </w:r>
          </w:p>
          <w:p w14:paraId="1C38331B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  <w:tc>
          <w:tcPr>
            <w:tcW w:w="994" w:type="dxa"/>
          </w:tcPr>
          <w:p w14:paraId="330D4EC1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-0.04</w:t>
            </w:r>
          </w:p>
          <w:p w14:paraId="2093019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(0.07)</w:t>
            </w:r>
          </w:p>
        </w:tc>
      </w:tr>
      <w:tr w:rsidR="001B5AC5" w14:paraId="0266D1A8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033309F1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Real Interest Rate</w:t>
            </w:r>
          </w:p>
        </w:tc>
        <w:tc>
          <w:tcPr>
            <w:tcW w:w="1117" w:type="dxa"/>
          </w:tcPr>
          <w:p w14:paraId="58111FFE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-0.08</w:t>
            </w:r>
          </w:p>
          <w:p w14:paraId="24052B05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(0.11)</w:t>
            </w:r>
          </w:p>
        </w:tc>
        <w:tc>
          <w:tcPr>
            <w:tcW w:w="994" w:type="dxa"/>
          </w:tcPr>
          <w:p w14:paraId="75501DD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-0.08</w:t>
            </w:r>
          </w:p>
          <w:p w14:paraId="1D954501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(0.11)</w:t>
            </w:r>
          </w:p>
        </w:tc>
        <w:tc>
          <w:tcPr>
            <w:tcW w:w="1040" w:type="dxa"/>
          </w:tcPr>
          <w:p w14:paraId="0284FBED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-0.08</w:t>
            </w:r>
          </w:p>
          <w:p w14:paraId="42C16E4B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(0.11)</w:t>
            </w:r>
          </w:p>
        </w:tc>
        <w:tc>
          <w:tcPr>
            <w:tcW w:w="994" w:type="dxa"/>
          </w:tcPr>
          <w:p w14:paraId="11B0F9C2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-0.08</w:t>
            </w:r>
          </w:p>
          <w:p w14:paraId="4D6A4F08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(0.11)</w:t>
            </w:r>
          </w:p>
        </w:tc>
      </w:tr>
      <w:tr w:rsidR="001B5AC5" w14:paraId="5FEEB509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3D85D526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Parties in Government</w:t>
            </w:r>
          </w:p>
        </w:tc>
        <w:tc>
          <w:tcPr>
            <w:tcW w:w="1117" w:type="dxa"/>
          </w:tcPr>
          <w:p w14:paraId="524EF8B5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-0.04</w:t>
            </w:r>
          </w:p>
          <w:p w14:paraId="3AA829CC" w14:textId="6C6E6B03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(0.1</w:t>
            </w:r>
            <w:r w:rsidR="00DB0000">
              <w:rPr>
                <w:rFonts w:ascii="Times New Roman" w:hAnsi="Times New Roman"/>
                <w:sz w:val="20"/>
                <w:szCs w:val="20"/>
              </w:rPr>
              <w:t>2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60583C1E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-0.03</w:t>
            </w:r>
          </w:p>
          <w:p w14:paraId="34072FE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(0.13)</w:t>
            </w:r>
          </w:p>
        </w:tc>
        <w:tc>
          <w:tcPr>
            <w:tcW w:w="1040" w:type="dxa"/>
          </w:tcPr>
          <w:p w14:paraId="12C58511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-0.04</w:t>
            </w:r>
          </w:p>
          <w:p w14:paraId="3E8E8FFA" w14:textId="69D22398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(0.1</w:t>
            </w:r>
            <w:r w:rsidR="00DB0000">
              <w:rPr>
                <w:rFonts w:ascii="Times New Roman" w:hAnsi="Times New Roman"/>
                <w:sz w:val="20"/>
                <w:szCs w:val="20"/>
              </w:rPr>
              <w:t>3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7E364980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-0.03</w:t>
            </w:r>
          </w:p>
          <w:p w14:paraId="03AEB1FC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(0.13)</w:t>
            </w:r>
          </w:p>
        </w:tc>
      </w:tr>
      <w:tr w:rsidR="001B5AC5" w14:paraId="693DC13D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63A405B7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KL Loss Probability</w:t>
            </w:r>
          </w:p>
        </w:tc>
        <w:tc>
          <w:tcPr>
            <w:tcW w:w="1117" w:type="dxa"/>
          </w:tcPr>
          <w:p w14:paraId="267C297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-0.50</w:t>
            </w:r>
          </w:p>
          <w:p w14:paraId="044F172B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(0.32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69387FCC" w14:textId="3DAC7D99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-2.62</w:t>
            </w:r>
          </w:p>
          <w:p w14:paraId="378B9146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(1.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14:paraId="0050EDF2" w14:textId="3B9BB7D0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</w:t>
            </w:r>
            <w:r w:rsidR="00DB0000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BC50347" w14:textId="4C9ADF18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(0.2</w:t>
            </w:r>
            <w:r w:rsidR="00DB0000">
              <w:rPr>
                <w:rFonts w:ascii="Times New Roman" w:hAnsi="Times New Roman"/>
                <w:sz w:val="20"/>
                <w:szCs w:val="20"/>
              </w:rPr>
              <w:t>8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101B94A3" w14:textId="7827DFC1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B000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B0000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14:paraId="0D21EAEA" w14:textId="63A36E4F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(1.</w:t>
            </w:r>
            <w:r w:rsidR="00DB0000">
              <w:rPr>
                <w:rFonts w:ascii="Times New Roman" w:hAnsi="Times New Roman"/>
                <w:sz w:val="20"/>
                <w:szCs w:val="20"/>
              </w:rPr>
              <w:t>08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5AC5" w14:paraId="15D3F164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012B1DC7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KL Loss Probability Sq.</w:t>
            </w:r>
          </w:p>
        </w:tc>
        <w:tc>
          <w:tcPr>
            <w:tcW w:w="1117" w:type="dxa"/>
          </w:tcPr>
          <w:p w14:paraId="6E21FBE2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28C90DD5" w14:textId="2EA5091D" w:rsidR="001B5AC5" w:rsidRPr="00E77DF3" w:rsidRDefault="00DB0000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5AC5" w:rsidRPr="00E77DF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14:paraId="442465A4" w14:textId="62AA58E3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</w:t>
            </w:r>
            <w:r w:rsidR="00DB0000">
              <w:rPr>
                <w:rFonts w:ascii="Times New Roman" w:hAnsi="Times New Roman"/>
                <w:sz w:val="20"/>
                <w:szCs w:val="20"/>
              </w:rPr>
              <w:t>1.72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14:paraId="435C266F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13B52B5" w14:textId="693D4723" w:rsidR="001B5AC5" w:rsidRPr="00E77DF3" w:rsidRDefault="00DB0000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-0.15</w:t>
            </w:r>
          </w:p>
          <w:p w14:paraId="1BE0B030" w14:textId="1E1A98B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(1.</w:t>
            </w:r>
            <w:r w:rsidR="00DB0000">
              <w:rPr>
                <w:rFonts w:ascii="Times New Roman" w:hAnsi="Times New Roman"/>
                <w:sz w:val="20"/>
                <w:szCs w:val="20"/>
              </w:rPr>
              <w:t>44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5AC5" w14:paraId="0AEC483A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7EE03588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Balanced Budget Rule</w:t>
            </w:r>
          </w:p>
        </w:tc>
        <w:tc>
          <w:tcPr>
            <w:tcW w:w="1117" w:type="dxa"/>
          </w:tcPr>
          <w:p w14:paraId="7A72A90D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</w:t>
            </w:r>
          </w:p>
          <w:p w14:paraId="1BCC414D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(0.45)</w:t>
            </w:r>
          </w:p>
        </w:tc>
        <w:tc>
          <w:tcPr>
            <w:tcW w:w="994" w:type="dxa"/>
          </w:tcPr>
          <w:p w14:paraId="05F1D7E8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</w:t>
            </w:r>
          </w:p>
          <w:p w14:paraId="29F483D9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(0.46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14:paraId="2472E7E3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</w:t>
            </w:r>
          </w:p>
          <w:p w14:paraId="6736B0F3" w14:textId="1D6AA229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(0.4</w:t>
            </w:r>
            <w:r w:rsidR="00DB0000">
              <w:rPr>
                <w:rFonts w:ascii="Times New Roman" w:hAnsi="Times New Roman"/>
                <w:sz w:val="20"/>
                <w:szCs w:val="20"/>
              </w:rPr>
              <w:t>6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382F510A" w14:textId="6832A062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 w:rsidR="00DB000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A44C2A7" w14:textId="6FEBDA70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(0.4</w:t>
            </w:r>
            <w:r w:rsidR="00DB0000">
              <w:rPr>
                <w:rFonts w:ascii="Times New Roman" w:hAnsi="Times New Roman"/>
                <w:sz w:val="20"/>
                <w:szCs w:val="20"/>
              </w:rPr>
              <w:t>6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5AC5" w14:paraId="7FBCFAA8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259B9E75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Debt Rule</w:t>
            </w:r>
          </w:p>
        </w:tc>
        <w:tc>
          <w:tcPr>
            <w:tcW w:w="1117" w:type="dxa"/>
          </w:tcPr>
          <w:p w14:paraId="5E1AA99F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-0.36</w:t>
            </w:r>
          </w:p>
          <w:p w14:paraId="3FEA1EAA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(0.51)</w:t>
            </w:r>
          </w:p>
        </w:tc>
        <w:tc>
          <w:tcPr>
            <w:tcW w:w="994" w:type="dxa"/>
          </w:tcPr>
          <w:p w14:paraId="13A73ACC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-0.31</w:t>
            </w:r>
          </w:p>
          <w:p w14:paraId="11877230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(0.51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14:paraId="14345942" w14:textId="56D7F152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</w:t>
            </w:r>
            <w:r w:rsidR="00DB00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750E6D5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(0.51)</w:t>
            </w:r>
          </w:p>
        </w:tc>
        <w:tc>
          <w:tcPr>
            <w:tcW w:w="994" w:type="dxa"/>
          </w:tcPr>
          <w:p w14:paraId="35B45983" w14:textId="1B257453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</w:t>
            </w:r>
            <w:r w:rsidR="00DB00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62DAD227" w14:textId="68DEAD0B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(0.5</w:t>
            </w:r>
            <w:r w:rsidR="00DB0000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1B5AC5" w14:paraId="6819CBDA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0FE8ECBB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Right Executive</w:t>
            </w:r>
          </w:p>
        </w:tc>
        <w:tc>
          <w:tcPr>
            <w:tcW w:w="1117" w:type="dxa"/>
          </w:tcPr>
          <w:p w14:paraId="75CE7269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0.38</w:t>
            </w:r>
          </w:p>
          <w:p w14:paraId="0C0813FE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(0.35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2CF3B5D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</w:t>
            </w:r>
          </w:p>
          <w:p w14:paraId="1C93C649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(0.35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14:paraId="6C2A9571" w14:textId="007FFFD8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</w:t>
            </w:r>
            <w:r w:rsidR="00DB0000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14:paraId="38B3EF5C" w14:textId="5CDD9EE1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(0.3</w:t>
            </w:r>
            <w:r w:rsidR="00DB0000">
              <w:rPr>
                <w:rFonts w:ascii="Times New Roman" w:hAnsi="Times New Roman"/>
                <w:sz w:val="20"/>
                <w:szCs w:val="20"/>
              </w:rPr>
              <w:t>4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69F2780F" w14:textId="4DFB4F0E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  <w:r w:rsidR="00DB00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15F4B6E9" w14:textId="50BBBD99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(0.3</w:t>
            </w:r>
            <w:r w:rsidR="00DB0000">
              <w:rPr>
                <w:rFonts w:ascii="Times New Roman" w:hAnsi="Times New Roman"/>
                <w:sz w:val="20"/>
                <w:szCs w:val="20"/>
              </w:rPr>
              <w:t>4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5AC5" w14:paraId="79E5DC72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40AE67C7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Left Executive</w:t>
            </w:r>
          </w:p>
        </w:tc>
        <w:tc>
          <w:tcPr>
            <w:tcW w:w="1117" w:type="dxa"/>
          </w:tcPr>
          <w:p w14:paraId="7DD00140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FCCEACA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(0.53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635808A5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</w:t>
            </w:r>
          </w:p>
          <w:p w14:paraId="435083CC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(0.52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14:paraId="02DD0B7F" w14:textId="02AEFE2C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4</w:t>
            </w:r>
            <w:r w:rsidR="00DB000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50EA734" w14:textId="0EA9CC2F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(0.5</w:t>
            </w:r>
            <w:r w:rsidR="00DB0000">
              <w:rPr>
                <w:rFonts w:ascii="Times New Roman" w:hAnsi="Times New Roman"/>
                <w:sz w:val="20"/>
                <w:szCs w:val="20"/>
              </w:rPr>
              <w:t>1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4E316C34" w14:textId="1B766155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  <w:r w:rsidR="00DB000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910F077" w14:textId="70B478CF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(0.5</w:t>
            </w:r>
            <w:r w:rsidR="00DB0000">
              <w:rPr>
                <w:rFonts w:ascii="Times New Roman" w:hAnsi="Times New Roman"/>
                <w:sz w:val="20"/>
                <w:szCs w:val="20"/>
              </w:rPr>
              <w:t>1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5AC5" w14:paraId="0D359D29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0246EBBE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Executive/Opposition Ideology</w:t>
            </w:r>
          </w:p>
        </w:tc>
        <w:tc>
          <w:tcPr>
            <w:tcW w:w="1117" w:type="dxa"/>
          </w:tcPr>
          <w:p w14:paraId="75CE81E8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</w:t>
            </w:r>
          </w:p>
          <w:p w14:paraId="0E5A8FBB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(0.13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4348B972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</w:t>
            </w:r>
          </w:p>
          <w:p w14:paraId="57FF3350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(0.13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</w:tcPr>
          <w:p w14:paraId="7460694A" w14:textId="47C78EB5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  <w:r w:rsidR="00DB000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31B424EF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(0.13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66F9B1C6" w14:textId="0A122129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  <w:r w:rsidR="00DB000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425E7AD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(0.13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5AC5" w14:paraId="1E2A488C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bottom w:val="single" w:sz="4" w:space="0" w:color="auto"/>
            </w:tcBorders>
          </w:tcPr>
          <w:p w14:paraId="5CDAE20B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Constant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41EAA05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-1.13</w:t>
            </w:r>
          </w:p>
          <w:p w14:paraId="376D5C7B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(0.84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7981AC4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-1.17</w:t>
            </w:r>
          </w:p>
          <w:p w14:paraId="7EBB1893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(0.84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6AAAB81C" w14:textId="2706CA66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-1.1</w:t>
            </w:r>
            <w:r w:rsidR="00DB00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265FBFD" w14:textId="49EF3DC5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(0.8</w:t>
            </w:r>
            <w:r w:rsidR="00DB0000">
              <w:rPr>
                <w:rFonts w:ascii="Times New Roman" w:hAnsi="Times New Roman"/>
                <w:sz w:val="20"/>
                <w:szCs w:val="20"/>
              </w:rPr>
              <w:t>3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D80EF61" w14:textId="7F0115D3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-1.1</w:t>
            </w:r>
            <w:r w:rsidR="00DB000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66C273E" w14:textId="73F0AA26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(0.8</w:t>
            </w:r>
            <w:r w:rsidR="00DB0000">
              <w:rPr>
                <w:rFonts w:ascii="Times New Roman" w:hAnsi="Times New Roman"/>
                <w:sz w:val="20"/>
                <w:szCs w:val="20"/>
              </w:rPr>
              <w:t>3</w:t>
            </w:r>
            <w:r w:rsidRPr="00E77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B5AC5" w14:paraId="15610A46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</w:tcBorders>
          </w:tcPr>
          <w:p w14:paraId="572DE039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Countries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15FFE1D9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487EDF8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3DC0F60C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2EABF19E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B5AC5" w14:paraId="50AE7D67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bottom w:val="single" w:sz="4" w:space="0" w:color="auto"/>
            </w:tcBorders>
          </w:tcPr>
          <w:p w14:paraId="46D3EB08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Observations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AEC764F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C839DD2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104A7B6D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146DBB13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</w:tr>
      <w:tr w:rsidR="001B5AC5" w14:paraId="31B128E4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</w:tcBorders>
          </w:tcPr>
          <w:p w14:paraId="510DA66B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E77DF3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E77DF3">
              <w:rPr>
                <w:rFonts w:ascii="Times New Roman" w:hAnsi="Times New Roman"/>
                <w:bCs/>
                <w:i w:val="0"/>
                <w:sz w:val="20"/>
                <w:szCs w:val="20"/>
              </w:rPr>
              <w:t>within</w:t>
            </w: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13B63416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FF8E1F8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1A01C6DB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5136784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</w:tr>
      <w:tr w:rsidR="001B5AC5" w14:paraId="53494D2B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</w:tcPr>
          <w:p w14:paraId="747A7849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E77DF3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E77DF3">
              <w:rPr>
                <w:rFonts w:ascii="Times New Roman" w:hAnsi="Times New Roman"/>
                <w:bCs/>
                <w:i w:val="0"/>
                <w:sz w:val="20"/>
                <w:szCs w:val="20"/>
              </w:rPr>
              <w:t>between</w:t>
            </w: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17" w:type="dxa"/>
          </w:tcPr>
          <w:p w14:paraId="196570F9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994" w:type="dxa"/>
          </w:tcPr>
          <w:p w14:paraId="63ABBC06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040" w:type="dxa"/>
          </w:tcPr>
          <w:p w14:paraId="4E591B87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994" w:type="dxa"/>
          </w:tcPr>
          <w:p w14:paraId="4B81F2B8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</w:t>
            </w:r>
          </w:p>
        </w:tc>
      </w:tr>
      <w:tr w:rsidR="001B5AC5" w14:paraId="520A5BCB" w14:textId="77777777" w:rsidTr="001B5A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bottom w:val="single" w:sz="4" w:space="0" w:color="auto"/>
            </w:tcBorders>
          </w:tcPr>
          <w:p w14:paraId="3E2239AC" w14:textId="77777777" w:rsidR="001B5AC5" w:rsidRPr="00E77DF3" w:rsidRDefault="001B5AC5" w:rsidP="001574A7">
            <w:pPr>
              <w:spacing w:after="0" w:line="240" w:lineRule="auto"/>
              <w:ind w:left="144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Pr="00E77DF3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E77DF3">
              <w:rPr>
                <w:rFonts w:ascii="Times New Roman" w:hAnsi="Times New Roman"/>
                <w:bCs/>
                <w:i w:val="0"/>
                <w:sz w:val="20"/>
                <w:szCs w:val="20"/>
              </w:rPr>
              <w:t>overall</w:t>
            </w:r>
            <w:r w:rsidRPr="00E77DF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20B472A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5B5DB4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77DF3"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6CA9A4B4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2087E6" w14:textId="77777777" w:rsidR="001B5AC5" w:rsidRPr="00E77DF3" w:rsidRDefault="001B5AC5" w:rsidP="001574A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</w:t>
            </w:r>
          </w:p>
        </w:tc>
      </w:tr>
    </w:tbl>
    <w:p w14:paraId="72706165" w14:textId="77777777" w:rsidR="009A5A91" w:rsidRPr="00D83DFE" w:rsidRDefault="001B5AC5" w:rsidP="00D83DFE">
      <w:pPr>
        <w:spacing w:after="0" w:line="48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9A5A91">
        <w:rPr>
          <w:rFonts w:ascii="Times New Roman" w:hAnsi="Times New Roman"/>
          <w:sz w:val="20"/>
          <w:szCs w:val="20"/>
        </w:rPr>
        <w:t xml:space="preserve">  </w:t>
      </w:r>
      <w:r w:rsidR="009A5A91" w:rsidRPr="00876B30">
        <w:rPr>
          <w:rFonts w:ascii="Times New Roman" w:eastAsia="Times New Roman" w:hAnsi="Times New Roman"/>
          <w:sz w:val="18"/>
          <w:szCs w:val="18"/>
        </w:rPr>
        <w:t xml:space="preserve">  *- p&lt;0.10; ** - p&lt;.05; ***p&lt;0.01</w:t>
      </w:r>
    </w:p>
    <w:p w14:paraId="5C555A0C" w14:textId="77777777" w:rsidR="009A5A91" w:rsidRDefault="009A5A91" w:rsidP="009A5A91">
      <w:pPr>
        <w:spacing w:after="12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Appendix B</w:t>
      </w:r>
    </w:p>
    <w:p w14:paraId="516C7006" w14:textId="77777777" w:rsidR="009A5A91" w:rsidRPr="00E743BA" w:rsidRDefault="009A5A91" w:rsidP="009A5A91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E743BA">
        <w:rPr>
          <w:rFonts w:ascii="Times New Roman" w:hAnsi="Times New Roman"/>
          <w:sz w:val="24"/>
          <w:szCs w:val="24"/>
        </w:rPr>
        <w:t>Summary Statistics</w:t>
      </w: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6A0" w:firstRow="1" w:lastRow="0" w:firstColumn="1" w:lastColumn="0" w:noHBand="1" w:noVBand="1"/>
      </w:tblPr>
      <w:tblGrid>
        <w:gridCol w:w="3417"/>
        <w:gridCol w:w="1083"/>
        <w:gridCol w:w="1080"/>
        <w:gridCol w:w="1260"/>
        <w:gridCol w:w="2520"/>
      </w:tblGrid>
      <w:tr w:rsidR="009A5A91" w:rsidRPr="00C35463" w14:paraId="7903F422" w14:textId="77777777" w:rsidTr="001574A7">
        <w:tc>
          <w:tcPr>
            <w:tcW w:w="341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128513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</w:rPr>
            </w:pPr>
            <w:r w:rsidRPr="00E743BA">
              <w:rPr>
                <w:rFonts w:ascii="Times New Roman" w:hAnsi="Times New Roman"/>
                <w:b/>
                <w:bCs/>
              </w:rPr>
              <w:t>Variable</w:t>
            </w:r>
          </w:p>
        </w:tc>
        <w:tc>
          <w:tcPr>
            <w:tcW w:w="10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87FD27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</w:rPr>
            </w:pPr>
            <w:r w:rsidRPr="00E743BA">
              <w:rPr>
                <w:rFonts w:ascii="Times New Roman" w:hAnsi="Times New Roman"/>
                <w:b/>
                <w:bCs/>
              </w:rPr>
              <w:t>Mean</w:t>
            </w:r>
          </w:p>
          <w:p w14:paraId="41076D14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</w:rPr>
            </w:pPr>
            <w:r w:rsidRPr="00E743BA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E743BA">
              <w:rPr>
                <w:rFonts w:ascii="Times New Roman" w:hAnsi="Times New Roman"/>
                <w:b/>
                <w:bCs/>
              </w:rPr>
              <w:t>s.d.</w:t>
            </w:r>
            <w:proofErr w:type="spellEnd"/>
            <w:r w:rsidRPr="00E743B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4F05CAD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</w:rPr>
            </w:pPr>
            <w:r w:rsidRPr="00E743BA">
              <w:rPr>
                <w:rFonts w:ascii="Times New Roman" w:hAnsi="Times New Roman"/>
                <w:b/>
                <w:bCs/>
              </w:rPr>
              <w:t>Min.</w:t>
            </w:r>
          </w:p>
        </w:tc>
        <w:tc>
          <w:tcPr>
            <w:tcW w:w="126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4202C78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b/>
                <w:bCs/>
              </w:rPr>
            </w:pPr>
            <w:r w:rsidRPr="00E743BA">
              <w:rPr>
                <w:rFonts w:ascii="Times New Roman" w:hAnsi="Times New Roman"/>
                <w:b/>
                <w:bCs/>
              </w:rPr>
              <w:t>Max.</w:t>
            </w:r>
          </w:p>
        </w:tc>
        <w:tc>
          <w:tcPr>
            <w:tcW w:w="25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156C659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/>
                <w:bCs/>
              </w:rPr>
            </w:pPr>
            <w:r w:rsidRPr="00E743BA">
              <w:rPr>
                <w:rFonts w:ascii="Times New Roman" w:hAnsi="Times New Roman"/>
                <w:b/>
                <w:bCs/>
              </w:rPr>
              <w:t>Source</w:t>
            </w:r>
          </w:p>
        </w:tc>
      </w:tr>
      <w:tr w:rsidR="009A5A91" w:rsidRPr="00E743BA" w14:paraId="0726CBBB" w14:textId="77777777" w:rsidTr="001574A7">
        <w:tc>
          <w:tcPr>
            <w:tcW w:w="3417" w:type="dxa"/>
            <w:shd w:val="clear" w:color="auto" w:fill="auto"/>
          </w:tcPr>
          <w:p w14:paraId="27B9B836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Consolidated Central Government Surplus/Deficit (%GDP) *</w:t>
            </w:r>
          </w:p>
        </w:tc>
        <w:tc>
          <w:tcPr>
            <w:tcW w:w="1083" w:type="dxa"/>
            <w:shd w:val="clear" w:color="auto" w:fill="auto"/>
          </w:tcPr>
          <w:p w14:paraId="1ADCB860" w14:textId="0F479AD2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-1.3</w:t>
            </w:r>
            <w:r w:rsidR="009757D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2099FCAA" w14:textId="4CA3E14D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(4.7</w:t>
            </w:r>
            <w:r w:rsidR="009757DE">
              <w:rPr>
                <w:rFonts w:ascii="Times New Roman" w:hAnsi="Times New Roman"/>
                <w:sz w:val="20"/>
                <w:szCs w:val="20"/>
              </w:rPr>
              <w:t>0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E7ECBAA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-33.9</w:t>
            </w:r>
          </w:p>
        </w:tc>
        <w:tc>
          <w:tcPr>
            <w:tcW w:w="1260" w:type="dxa"/>
            <w:shd w:val="clear" w:color="auto" w:fill="auto"/>
          </w:tcPr>
          <w:p w14:paraId="715824A7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48.7</w:t>
            </w:r>
          </w:p>
        </w:tc>
        <w:tc>
          <w:tcPr>
            <w:tcW w:w="2520" w:type="dxa"/>
            <w:shd w:val="clear" w:color="auto" w:fill="auto"/>
          </w:tcPr>
          <w:p w14:paraId="5D830A16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 xml:space="preserve">IMF GFSY </w:t>
            </w:r>
            <w:r w:rsidRPr="00E743B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a</w:t>
            </w: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 xml:space="preserve"> &amp; IMF IFS </w:t>
            </w:r>
            <w:r w:rsidRPr="00E743B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b</w:t>
            </w:r>
          </w:p>
        </w:tc>
      </w:tr>
      <w:tr w:rsidR="009A5A91" w:rsidRPr="00E743BA" w14:paraId="35194441" w14:textId="77777777" w:rsidTr="001574A7">
        <w:tc>
          <w:tcPr>
            <w:tcW w:w="3417" w:type="dxa"/>
            <w:shd w:val="clear" w:color="auto" w:fill="auto"/>
          </w:tcPr>
          <w:p w14:paraId="76628153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GDP Growth</w:t>
            </w:r>
          </w:p>
        </w:tc>
        <w:tc>
          <w:tcPr>
            <w:tcW w:w="1083" w:type="dxa"/>
            <w:shd w:val="clear" w:color="auto" w:fill="auto"/>
          </w:tcPr>
          <w:p w14:paraId="3C08366D" w14:textId="1DD576F5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3.7</w:t>
            </w:r>
            <w:r w:rsidR="009757D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21CD562" w14:textId="662946F5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</w:t>
            </w:r>
            <w:r w:rsidR="009757DE">
              <w:rPr>
                <w:rFonts w:ascii="Times New Roman" w:hAnsi="Times New Roman"/>
                <w:sz w:val="20"/>
                <w:szCs w:val="20"/>
              </w:rPr>
              <w:t>4.03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732C5A7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-14.8</w:t>
            </w:r>
          </w:p>
        </w:tc>
        <w:tc>
          <w:tcPr>
            <w:tcW w:w="1260" w:type="dxa"/>
            <w:shd w:val="clear" w:color="auto" w:fill="auto"/>
          </w:tcPr>
          <w:p w14:paraId="01D5623A" w14:textId="7CF5DED8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3</w:t>
            </w:r>
            <w:r w:rsidR="009757DE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2520" w:type="dxa"/>
            <w:shd w:val="clear" w:color="auto" w:fill="auto"/>
          </w:tcPr>
          <w:p w14:paraId="7225F447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IMF IFS</w:t>
            </w:r>
          </w:p>
        </w:tc>
      </w:tr>
      <w:tr w:rsidR="009A5A91" w:rsidRPr="00E743BA" w14:paraId="498D6F96" w14:textId="77777777" w:rsidTr="001574A7">
        <w:tc>
          <w:tcPr>
            <w:tcW w:w="3417" w:type="dxa"/>
            <w:shd w:val="clear" w:color="auto" w:fill="auto"/>
          </w:tcPr>
          <w:p w14:paraId="255C30C8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ln Inflation (CPI)</w:t>
            </w:r>
          </w:p>
        </w:tc>
        <w:tc>
          <w:tcPr>
            <w:tcW w:w="1083" w:type="dxa"/>
            <w:shd w:val="clear" w:color="auto" w:fill="auto"/>
          </w:tcPr>
          <w:p w14:paraId="5CC820DA" w14:textId="787BE3C4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1.5</w:t>
            </w:r>
            <w:r w:rsidR="009757D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04A12DE1" w14:textId="2EDEF7E5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(1.1</w:t>
            </w:r>
            <w:r w:rsidR="009757DE">
              <w:rPr>
                <w:rFonts w:ascii="Times New Roman" w:hAnsi="Times New Roman"/>
                <w:sz w:val="20"/>
                <w:szCs w:val="20"/>
              </w:rPr>
              <w:t>7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669CCAF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-4.1</w:t>
            </w:r>
          </w:p>
        </w:tc>
        <w:tc>
          <w:tcPr>
            <w:tcW w:w="1260" w:type="dxa"/>
            <w:shd w:val="clear" w:color="auto" w:fill="auto"/>
          </w:tcPr>
          <w:p w14:paraId="13DE150B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2520" w:type="dxa"/>
            <w:shd w:val="clear" w:color="auto" w:fill="auto"/>
          </w:tcPr>
          <w:p w14:paraId="49D9F4B4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 xml:space="preserve">WB-WDI </w:t>
            </w:r>
            <w:r w:rsidRPr="00E743B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c</w:t>
            </w:r>
          </w:p>
        </w:tc>
      </w:tr>
      <w:tr w:rsidR="009A5A91" w:rsidRPr="00E743BA" w14:paraId="32974F96" w14:textId="77777777" w:rsidTr="001574A7">
        <w:tc>
          <w:tcPr>
            <w:tcW w:w="3417" w:type="dxa"/>
            <w:shd w:val="clear" w:color="auto" w:fill="auto"/>
          </w:tcPr>
          <w:p w14:paraId="51FEB14C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Unemployment (annual rate)</w:t>
            </w:r>
          </w:p>
        </w:tc>
        <w:tc>
          <w:tcPr>
            <w:tcW w:w="1083" w:type="dxa"/>
            <w:shd w:val="clear" w:color="auto" w:fill="auto"/>
          </w:tcPr>
          <w:p w14:paraId="32E4885A" w14:textId="2AAD98BB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8.</w:t>
            </w:r>
            <w:r w:rsidR="009757DE">
              <w:rPr>
                <w:rFonts w:ascii="Times New Roman" w:hAnsi="Times New Roman"/>
                <w:sz w:val="20"/>
                <w:szCs w:val="20"/>
              </w:rPr>
              <w:t>3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44FB313" w14:textId="14AFB104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(5.</w:t>
            </w:r>
            <w:r w:rsidR="009757DE">
              <w:rPr>
                <w:rFonts w:ascii="Times New Roman" w:hAnsi="Times New Roman"/>
                <w:sz w:val="20"/>
                <w:szCs w:val="20"/>
              </w:rPr>
              <w:t>63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095933C" w14:textId="10AAC65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</w:t>
            </w:r>
            <w:r w:rsidR="009757D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053E022C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38.6</w:t>
            </w:r>
          </w:p>
        </w:tc>
        <w:tc>
          <w:tcPr>
            <w:tcW w:w="2520" w:type="dxa"/>
            <w:shd w:val="clear" w:color="auto" w:fill="auto"/>
          </w:tcPr>
          <w:p w14:paraId="36E60D41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IMF-IFS</w:t>
            </w:r>
          </w:p>
        </w:tc>
      </w:tr>
      <w:tr w:rsidR="009A5A91" w:rsidRPr="00E743BA" w14:paraId="78007E48" w14:textId="77777777" w:rsidTr="001574A7">
        <w:tc>
          <w:tcPr>
            <w:tcW w:w="3417" w:type="dxa"/>
            <w:shd w:val="clear" w:color="auto" w:fill="auto"/>
          </w:tcPr>
          <w:p w14:paraId="71D50754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Real Interest Rate</w:t>
            </w:r>
          </w:p>
        </w:tc>
        <w:tc>
          <w:tcPr>
            <w:tcW w:w="1083" w:type="dxa"/>
            <w:shd w:val="clear" w:color="auto" w:fill="auto"/>
          </w:tcPr>
          <w:p w14:paraId="1487198E" w14:textId="68B0029F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6.</w:t>
            </w:r>
            <w:r w:rsidR="009757DE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1DEC0FC4" w14:textId="14B21446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(1</w:t>
            </w:r>
            <w:r w:rsidR="009757DE">
              <w:rPr>
                <w:rFonts w:ascii="Times New Roman" w:hAnsi="Times New Roman"/>
                <w:sz w:val="20"/>
                <w:szCs w:val="20"/>
              </w:rPr>
              <w:t>2.20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4258801" w14:textId="382A4F43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-</w:t>
            </w:r>
            <w:r w:rsidR="009757DE">
              <w:rPr>
                <w:rFonts w:ascii="Times New Roman" w:hAnsi="Times New Roman"/>
                <w:sz w:val="20"/>
                <w:szCs w:val="20"/>
              </w:rPr>
              <w:t>87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.</w:t>
            </w:r>
            <w:r w:rsidR="009757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2EDF51E0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130.8</w:t>
            </w:r>
          </w:p>
        </w:tc>
        <w:tc>
          <w:tcPr>
            <w:tcW w:w="2520" w:type="dxa"/>
            <w:shd w:val="clear" w:color="auto" w:fill="auto"/>
          </w:tcPr>
          <w:p w14:paraId="4854CB1A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WB-WDI</w:t>
            </w:r>
          </w:p>
        </w:tc>
      </w:tr>
      <w:tr w:rsidR="009A5A91" w:rsidRPr="00E743BA" w14:paraId="3F3F9635" w14:textId="77777777" w:rsidTr="001574A7">
        <w:tc>
          <w:tcPr>
            <w:tcW w:w="3417" w:type="dxa"/>
            <w:shd w:val="clear" w:color="auto" w:fill="auto"/>
          </w:tcPr>
          <w:p w14:paraId="45F98831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Political Polarization *</w:t>
            </w:r>
          </w:p>
        </w:tc>
        <w:tc>
          <w:tcPr>
            <w:tcW w:w="1083" w:type="dxa"/>
            <w:shd w:val="clear" w:color="auto" w:fill="auto"/>
          </w:tcPr>
          <w:p w14:paraId="10EA9958" w14:textId="1DED1B3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0.6</w:t>
            </w:r>
            <w:r w:rsidR="009757D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3097AC5" w14:textId="3F79501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(0.9</w:t>
            </w:r>
            <w:r w:rsidR="009757DE">
              <w:rPr>
                <w:rFonts w:ascii="Times New Roman" w:hAnsi="Times New Roman"/>
                <w:sz w:val="20"/>
                <w:szCs w:val="20"/>
              </w:rPr>
              <w:t>4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DB79B13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7C51AFE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1FA95C1D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 xml:space="preserve">DPI </w:t>
            </w:r>
            <w:r w:rsidRPr="00E743B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d</w:t>
            </w:r>
          </w:p>
        </w:tc>
      </w:tr>
      <w:tr w:rsidR="009A5A91" w:rsidRPr="00E743BA" w14:paraId="465B2AAA" w14:textId="77777777" w:rsidTr="001574A7">
        <w:tc>
          <w:tcPr>
            <w:tcW w:w="3417" w:type="dxa"/>
            <w:shd w:val="clear" w:color="auto" w:fill="auto"/>
          </w:tcPr>
          <w:p w14:paraId="057248A6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Parties in Government *</w:t>
            </w:r>
          </w:p>
        </w:tc>
        <w:tc>
          <w:tcPr>
            <w:tcW w:w="1083" w:type="dxa"/>
            <w:shd w:val="clear" w:color="auto" w:fill="auto"/>
          </w:tcPr>
          <w:p w14:paraId="0C59B02C" w14:textId="4BD77019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1.</w:t>
            </w:r>
            <w:r w:rsidR="009757DE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14:paraId="67C82D5F" w14:textId="2DF6EA42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(1.</w:t>
            </w:r>
            <w:r w:rsidR="009757DE">
              <w:rPr>
                <w:rFonts w:ascii="Times New Roman" w:hAnsi="Times New Roman"/>
                <w:sz w:val="20"/>
                <w:szCs w:val="20"/>
              </w:rPr>
              <w:t>77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58187DB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5459714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14:paraId="69C1AEC8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DPI</w:t>
            </w:r>
          </w:p>
        </w:tc>
      </w:tr>
      <w:tr w:rsidR="009A5A91" w:rsidRPr="00E743BA" w14:paraId="017315C3" w14:textId="77777777" w:rsidTr="001574A7">
        <w:tc>
          <w:tcPr>
            <w:tcW w:w="3417" w:type="dxa"/>
            <w:shd w:val="clear" w:color="auto" w:fill="auto"/>
          </w:tcPr>
          <w:p w14:paraId="328086D6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Executive Election </w:t>
            </w:r>
            <w:r w:rsidRPr="00E743BA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</w:rPr>
              <w:t>e</w:t>
            </w: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14:paraId="07C199BC" w14:textId="4708EA08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0.2</w:t>
            </w:r>
            <w:r w:rsidR="009757D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9337A8B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(0.44)</w:t>
            </w:r>
          </w:p>
        </w:tc>
        <w:tc>
          <w:tcPr>
            <w:tcW w:w="1080" w:type="dxa"/>
            <w:shd w:val="clear" w:color="auto" w:fill="auto"/>
          </w:tcPr>
          <w:p w14:paraId="36F0F7A5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555943EA" w14:textId="77777777" w:rsidR="009A5A91" w:rsidRPr="00E743BA" w:rsidRDefault="009A5A91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5C8F5314" w14:textId="77777777" w:rsidR="009A5A91" w:rsidRPr="00E743BA" w:rsidRDefault="009A5A91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DPI</w:t>
            </w:r>
          </w:p>
        </w:tc>
      </w:tr>
      <w:tr w:rsidR="009757DE" w:rsidRPr="00E743BA" w14:paraId="0F531343" w14:textId="77777777" w:rsidTr="001574A7">
        <w:tc>
          <w:tcPr>
            <w:tcW w:w="3417" w:type="dxa"/>
            <w:shd w:val="clear" w:color="auto" w:fill="auto"/>
          </w:tcPr>
          <w:p w14:paraId="3716981B" w14:textId="550A4416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Right Executive </w:t>
            </w:r>
          </w:p>
        </w:tc>
        <w:tc>
          <w:tcPr>
            <w:tcW w:w="1083" w:type="dxa"/>
            <w:shd w:val="clear" w:color="auto" w:fill="auto"/>
          </w:tcPr>
          <w:p w14:paraId="6A27B96C" w14:textId="000DD154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0.3</w:t>
            </w:r>
            <w:r w:rsidR="00CE63D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8E8EA31" w14:textId="624195BA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(0.4</w:t>
            </w:r>
            <w:r w:rsidR="00CE63D7">
              <w:rPr>
                <w:rFonts w:ascii="Times New Roman" w:hAnsi="Times New Roman"/>
                <w:sz w:val="20"/>
                <w:szCs w:val="20"/>
              </w:rPr>
              <w:t>7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A6D2FBF" w14:textId="577CE48F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9CD72FA" w14:textId="100754FD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9C0AA54" w14:textId="297DB10E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DPI</w:t>
            </w:r>
          </w:p>
        </w:tc>
      </w:tr>
      <w:tr w:rsidR="009757DE" w:rsidRPr="00E743BA" w14:paraId="52FFFFCE" w14:textId="77777777" w:rsidTr="001574A7">
        <w:tc>
          <w:tcPr>
            <w:tcW w:w="3417" w:type="dxa"/>
            <w:shd w:val="clear" w:color="auto" w:fill="auto"/>
          </w:tcPr>
          <w:p w14:paraId="0116B468" w14:textId="11E22712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Left Executive</w:t>
            </w:r>
          </w:p>
        </w:tc>
        <w:tc>
          <w:tcPr>
            <w:tcW w:w="1083" w:type="dxa"/>
            <w:shd w:val="clear" w:color="auto" w:fill="auto"/>
          </w:tcPr>
          <w:p w14:paraId="55B47AA3" w14:textId="44CAA70B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0.3</w:t>
            </w:r>
            <w:r w:rsidR="00CE63D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E6F4B3C" w14:textId="4EB910AA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(0.4</w:t>
            </w:r>
            <w:r w:rsidR="00CE63D7">
              <w:rPr>
                <w:rFonts w:ascii="Times New Roman" w:hAnsi="Times New Roman"/>
                <w:sz w:val="20"/>
                <w:szCs w:val="20"/>
              </w:rPr>
              <w:t>7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EA5F152" w14:textId="18B41F19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1F27BD4B" w14:textId="635C94DA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5295AC4E" w14:textId="068301D9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DPI</w:t>
            </w:r>
          </w:p>
        </w:tc>
      </w:tr>
      <w:tr w:rsidR="009757DE" w:rsidRPr="00E743BA" w14:paraId="0A2427A3" w14:textId="77777777" w:rsidTr="001574A7">
        <w:tc>
          <w:tcPr>
            <w:tcW w:w="3417" w:type="dxa"/>
            <w:shd w:val="clear" w:color="auto" w:fill="auto"/>
          </w:tcPr>
          <w:p w14:paraId="42056903" w14:textId="460CB6C0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Executive-opposition ideological distance *</w:t>
            </w:r>
          </w:p>
        </w:tc>
        <w:tc>
          <w:tcPr>
            <w:tcW w:w="1083" w:type="dxa"/>
            <w:shd w:val="clear" w:color="auto" w:fill="auto"/>
          </w:tcPr>
          <w:p w14:paraId="5077BB15" w14:textId="77777777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-0.12</w:t>
            </w:r>
          </w:p>
          <w:p w14:paraId="14C0E13F" w14:textId="1C50F643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(1.80)</w:t>
            </w:r>
          </w:p>
        </w:tc>
        <w:tc>
          <w:tcPr>
            <w:tcW w:w="1080" w:type="dxa"/>
            <w:shd w:val="clear" w:color="auto" w:fill="auto"/>
          </w:tcPr>
          <w:p w14:paraId="468DF212" w14:textId="619165B8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260" w:type="dxa"/>
            <w:shd w:val="clear" w:color="auto" w:fill="auto"/>
          </w:tcPr>
          <w:p w14:paraId="4E8C819E" w14:textId="4AB0C50B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F556582" w14:textId="3641E207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DPI</w:t>
            </w:r>
          </w:p>
        </w:tc>
      </w:tr>
      <w:tr w:rsidR="009757DE" w:rsidRPr="00E743BA" w14:paraId="64C74981" w14:textId="77777777" w:rsidTr="001574A7">
        <w:tc>
          <w:tcPr>
            <w:tcW w:w="3417" w:type="dxa"/>
            <w:shd w:val="clear" w:color="auto" w:fill="auto"/>
          </w:tcPr>
          <w:p w14:paraId="281151FD" w14:textId="5B9E38BD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KL Loss Probability (from KL paper) </w:t>
            </w:r>
            <w:r w:rsidRPr="00E743BA">
              <w:rPr>
                <w:rFonts w:ascii="Times New Roman" w:hAnsi="Times New Roman"/>
                <w:bCs/>
                <w:i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083" w:type="dxa"/>
            <w:shd w:val="clear" w:color="auto" w:fill="auto"/>
          </w:tcPr>
          <w:p w14:paraId="1B997AE6" w14:textId="77777777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0.06</w:t>
            </w:r>
          </w:p>
          <w:p w14:paraId="2D7466AA" w14:textId="6A0C930F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(0.15)</w:t>
            </w:r>
          </w:p>
        </w:tc>
        <w:tc>
          <w:tcPr>
            <w:tcW w:w="1080" w:type="dxa"/>
            <w:shd w:val="clear" w:color="auto" w:fill="auto"/>
          </w:tcPr>
          <w:p w14:paraId="65934F16" w14:textId="67C73C02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5F4DFC32" w14:textId="3C8ED096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2520" w:type="dxa"/>
            <w:shd w:val="clear" w:color="auto" w:fill="auto"/>
          </w:tcPr>
          <w:p w14:paraId="4DD0F802" w14:textId="5EEABBA3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Kayser-Lindstadt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(2015)</w:t>
            </w:r>
          </w:p>
        </w:tc>
      </w:tr>
      <w:tr w:rsidR="009757DE" w:rsidRPr="00E743BA" w14:paraId="71A04D7A" w14:textId="77777777" w:rsidTr="001574A7">
        <w:tc>
          <w:tcPr>
            <w:tcW w:w="3417" w:type="dxa"/>
            <w:shd w:val="clear" w:color="auto" w:fill="auto"/>
          </w:tcPr>
          <w:p w14:paraId="4C5BBF77" w14:textId="5C4251EC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Modified KL Loss Probability (a)*</w:t>
            </w:r>
          </w:p>
        </w:tc>
        <w:tc>
          <w:tcPr>
            <w:tcW w:w="1083" w:type="dxa"/>
            <w:shd w:val="clear" w:color="auto" w:fill="auto"/>
          </w:tcPr>
          <w:p w14:paraId="7B3ECF96" w14:textId="0A6B0025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0.0</w:t>
            </w:r>
            <w:r w:rsidR="00CE63D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35FB7A09" w14:textId="50D70843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(0.1</w:t>
            </w:r>
            <w:r w:rsidR="00CE63D7">
              <w:rPr>
                <w:rFonts w:ascii="Times New Roman" w:hAnsi="Times New Roman"/>
                <w:sz w:val="20"/>
                <w:szCs w:val="20"/>
              </w:rPr>
              <w:t>8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B858E1A" w14:textId="2B9E537E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1DA94554" w14:textId="3B87ACC2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2520" w:type="dxa"/>
            <w:shd w:val="clear" w:color="auto" w:fill="auto"/>
          </w:tcPr>
          <w:p w14:paraId="01D55EBE" w14:textId="6E22B9FE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Coded by author</w:t>
            </w:r>
          </w:p>
        </w:tc>
      </w:tr>
      <w:tr w:rsidR="009757DE" w:rsidRPr="00E743BA" w14:paraId="015DB61A" w14:textId="77777777" w:rsidTr="001574A7">
        <w:tc>
          <w:tcPr>
            <w:tcW w:w="3417" w:type="dxa"/>
            <w:shd w:val="clear" w:color="auto" w:fill="auto"/>
          </w:tcPr>
          <w:p w14:paraId="2DC932D7" w14:textId="30801220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bCs/>
                <w:i/>
                <w:sz w:val="20"/>
                <w:szCs w:val="20"/>
              </w:rPr>
              <w:t>Modified KL Loss Probability (b)*</w:t>
            </w:r>
          </w:p>
        </w:tc>
        <w:tc>
          <w:tcPr>
            <w:tcW w:w="1083" w:type="dxa"/>
            <w:shd w:val="clear" w:color="auto" w:fill="auto"/>
          </w:tcPr>
          <w:p w14:paraId="1CA1B3A4" w14:textId="099AF6A7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0.0</w:t>
            </w:r>
            <w:r w:rsidR="00CE63D7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74BC52CF" w14:textId="74B423AD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(0.</w:t>
            </w:r>
            <w:r w:rsidR="00CE63D7">
              <w:rPr>
                <w:rFonts w:ascii="Times New Roman" w:hAnsi="Times New Roman"/>
                <w:sz w:val="20"/>
                <w:szCs w:val="20"/>
              </w:rPr>
              <w:t>21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7C1C7E8" w14:textId="6E70856B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01F0118" w14:textId="4833545F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2520" w:type="dxa"/>
            <w:shd w:val="clear" w:color="auto" w:fill="auto"/>
          </w:tcPr>
          <w:p w14:paraId="2079F2A0" w14:textId="3C3B2CB6" w:rsidR="009757DE" w:rsidRPr="00E743BA" w:rsidRDefault="009757DE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 w:rsidRPr="00E743BA">
              <w:rPr>
                <w:rFonts w:ascii="Times New Roman" w:hAnsi="Times New Roman"/>
                <w:i/>
                <w:sz w:val="20"/>
                <w:szCs w:val="20"/>
              </w:rPr>
              <w:t>Coded by author</w:t>
            </w:r>
          </w:p>
        </w:tc>
      </w:tr>
      <w:tr w:rsidR="009757DE" w:rsidRPr="00E743BA" w14:paraId="6BE52BBB" w14:textId="77777777" w:rsidTr="001574A7">
        <w:tc>
          <w:tcPr>
            <w:tcW w:w="3417" w:type="dxa"/>
            <w:shd w:val="clear" w:color="auto" w:fill="auto"/>
          </w:tcPr>
          <w:p w14:paraId="031FABFC" w14:textId="6D176A5E" w:rsidR="009757DE" w:rsidRPr="00E743BA" w:rsidRDefault="00CE63D7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Debt Rule</w:t>
            </w:r>
          </w:p>
        </w:tc>
        <w:tc>
          <w:tcPr>
            <w:tcW w:w="1083" w:type="dxa"/>
            <w:shd w:val="clear" w:color="auto" w:fill="auto"/>
          </w:tcPr>
          <w:p w14:paraId="4D994C82" w14:textId="11FDB503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0.</w:t>
            </w:r>
            <w:r w:rsidR="00CE63D7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65B30FA2" w14:textId="435A5C0D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(0.</w:t>
            </w:r>
            <w:r w:rsidR="00CE63D7">
              <w:rPr>
                <w:rFonts w:ascii="Times New Roman" w:hAnsi="Times New Roman"/>
                <w:sz w:val="20"/>
                <w:szCs w:val="20"/>
              </w:rPr>
              <w:t>45</w:t>
            </w:r>
            <w:r w:rsidRPr="00E743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16B95CA" w14:textId="447BB89B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75E3B5A" w14:textId="3504AC48" w:rsidR="009757DE" w:rsidRPr="00E743BA" w:rsidRDefault="009757DE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3517C4C9" w14:textId="7D9EC719" w:rsidR="009757DE" w:rsidRPr="00E743BA" w:rsidRDefault="00CE63D7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IMF</w:t>
            </w:r>
          </w:p>
        </w:tc>
      </w:tr>
      <w:tr w:rsidR="009757DE" w:rsidRPr="00E743BA" w14:paraId="790FE082" w14:textId="77777777" w:rsidTr="001574A7">
        <w:tc>
          <w:tcPr>
            <w:tcW w:w="3417" w:type="dxa"/>
            <w:shd w:val="clear" w:color="auto" w:fill="auto"/>
          </w:tcPr>
          <w:p w14:paraId="51CBA788" w14:textId="4C74D97E" w:rsidR="009757DE" w:rsidRPr="00E743BA" w:rsidRDefault="00CE63D7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Balanced Budget Rule</w:t>
            </w:r>
          </w:p>
        </w:tc>
        <w:tc>
          <w:tcPr>
            <w:tcW w:w="1083" w:type="dxa"/>
            <w:shd w:val="clear" w:color="auto" w:fill="auto"/>
          </w:tcPr>
          <w:p w14:paraId="7918A89B" w14:textId="77777777" w:rsidR="009757DE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</w:t>
            </w:r>
          </w:p>
          <w:p w14:paraId="149128BB" w14:textId="7CE54505" w:rsidR="00CE63D7" w:rsidRPr="00E743BA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(0.48)</w:t>
            </w:r>
          </w:p>
        </w:tc>
        <w:tc>
          <w:tcPr>
            <w:tcW w:w="1080" w:type="dxa"/>
            <w:shd w:val="clear" w:color="auto" w:fill="auto"/>
          </w:tcPr>
          <w:p w14:paraId="1FD43DAA" w14:textId="7C208F34" w:rsidR="009757DE" w:rsidRPr="00E743BA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C4E7149" w14:textId="45FFA9C4" w:rsidR="009757DE" w:rsidRPr="00E743BA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585CBEC8" w14:textId="716EE2CC" w:rsidR="009757DE" w:rsidRPr="00E743BA" w:rsidRDefault="00CE63D7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IMF</w:t>
            </w:r>
          </w:p>
        </w:tc>
      </w:tr>
      <w:tr w:rsidR="00CE63D7" w:rsidRPr="00E743BA" w14:paraId="279B6C5D" w14:textId="77777777" w:rsidTr="001574A7">
        <w:tc>
          <w:tcPr>
            <w:tcW w:w="3417" w:type="dxa"/>
            <w:shd w:val="clear" w:color="auto" w:fill="auto"/>
          </w:tcPr>
          <w:p w14:paraId="75D9480A" w14:textId="77777777" w:rsidR="00CE63D7" w:rsidRPr="00E743BA" w:rsidRDefault="00CE63D7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2BAD951B" w14:textId="77777777" w:rsidR="00CE63D7" w:rsidRPr="00E743BA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3DEED2" w14:textId="77777777" w:rsidR="00CE63D7" w:rsidRPr="00E743BA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BFFC91B" w14:textId="77777777" w:rsidR="00CE63D7" w:rsidRPr="00E743BA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ED2C9FA" w14:textId="77777777" w:rsidR="00CE63D7" w:rsidRPr="00E743BA" w:rsidRDefault="00CE63D7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63D7" w:rsidRPr="00E743BA" w14:paraId="5AFA20AB" w14:textId="77777777" w:rsidTr="001574A7">
        <w:tc>
          <w:tcPr>
            <w:tcW w:w="3417" w:type="dxa"/>
            <w:shd w:val="clear" w:color="auto" w:fill="auto"/>
          </w:tcPr>
          <w:p w14:paraId="6069F84F" w14:textId="77777777" w:rsidR="00CE63D7" w:rsidRPr="00E743BA" w:rsidRDefault="00CE63D7" w:rsidP="001574A7">
            <w:pPr>
              <w:spacing w:after="0" w:line="240" w:lineRule="auto"/>
              <w:ind w:left="14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5C67DC18" w14:textId="77777777" w:rsidR="00CE63D7" w:rsidRPr="00E743BA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773660E" w14:textId="77777777" w:rsidR="00CE63D7" w:rsidRPr="00E743BA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11ED8B0" w14:textId="77777777" w:rsidR="00CE63D7" w:rsidRPr="00E743BA" w:rsidRDefault="00CE63D7" w:rsidP="001574A7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76BBB37" w14:textId="77777777" w:rsidR="00CE63D7" w:rsidRPr="00E743BA" w:rsidRDefault="00CE63D7" w:rsidP="001574A7">
            <w:pPr>
              <w:spacing w:after="0" w:line="240" w:lineRule="auto"/>
              <w:ind w:left="14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7124E3F8" w14:textId="77777777" w:rsidR="009A5A91" w:rsidRPr="00E743BA" w:rsidRDefault="009A5A91" w:rsidP="009A5A91">
      <w:pPr>
        <w:pStyle w:val="ListParagraph"/>
        <w:tabs>
          <w:tab w:val="left" w:pos="2445"/>
        </w:tabs>
        <w:spacing w:line="240" w:lineRule="auto"/>
        <w:ind w:left="144"/>
        <w:rPr>
          <w:rFonts w:ascii="Times New Roman" w:hAnsi="Times New Roman"/>
          <w:sz w:val="18"/>
          <w:szCs w:val="18"/>
        </w:rPr>
      </w:pPr>
      <w:r w:rsidRPr="00E743BA">
        <w:rPr>
          <w:rFonts w:ascii="Times New Roman" w:hAnsi="Times New Roman"/>
          <w:sz w:val="18"/>
          <w:szCs w:val="18"/>
        </w:rPr>
        <w:t xml:space="preserve">* </w:t>
      </w:r>
      <w:proofErr w:type="gramStart"/>
      <w:r w:rsidRPr="00E743BA">
        <w:rPr>
          <w:rFonts w:ascii="Times New Roman" w:hAnsi="Times New Roman"/>
          <w:sz w:val="18"/>
          <w:szCs w:val="18"/>
        </w:rPr>
        <w:t>-  Computed</w:t>
      </w:r>
      <w:proofErr w:type="gramEnd"/>
      <w:r w:rsidRPr="00E743BA">
        <w:rPr>
          <w:rFonts w:ascii="Times New Roman" w:hAnsi="Times New Roman"/>
          <w:sz w:val="18"/>
          <w:szCs w:val="18"/>
        </w:rPr>
        <w:t xml:space="preserve"> from source by author</w:t>
      </w:r>
    </w:p>
    <w:p w14:paraId="2F4A8DF7" w14:textId="77777777" w:rsidR="009A5A91" w:rsidRPr="00E743BA" w:rsidRDefault="009A5A91" w:rsidP="009A5A91">
      <w:pPr>
        <w:pStyle w:val="ListParagraph"/>
        <w:tabs>
          <w:tab w:val="left" w:pos="2445"/>
        </w:tabs>
        <w:spacing w:line="240" w:lineRule="auto"/>
        <w:ind w:left="144"/>
        <w:rPr>
          <w:rFonts w:ascii="Times New Roman" w:hAnsi="Times New Roman"/>
          <w:sz w:val="18"/>
          <w:szCs w:val="18"/>
        </w:rPr>
      </w:pPr>
      <w:r w:rsidRPr="00E743BA">
        <w:rPr>
          <w:rFonts w:ascii="Times New Roman" w:hAnsi="Times New Roman"/>
          <w:sz w:val="18"/>
          <w:szCs w:val="18"/>
        </w:rPr>
        <w:t xml:space="preserve"> </w:t>
      </w:r>
      <w:r w:rsidRPr="00E743BA">
        <w:rPr>
          <w:rFonts w:ascii="Times New Roman" w:hAnsi="Times New Roman"/>
          <w:sz w:val="18"/>
          <w:szCs w:val="18"/>
          <w:vertAlign w:val="superscript"/>
        </w:rPr>
        <w:t>a</w:t>
      </w:r>
      <w:r w:rsidRPr="00E743BA">
        <w:rPr>
          <w:rFonts w:ascii="Times New Roman" w:hAnsi="Times New Roman"/>
          <w:sz w:val="18"/>
          <w:szCs w:val="18"/>
        </w:rPr>
        <w:t xml:space="preserve"> - International Monetary Fund </w:t>
      </w:r>
      <w:r w:rsidRPr="00E743BA">
        <w:rPr>
          <w:rFonts w:ascii="Times New Roman" w:hAnsi="Times New Roman"/>
          <w:i/>
          <w:sz w:val="18"/>
          <w:szCs w:val="18"/>
        </w:rPr>
        <w:t>Government Finance Statistics Yearbook</w:t>
      </w:r>
    </w:p>
    <w:p w14:paraId="5A3513B9" w14:textId="77777777" w:rsidR="009A5A91" w:rsidRPr="00E743BA" w:rsidRDefault="009A5A91" w:rsidP="009A5A91">
      <w:pPr>
        <w:pStyle w:val="ListParagraph"/>
        <w:tabs>
          <w:tab w:val="left" w:pos="2445"/>
        </w:tabs>
        <w:spacing w:line="240" w:lineRule="auto"/>
        <w:ind w:left="144"/>
        <w:rPr>
          <w:rFonts w:ascii="Times New Roman" w:hAnsi="Times New Roman"/>
          <w:i/>
          <w:sz w:val="18"/>
          <w:szCs w:val="18"/>
        </w:rPr>
      </w:pPr>
      <w:r w:rsidRPr="00E743BA">
        <w:rPr>
          <w:rFonts w:ascii="Times New Roman" w:hAnsi="Times New Roman"/>
          <w:sz w:val="18"/>
          <w:szCs w:val="18"/>
        </w:rPr>
        <w:t xml:space="preserve"> </w:t>
      </w:r>
      <w:r w:rsidRPr="00E743BA">
        <w:rPr>
          <w:rFonts w:ascii="Times New Roman" w:hAnsi="Times New Roman"/>
          <w:sz w:val="18"/>
          <w:szCs w:val="18"/>
          <w:vertAlign w:val="superscript"/>
        </w:rPr>
        <w:t>b</w:t>
      </w:r>
      <w:r w:rsidRPr="00E743BA">
        <w:rPr>
          <w:rFonts w:ascii="Times New Roman" w:hAnsi="Times New Roman"/>
          <w:sz w:val="18"/>
          <w:szCs w:val="18"/>
        </w:rPr>
        <w:t xml:space="preserve"> - International Monetary Fund </w:t>
      </w:r>
      <w:r w:rsidRPr="00E743BA">
        <w:rPr>
          <w:rFonts w:ascii="Times New Roman" w:hAnsi="Times New Roman"/>
          <w:i/>
          <w:sz w:val="18"/>
          <w:szCs w:val="18"/>
        </w:rPr>
        <w:t xml:space="preserve">International Finance Statistics </w:t>
      </w:r>
    </w:p>
    <w:p w14:paraId="414275A0" w14:textId="77777777" w:rsidR="009A5A91" w:rsidRPr="00E743BA" w:rsidRDefault="009A5A91" w:rsidP="009A5A91">
      <w:pPr>
        <w:pStyle w:val="ListParagraph"/>
        <w:tabs>
          <w:tab w:val="left" w:pos="2445"/>
        </w:tabs>
        <w:spacing w:line="240" w:lineRule="auto"/>
        <w:ind w:left="144"/>
        <w:rPr>
          <w:rFonts w:ascii="Times New Roman" w:hAnsi="Times New Roman"/>
          <w:sz w:val="18"/>
          <w:szCs w:val="18"/>
        </w:rPr>
      </w:pPr>
      <w:r w:rsidRPr="00E743BA">
        <w:rPr>
          <w:rFonts w:ascii="Times New Roman" w:hAnsi="Times New Roman"/>
          <w:sz w:val="18"/>
          <w:szCs w:val="18"/>
        </w:rPr>
        <w:t xml:space="preserve"> </w:t>
      </w:r>
      <w:r w:rsidRPr="00E743BA">
        <w:rPr>
          <w:rFonts w:ascii="Times New Roman" w:hAnsi="Times New Roman"/>
          <w:sz w:val="18"/>
          <w:szCs w:val="18"/>
          <w:vertAlign w:val="superscript"/>
        </w:rPr>
        <w:t>c</w:t>
      </w:r>
      <w:r w:rsidRPr="00E743BA">
        <w:rPr>
          <w:rFonts w:ascii="Times New Roman" w:hAnsi="Times New Roman"/>
          <w:sz w:val="18"/>
          <w:szCs w:val="18"/>
        </w:rPr>
        <w:t xml:space="preserve"> - World Bank </w:t>
      </w:r>
      <w:r w:rsidRPr="00E743BA">
        <w:rPr>
          <w:rFonts w:ascii="Times New Roman" w:hAnsi="Times New Roman"/>
          <w:i/>
          <w:sz w:val="18"/>
          <w:szCs w:val="18"/>
        </w:rPr>
        <w:t>World Development Indicators</w:t>
      </w:r>
    </w:p>
    <w:p w14:paraId="2DA757AA" w14:textId="77777777" w:rsidR="009A5A91" w:rsidRPr="00E743BA" w:rsidRDefault="009A5A91" w:rsidP="009A5A91">
      <w:pPr>
        <w:pStyle w:val="ListParagraph"/>
        <w:tabs>
          <w:tab w:val="left" w:pos="2445"/>
        </w:tabs>
        <w:spacing w:line="240" w:lineRule="auto"/>
        <w:ind w:left="144"/>
        <w:rPr>
          <w:rFonts w:ascii="Times New Roman" w:hAnsi="Times New Roman"/>
          <w:i/>
          <w:sz w:val="18"/>
          <w:szCs w:val="18"/>
        </w:rPr>
      </w:pPr>
      <w:r w:rsidRPr="00E743BA">
        <w:rPr>
          <w:rFonts w:ascii="Times New Roman" w:hAnsi="Times New Roman"/>
          <w:sz w:val="18"/>
          <w:szCs w:val="18"/>
        </w:rPr>
        <w:t xml:space="preserve"> </w:t>
      </w:r>
      <w:r w:rsidRPr="00E743BA">
        <w:rPr>
          <w:rFonts w:ascii="Times New Roman" w:hAnsi="Times New Roman"/>
          <w:sz w:val="18"/>
          <w:szCs w:val="18"/>
          <w:vertAlign w:val="superscript"/>
        </w:rPr>
        <w:t>d</w:t>
      </w:r>
      <w:r w:rsidRPr="00E743BA">
        <w:rPr>
          <w:rFonts w:ascii="Times New Roman" w:hAnsi="Times New Roman"/>
          <w:sz w:val="18"/>
          <w:szCs w:val="18"/>
        </w:rPr>
        <w:t xml:space="preserve"> - World Bank </w:t>
      </w:r>
      <w:r w:rsidRPr="00E743BA">
        <w:rPr>
          <w:rFonts w:ascii="Times New Roman" w:hAnsi="Times New Roman"/>
          <w:i/>
          <w:sz w:val="18"/>
          <w:szCs w:val="18"/>
        </w:rPr>
        <w:t>Database of Political Institutions</w:t>
      </w:r>
    </w:p>
    <w:p w14:paraId="07DAD4C0" w14:textId="77777777" w:rsidR="009A5A91" w:rsidRPr="00E743BA" w:rsidRDefault="009A5A91" w:rsidP="009A5A91">
      <w:pPr>
        <w:pStyle w:val="ListParagraph"/>
        <w:tabs>
          <w:tab w:val="left" w:pos="2445"/>
        </w:tabs>
        <w:spacing w:line="240" w:lineRule="auto"/>
        <w:ind w:left="144"/>
        <w:rPr>
          <w:rFonts w:ascii="Times New Roman" w:hAnsi="Times New Roman"/>
          <w:sz w:val="18"/>
          <w:szCs w:val="18"/>
        </w:rPr>
      </w:pPr>
      <w:r w:rsidRPr="00E743BA">
        <w:rPr>
          <w:rFonts w:ascii="Times New Roman" w:hAnsi="Times New Roman"/>
          <w:sz w:val="18"/>
          <w:szCs w:val="18"/>
          <w:vertAlign w:val="superscript"/>
        </w:rPr>
        <w:t xml:space="preserve">  e</w:t>
      </w:r>
      <w:r w:rsidRPr="00E743BA">
        <w:rPr>
          <w:rFonts w:ascii="Times New Roman" w:hAnsi="Times New Roman"/>
          <w:sz w:val="18"/>
          <w:szCs w:val="18"/>
        </w:rPr>
        <w:t xml:space="preserve"> – Coded as 1 where: </w:t>
      </w:r>
      <w:proofErr w:type="spellStart"/>
      <w:r w:rsidRPr="00E743BA">
        <w:rPr>
          <w:rFonts w:ascii="Times New Roman" w:hAnsi="Times New Roman"/>
          <w:sz w:val="18"/>
          <w:szCs w:val="18"/>
        </w:rPr>
        <w:t>i</w:t>
      </w:r>
      <w:proofErr w:type="spellEnd"/>
      <w:r w:rsidRPr="00E743BA">
        <w:rPr>
          <w:rFonts w:ascii="Times New Roman" w:hAnsi="Times New Roman"/>
          <w:sz w:val="18"/>
          <w:szCs w:val="18"/>
        </w:rPr>
        <w:t xml:space="preserve">) there is a parliamentary election in a parliamentary system, or, ii) there is a presidential election in a presidential    </w:t>
      </w:r>
    </w:p>
    <w:p w14:paraId="712081DE" w14:textId="77777777" w:rsidR="009A5A91" w:rsidRPr="00E743BA" w:rsidRDefault="009A5A91" w:rsidP="009A5A91">
      <w:pPr>
        <w:pStyle w:val="ListParagraph"/>
        <w:tabs>
          <w:tab w:val="left" w:pos="2445"/>
        </w:tabs>
        <w:spacing w:after="0" w:line="240" w:lineRule="auto"/>
        <w:ind w:left="144"/>
        <w:rPr>
          <w:rFonts w:ascii="Times New Roman" w:hAnsi="Times New Roman"/>
          <w:sz w:val="18"/>
          <w:szCs w:val="18"/>
        </w:rPr>
      </w:pPr>
      <w:r w:rsidRPr="00E743BA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E743BA">
        <w:rPr>
          <w:rFonts w:ascii="Times New Roman" w:hAnsi="Times New Roman"/>
          <w:sz w:val="18"/>
          <w:szCs w:val="18"/>
        </w:rPr>
        <w:t>system</w:t>
      </w:r>
      <w:proofErr w:type="gramEnd"/>
      <w:r w:rsidRPr="00E743BA">
        <w:rPr>
          <w:rFonts w:ascii="Times New Roman" w:hAnsi="Times New Roman"/>
          <w:sz w:val="18"/>
          <w:szCs w:val="18"/>
        </w:rPr>
        <w:t xml:space="preserve">.   </w:t>
      </w:r>
    </w:p>
    <w:p w14:paraId="072323BA" w14:textId="77777777" w:rsidR="009A5A91" w:rsidRDefault="009A5A91" w:rsidP="009A5A91">
      <w:pPr>
        <w:spacing w:after="0" w:line="480" w:lineRule="auto"/>
        <w:ind w:left="144"/>
        <w:rPr>
          <w:rFonts w:ascii="Times New Roman" w:hAnsi="Times New Roman"/>
          <w:b/>
          <w:sz w:val="18"/>
          <w:szCs w:val="18"/>
        </w:rPr>
      </w:pPr>
      <w:r w:rsidRPr="00E743BA">
        <w:rPr>
          <w:rFonts w:ascii="Times New Roman" w:hAnsi="Times New Roman"/>
          <w:bCs/>
          <w:i/>
          <w:sz w:val="18"/>
          <w:szCs w:val="18"/>
          <w:vertAlign w:val="superscript"/>
        </w:rPr>
        <w:t xml:space="preserve">f – </w:t>
      </w:r>
      <w:r w:rsidRPr="00E743BA">
        <w:rPr>
          <w:rFonts w:ascii="Times New Roman" w:hAnsi="Times New Roman"/>
          <w:bCs/>
          <w:sz w:val="18"/>
          <w:szCs w:val="18"/>
        </w:rPr>
        <w:t>Based on a sample of 21 countries (450 observations)</w:t>
      </w:r>
    </w:p>
    <w:p w14:paraId="5496AFE6" w14:textId="77777777" w:rsidR="00DD7756" w:rsidRDefault="00DD7756">
      <w:bookmarkStart w:id="0" w:name="_GoBack"/>
      <w:bookmarkEnd w:id="0"/>
    </w:p>
    <w:sectPr w:rsidR="00DD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72C96" w14:textId="77777777" w:rsidR="00AD7AD8" w:rsidRDefault="00AD7AD8" w:rsidP="009A5A91">
      <w:pPr>
        <w:spacing w:after="0" w:line="240" w:lineRule="auto"/>
      </w:pPr>
      <w:r>
        <w:separator/>
      </w:r>
    </w:p>
  </w:endnote>
  <w:endnote w:type="continuationSeparator" w:id="0">
    <w:p w14:paraId="2BF2B330" w14:textId="77777777" w:rsidR="00AD7AD8" w:rsidRDefault="00AD7AD8" w:rsidP="009A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FEA4F" w14:textId="77777777" w:rsidR="00AD7AD8" w:rsidRDefault="00AD7AD8" w:rsidP="009A5A91">
      <w:pPr>
        <w:spacing w:after="0" w:line="240" w:lineRule="auto"/>
      </w:pPr>
      <w:r>
        <w:separator/>
      </w:r>
    </w:p>
  </w:footnote>
  <w:footnote w:type="continuationSeparator" w:id="0">
    <w:p w14:paraId="43A604A2" w14:textId="77777777" w:rsidR="00AD7AD8" w:rsidRDefault="00AD7AD8" w:rsidP="009A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74B"/>
    <w:multiLevelType w:val="hybridMultilevel"/>
    <w:tmpl w:val="3EB65C28"/>
    <w:lvl w:ilvl="0" w:tplc="F99ED65C"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5D144E8"/>
    <w:multiLevelType w:val="hybridMultilevel"/>
    <w:tmpl w:val="614E810E"/>
    <w:lvl w:ilvl="0" w:tplc="D1B239F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91"/>
    <w:rsid w:val="00053A8B"/>
    <w:rsid w:val="001574A7"/>
    <w:rsid w:val="001B2961"/>
    <w:rsid w:val="001B2CAD"/>
    <w:rsid w:val="001B5AC5"/>
    <w:rsid w:val="001C3794"/>
    <w:rsid w:val="002C6763"/>
    <w:rsid w:val="003C2966"/>
    <w:rsid w:val="00446C17"/>
    <w:rsid w:val="00481457"/>
    <w:rsid w:val="00485B47"/>
    <w:rsid w:val="004A4A93"/>
    <w:rsid w:val="004F4A03"/>
    <w:rsid w:val="0050510B"/>
    <w:rsid w:val="00617C9F"/>
    <w:rsid w:val="0071521F"/>
    <w:rsid w:val="007F38A0"/>
    <w:rsid w:val="008245B9"/>
    <w:rsid w:val="00854DF0"/>
    <w:rsid w:val="00912A72"/>
    <w:rsid w:val="009344A2"/>
    <w:rsid w:val="009757DE"/>
    <w:rsid w:val="009A5A91"/>
    <w:rsid w:val="009B60B2"/>
    <w:rsid w:val="00AB218A"/>
    <w:rsid w:val="00AD7AD8"/>
    <w:rsid w:val="00AE28EE"/>
    <w:rsid w:val="00B53C40"/>
    <w:rsid w:val="00B746B6"/>
    <w:rsid w:val="00CE63D7"/>
    <w:rsid w:val="00D1656E"/>
    <w:rsid w:val="00D17B08"/>
    <w:rsid w:val="00D82B06"/>
    <w:rsid w:val="00D83DFE"/>
    <w:rsid w:val="00DB0000"/>
    <w:rsid w:val="00DD7756"/>
    <w:rsid w:val="00E665E9"/>
    <w:rsid w:val="00EE038D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F3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9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A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A9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91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9A5A9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A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A9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A5A91"/>
    <w:rPr>
      <w:vertAlign w:val="superscript"/>
    </w:rPr>
  </w:style>
  <w:style w:type="table" w:styleId="TableGrid">
    <w:name w:val="Table Grid"/>
    <w:basedOn w:val="TableNormal"/>
    <w:uiPriority w:val="59"/>
    <w:rsid w:val="009A5A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A91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9A5A9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9A5A91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9A5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91"/>
    <w:rPr>
      <w:rFonts w:ascii="Calibri" w:eastAsia="Calibri" w:hAnsi="Calibri" w:cs="Times New Roman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9A5A91"/>
    <w:rPr>
      <w:i/>
      <w:iCs/>
    </w:rPr>
  </w:style>
  <w:style w:type="character" w:styleId="Strong">
    <w:name w:val="Strong"/>
    <w:basedOn w:val="DefaultParagraphFont"/>
    <w:uiPriority w:val="22"/>
    <w:qFormat/>
    <w:rsid w:val="009A5A91"/>
    <w:rPr>
      <w:b/>
      <w:bCs/>
    </w:rPr>
  </w:style>
  <w:style w:type="character" w:customStyle="1" w:styleId="publication-meta-journal">
    <w:name w:val="publication-meta-journal"/>
    <w:basedOn w:val="DefaultParagraphFont"/>
    <w:rsid w:val="009A5A91"/>
  </w:style>
  <w:style w:type="character" w:customStyle="1" w:styleId="publication-meta-separator">
    <w:name w:val="publication-meta-separator"/>
    <w:basedOn w:val="DefaultParagraphFont"/>
    <w:rsid w:val="009A5A91"/>
  </w:style>
  <w:style w:type="character" w:customStyle="1" w:styleId="apple-converted-space">
    <w:name w:val="apple-converted-space"/>
    <w:basedOn w:val="DefaultParagraphFont"/>
    <w:rsid w:val="009A5A91"/>
  </w:style>
  <w:style w:type="character" w:customStyle="1" w:styleId="publication-meta-date">
    <w:name w:val="publication-meta-date"/>
    <w:basedOn w:val="DefaultParagraphFont"/>
    <w:rsid w:val="009A5A91"/>
  </w:style>
  <w:style w:type="paragraph" w:styleId="NoSpacing">
    <w:name w:val="No Spacing"/>
    <w:uiPriority w:val="1"/>
    <w:qFormat/>
    <w:rsid w:val="009A5A9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PlainTable5">
    <w:name w:val="Plain Table 5"/>
    <w:basedOn w:val="TableNormal"/>
    <w:uiPriority w:val="45"/>
    <w:rsid w:val="009A5A9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A5A9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ighlight">
    <w:name w:val="highlight"/>
    <w:basedOn w:val="DefaultParagraphFont"/>
    <w:rsid w:val="009A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9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A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A9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91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9A5A9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5A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A9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A5A91"/>
    <w:rPr>
      <w:vertAlign w:val="superscript"/>
    </w:rPr>
  </w:style>
  <w:style w:type="table" w:styleId="TableGrid">
    <w:name w:val="Table Grid"/>
    <w:basedOn w:val="TableNormal"/>
    <w:uiPriority w:val="59"/>
    <w:rsid w:val="009A5A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A91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9A5A9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9A5A91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9A5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91"/>
    <w:rPr>
      <w:rFonts w:ascii="Calibri" w:eastAsia="Calibri" w:hAnsi="Calibri" w:cs="Times New Roman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9A5A91"/>
    <w:rPr>
      <w:i/>
      <w:iCs/>
    </w:rPr>
  </w:style>
  <w:style w:type="character" w:styleId="Strong">
    <w:name w:val="Strong"/>
    <w:basedOn w:val="DefaultParagraphFont"/>
    <w:uiPriority w:val="22"/>
    <w:qFormat/>
    <w:rsid w:val="009A5A91"/>
    <w:rPr>
      <w:b/>
      <w:bCs/>
    </w:rPr>
  </w:style>
  <w:style w:type="character" w:customStyle="1" w:styleId="publication-meta-journal">
    <w:name w:val="publication-meta-journal"/>
    <w:basedOn w:val="DefaultParagraphFont"/>
    <w:rsid w:val="009A5A91"/>
  </w:style>
  <w:style w:type="character" w:customStyle="1" w:styleId="publication-meta-separator">
    <w:name w:val="publication-meta-separator"/>
    <w:basedOn w:val="DefaultParagraphFont"/>
    <w:rsid w:val="009A5A91"/>
  </w:style>
  <w:style w:type="character" w:customStyle="1" w:styleId="apple-converted-space">
    <w:name w:val="apple-converted-space"/>
    <w:basedOn w:val="DefaultParagraphFont"/>
    <w:rsid w:val="009A5A91"/>
  </w:style>
  <w:style w:type="character" w:customStyle="1" w:styleId="publication-meta-date">
    <w:name w:val="publication-meta-date"/>
    <w:basedOn w:val="DefaultParagraphFont"/>
    <w:rsid w:val="009A5A91"/>
  </w:style>
  <w:style w:type="paragraph" w:styleId="NoSpacing">
    <w:name w:val="No Spacing"/>
    <w:uiPriority w:val="1"/>
    <w:qFormat/>
    <w:rsid w:val="009A5A91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PlainTable5">
    <w:name w:val="Plain Table 5"/>
    <w:basedOn w:val="TableNormal"/>
    <w:uiPriority w:val="45"/>
    <w:rsid w:val="009A5A9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A5A9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ighlight">
    <w:name w:val="highlight"/>
    <w:basedOn w:val="DefaultParagraphFont"/>
    <w:rsid w:val="009A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0388-879F-47E4-956F-DBACF36E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Seiferling</dc:creator>
  <cp:keywords/>
  <dc:description/>
  <cp:lastModifiedBy>Senthil C. Kumari</cp:lastModifiedBy>
  <cp:revision>3</cp:revision>
  <dcterms:created xsi:type="dcterms:W3CDTF">2018-11-30T17:24:00Z</dcterms:created>
  <dcterms:modified xsi:type="dcterms:W3CDTF">2019-04-16T02:50:00Z</dcterms:modified>
</cp:coreProperties>
</file>