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1E" w:rsidRPr="002C4E1E" w:rsidRDefault="002C4E1E" w:rsidP="002C4E1E">
      <w:pPr>
        <w:keepNext/>
        <w:keepLines/>
        <w:spacing w:before="240" w:after="0" w:line="324" w:lineRule="auto"/>
        <w:ind w:left="432" w:hanging="432"/>
        <w:outlineLvl w:val="0"/>
        <w:rPr>
          <w:rFonts w:ascii="Garamond" w:eastAsia="Times New Roman" w:hAnsi="Garamond" w:cs="Times New Roman"/>
          <w:b/>
          <w:color w:val="535356"/>
          <w:sz w:val="32"/>
          <w:szCs w:val="32"/>
          <w:lang w:val="en-US"/>
        </w:rPr>
      </w:pPr>
      <w:bookmarkStart w:id="0" w:name="_GoBack"/>
      <w:bookmarkEnd w:id="0"/>
      <w:r w:rsidRPr="002C4E1E">
        <w:rPr>
          <w:rFonts w:ascii="Garamond" w:eastAsia="Times New Roman" w:hAnsi="Garamond" w:cs="Times New Roman"/>
          <w:b/>
          <w:color w:val="535356"/>
          <w:sz w:val="32"/>
          <w:szCs w:val="32"/>
          <w:lang w:val="en-US"/>
        </w:rPr>
        <w:t>Appendix</w:t>
      </w:r>
    </w:p>
    <w:p w:rsidR="002C4E1E" w:rsidRDefault="002C4E1E" w:rsidP="002C4E1E">
      <w:pPr>
        <w:numPr>
          <w:ilvl w:val="0"/>
          <w:numId w:val="1"/>
        </w:numPr>
        <w:spacing w:line="324" w:lineRule="auto"/>
        <w:contextualSpacing/>
        <w:rPr>
          <w:rFonts w:ascii="Garamond" w:eastAsia="Garamond" w:hAnsi="Garamond" w:cs="Times New Roman"/>
          <w:sz w:val="24"/>
          <w:szCs w:val="24"/>
          <w:lang w:val="en-US"/>
        </w:rPr>
      </w:pPr>
      <w:r w:rsidRPr="00D42BDF">
        <w:rPr>
          <w:rFonts w:ascii="Garamond" w:eastAsia="Garamond" w:hAnsi="Garamond" w:cs="Times New Roman"/>
          <w:sz w:val="24"/>
          <w:szCs w:val="24"/>
          <w:lang w:val="en-US"/>
        </w:rPr>
        <w:t>Changes in state capacity levels</w:t>
      </w:r>
      <w:r>
        <w:rPr>
          <w:rFonts w:ascii="Garamond" w:eastAsia="Garamond" w:hAnsi="Garamond" w:cs="Times New Roman"/>
          <w:sz w:val="24"/>
          <w:szCs w:val="24"/>
          <w:lang w:val="en-US"/>
        </w:rPr>
        <w:t xml:space="preserve"> by country</w:t>
      </w:r>
      <w:r w:rsidRPr="00D42BDF">
        <w:rPr>
          <w:rFonts w:ascii="Garamond" w:eastAsia="Garamond" w:hAnsi="Garamond" w:cs="Times New Roman"/>
          <w:sz w:val="24"/>
          <w:szCs w:val="24"/>
          <w:lang w:val="en-US"/>
        </w:rPr>
        <w:t>, as measured by our state capacity index, over time.</w:t>
      </w:r>
    </w:p>
    <w:p w:rsidR="002C4E1E" w:rsidRPr="00D42BDF" w:rsidRDefault="002C4E1E" w:rsidP="002C4E1E">
      <w:pPr>
        <w:spacing w:line="324" w:lineRule="auto"/>
        <w:ind w:left="720"/>
        <w:contextualSpacing/>
        <w:rPr>
          <w:rFonts w:ascii="Garamond" w:eastAsia="Garamond" w:hAnsi="Garamond" w:cs="Times New Roman"/>
          <w:sz w:val="24"/>
          <w:szCs w:val="24"/>
          <w:lang w:val="en-US"/>
        </w:rPr>
        <w:sectPr w:rsidR="002C4E1E" w:rsidRPr="00D42BDF" w:rsidSect="001D3520">
          <w:pgSz w:w="11906" w:h="16838"/>
          <w:pgMar w:top="1814" w:right="1440" w:bottom="1814" w:left="1440" w:header="709" w:footer="709" w:gutter="0"/>
          <w:cols w:space="708"/>
          <w:docGrid w:linePitch="360"/>
        </w:sectPr>
      </w:pPr>
      <w:r w:rsidRPr="001D3520">
        <w:rPr>
          <w:rFonts w:ascii="Garamond" w:eastAsia="Garamond" w:hAnsi="Garamond" w:cs="Times New Roman"/>
          <w:noProof/>
          <w:sz w:val="24"/>
          <w:szCs w:val="24"/>
          <w:lang w:val="en-US"/>
        </w:rPr>
        <w:drawing>
          <wp:inline distT="0" distB="0" distL="0" distR="0" wp14:anchorId="33AE6741" wp14:editId="44BBF291">
            <wp:extent cx="5278631" cy="3867017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76" cy="388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1E" w:rsidRPr="002C4E1E" w:rsidRDefault="002C4E1E" w:rsidP="002C4E1E">
      <w:pPr>
        <w:numPr>
          <w:ilvl w:val="0"/>
          <w:numId w:val="1"/>
        </w:numPr>
        <w:spacing w:line="324" w:lineRule="auto"/>
        <w:contextualSpacing/>
        <w:rPr>
          <w:rFonts w:ascii="Garamond" w:eastAsia="Garamond" w:hAnsi="Garamond" w:cs="Times New Roman"/>
          <w:sz w:val="24"/>
          <w:szCs w:val="24"/>
          <w:lang w:val="en-US"/>
        </w:rPr>
      </w:pPr>
      <w:r w:rsidRPr="002C4E1E">
        <w:rPr>
          <w:rFonts w:ascii="Garamond" w:eastAsia="Garamond" w:hAnsi="Garamond" w:cs="Times New Roman"/>
          <w:sz w:val="24"/>
          <w:szCs w:val="24"/>
          <w:lang w:val="en-US"/>
        </w:rPr>
        <w:lastRenderedPageBreak/>
        <w:t>Early elections and replacements since 1989</w:t>
      </w:r>
      <w:r w:rsidRPr="00C20319">
        <w:rPr>
          <w:rFonts w:ascii="Garamond" w:eastAsia="Garamond" w:hAnsi="Garamond" w:cs="Times New Roman"/>
          <w:noProof/>
          <w:sz w:val="24"/>
          <w:szCs w:val="24"/>
          <w:lang w:val="en-US"/>
        </w:rPr>
        <w:drawing>
          <wp:inline distT="0" distB="0" distL="0" distR="0" wp14:anchorId="7955893A" wp14:editId="617E6D21">
            <wp:extent cx="5114290" cy="374269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578" cy="374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1E" w:rsidRPr="00D42BDF" w:rsidRDefault="002C4E1E" w:rsidP="002C4E1E">
      <w:pPr>
        <w:spacing w:line="324" w:lineRule="auto"/>
        <w:ind w:left="720"/>
        <w:contextualSpacing/>
        <w:rPr>
          <w:rFonts w:ascii="Garamond" w:eastAsia="Garamond" w:hAnsi="Garamond" w:cs="Times New Roman"/>
          <w:sz w:val="24"/>
          <w:szCs w:val="24"/>
          <w:lang w:val="en-US"/>
        </w:rPr>
      </w:pPr>
    </w:p>
    <w:p w:rsidR="002C4E1E" w:rsidRDefault="002C4E1E">
      <w:pPr>
        <w:rPr>
          <w:lang w:val="en-US"/>
        </w:rPr>
      </w:pPr>
      <w:r>
        <w:rPr>
          <w:lang w:val="en-US"/>
        </w:rPr>
        <w:br w:type="page"/>
      </w:r>
    </w:p>
    <w:p w:rsidR="002C4E1E" w:rsidRDefault="002C4E1E" w:rsidP="002C4E1E">
      <w:pPr>
        <w:pStyle w:val="Liststycke"/>
        <w:numPr>
          <w:ilvl w:val="0"/>
          <w:numId w:val="1"/>
        </w:numPr>
        <w:rPr>
          <w:lang w:val="en-US"/>
        </w:rPr>
      </w:pPr>
      <w:r w:rsidRPr="00B3282D">
        <w:rPr>
          <w:lang w:val="en-US"/>
        </w:rPr>
        <w:lastRenderedPageBreak/>
        <w:t>Regression result when corruption is remove</w:t>
      </w:r>
      <w:r>
        <w:rPr>
          <w:lang w:val="en-US"/>
        </w:rPr>
        <w:t>d from the measure of state capacity</w:t>
      </w:r>
    </w:p>
    <w:p w:rsidR="002C4E1E" w:rsidRDefault="002C4E1E" w:rsidP="002C4E1E">
      <w:pPr>
        <w:pStyle w:val="Liststycke"/>
        <w:rPr>
          <w:lang w:val="en-US"/>
        </w:rPr>
      </w:pPr>
    </w:p>
    <w:tbl>
      <w:tblPr>
        <w:tblStyle w:val="Tabellrutn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1376"/>
        <w:gridCol w:w="1376"/>
        <w:gridCol w:w="1376"/>
        <w:gridCol w:w="1377"/>
      </w:tblGrid>
      <w:tr w:rsidR="002C4E1E" w:rsidRPr="00052563" w:rsidTr="00303E54">
        <w:tc>
          <w:tcPr>
            <w:tcW w:w="3284" w:type="dxa"/>
            <w:tcBorders>
              <w:top w:val="single" w:sz="4" w:space="0" w:color="auto"/>
              <w:right w:val="dashed" w:sz="4" w:space="0" w:color="auto"/>
            </w:tcBorders>
          </w:tcPr>
          <w:p w:rsidR="002C4E1E" w:rsidRPr="00AB165F" w:rsidRDefault="002C4E1E" w:rsidP="00303E54">
            <w:pPr>
              <w:pStyle w:val="Liststycke"/>
              <w:rPr>
                <w:rFonts w:ascii="Garamond" w:hAnsi="Garamond"/>
                <w:lang w:val="en-GB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:rsidR="002C4E1E" w:rsidRPr="00052563" w:rsidRDefault="002C4E1E" w:rsidP="00303E54">
            <w:pPr>
              <w:jc w:val="center"/>
              <w:rPr>
                <w:rFonts w:ascii="Garamond" w:hAnsi="Garamond"/>
                <w:b/>
              </w:rPr>
            </w:pPr>
            <w:r w:rsidRPr="00052563">
              <w:rPr>
                <w:rFonts w:ascii="Garamond" w:eastAsia="Garamond" w:hAnsi="Garamond" w:cs="Times New Roman"/>
                <w:b/>
                <w:szCs w:val="20"/>
                <w:lang w:val="en-US"/>
              </w:rPr>
              <w:t>Without interaction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</w:tcBorders>
          </w:tcPr>
          <w:p w:rsidR="002C4E1E" w:rsidRPr="00052563" w:rsidRDefault="002C4E1E" w:rsidP="00303E54">
            <w:pPr>
              <w:jc w:val="center"/>
              <w:rPr>
                <w:rFonts w:ascii="Garamond" w:hAnsi="Garamond"/>
                <w:b/>
              </w:rPr>
            </w:pPr>
            <w:r w:rsidRPr="00052563">
              <w:rPr>
                <w:rFonts w:ascii="Garamond" w:eastAsia="Garamond" w:hAnsi="Garamond" w:cs="Times New Roman"/>
                <w:b/>
                <w:szCs w:val="20"/>
                <w:lang w:val="en-US"/>
              </w:rPr>
              <w:t>With interaction</w:t>
            </w:r>
          </w:p>
        </w:tc>
      </w:tr>
      <w:tr w:rsidR="002C4E1E" w:rsidRPr="00052563" w:rsidTr="00303E54">
        <w:tc>
          <w:tcPr>
            <w:tcW w:w="3284" w:type="dxa"/>
            <w:tcBorders>
              <w:bottom w:val="single" w:sz="4" w:space="0" w:color="auto"/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i/>
                <w:lang w:val="en-GB"/>
              </w:rPr>
            </w:pPr>
          </w:p>
        </w:tc>
        <w:tc>
          <w:tcPr>
            <w:tcW w:w="1376" w:type="dxa"/>
            <w:tcBorders>
              <w:left w:val="dashed" w:sz="4" w:space="0" w:color="auto"/>
              <w:bottom w:val="single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  <w:r w:rsidRPr="00052563">
              <w:rPr>
                <w:rFonts w:ascii="Garamond" w:eastAsia="Garamond" w:hAnsi="Garamond" w:cs="Times New Roman"/>
                <w:i/>
                <w:lang w:val="en-US"/>
              </w:rPr>
              <w:t>Early elections</w:t>
            </w:r>
            <w:r w:rsidRPr="00052563">
              <w:rPr>
                <w:rFonts w:ascii="Garamond" w:hAnsi="Garamond"/>
                <w:lang w:val="en-GB"/>
              </w:rPr>
              <w:t xml:space="preserve">             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  <w:r w:rsidRPr="00052563">
              <w:rPr>
                <w:rFonts w:ascii="Garamond" w:eastAsia="Garamond" w:hAnsi="Garamond" w:cs="Times New Roman"/>
                <w:i/>
                <w:lang w:val="en-US"/>
              </w:rPr>
              <w:t>Replacements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  <w:r w:rsidRPr="00052563">
              <w:rPr>
                <w:rFonts w:ascii="Garamond" w:eastAsia="Garamond" w:hAnsi="Garamond" w:cs="Times New Roman"/>
                <w:i/>
                <w:lang w:val="en-US"/>
              </w:rPr>
              <w:t>Early elections</w:t>
            </w:r>
            <w:r w:rsidRPr="00052563">
              <w:rPr>
                <w:rFonts w:ascii="Garamond" w:hAnsi="Garamond"/>
                <w:lang w:val="en-GB"/>
              </w:rPr>
              <w:t xml:space="preserve">               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  <w:r w:rsidRPr="00052563">
              <w:rPr>
                <w:rFonts w:ascii="Garamond" w:eastAsia="Garamond" w:hAnsi="Garamond" w:cs="Times New Roman"/>
                <w:i/>
                <w:lang w:val="en-US"/>
              </w:rPr>
              <w:t>Replacements</w:t>
            </w:r>
          </w:p>
        </w:tc>
      </w:tr>
      <w:tr w:rsidR="002C4E1E" w:rsidRPr="00052563" w:rsidTr="00303E54">
        <w:tc>
          <w:tcPr>
            <w:tcW w:w="3284" w:type="dxa"/>
            <w:tcBorders>
              <w:top w:val="single" w:sz="4" w:space="0" w:color="auto"/>
              <w:right w:val="dashed" w:sz="4" w:space="0" w:color="auto"/>
            </w:tcBorders>
          </w:tcPr>
          <w:p w:rsidR="002C4E1E" w:rsidRPr="00EC3C53" w:rsidRDefault="002C4E1E" w:rsidP="00303E54">
            <w:pPr>
              <w:rPr>
                <w:rFonts w:ascii="Garamond" w:hAnsi="Garamond"/>
                <w:b/>
                <w:lang w:val="en-GB"/>
              </w:rPr>
            </w:pPr>
            <w:r w:rsidRPr="00EC3C53">
              <w:rPr>
                <w:rFonts w:ascii="Garamond" w:eastAsia="Garamond" w:hAnsi="Garamond" w:cs="Times New Roman"/>
                <w:b/>
                <w:lang w:val="en-US"/>
              </w:rPr>
              <w:t>State capacity</w:t>
            </w:r>
            <w:r>
              <w:rPr>
                <w:rFonts w:ascii="Garamond" w:eastAsia="Garamond" w:hAnsi="Garamond" w:cs="Times New Roman"/>
                <w:b/>
                <w:lang w:val="en-US"/>
              </w:rPr>
              <w:t xml:space="preserve"> (no corruption)</w:t>
            </w:r>
          </w:p>
        </w:tc>
        <w:tc>
          <w:tcPr>
            <w:tcW w:w="1376" w:type="dxa"/>
            <w:tcBorders>
              <w:top w:val="single" w:sz="4" w:space="0" w:color="auto"/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0.870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0.803**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0.867   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0.803**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EC3C53" w:rsidRDefault="002C4E1E" w:rsidP="00303E54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(0.301)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(0.080)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(0.306) 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(0.081)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EC3C53" w:rsidRDefault="002C4E1E" w:rsidP="00303E54">
            <w:pPr>
              <w:rPr>
                <w:rFonts w:ascii="Garamond" w:hAnsi="Garamond"/>
                <w:b/>
                <w:lang w:val="en-GB"/>
              </w:rPr>
            </w:pPr>
            <w:r w:rsidRPr="00EC3C53">
              <w:rPr>
                <w:rFonts w:ascii="Garamond" w:eastAsia="Garamond" w:hAnsi="Garamond" w:cs="Times New Roman"/>
                <w:b/>
                <w:lang w:val="en-US"/>
              </w:rPr>
              <w:t>Unemployment</w:t>
            </w: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1.802***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1.566***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1.377 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1.516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EC3C53" w:rsidRDefault="002C4E1E" w:rsidP="00303E54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(0.287)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(0.242)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(1.575) 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(1.730)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EC3C53" w:rsidRDefault="002C4E1E" w:rsidP="00303E54">
            <w:pPr>
              <w:rPr>
                <w:rFonts w:ascii="Garamond" w:hAnsi="Garamond"/>
                <w:b/>
                <w:lang w:val="en-GB"/>
              </w:rPr>
            </w:pPr>
            <w:r w:rsidRPr="00EC3C53">
              <w:rPr>
                <w:rFonts w:ascii="Garamond" w:eastAsia="Garamond" w:hAnsi="Garamond" w:cs="Times New Roman"/>
                <w:b/>
                <w:lang w:val="en-US"/>
              </w:rPr>
              <w:t>State capacity x Unemployment</w:t>
            </w: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/>
        </w:tc>
        <w:tc>
          <w:tcPr>
            <w:tcW w:w="1376" w:type="dxa"/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1.032   </w:t>
            </w:r>
          </w:p>
        </w:tc>
        <w:tc>
          <w:tcPr>
            <w:tcW w:w="1377" w:type="dxa"/>
          </w:tcPr>
          <w:p w:rsidR="002C4E1E" w:rsidRPr="001B7786" w:rsidRDefault="002C4E1E" w:rsidP="00303E54">
            <w:r w:rsidRPr="001B7786">
              <w:t xml:space="preserve">1.004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/>
        </w:tc>
        <w:tc>
          <w:tcPr>
            <w:tcW w:w="1376" w:type="dxa"/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(0.131)   </w:t>
            </w:r>
          </w:p>
        </w:tc>
        <w:tc>
          <w:tcPr>
            <w:tcW w:w="1377" w:type="dxa"/>
          </w:tcPr>
          <w:p w:rsidR="002C4E1E" w:rsidRPr="001B7786" w:rsidRDefault="002C4E1E" w:rsidP="00303E54">
            <w:r w:rsidRPr="001B7786">
              <w:t xml:space="preserve">(0.164)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7B1262" w:rsidRDefault="002C4E1E" w:rsidP="00303E54">
            <w:pPr>
              <w:rPr>
                <w:rFonts w:ascii="Garamond" w:hAnsi="Garamond"/>
                <w:i/>
                <w:lang w:val="en-GB"/>
              </w:rPr>
            </w:pPr>
            <w:r w:rsidRPr="007B1262">
              <w:rPr>
                <w:rFonts w:ascii="Garamond" w:eastAsia="Garamond" w:hAnsi="Garamond" w:cs="Times New Roman"/>
                <w:i/>
                <w:szCs w:val="20"/>
                <w:u w:val="single"/>
                <w:lang w:val="en-US"/>
              </w:rPr>
              <w:t>Controls</w:t>
            </w: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/>
        </w:tc>
        <w:tc>
          <w:tcPr>
            <w:tcW w:w="1376" w:type="dxa"/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76" w:type="dxa"/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77" w:type="dxa"/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  <w:r w:rsidRPr="00052563">
              <w:rPr>
                <w:rFonts w:ascii="Garamond" w:hAnsi="Garamond"/>
                <w:lang w:val="en-GB"/>
              </w:rPr>
              <w:t>Inflation</w:t>
            </w: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0.883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1.000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0.882 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1.000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(0.070)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(0.000)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(0.069) 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(0.000)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  <w:r w:rsidRPr="00052563">
              <w:rPr>
                <w:rFonts w:ascii="Garamond" w:hAnsi="Garamond"/>
                <w:lang w:val="en-GB"/>
              </w:rPr>
              <w:t>CIEP</w:t>
            </w: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0.199***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0.198***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0.199***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0.198***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(0.045)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(0.044)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(0.045) 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(0.044)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GDP per capita</w:t>
            </w: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1.000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1.000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1.000 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1.000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(0.000)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(0.000)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(0.000) 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(0.000)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Majority cabinet</w:t>
            </w: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1.903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1.253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1.910 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1.253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(0.980)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(0.470)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(0.990) 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(0.476)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  <w:r w:rsidRPr="00052563">
              <w:rPr>
                <w:rFonts w:ascii="Garamond" w:hAnsi="Garamond"/>
                <w:lang w:val="en-GB"/>
              </w:rPr>
              <w:t>Polarization</w:t>
            </w: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1.065*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0.979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1.065*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0.979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(0.035)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(0.032)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(0.035) 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(0.032)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PM dissolution power</w:t>
            </w: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4.663***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0.581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4.684***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0.581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(2.709)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(0.528)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(2.697) 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(0.528)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Effective nr parties</w:t>
            </w: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0.733*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1.248**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0.732*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1.248**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(0.135)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(0.129)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(0.137) 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(0.129)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Age of democracy (log)</w:t>
            </w: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>
            <w:r w:rsidRPr="00816349">
              <w:t>1.035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>1.012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1.032   </w:t>
            </w:r>
          </w:p>
        </w:tc>
        <w:tc>
          <w:tcPr>
            <w:tcW w:w="1377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1.012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Default="002C4E1E" w:rsidP="00303E54">
            <w:r w:rsidRPr="00816349">
              <w:t>(0.386)</w:t>
            </w:r>
          </w:p>
        </w:tc>
        <w:tc>
          <w:tcPr>
            <w:tcW w:w="1376" w:type="dxa"/>
          </w:tcPr>
          <w:p w:rsidR="002C4E1E" w:rsidRPr="001B7786" w:rsidRDefault="002C4E1E" w:rsidP="00303E54">
            <w:r w:rsidRPr="001B7786">
              <w:t>(0.336)</w:t>
            </w:r>
          </w:p>
        </w:tc>
        <w:tc>
          <w:tcPr>
            <w:tcW w:w="1376" w:type="dxa"/>
          </w:tcPr>
          <w:p w:rsidR="002C4E1E" w:rsidRPr="001B7786" w:rsidRDefault="002C4E1E" w:rsidP="00303E54">
            <w:pPr>
              <w:rPr>
                <w:lang w:val="en-GB"/>
              </w:rPr>
            </w:pPr>
            <w:r w:rsidRPr="001B7786">
              <w:rPr>
                <w:lang w:val="en-GB"/>
              </w:rPr>
              <w:t xml:space="preserve">(0.380)   </w:t>
            </w:r>
          </w:p>
        </w:tc>
        <w:tc>
          <w:tcPr>
            <w:tcW w:w="1377" w:type="dxa"/>
          </w:tcPr>
          <w:p w:rsidR="002C4E1E" w:rsidRPr="001B7786" w:rsidRDefault="002C4E1E" w:rsidP="00303E54">
            <w:r w:rsidRPr="001B7786">
              <w:t xml:space="preserve">(0.336)   </w:t>
            </w: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rPr>
                <w:rFonts w:ascii="Garamond" w:hAnsi="Garamond"/>
                <w:i/>
                <w:lang w:val="en-GB"/>
              </w:rPr>
            </w:pP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816349" w:rsidRDefault="002C4E1E" w:rsidP="00303E54"/>
        </w:tc>
        <w:tc>
          <w:tcPr>
            <w:tcW w:w="1376" w:type="dxa"/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76" w:type="dxa"/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77" w:type="dxa"/>
          </w:tcPr>
          <w:p w:rsidR="002C4E1E" w:rsidRPr="00052563" w:rsidRDefault="002C4E1E" w:rsidP="00303E54">
            <w:pPr>
              <w:rPr>
                <w:rFonts w:ascii="Garamond" w:hAnsi="Garamond"/>
                <w:lang w:val="en-GB"/>
              </w:rPr>
            </w:pP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N</w:t>
            </w: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267</w:t>
            </w:r>
          </w:p>
        </w:tc>
        <w:tc>
          <w:tcPr>
            <w:tcW w:w="1376" w:type="dxa"/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</w:p>
        </w:tc>
        <w:tc>
          <w:tcPr>
            <w:tcW w:w="1376" w:type="dxa"/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267</w:t>
            </w:r>
          </w:p>
        </w:tc>
        <w:tc>
          <w:tcPr>
            <w:tcW w:w="1377" w:type="dxa"/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Early elections</w:t>
            </w: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37</w:t>
            </w:r>
          </w:p>
        </w:tc>
        <w:tc>
          <w:tcPr>
            <w:tcW w:w="1376" w:type="dxa"/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</w:p>
        </w:tc>
        <w:tc>
          <w:tcPr>
            <w:tcW w:w="1376" w:type="dxa"/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37</w:t>
            </w:r>
          </w:p>
        </w:tc>
        <w:tc>
          <w:tcPr>
            <w:tcW w:w="1377" w:type="dxa"/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</w:p>
        </w:tc>
      </w:tr>
      <w:tr w:rsidR="002C4E1E" w:rsidRPr="00052563" w:rsidTr="00303E54">
        <w:tc>
          <w:tcPr>
            <w:tcW w:w="3284" w:type="dxa"/>
            <w:tcBorders>
              <w:right w:val="dashed" w:sz="4" w:space="0" w:color="auto"/>
            </w:tcBorders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Replacements</w:t>
            </w:r>
          </w:p>
        </w:tc>
        <w:tc>
          <w:tcPr>
            <w:tcW w:w="1376" w:type="dxa"/>
            <w:tcBorders>
              <w:left w:val="dashed" w:sz="4" w:space="0" w:color="auto"/>
            </w:tcBorders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105</w:t>
            </w:r>
          </w:p>
        </w:tc>
        <w:tc>
          <w:tcPr>
            <w:tcW w:w="1376" w:type="dxa"/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</w:p>
        </w:tc>
        <w:tc>
          <w:tcPr>
            <w:tcW w:w="1376" w:type="dxa"/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105</w:t>
            </w:r>
          </w:p>
        </w:tc>
        <w:tc>
          <w:tcPr>
            <w:tcW w:w="1377" w:type="dxa"/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</w:p>
        </w:tc>
      </w:tr>
      <w:tr w:rsidR="002C4E1E" w:rsidRPr="00052563" w:rsidTr="00303E54">
        <w:tc>
          <w:tcPr>
            <w:tcW w:w="3284" w:type="dxa"/>
            <w:tcBorders>
              <w:bottom w:val="single" w:sz="4" w:space="0" w:color="auto"/>
              <w:right w:val="dashed" w:sz="4" w:space="0" w:color="auto"/>
            </w:tcBorders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 xml:space="preserve">Pseudo </w:t>
            </w:r>
            <m:oMath>
              <m:sSup>
                <m:sSupPr>
                  <m:ctrlPr>
                    <w:rPr>
                      <w:rFonts w:ascii="Cambria Math" w:eastAsia="Garamond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Garamond" w:hAnsi="Cambria Math" w:cs="Times New Roman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="Garamond" w:hAnsi="Cambria Math" w:cs="Times New Roman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1376" w:type="dxa"/>
            <w:tcBorders>
              <w:left w:val="dashed" w:sz="4" w:space="0" w:color="auto"/>
              <w:bottom w:val="single" w:sz="4" w:space="0" w:color="auto"/>
            </w:tcBorders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0.42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  <w:r w:rsidRPr="00052563">
              <w:rPr>
                <w:rFonts w:ascii="Garamond" w:eastAsia="Garamond" w:hAnsi="Garamond" w:cs="Times New Roman"/>
                <w:lang w:val="en-US"/>
              </w:rPr>
              <w:t>0.42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2C4E1E" w:rsidRPr="00052563" w:rsidRDefault="002C4E1E" w:rsidP="00303E54">
            <w:pPr>
              <w:autoSpaceDE w:val="0"/>
              <w:autoSpaceDN w:val="0"/>
              <w:adjustRightInd w:val="0"/>
              <w:rPr>
                <w:rFonts w:ascii="Garamond" w:eastAsia="Garamond" w:hAnsi="Garamond" w:cs="Times New Roman"/>
                <w:lang w:val="en-US"/>
              </w:rPr>
            </w:pPr>
          </w:p>
        </w:tc>
      </w:tr>
    </w:tbl>
    <w:p w:rsidR="002C4E1E" w:rsidRPr="007B1262" w:rsidRDefault="002C4E1E" w:rsidP="002C4E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  <w:lang w:val="en-GB"/>
        </w:rPr>
      </w:pPr>
      <w:r w:rsidRPr="004A13B9">
        <w:rPr>
          <w:rFonts w:ascii="Garamond" w:hAnsi="Garamond" w:cs="AdvTTec369687"/>
          <w:sz w:val="20"/>
          <w:szCs w:val="20"/>
          <w:lang w:val="en-GB"/>
        </w:rPr>
        <w:t>Note Table entries are relative risk ratios with their standard errors in parentheses</w:t>
      </w:r>
      <w:r>
        <w:rPr>
          <w:rFonts w:ascii="Garamond" w:hAnsi="Garamond"/>
          <w:sz w:val="20"/>
          <w:szCs w:val="20"/>
          <w:lang w:val="en-GB"/>
        </w:rPr>
        <w:t xml:space="preserve">. </w:t>
      </w:r>
      <w:r w:rsidRPr="004A13B9">
        <w:rPr>
          <w:rFonts w:ascii="Garamond" w:hAnsi="Garamond"/>
          <w:sz w:val="20"/>
          <w:szCs w:val="20"/>
          <w:lang w:val="en-GB"/>
        </w:rPr>
        <w:t>The standard errors are clustered on the country level.</w:t>
      </w:r>
      <w:r w:rsidRPr="004A13B9">
        <w:rPr>
          <w:rFonts w:ascii="Garamond" w:hAnsi="Garamond" w:cs="AdvTTec369687"/>
          <w:sz w:val="20"/>
          <w:szCs w:val="20"/>
          <w:lang w:val="en-GB"/>
        </w:rPr>
        <w:t xml:space="preserve">; </w:t>
      </w:r>
      <w:r w:rsidRPr="004A13B9">
        <w:rPr>
          <w:rFonts w:ascii="Garamond" w:hAnsi="Garamond" w:cs="AdvMTSY"/>
          <w:sz w:val="20"/>
          <w:szCs w:val="20"/>
          <w:lang w:val="en-GB"/>
        </w:rPr>
        <w:t>***</w:t>
      </w:r>
      <w:r w:rsidRPr="004A13B9">
        <w:rPr>
          <w:rFonts w:ascii="Garamond" w:hAnsi="Garamond" w:cs="AdvTTc6ee16d2.I"/>
          <w:sz w:val="20"/>
          <w:szCs w:val="20"/>
          <w:lang w:val="en-GB"/>
        </w:rPr>
        <w:t xml:space="preserve">p </w:t>
      </w:r>
      <w:r w:rsidRPr="004A13B9">
        <w:rPr>
          <w:rFonts w:ascii="Garamond" w:hAnsi="Garamond" w:cs="AdvTTec369687"/>
          <w:sz w:val="20"/>
          <w:szCs w:val="20"/>
          <w:lang w:val="en-GB"/>
        </w:rPr>
        <w:t xml:space="preserve">&lt; 0.01, </w:t>
      </w:r>
      <w:r w:rsidRPr="004A13B9">
        <w:rPr>
          <w:rFonts w:ascii="Garamond" w:hAnsi="Garamond" w:cs="AdvMTSY"/>
          <w:sz w:val="20"/>
          <w:szCs w:val="20"/>
          <w:lang w:val="en-GB"/>
        </w:rPr>
        <w:t>**</w:t>
      </w:r>
      <w:r w:rsidRPr="004A13B9">
        <w:rPr>
          <w:rFonts w:ascii="Garamond" w:hAnsi="Garamond" w:cs="AdvTTc6ee16d2.I"/>
          <w:sz w:val="20"/>
          <w:szCs w:val="20"/>
          <w:lang w:val="en-GB"/>
        </w:rPr>
        <w:t xml:space="preserve">p </w:t>
      </w:r>
      <w:r w:rsidRPr="004A13B9">
        <w:rPr>
          <w:rFonts w:ascii="Garamond" w:hAnsi="Garamond" w:cs="AdvTTec369687"/>
          <w:sz w:val="20"/>
          <w:szCs w:val="20"/>
          <w:lang w:val="en-GB"/>
        </w:rPr>
        <w:t xml:space="preserve">&lt; 0.05, </w:t>
      </w:r>
      <w:r w:rsidRPr="004A13B9">
        <w:rPr>
          <w:rFonts w:ascii="Garamond" w:hAnsi="Garamond" w:cs="AdvMTSY"/>
          <w:sz w:val="20"/>
          <w:szCs w:val="20"/>
          <w:lang w:val="en-GB"/>
        </w:rPr>
        <w:t>*</w:t>
      </w:r>
      <w:r w:rsidRPr="004A13B9">
        <w:rPr>
          <w:rFonts w:ascii="Garamond" w:hAnsi="Garamond" w:cs="AdvTTc6ee16d2.I"/>
          <w:sz w:val="20"/>
          <w:szCs w:val="20"/>
          <w:lang w:val="en-GB"/>
        </w:rPr>
        <w:t xml:space="preserve">p </w:t>
      </w:r>
      <w:r w:rsidRPr="004A13B9">
        <w:rPr>
          <w:rFonts w:ascii="Garamond" w:hAnsi="Garamond" w:cs="AdvTTec369687"/>
          <w:sz w:val="20"/>
          <w:szCs w:val="20"/>
          <w:lang w:val="en-GB"/>
        </w:rPr>
        <w:t xml:space="preserve">&lt; 0.1; </w:t>
      </w:r>
      <w:r w:rsidRPr="004A13B9">
        <w:rPr>
          <w:rFonts w:ascii="Garamond" w:hAnsi="Garamond"/>
          <w:sz w:val="20"/>
          <w:szCs w:val="20"/>
          <w:lang w:val="en-GB"/>
        </w:rPr>
        <w:t>CIEP is the constitutional inter</w:t>
      </w:r>
      <w:r>
        <w:rPr>
          <w:rFonts w:ascii="Garamond" w:hAnsi="Garamond"/>
          <w:sz w:val="20"/>
          <w:szCs w:val="20"/>
          <w:lang w:val="en-GB"/>
        </w:rPr>
        <w:t>-</w:t>
      </w:r>
      <w:r w:rsidRPr="004A13B9">
        <w:rPr>
          <w:rFonts w:ascii="Garamond" w:hAnsi="Garamond"/>
          <w:sz w:val="20"/>
          <w:szCs w:val="20"/>
          <w:lang w:val="en-GB"/>
        </w:rPr>
        <w:t>election period (or how much time is left in office). Unemployment and inflation are time-changing variables that change on a quarterly basis.</w:t>
      </w:r>
    </w:p>
    <w:p w:rsidR="002C4E1E" w:rsidRPr="00C01E96" w:rsidRDefault="002C4E1E" w:rsidP="002C4E1E">
      <w:pPr>
        <w:pStyle w:val="Liststycke"/>
        <w:rPr>
          <w:lang w:val="en-GB"/>
        </w:rPr>
      </w:pPr>
    </w:p>
    <w:p w:rsidR="002C4E1E" w:rsidRDefault="002C4E1E">
      <w:pPr>
        <w:rPr>
          <w:lang w:val="en-US"/>
        </w:rPr>
      </w:pPr>
      <w:r>
        <w:rPr>
          <w:lang w:val="en-US"/>
        </w:rPr>
        <w:br w:type="page"/>
      </w:r>
    </w:p>
    <w:p w:rsidR="002C4E1E" w:rsidRDefault="002C4E1E" w:rsidP="002C4E1E">
      <w:pPr>
        <w:pStyle w:val="Liststycke"/>
        <w:numPr>
          <w:ilvl w:val="0"/>
          <w:numId w:val="1"/>
        </w:numPr>
        <w:rPr>
          <w:lang w:val="en-US"/>
        </w:rPr>
      </w:pPr>
      <w:r w:rsidRPr="00B3282D">
        <w:rPr>
          <w:lang w:val="en-US"/>
        </w:rPr>
        <w:lastRenderedPageBreak/>
        <w:t>Marginal effects when corruption is removed from the measure of state capacity</w:t>
      </w:r>
    </w:p>
    <w:tbl>
      <w:tblPr>
        <w:tblStyle w:val="Stilren"/>
        <w:tblW w:w="8222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8"/>
        <w:gridCol w:w="990"/>
        <w:gridCol w:w="1134"/>
        <w:gridCol w:w="1276"/>
      </w:tblGrid>
      <w:tr w:rsidR="002C4E1E" w:rsidRPr="00B54E7E" w:rsidTr="00303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2" w:type="dxa"/>
            <w:gridSpan w:val="6"/>
            <w:tcBorders>
              <w:top w:val="nil"/>
              <w:bottom w:val="single" w:sz="12" w:space="0" w:color="auto"/>
            </w:tcBorders>
          </w:tcPr>
          <w:p w:rsidR="002C4E1E" w:rsidRDefault="002C4E1E" w:rsidP="00303E54">
            <w:pPr>
              <w:spacing w:line="324" w:lineRule="auto"/>
              <w:rPr>
                <w:rFonts w:eastAsiaTheme="minorEastAsia"/>
                <w:sz w:val="24"/>
                <w:lang w:val="en-US"/>
              </w:rPr>
            </w:pPr>
          </w:p>
        </w:tc>
      </w:tr>
      <w:tr w:rsidR="002C4E1E" w:rsidTr="00303E54"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Level of state capacity (no corruption)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Marginal effect of unemployment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6" w:space="0" w:color="auto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Standard error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auto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P-value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2C4E1E" w:rsidRDefault="002C4E1E" w:rsidP="00303E54">
            <w:pPr>
              <w:spacing w:line="324" w:lineRule="auto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95% confidence interval</w:t>
            </w:r>
          </w:p>
        </w:tc>
      </w:tr>
      <w:tr w:rsidR="002C4E1E" w:rsidTr="00303E54">
        <w:tc>
          <w:tcPr>
            <w:tcW w:w="1560" w:type="dxa"/>
            <w:tcBorders>
              <w:top w:val="single" w:sz="6" w:space="0" w:color="auto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195B91">
              <w:t>.</w:t>
            </w:r>
            <w:r>
              <w:t xml:space="preserve"> 0125*</w:t>
            </w:r>
          </w:p>
        </w:tc>
        <w:tc>
          <w:tcPr>
            <w:tcW w:w="1278" w:type="dxa"/>
            <w:tcBorders>
              <w:top w:val="single" w:sz="6" w:space="0" w:color="auto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195B91">
              <w:t>.</w:t>
            </w:r>
            <w:r>
              <w:t xml:space="preserve"> 007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>
              <w:t>0.</w:t>
            </w:r>
            <w:r w:rsidRPr="0057733F">
              <w:t>083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C4E1E" w:rsidRDefault="002C4E1E" w:rsidP="00303E54">
            <w:r>
              <w:t>-.002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2C4E1E" w:rsidRDefault="002C4E1E" w:rsidP="00303E54">
            <w:r>
              <w:t>.027</w:t>
            </w:r>
          </w:p>
        </w:tc>
      </w:tr>
      <w:tr w:rsidR="002C4E1E" w:rsidTr="00303E54">
        <w:tc>
          <w:tcPr>
            <w:tcW w:w="1560" w:type="dxa"/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7</w:t>
            </w:r>
          </w:p>
        </w:tc>
        <w:tc>
          <w:tcPr>
            <w:tcW w:w="1984" w:type="dxa"/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195B91">
              <w:t>.</w:t>
            </w:r>
            <w:r>
              <w:t xml:space="preserve"> 011**</w:t>
            </w:r>
          </w:p>
        </w:tc>
        <w:tc>
          <w:tcPr>
            <w:tcW w:w="1278" w:type="dxa"/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195B91">
              <w:t>.</w:t>
            </w:r>
            <w:r>
              <w:t xml:space="preserve"> </w:t>
            </w:r>
            <w:r w:rsidRPr="0057733F">
              <w:t>004</w:t>
            </w:r>
          </w:p>
        </w:tc>
        <w:tc>
          <w:tcPr>
            <w:tcW w:w="990" w:type="dxa"/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195B91">
              <w:t>0.</w:t>
            </w:r>
            <w:r w:rsidRPr="0057733F">
              <w:t>006</w:t>
            </w:r>
          </w:p>
        </w:tc>
        <w:tc>
          <w:tcPr>
            <w:tcW w:w="1134" w:type="dxa"/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57733F">
              <w:t>.003</w:t>
            </w:r>
          </w:p>
        </w:tc>
        <w:tc>
          <w:tcPr>
            <w:tcW w:w="1276" w:type="dxa"/>
          </w:tcPr>
          <w:p w:rsidR="002C4E1E" w:rsidRPr="00195B91" w:rsidRDefault="002C4E1E" w:rsidP="00303E54">
            <w:r>
              <w:t>.019</w:t>
            </w:r>
          </w:p>
        </w:tc>
      </w:tr>
      <w:tr w:rsidR="002C4E1E" w:rsidTr="00303E54">
        <w:tc>
          <w:tcPr>
            <w:tcW w:w="1560" w:type="dxa"/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195B91">
              <w:t>.</w:t>
            </w:r>
            <w:r>
              <w:t xml:space="preserve"> 010*</w:t>
            </w:r>
          </w:p>
        </w:tc>
        <w:tc>
          <w:tcPr>
            <w:tcW w:w="1278" w:type="dxa"/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195B91">
              <w:t>.</w:t>
            </w:r>
            <w:r>
              <w:t xml:space="preserve"> </w:t>
            </w:r>
            <w:r w:rsidRPr="0057733F">
              <w:t>005</w:t>
            </w:r>
          </w:p>
        </w:tc>
        <w:tc>
          <w:tcPr>
            <w:tcW w:w="990" w:type="dxa"/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195B91">
              <w:t>0.</w:t>
            </w:r>
            <w:r w:rsidRPr="0057733F">
              <w:t>066</w:t>
            </w:r>
          </w:p>
        </w:tc>
        <w:tc>
          <w:tcPr>
            <w:tcW w:w="1134" w:type="dxa"/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57733F">
              <w:t>-.00</w:t>
            </w:r>
            <w:r>
              <w:t>1</w:t>
            </w:r>
          </w:p>
        </w:tc>
        <w:tc>
          <w:tcPr>
            <w:tcW w:w="1276" w:type="dxa"/>
          </w:tcPr>
          <w:p w:rsidR="002C4E1E" w:rsidRPr="00195B91" w:rsidRDefault="002C4E1E" w:rsidP="00303E54">
            <w:r>
              <w:t>.020</w:t>
            </w:r>
          </w:p>
        </w:tc>
      </w:tr>
      <w:tr w:rsidR="002C4E1E" w:rsidTr="00303E54">
        <w:tc>
          <w:tcPr>
            <w:tcW w:w="1560" w:type="dxa"/>
            <w:tcBorders>
              <w:bottom w:val="nil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9</w:t>
            </w:r>
          </w:p>
        </w:tc>
        <w:tc>
          <w:tcPr>
            <w:tcW w:w="1984" w:type="dxa"/>
            <w:tcBorders>
              <w:bottom w:val="nil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195B91">
              <w:t>.</w:t>
            </w:r>
            <w:r>
              <w:t xml:space="preserve"> 008</w:t>
            </w:r>
          </w:p>
        </w:tc>
        <w:tc>
          <w:tcPr>
            <w:tcW w:w="1278" w:type="dxa"/>
            <w:tcBorders>
              <w:bottom w:val="nil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195B91">
              <w:t>.</w:t>
            </w:r>
            <w:r>
              <w:t xml:space="preserve"> 008</w:t>
            </w:r>
          </w:p>
        </w:tc>
        <w:tc>
          <w:tcPr>
            <w:tcW w:w="990" w:type="dxa"/>
            <w:tcBorders>
              <w:bottom w:val="nil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195B91">
              <w:t>0.</w:t>
            </w:r>
            <w:r w:rsidRPr="0057733F">
              <w:t>270</w:t>
            </w:r>
          </w:p>
        </w:tc>
        <w:tc>
          <w:tcPr>
            <w:tcW w:w="1134" w:type="dxa"/>
            <w:tcBorders>
              <w:bottom w:val="nil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>
              <w:t>-.007</w:t>
            </w:r>
          </w:p>
        </w:tc>
        <w:tc>
          <w:tcPr>
            <w:tcW w:w="1276" w:type="dxa"/>
            <w:tcBorders>
              <w:bottom w:val="nil"/>
            </w:tcBorders>
          </w:tcPr>
          <w:p w:rsidR="002C4E1E" w:rsidRPr="00195B91" w:rsidRDefault="002C4E1E" w:rsidP="00303E54">
            <w:r>
              <w:t>.024</w:t>
            </w:r>
          </w:p>
        </w:tc>
      </w:tr>
      <w:tr w:rsidR="002C4E1E" w:rsidTr="00303E54">
        <w:tc>
          <w:tcPr>
            <w:tcW w:w="1560" w:type="dxa"/>
            <w:tcBorders>
              <w:top w:val="nil"/>
              <w:bottom w:val="single" w:sz="12" w:space="0" w:color="auto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195B91">
              <w:t>.</w:t>
            </w:r>
            <w:r>
              <w:t xml:space="preserve"> 007</w:t>
            </w:r>
          </w:p>
        </w:tc>
        <w:tc>
          <w:tcPr>
            <w:tcW w:w="1278" w:type="dxa"/>
            <w:tcBorders>
              <w:top w:val="nil"/>
              <w:bottom w:val="single" w:sz="12" w:space="0" w:color="auto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195B91">
              <w:t>.</w:t>
            </w:r>
            <w:r>
              <w:t xml:space="preserve"> 010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 w:rsidRPr="00195B91">
              <w:t>0.</w:t>
            </w:r>
            <w:r w:rsidRPr="0057733F">
              <w:t>447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2C4E1E" w:rsidRDefault="002C4E1E" w:rsidP="00303E54">
            <w:pPr>
              <w:spacing w:line="324" w:lineRule="auto"/>
              <w:jc w:val="both"/>
              <w:rPr>
                <w:rFonts w:eastAsiaTheme="minorEastAsia"/>
                <w:sz w:val="24"/>
                <w:lang w:val="en-US"/>
              </w:rPr>
            </w:pPr>
            <w:r>
              <w:t>-.012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C4E1E" w:rsidRPr="00195B91" w:rsidRDefault="002C4E1E" w:rsidP="00303E54">
            <w:r>
              <w:t>.027</w:t>
            </w:r>
          </w:p>
        </w:tc>
      </w:tr>
    </w:tbl>
    <w:p w:rsidR="002C4E1E" w:rsidRPr="00B3282D" w:rsidRDefault="002C4E1E" w:rsidP="002C4E1E">
      <w:pPr>
        <w:pStyle w:val="Liststycke"/>
        <w:rPr>
          <w:lang w:val="en-US"/>
        </w:rPr>
      </w:pPr>
    </w:p>
    <w:p w:rsidR="00374AE1" w:rsidRDefault="00374AE1"/>
    <w:sectPr w:rsidR="00374AE1" w:rsidSect="00D94AA4">
      <w:type w:val="continuous"/>
      <w:pgSz w:w="11906" w:h="16838"/>
      <w:pgMar w:top="1440" w:right="1814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TTec369687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MTS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c6ee16d2.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A2337"/>
    <w:multiLevelType w:val="hybridMultilevel"/>
    <w:tmpl w:val="87F2B09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1E"/>
    <w:rsid w:val="000D1E19"/>
    <w:rsid w:val="002C4E1E"/>
    <w:rsid w:val="00374AE1"/>
    <w:rsid w:val="00B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F949"/>
  <w15:chartTrackingRefBased/>
  <w15:docId w15:val="{1AD40D7C-290E-4A69-8607-F26A9E94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E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Stilren">
    <w:name w:val="Stilren"/>
    <w:basedOn w:val="Enkeltabell1"/>
    <w:uiPriority w:val="99"/>
    <w:rsid w:val="002C4E1E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cPr>
      <w:shd w:val="clear" w:color="auto" w:fill="FFFFFF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2C4E1E"/>
    <w:pPr>
      <w:ind w:left="720"/>
      <w:contextualSpacing/>
    </w:pPr>
  </w:style>
  <w:style w:type="table" w:styleId="Tabellrutnt">
    <w:name w:val="Table Grid"/>
    <w:basedOn w:val="Normaltabell"/>
    <w:uiPriority w:val="39"/>
    <w:rsid w:val="002C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nkeltabell1">
    <w:name w:val="Table Simple 1"/>
    <w:basedOn w:val="Normaltabell"/>
    <w:uiPriority w:val="99"/>
    <w:semiHidden/>
    <w:unhideWhenUsed/>
    <w:rsid w:val="002C4E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336</Words>
  <Characters>1842</Characters>
  <Application>Microsoft Office Word</Application>
  <DocSecurity>0</DocSecurity>
  <Lines>42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</dc:creator>
  <cp:keywords/>
  <dc:description/>
  <cp:lastModifiedBy>Johan H</cp:lastModifiedBy>
  <cp:revision>1</cp:revision>
  <dcterms:created xsi:type="dcterms:W3CDTF">2018-04-11T12:25:00Z</dcterms:created>
  <dcterms:modified xsi:type="dcterms:W3CDTF">2018-04-11T12:33:00Z</dcterms:modified>
</cp:coreProperties>
</file>