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9C1" w:rsidRDefault="009839C1" w:rsidP="009839C1">
      <w:pPr>
        <w:pStyle w:val="Title"/>
      </w:pPr>
      <w:r>
        <w:t>Appendix</w:t>
      </w:r>
    </w:p>
    <w:p w:rsidR="00082E0D" w:rsidRPr="00C01032" w:rsidRDefault="00C01032" w:rsidP="009839C1">
      <w:pPr>
        <w:pStyle w:val="Heading1"/>
      </w:pPr>
      <w:r w:rsidRPr="00C01032">
        <w:t>I</w:t>
      </w:r>
      <w:r w:rsidR="009839C1">
        <w:t>.</w:t>
      </w:r>
      <w:r w:rsidR="00834E04" w:rsidRPr="00C01032">
        <w:t xml:space="preserve"> Descriptive </w:t>
      </w:r>
      <w:r w:rsidR="009839C1">
        <w:t>S</w:t>
      </w:r>
      <w:r w:rsidR="00834E04" w:rsidRPr="00C01032">
        <w:t xml:space="preserve">tatistics of the </w:t>
      </w:r>
      <w:r w:rsidR="009839C1">
        <w:t>V</w:t>
      </w:r>
      <w:r w:rsidR="00834E04" w:rsidRPr="00C01032">
        <w:t>ariables</w:t>
      </w:r>
    </w:p>
    <w:p w:rsidR="0085327B" w:rsidRPr="00C01032" w:rsidRDefault="0085327B" w:rsidP="00C01032">
      <w:r w:rsidRPr="00C01032">
        <w:t>To measure citizens’ freedom to discuss political issues and formulate opinions, we rely on the V-Dem’s “Freedom of expression index” (v2x_freexp_thick), which combines the freedom of discussion and academic expression, no print, broadcast, and internet censorship, no media self-censorship, and no harassment of journalists.</w:t>
      </w:r>
    </w:p>
    <w:p w:rsidR="0085327B" w:rsidRPr="00C01032" w:rsidRDefault="0085327B" w:rsidP="00C01032">
      <w:r w:rsidRPr="00C01032">
        <w:t>To measure citizens’ access to alternative sources of information, we rely on V-Dem’s “Alternative source information index” (v2xme_altinf), which measures the extent to which there is a media bias against the opposition, whether media criticize the government, and whether media represent a wide range of political perspectives.</w:t>
      </w:r>
    </w:p>
    <w:p w:rsidR="0085327B" w:rsidRPr="00C01032" w:rsidRDefault="0085327B" w:rsidP="00C01032">
      <w:r w:rsidRPr="00C01032">
        <w:t>To capture the quality of competitive elections, we rely on V-Dem’s “Electoral component index” (v2x_EDcomp_thick). Consistent with the features of polyarchy that focus on the electoral mechanism, this index combines the following elements: whether suffrage is extensive; political and civil society organizations can operate freely; elections are clean and not marred by fraud; and the chief executive is selected through elections.</w:t>
      </w:r>
    </w:p>
    <w:p w:rsidR="0085327B" w:rsidRPr="00C01032" w:rsidRDefault="0085327B" w:rsidP="00C01032">
      <w:r w:rsidRPr="00C01032">
        <w:t>We here describe these variables in turn.</w:t>
      </w:r>
    </w:p>
    <w:p w:rsidR="005805C7" w:rsidRDefault="005805C7" w:rsidP="00C01032">
      <w:pPr>
        <w:rPr>
          <w:rFonts w:asciiTheme="majorHAnsi" w:eastAsiaTheme="majorEastAsia" w:hAnsiTheme="majorHAnsi" w:cstheme="majorBidi"/>
          <w:color w:val="000000" w:themeColor="text1"/>
          <w:sz w:val="28"/>
          <w:szCs w:val="26"/>
          <w:u w:val="single"/>
          <w:lang w:eastAsia="ar-SA"/>
        </w:rPr>
      </w:pPr>
      <w:r>
        <w:rPr>
          <w:lang w:eastAsia="ar-SA"/>
        </w:rPr>
        <w:br w:type="page"/>
      </w:r>
    </w:p>
    <w:p w:rsidR="00834E04" w:rsidRPr="00C01032" w:rsidRDefault="00834E04" w:rsidP="009839C1">
      <w:pPr>
        <w:pStyle w:val="Heading2"/>
      </w:pPr>
      <w:r w:rsidRPr="00C01032">
        <w:lastRenderedPageBreak/>
        <w:t xml:space="preserve">Freedom of </w:t>
      </w:r>
      <w:r w:rsidR="009839C1">
        <w:t>Ex</w:t>
      </w:r>
      <w:r w:rsidRPr="00C01032">
        <w:t xml:space="preserve">pression </w:t>
      </w:r>
      <w:r w:rsidR="009839C1">
        <w:t>I</w:t>
      </w:r>
      <w:r w:rsidRPr="00C01032">
        <w:t>ndex (v2x_freexp_thick)</w:t>
      </w:r>
    </w:p>
    <w:p w:rsidR="005805C7" w:rsidRDefault="005805C7" w:rsidP="00C01032">
      <w:pPr>
        <w:pStyle w:val="Figuretext"/>
        <w:spacing w:before="0" w:after="0" w:line="240" w:lineRule="auto"/>
      </w:pPr>
      <w:r w:rsidRPr="00C01032">
        <w:t>Table 1. Descriptive statistics of the Fr</w:t>
      </w:r>
      <w:r w:rsidR="00C01032">
        <w:t>eedom of expression i</w:t>
      </w:r>
      <w:r w:rsidRPr="00C01032">
        <w:t>ndex in both continuous and categorized formats.</w:t>
      </w:r>
    </w:p>
    <w:p w:rsidR="00C01032" w:rsidRPr="00C01032" w:rsidRDefault="00C01032" w:rsidP="00C01032"/>
    <w:tbl>
      <w:tblPr>
        <w:tblStyle w:val="PlainTable5"/>
        <w:tblW w:w="0" w:type="auto"/>
        <w:jc w:val="center"/>
        <w:tblLook w:val="0600" w:firstRow="0" w:lastRow="0" w:firstColumn="0" w:lastColumn="0" w:noHBand="1" w:noVBand="1"/>
      </w:tblPr>
      <w:tblGrid>
        <w:gridCol w:w="1658"/>
        <w:gridCol w:w="883"/>
        <w:gridCol w:w="700"/>
        <w:gridCol w:w="1071"/>
        <w:gridCol w:w="1100"/>
        <w:gridCol w:w="937"/>
      </w:tblGrid>
      <w:tr w:rsidR="005805C7" w:rsidRPr="0085327B" w:rsidTr="00C01032">
        <w:trPr>
          <w:jc w:val="center"/>
        </w:trPr>
        <w:tc>
          <w:tcPr>
            <w:tcW w:w="0" w:type="auto"/>
            <w:noWrap/>
            <w:hideMark/>
          </w:tcPr>
          <w:p w:rsidR="0085327B" w:rsidRPr="0085327B" w:rsidRDefault="0085327B" w:rsidP="00C01032">
            <w:pPr>
              <w:jc w:val="center"/>
            </w:pPr>
          </w:p>
        </w:tc>
        <w:tc>
          <w:tcPr>
            <w:tcW w:w="0" w:type="auto"/>
            <w:noWrap/>
            <w:hideMark/>
          </w:tcPr>
          <w:p w:rsidR="0085327B" w:rsidRPr="00C01032" w:rsidRDefault="0085327B" w:rsidP="00C01032">
            <w:pPr>
              <w:spacing w:after="0" w:line="240" w:lineRule="auto"/>
              <w:jc w:val="center"/>
              <w:rPr>
                <w:b/>
                <w:i/>
                <w:sz w:val="20"/>
                <w:lang w:eastAsia="ar-SA"/>
              </w:rPr>
            </w:pPr>
            <w:r w:rsidRPr="00C01032">
              <w:rPr>
                <w:b/>
                <w:i/>
                <w:sz w:val="20"/>
                <w:lang w:eastAsia="ar-SA"/>
              </w:rPr>
              <w:t>Valid N</w:t>
            </w:r>
          </w:p>
        </w:tc>
        <w:tc>
          <w:tcPr>
            <w:tcW w:w="0" w:type="auto"/>
            <w:noWrap/>
            <w:hideMark/>
          </w:tcPr>
          <w:p w:rsidR="0085327B" w:rsidRPr="00C01032" w:rsidRDefault="0085327B" w:rsidP="00C01032">
            <w:pPr>
              <w:spacing w:after="0" w:line="240" w:lineRule="auto"/>
              <w:jc w:val="center"/>
              <w:rPr>
                <w:b/>
                <w:i/>
                <w:sz w:val="20"/>
                <w:lang w:eastAsia="ar-SA"/>
              </w:rPr>
            </w:pPr>
            <w:r w:rsidRPr="00C01032">
              <w:rPr>
                <w:b/>
                <w:i/>
                <w:sz w:val="20"/>
                <w:lang w:eastAsia="ar-SA"/>
              </w:rPr>
              <w:t>Mean</w:t>
            </w:r>
          </w:p>
        </w:tc>
        <w:tc>
          <w:tcPr>
            <w:tcW w:w="0" w:type="auto"/>
            <w:noWrap/>
            <w:hideMark/>
          </w:tcPr>
          <w:p w:rsidR="0085327B" w:rsidRPr="00C01032" w:rsidRDefault="0085327B" w:rsidP="00C01032">
            <w:pPr>
              <w:spacing w:after="0" w:line="240" w:lineRule="auto"/>
              <w:jc w:val="center"/>
              <w:rPr>
                <w:b/>
                <w:i/>
                <w:sz w:val="20"/>
                <w:lang w:eastAsia="ar-SA"/>
              </w:rPr>
            </w:pPr>
            <w:r w:rsidRPr="00C01032">
              <w:rPr>
                <w:b/>
                <w:i/>
                <w:sz w:val="20"/>
                <w:lang w:eastAsia="ar-SA"/>
              </w:rPr>
              <w:t>Minimum</w:t>
            </w:r>
          </w:p>
        </w:tc>
        <w:tc>
          <w:tcPr>
            <w:tcW w:w="0" w:type="auto"/>
            <w:noWrap/>
            <w:hideMark/>
          </w:tcPr>
          <w:p w:rsidR="0085327B" w:rsidRPr="00C01032" w:rsidRDefault="0085327B" w:rsidP="00C01032">
            <w:pPr>
              <w:spacing w:after="0" w:line="240" w:lineRule="auto"/>
              <w:jc w:val="center"/>
              <w:rPr>
                <w:b/>
                <w:i/>
                <w:sz w:val="20"/>
                <w:lang w:eastAsia="ar-SA"/>
              </w:rPr>
            </w:pPr>
            <w:r w:rsidRPr="00C01032">
              <w:rPr>
                <w:b/>
                <w:i/>
                <w:sz w:val="20"/>
                <w:lang w:eastAsia="ar-SA"/>
              </w:rPr>
              <w:t>Maximum</w:t>
            </w:r>
          </w:p>
        </w:tc>
        <w:tc>
          <w:tcPr>
            <w:tcW w:w="0" w:type="auto"/>
            <w:noWrap/>
            <w:hideMark/>
          </w:tcPr>
          <w:p w:rsidR="0085327B" w:rsidRPr="00C01032" w:rsidRDefault="0085327B" w:rsidP="00C01032">
            <w:pPr>
              <w:spacing w:after="0" w:line="240" w:lineRule="auto"/>
              <w:jc w:val="center"/>
              <w:rPr>
                <w:b/>
                <w:i/>
                <w:sz w:val="20"/>
                <w:lang w:eastAsia="ar-SA"/>
              </w:rPr>
            </w:pPr>
            <w:r w:rsidRPr="00C01032">
              <w:rPr>
                <w:b/>
                <w:i/>
                <w:sz w:val="20"/>
                <w:lang w:eastAsia="ar-SA"/>
              </w:rPr>
              <w:t>Std.Dev.</w:t>
            </w:r>
          </w:p>
        </w:tc>
      </w:tr>
      <w:tr w:rsidR="0085327B" w:rsidRPr="0085327B" w:rsidTr="00C01032">
        <w:trPr>
          <w:jc w:val="center"/>
        </w:trPr>
        <w:tc>
          <w:tcPr>
            <w:tcW w:w="0" w:type="auto"/>
            <w:noWrap/>
            <w:hideMark/>
          </w:tcPr>
          <w:p w:rsidR="0085327B" w:rsidRPr="00C01032" w:rsidRDefault="0085327B" w:rsidP="00C01032">
            <w:pPr>
              <w:spacing w:after="0" w:line="240" w:lineRule="auto"/>
              <w:jc w:val="left"/>
              <w:rPr>
                <w:b/>
                <w:i/>
                <w:sz w:val="20"/>
                <w:lang w:eastAsia="ar-SA"/>
              </w:rPr>
            </w:pPr>
            <w:r w:rsidRPr="00C01032">
              <w:rPr>
                <w:b/>
                <w:i/>
                <w:sz w:val="20"/>
                <w:lang w:eastAsia="ar-SA"/>
              </w:rPr>
              <w:t>v2x_freexp_thick</w:t>
            </w:r>
          </w:p>
        </w:tc>
        <w:tc>
          <w:tcPr>
            <w:tcW w:w="0" w:type="auto"/>
            <w:noWrap/>
            <w:hideMark/>
          </w:tcPr>
          <w:p w:rsidR="0085327B" w:rsidRPr="00C01032" w:rsidRDefault="0085327B" w:rsidP="00A4371C">
            <w:pPr>
              <w:jc w:val="center"/>
              <w:rPr>
                <w:rFonts w:eastAsia="MS Gothic"/>
                <w:bCs/>
                <w:color w:val="000000"/>
                <w:sz w:val="20"/>
              </w:rPr>
            </w:pPr>
            <w:r w:rsidRPr="00A4371C">
              <w:rPr>
                <w:sz w:val="20"/>
              </w:rPr>
              <w:t>15941</w:t>
            </w:r>
          </w:p>
        </w:tc>
        <w:tc>
          <w:tcPr>
            <w:tcW w:w="0" w:type="auto"/>
            <w:noWrap/>
            <w:hideMark/>
          </w:tcPr>
          <w:p w:rsidR="0085327B" w:rsidRPr="00C01032" w:rsidRDefault="0085327B" w:rsidP="00A4371C">
            <w:pPr>
              <w:jc w:val="center"/>
              <w:rPr>
                <w:rFonts w:eastAsia="MS Gothic"/>
                <w:bCs/>
                <w:color w:val="000000"/>
                <w:sz w:val="20"/>
              </w:rPr>
            </w:pPr>
            <w:r w:rsidRPr="00C01032">
              <w:rPr>
                <w:rFonts w:eastAsia="MS Gothic"/>
                <w:bCs/>
                <w:color w:val="000000"/>
                <w:sz w:val="20"/>
              </w:rPr>
              <w:t>0.49</w:t>
            </w:r>
            <w:r w:rsidR="005805C7" w:rsidRPr="00C01032">
              <w:rPr>
                <w:rFonts w:eastAsia="MS Gothic"/>
                <w:bCs/>
                <w:color w:val="000000"/>
                <w:sz w:val="20"/>
              </w:rPr>
              <w:t>2</w:t>
            </w:r>
          </w:p>
        </w:tc>
        <w:tc>
          <w:tcPr>
            <w:tcW w:w="0" w:type="auto"/>
            <w:noWrap/>
            <w:hideMark/>
          </w:tcPr>
          <w:p w:rsidR="0085327B" w:rsidRPr="00C01032" w:rsidRDefault="0085327B" w:rsidP="00A4371C">
            <w:pPr>
              <w:rPr>
                <w:rFonts w:eastAsia="MS Gothic"/>
                <w:bCs/>
                <w:color w:val="000000"/>
                <w:sz w:val="20"/>
              </w:rPr>
            </w:pPr>
            <w:r w:rsidRPr="00C01032">
              <w:rPr>
                <w:rFonts w:eastAsia="MS Gothic"/>
                <w:bCs/>
                <w:color w:val="000000"/>
                <w:sz w:val="20"/>
              </w:rPr>
              <w:t>0.02</w:t>
            </w:r>
            <w:r w:rsidR="005805C7" w:rsidRPr="00C01032">
              <w:rPr>
                <w:rFonts w:eastAsia="MS Gothic"/>
                <w:bCs/>
                <w:color w:val="000000"/>
                <w:sz w:val="20"/>
              </w:rPr>
              <w:t>2</w:t>
            </w:r>
          </w:p>
        </w:tc>
        <w:tc>
          <w:tcPr>
            <w:tcW w:w="0" w:type="auto"/>
            <w:noWrap/>
            <w:hideMark/>
          </w:tcPr>
          <w:p w:rsidR="0085327B" w:rsidRPr="00C01032" w:rsidRDefault="0085327B" w:rsidP="00A4371C">
            <w:pPr>
              <w:jc w:val="center"/>
              <w:rPr>
                <w:rFonts w:eastAsia="MS Gothic"/>
                <w:bCs/>
                <w:color w:val="000000"/>
                <w:sz w:val="20"/>
              </w:rPr>
            </w:pPr>
            <w:r w:rsidRPr="00C01032">
              <w:rPr>
                <w:rFonts w:eastAsia="MS Gothic"/>
                <w:bCs/>
                <w:color w:val="000000"/>
                <w:sz w:val="20"/>
              </w:rPr>
              <w:t>0.992</w:t>
            </w:r>
          </w:p>
        </w:tc>
        <w:tc>
          <w:tcPr>
            <w:tcW w:w="0" w:type="auto"/>
            <w:noWrap/>
            <w:hideMark/>
          </w:tcPr>
          <w:p w:rsidR="0085327B" w:rsidRPr="00C01032" w:rsidRDefault="0085327B" w:rsidP="00A4371C">
            <w:pPr>
              <w:jc w:val="center"/>
              <w:rPr>
                <w:rFonts w:eastAsia="MS Gothic"/>
                <w:bCs/>
                <w:color w:val="000000"/>
                <w:sz w:val="20"/>
              </w:rPr>
            </w:pPr>
            <w:r w:rsidRPr="00C01032">
              <w:rPr>
                <w:rFonts w:eastAsia="MS Gothic"/>
                <w:bCs/>
                <w:color w:val="000000"/>
                <w:sz w:val="20"/>
              </w:rPr>
              <w:t>0.30</w:t>
            </w:r>
            <w:r w:rsidR="005805C7" w:rsidRPr="00C01032">
              <w:rPr>
                <w:rFonts w:eastAsia="MS Gothic"/>
                <w:bCs/>
                <w:color w:val="000000"/>
                <w:sz w:val="20"/>
              </w:rPr>
              <w:t>2</w:t>
            </w:r>
          </w:p>
        </w:tc>
      </w:tr>
      <w:tr w:rsidR="0085327B" w:rsidRPr="00A4371C" w:rsidTr="00C01032">
        <w:trPr>
          <w:jc w:val="center"/>
        </w:trPr>
        <w:tc>
          <w:tcPr>
            <w:tcW w:w="0" w:type="auto"/>
            <w:noWrap/>
            <w:hideMark/>
          </w:tcPr>
          <w:p w:rsidR="0085327B" w:rsidRPr="00A4371C" w:rsidRDefault="0085327B" w:rsidP="00A4371C">
            <w:pPr>
              <w:spacing w:after="0" w:line="240" w:lineRule="auto"/>
              <w:jc w:val="left"/>
              <w:rPr>
                <w:b/>
                <w:i/>
                <w:sz w:val="20"/>
                <w:lang w:eastAsia="ar-SA"/>
              </w:rPr>
            </w:pPr>
            <w:r w:rsidRPr="00A4371C">
              <w:rPr>
                <w:b/>
                <w:i/>
                <w:sz w:val="20"/>
                <w:lang w:eastAsia="ar-SA"/>
              </w:rPr>
              <w:t>v2x_freexp5C</w:t>
            </w:r>
          </w:p>
        </w:tc>
        <w:tc>
          <w:tcPr>
            <w:tcW w:w="0" w:type="auto"/>
            <w:noWrap/>
            <w:hideMark/>
          </w:tcPr>
          <w:p w:rsidR="0085327B" w:rsidRPr="00A4371C" w:rsidRDefault="0085327B" w:rsidP="00A4371C">
            <w:pPr>
              <w:jc w:val="center"/>
              <w:rPr>
                <w:rFonts w:eastAsia="MS Gothic"/>
                <w:bCs/>
                <w:color w:val="000000"/>
                <w:sz w:val="20"/>
              </w:rPr>
            </w:pPr>
            <w:r w:rsidRPr="00A4371C">
              <w:rPr>
                <w:rFonts w:eastAsia="MS Gothic"/>
                <w:bCs/>
                <w:color w:val="000000"/>
                <w:sz w:val="20"/>
              </w:rPr>
              <w:t>15969</w:t>
            </w:r>
          </w:p>
        </w:tc>
        <w:tc>
          <w:tcPr>
            <w:tcW w:w="0" w:type="auto"/>
            <w:noWrap/>
            <w:hideMark/>
          </w:tcPr>
          <w:p w:rsidR="0085327B" w:rsidRPr="00A4371C" w:rsidRDefault="0085327B" w:rsidP="00A4371C">
            <w:pPr>
              <w:jc w:val="center"/>
              <w:rPr>
                <w:rFonts w:eastAsia="MS Gothic"/>
                <w:bCs/>
                <w:color w:val="000000"/>
                <w:sz w:val="20"/>
              </w:rPr>
            </w:pPr>
            <w:r w:rsidRPr="00A4371C">
              <w:rPr>
                <w:rFonts w:eastAsia="MS Gothic"/>
                <w:bCs/>
                <w:color w:val="000000"/>
                <w:sz w:val="20"/>
              </w:rPr>
              <w:t>0.48</w:t>
            </w:r>
            <w:r w:rsidR="005805C7" w:rsidRPr="00A4371C">
              <w:rPr>
                <w:rFonts w:eastAsia="MS Gothic"/>
                <w:bCs/>
                <w:color w:val="000000"/>
                <w:sz w:val="20"/>
              </w:rPr>
              <w:t>7</w:t>
            </w:r>
          </w:p>
        </w:tc>
        <w:tc>
          <w:tcPr>
            <w:tcW w:w="0" w:type="auto"/>
            <w:noWrap/>
            <w:hideMark/>
          </w:tcPr>
          <w:p w:rsidR="0085327B" w:rsidRPr="00A4371C" w:rsidRDefault="005805C7" w:rsidP="00A4371C">
            <w:pPr>
              <w:jc w:val="center"/>
              <w:rPr>
                <w:rFonts w:eastAsia="MS Gothic"/>
                <w:bCs/>
                <w:color w:val="000000"/>
                <w:sz w:val="20"/>
              </w:rPr>
            </w:pPr>
            <w:r w:rsidRPr="00A4371C">
              <w:rPr>
                <w:rFonts w:eastAsia="MS Gothic"/>
                <w:bCs/>
                <w:color w:val="000000"/>
                <w:sz w:val="20"/>
              </w:rPr>
              <w:t>0</w:t>
            </w:r>
          </w:p>
        </w:tc>
        <w:tc>
          <w:tcPr>
            <w:tcW w:w="0" w:type="auto"/>
            <w:noWrap/>
            <w:hideMark/>
          </w:tcPr>
          <w:p w:rsidR="0085327B" w:rsidRPr="00A4371C" w:rsidRDefault="005805C7" w:rsidP="00A4371C">
            <w:pPr>
              <w:jc w:val="center"/>
              <w:rPr>
                <w:rFonts w:eastAsia="MS Gothic"/>
                <w:bCs/>
                <w:color w:val="000000"/>
                <w:sz w:val="20"/>
              </w:rPr>
            </w:pPr>
            <w:r w:rsidRPr="00A4371C">
              <w:rPr>
                <w:rFonts w:eastAsia="MS Gothic"/>
                <w:bCs/>
                <w:color w:val="000000"/>
                <w:sz w:val="20"/>
              </w:rPr>
              <w:t>1</w:t>
            </w:r>
          </w:p>
        </w:tc>
        <w:tc>
          <w:tcPr>
            <w:tcW w:w="0" w:type="auto"/>
            <w:noWrap/>
            <w:hideMark/>
          </w:tcPr>
          <w:p w:rsidR="0085327B" w:rsidRPr="00A4371C" w:rsidRDefault="0085327B" w:rsidP="00A4371C">
            <w:pPr>
              <w:jc w:val="center"/>
              <w:rPr>
                <w:rFonts w:eastAsia="MS Gothic"/>
                <w:bCs/>
                <w:color w:val="000000"/>
                <w:sz w:val="20"/>
              </w:rPr>
            </w:pPr>
            <w:r w:rsidRPr="00A4371C">
              <w:rPr>
                <w:rFonts w:eastAsia="MS Gothic"/>
                <w:bCs/>
                <w:color w:val="000000"/>
                <w:sz w:val="20"/>
              </w:rPr>
              <w:t>0.365</w:t>
            </w:r>
          </w:p>
        </w:tc>
      </w:tr>
    </w:tbl>
    <w:p w:rsidR="00A45B95" w:rsidRPr="00A4371C" w:rsidRDefault="00A45B95" w:rsidP="00A4371C">
      <w:pPr>
        <w:rPr>
          <w:sz w:val="20"/>
        </w:rPr>
      </w:pPr>
    </w:p>
    <w:p w:rsidR="00A45B95" w:rsidRPr="00C01032" w:rsidRDefault="0085327B" w:rsidP="00C01032">
      <w:pPr>
        <w:pStyle w:val="Figure"/>
      </w:pPr>
      <w:r w:rsidRPr="00C01032">
        <w:object w:dxaOrig="9071" w:dyaOrig="6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1pt" o:ole="">
            <v:imagedata r:id="rId8" o:title=""/>
          </v:shape>
          <o:OLEObject Type="Embed" ProgID="STATISTICA.Graph" ShapeID="_x0000_i1025" DrawAspect="Content" ObjectID="_1578133891" r:id="rId9">
            <o:FieldCodes>\s</o:FieldCodes>
          </o:OLEObject>
        </w:object>
      </w:r>
      <w:r w:rsidR="00A45B95" w:rsidRPr="00C01032">
        <w:t xml:space="preserve"> </w:t>
      </w:r>
    </w:p>
    <w:p w:rsidR="00A45B95" w:rsidRPr="00C01032" w:rsidRDefault="00A45B95" w:rsidP="00C01032">
      <w:pPr>
        <w:pStyle w:val="Figuretext"/>
      </w:pPr>
      <w:r w:rsidRPr="00C01032">
        <w:rPr>
          <w:lang w:eastAsia="ar-SA"/>
        </w:rPr>
        <w:t>Figure 1. Histogram</w:t>
      </w:r>
      <w:r w:rsidR="00D92343" w:rsidRPr="00C01032">
        <w:rPr>
          <w:lang w:eastAsia="ar-SA"/>
        </w:rPr>
        <w:t>s</w:t>
      </w:r>
      <w:r w:rsidRPr="00C01032">
        <w:rPr>
          <w:lang w:eastAsia="ar-SA"/>
        </w:rPr>
        <w:t xml:space="preserve"> of the Freedom of expression index in both continuous and categorized formats.</w:t>
      </w:r>
    </w:p>
    <w:p w:rsidR="005805C7" w:rsidRDefault="005805C7" w:rsidP="00C01032">
      <w:pPr>
        <w:rPr>
          <w:lang w:eastAsia="ar-SA"/>
        </w:rPr>
      </w:pPr>
      <w:r>
        <w:rPr>
          <w:lang w:eastAsia="ar-SA"/>
        </w:rPr>
        <w:br w:type="page"/>
      </w:r>
    </w:p>
    <w:p w:rsidR="00834E04" w:rsidRDefault="00834E04" w:rsidP="009839C1">
      <w:pPr>
        <w:pStyle w:val="Heading2"/>
        <w:rPr>
          <w:lang w:eastAsia="ar-SA"/>
        </w:rPr>
      </w:pPr>
      <w:r w:rsidRPr="00834E04">
        <w:rPr>
          <w:lang w:eastAsia="ar-SA"/>
        </w:rPr>
        <w:lastRenderedPageBreak/>
        <w:t xml:space="preserve">Alternative </w:t>
      </w:r>
      <w:r w:rsidR="009839C1">
        <w:rPr>
          <w:lang w:eastAsia="ar-SA"/>
        </w:rPr>
        <w:t>S</w:t>
      </w:r>
      <w:r w:rsidRPr="00834E04">
        <w:rPr>
          <w:lang w:eastAsia="ar-SA"/>
        </w:rPr>
        <w:t xml:space="preserve">ource </w:t>
      </w:r>
      <w:r w:rsidR="009839C1">
        <w:rPr>
          <w:lang w:eastAsia="ar-SA"/>
        </w:rPr>
        <w:t>I</w:t>
      </w:r>
      <w:r w:rsidRPr="00834E04">
        <w:rPr>
          <w:lang w:eastAsia="ar-SA"/>
        </w:rPr>
        <w:t xml:space="preserve">nformation </w:t>
      </w:r>
      <w:r w:rsidR="009839C1">
        <w:rPr>
          <w:lang w:eastAsia="ar-SA"/>
        </w:rPr>
        <w:t>I</w:t>
      </w:r>
      <w:r w:rsidRPr="00834E04">
        <w:rPr>
          <w:lang w:eastAsia="ar-SA"/>
        </w:rPr>
        <w:t>ndex (v2x</w:t>
      </w:r>
      <w:r>
        <w:rPr>
          <w:lang w:eastAsia="ar-SA"/>
        </w:rPr>
        <w:t>me_altinf</w:t>
      </w:r>
      <w:r w:rsidRPr="00834E04">
        <w:rPr>
          <w:lang w:eastAsia="ar-SA"/>
        </w:rPr>
        <w:t>)</w:t>
      </w:r>
    </w:p>
    <w:p w:rsidR="005805C7" w:rsidRPr="005805C7" w:rsidRDefault="005805C7" w:rsidP="00C01032">
      <w:pPr>
        <w:pStyle w:val="Figuretext"/>
        <w:rPr>
          <w:lang w:eastAsia="ar-SA"/>
        </w:rPr>
      </w:pPr>
      <w:r>
        <w:rPr>
          <w:lang w:eastAsia="ar-SA"/>
        </w:rPr>
        <w:t>Table 2. Descriptive statistics of the Alternative source information index in both continuous and categorized formats.</w:t>
      </w:r>
    </w:p>
    <w:tbl>
      <w:tblPr>
        <w:tblStyle w:val="PlainTable5"/>
        <w:tblW w:w="0" w:type="auto"/>
        <w:jc w:val="center"/>
        <w:tblLook w:val="06A0" w:firstRow="1" w:lastRow="0" w:firstColumn="1" w:lastColumn="0" w:noHBand="1" w:noVBand="1"/>
      </w:tblPr>
      <w:tblGrid>
        <w:gridCol w:w="1531"/>
        <w:gridCol w:w="883"/>
        <w:gridCol w:w="700"/>
        <w:gridCol w:w="1071"/>
        <w:gridCol w:w="1100"/>
        <w:gridCol w:w="937"/>
      </w:tblGrid>
      <w:tr w:rsidR="0085327B" w:rsidRPr="0085327B" w:rsidTr="005805C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noWrap/>
            <w:hideMark/>
          </w:tcPr>
          <w:p w:rsidR="0085327B" w:rsidRPr="00C01032" w:rsidRDefault="0085327B" w:rsidP="00C01032">
            <w:pPr>
              <w:rPr>
                <w:sz w:val="20"/>
              </w:rPr>
            </w:pPr>
          </w:p>
        </w:tc>
        <w:tc>
          <w:tcPr>
            <w:tcW w:w="0" w:type="auto"/>
            <w:noWrap/>
            <w:hideMark/>
          </w:tcPr>
          <w:p w:rsidR="0085327B" w:rsidRPr="00C01032" w:rsidRDefault="0085327B" w:rsidP="00C01032">
            <w:pPr>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C01032">
              <w:rPr>
                <w:b/>
                <w:sz w:val="20"/>
              </w:rPr>
              <w:t>Valid N</w:t>
            </w:r>
          </w:p>
        </w:tc>
        <w:tc>
          <w:tcPr>
            <w:tcW w:w="0" w:type="auto"/>
            <w:noWrap/>
            <w:hideMark/>
          </w:tcPr>
          <w:p w:rsidR="0085327B" w:rsidRPr="00C01032" w:rsidRDefault="0085327B" w:rsidP="00C01032">
            <w:pPr>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C01032">
              <w:rPr>
                <w:b/>
                <w:sz w:val="20"/>
              </w:rPr>
              <w:t>Mean</w:t>
            </w:r>
          </w:p>
        </w:tc>
        <w:tc>
          <w:tcPr>
            <w:tcW w:w="0" w:type="auto"/>
            <w:noWrap/>
            <w:hideMark/>
          </w:tcPr>
          <w:p w:rsidR="0085327B" w:rsidRPr="00C01032" w:rsidRDefault="0085327B" w:rsidP="00C01032">
            <w:pPr>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C01032">
              <w:rPr>
                <w:b/>
                <w:sz w:val="20"/>
              </w:rPr>
              <w:t>Minimum</w:t>
            </w:r>
          </w:p>
        </w:tc>
        <w:tc>
          <w:tcPr>
            <w:tcW w:w="0" w:type="auto"/>
            <w:noWrap/>
            <w:hideMark/>
          </w:tcPr>
          <w:p w:rsidR="0085327B" w:rsidRPr="00C01032" w:rsidRDefault="0085327B" w:rsidP="00C01032">
            <w:pPr>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C01032">
              <w:rPr>
                <w:b/>
                <w:sz w:val="20"/>
              </w:rPr>
              <w:t>Maximum</w:t>
            </w:r>
          </w:p>
        </w:tc>
        <w:tc>
          <w:tcPr>
            <w:tcW w:w="0" w:type="auto"/>
            <w:noWrap/>
            <w:hideMark/>
          </w:tcPr>
          <w:p w:rsidR="0085327B" w:rsidRPr="00C01032" w:rsidRDefault="0085327B" w:rsidP="00C01032">
            <w:pPr>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C01032">
              <w:rPr>
                <w:b/>
                <w:sz w:val="20"/>
              </w:rPr>
              <w:t>Std.Dev.</w:t>
            </w:r>
          </w:p>
        </w:tc>
      </w:tr>
      <w:tr w:rsidR="0085327B" w:rsidRPr="0085327B" w:rsidTr="005805C7">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85327B" w:rsidRPr="00C01032" w:rsidRDefault="0085327B" w:rsidP="00C01032">
            <w:pPr>
              <w:rPr>
                <w:rFonts w:ascii="Times New Roman" w:hAnsi="Times New Roman"/>
                <w:b/>
                <w:sz w:val="20"/>
              </w:rPr>
            </w:pPr>
            <w:r w:rsidRPr="00C01032">
              <w:rPr>
                <w:b/>
                <w:sz w:val="20"/>
              </w:rPr>
              <w:t>v2xme_altinf</w:t>
            </w:r>
          </w:p>
        </w:tc>
        <w:tc>
          <w:tcPr>
            <w:tcW w:w="0" w:type="auto"/>
            <w:noWrap/>
            <w:hideMark/>
          </w:tcPr>
          <w:p w:rsidR="0085327B" w:rsidRPr="00C01032" w:rsidRDefault="0085327B" w:rsidP="00C010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01032">
              <w:rPr>
                <w:sz w:val="20"/>
              </w:rPr>
              <w:t>15986</w:t>
            </w:r>
          </w:p>
        </w:tc>
        <w:tc>
          <w:tcPr>
            <w:tcW w:w="0" w:type="auto"/>
            <w:noWrap/>
            <w:hideMark/>
          </w:tcPr>
          <w:p w:rsidR="0085327B" w:rsidRPr="00C01032" w:rsidRDefault="0085327B" w:rsidP="00C010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01032">
              <w:rPr>
                <w:sz w:val="20"/>
              </w:rPr>
              <w:t>0.49</w:t>
            </w:r>
            <w:r w:rsidR="005805C7" w:rsidRPr="00C01032">
              <w:rPr>
                <w:sz w:val="20"/>
              </w:rPr>
              <w:t>3</w:t>
            </w:r>
          </w:p>
        </w:tc>
        <w:tc>
          <w:tcPr>
            <w:tcW w:w="0" w:type="auto"/>
            <w:noWrap/>
            <w:hideMark/>
          </w:tcPr>
          <w:p w:rsidR="0085327B" w:rsidRPr="00C01032" w:rsidRDefault="0085327B" w:rsidP="00C010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01032">
              <w:rPr>
                <w:sz w:val="20"/>
              </w:rPr>
              <w:t>0.033</w:t>
            </w:r>
          </w:p>
        </w:tc>
        <w:tc>
          <w:tcPr>
            <w:tcW w:w="0" w:type="auto"/>
            <w:noWrap/>
            <w:hideMark/>
          </w:tcPr>
          <w:p w:rsidR="0085327B" w:rsidRPr="00C01032" w:rsidRDefault="0085327B" w:rsidP="00C010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01032">
              <w:rPr>
                <w:sz w:val="20"/>
              </w:rPr>
              <w:t>0.98</w:t>
            </w:r>
            <w:r w:rsidR="005805C7" w:rsidRPr="00C01032">
              <w:rPr>
                <w:sz w:val="20"/>
              </w:rPr>
              <w:t>9</w:t>
            </w:r>
          </w:p>
        </w:tc>
        <w:tc>
          <w:tcPr>
            <w:tcW w:w="0" w:type="auto"/>
            <w:noWrap/>
            <w:hideMark/>
          </w:tcPr>
          <w:p w:rsidR="0085327B" w:rsidRPr="00C01032" w:rsidRDefault="0085327B" w:rsidP="00C010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01032">
              <w:rPr>
                <w:sz w:val="20"/>
              </w:rPr>
              <w:t>0.30</w:t>
            </w:r>
            <w:r w:rsidR="005805C7" w:rsidRPr="00C01032">
              <w:rPr>
                <w:sz w:val="20"/>
              </w:rPr>
              <w:t>5</w:t>
            </w:r>
          </w:p>
        </w:tc>
      </w:tr>
      <w:tr w:rsidR="0085327B" w:rsidRPr="0085327B" w:rsidTr="005805C7">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85327B" w:rsidRPr="00C01032" w:rsidRDefault="0085327B" w:rsidP="00C01032">
            <w:pPr>
              <w:rPr>
                <w:rFonts w:ascii="Times New Roman" w:hAnsi="Times New Roman"/>
                <w:b/>
                <w:sz w:val="20"/>
              </w:rPr>
            </w:pPr>
            <w:r w:rsidRPr="00C01032">
              <w:rPr>
                <w:b/>
                <w:sz w:val="20"/>
              </w:rPr>
              <w:t>v2xme_altinf5C</w:t>
            </w:r>
          </w:p>
        </w:tc>
        <w:tc>
          <w:tcPr>
            <w:tcW w:w="0" w:type="auto"/>
            <w:noWrap/>
            <w:hideMark/>
          </w:tcPr>
          <w:p w:rsidR="0085327B" w:rsidRPr="00C01032" w:rsidRDefault="0085327B" w:rsidP="00C010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01032">
              <w:rPr>
                <w:sz w:val="20"/>
              </w:rPr>
              <w:t>15986</w:t>
            </w:r>
          </w:p>
        </w:tc>
        <w:tc>
          <w:tcPr>
            <w:tcW w:w="0" w:type="auto"/>
            <w:noWrap/>
            <w:hideMark/>
          </w:tcPr>
          <w:p w:rsidR="0085327B" w:rsidRPr="00C01032" w:rsidRDefault="0085327B" w:rsidP="00C010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01032">
              <w:rPr>
                <w:sz w:val="20"/>
              </w:rPr>
              <w:t>0.4</w:t>
            </w:r>
            <w:r w:rsidR="005805C7" w:rsidRPr="00C01032">
              <w:rPr>
                <w:sz w:val="20"/>
              </w:rPr>
              <w:t>90</w:t>
            </w:r>
          </w:p>
        </w:tc>
        <w:tc>
          <w:tcPr>
            <w:tcW w:w="0" w:type="auto"/>
            <w:noWrap/>
            <w:hideMark/>
          </w:tcPr>
          <w:p w:rsidR="0085327B" w:rsidRPr="00C01032" w:rsidRDefault="005805C7" w:rsidP="00C010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01032">
              <w:rPr>
                <w:sz w:val="20"/>
              </w:rPr>
              <w:t>0</w:t>
            </w:r>
          </w:p>
        </w:tc>
        <w:tc>
          <w:tcPr>
            <w:tcW w:w="0" w:type="auto"/>
            <w:noWrap/>
            <w:hideMark/>
          </w:tcPr>
          <w:p w:rsidR="0085327B" w:rsidRPr="00C01032" w:rsidRDefault="0085327B" w:rsidP="00C010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01032">
              <w:rPr>
                <w:sz w:val="20"/>
              </w:rPr>
              <w:t>1</w:t>
            </w:r>
          </w:p>
        </w:tc>
        <w:tc>
          <w:tcPr>
            <w:tcW w:w="0" w:type="auto"/>
            <w:noWrap/>
            <w:hideMark/>
          </w:tcPr>
          <w:p w:rsidR="0085327B" w:rsidRPr="00C01032" w:rsidRDefault="0085327B" w:rsidP="00C010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01032">
              <w:rPr>
                <w:sz w:val="20"/>
              </w:rPr>
              <w:t>0.381</w:t>
            </w:r>
          </w:p>
        </w:tc>
      </w:tr>
    </w:tbl>
    <w:p w:rsidR="00A45B95" w:rsidRDefault="00A45B95" w:rsidP="00C01032"/>
    <w:p w:rsidR="005805C7" w:rsidRDefault="0085327B" w:rsidP="00C01032">
      <w:pPr>
        <w:pStyle w:val="Figure"/>
      </w:pPr>
      <w:r w:rsidRPr="00C01032">
        <w:object w:dxaOrig="9071" w:dyaOrig="6803">
          <v:shape id="_x0000_i1026" type="#_x0000_t75" style="width:468pt;height:351pt" o:ole="">
            <v:imagedata r:id="rId10" o:title=""/>
          </v:shape>
          <o:OLEObject Type="Embed" ProgID="STATISTICA.Graph" ShapeID="_x0000_i1026" DrawAspect="Content" ObjectID="_1578133892" r:id="rId11">
            <o:FieldCodes>\s</o:FieldCodes>
          </o:OLEObject>
        </w:object>
      </w:r>
    </w:p>
    <w:p w:rsidR="00A45B95" w:rsidRPr="00A45B95" w:rsidRDefault="00A45B95" w:rsidP="00C01032">
      <w:pPr>
        <w:pStyle w:val="Figuretext"/>
      </w:pPr>
      <w:r>
        <w:rPr>
          <w:lang w:eastAsia="ar-SA"/>
        </w:rPr>
        <w:t>Figure 2. Histogram</w:t>
      </w:r>
      <w:r w:rsidR="00D92343">
        <w:rPr>
          <w:lang w:eastAsia="ar-SA"/>
        </w:rPr>
        <w:t>s</w:t>
      </w:r>
      <w:r>
        <w:rPr>
          <w:lang w:eastAsia="ar-SA"/>
        </w:rPr>
        <w:t xml:space="preserve"> of the Alternative source information index in both continuous and categorized formats.</w:t>
      </w:r>
    </w:p>
    <w:p w:rsidR="005805C7" w:rsidRPr="00A45B95" w:rsidRDefault="005805C7" w:rsidP="00C01032">
      <w:r w:rsidRPr="00A45B95">
        <w:br w:type="page"/>
      </w:r>
    </w:p>
    <w:p w:rsidR="00834E04" w:rsidRDefault="005805C7" w:rsidP="009839C1">
      <w:pPr>
        <w:pStyle w:val="Heading2"/>
        <w:rPr>
          <w:lang w:eastAsia="ar-SA"/>
        </w:rPr>
      </w:pPr>
      <w:r>
        <w:rPr>
          <w:lang w:eastAsia="ar-SA"/>
        </w:rPr>
        <w:lastRenderedPageBreak/>
        <w:t xml:space="preserve">Electoral </w:t>
      </w:r>
      <w:r w:rsidR="009839C1">
        <w:rPr>
          <w:lang w:eastAsia="ar-SA"/>
        </w:rPr>
        <w:t>C</w:t>
      </w:r>
      <w:r>
        <w:rPr>
          <w:lang w:eastAsia="ar-SA"/>
        </w:rPr>
        <w:t xml:space="preserve">omponent </w:t>
      </w:r>
      <w:r w:rsidR="009839C1">
        <w:rPr>
          <w:lang w:eastAsia="ar-SA"/>
        </w:rPr>
        <w:t>I</w:t>
      </w:r>
      <w:r>
        <w:rPr>
          <w:lang w:eastAsia="ar-SA"/>
        </w:rPr>
        <w:t>ndex</w:t>
      </w:r>
      <w:r w:rsidR="00834E04" w:rsidRPr="00834E04">
        <w:rPr>
          <w:lang w:eastAsia="ar-SA"/>
        </w:rPr>
        <w:t xml:space="preserve"> (v2x_EDcomp_thick)</w:t>
      </w:r>
    </w:p>
    <w:p w:rsidR="005805C7" w:rsidRPr="005805C7" w:rsidRDefault="005805C7" w:rsidP="00C01032">
      <w:pPr>
        <w:pStyle w:val="Figuretext"/>
        <w:rPr>
          <w:lang w:eastAsia="ar-SA"/>
        </w:rPr>
      </w:pPr>
      <w:bookmarkStart w:id="0" w:name="_GoBack"/>
      <w:bookmarkEnd w:id="0"/>
      <w:r>
        <w:rPr>
          <w:lang w:eastAsia="ar-SA"/>
        </w:rPr>
        <w:t xml:space="preserve">Table </w:t>
      </w:r>
      <w:r w:rsidR="00A45B95">
        <w:rPr>
          <w:lang w:eastAsia="ar-SA"/>
        </w:rPr>
        <w:t>3</w:t>
      </w:r>
      <w:r>
        <w:rPr>
          <w:lang w:eastAsia="ar-SA"/>
        </w:rPr>
        <w:t>. Descriptive statistics of the Electoral component index in both continuous and categorized formats.</w:t>
      </w:r>
    </w:p>
    <w:tbl>
      <w:tblPr>
        <w:tblStyle w:val="PlainTable5"/>
        <w:tblW w:w="0" w:type="auto"/>
        <w:jc w:val="center"/>
        <w:tblLook w:val="06A0" w:firstRow="1" w:lastRow="0" w:firstColumn="1" w:lastColumn="0" w:noHBand="1" w:noVBand="1"/>
      </w:tblPr>
      <w:tblGrid>
        <w:gridCol w:w="2135"/>
        <w:gridCol w:w="883"/>
        <w:gridCol w:w="700"/>
        <w:gridCol w:w="1071"/>
        <w:gridCol w:w="1100"/>
        <w:gridCol w:w="937"/>
      </w:tblGrid>
      <w:tr w:rsidR="0085327B" w:rsidRPr="00C01032" w:rsidTr="005805C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noWrap/>
            <w:hideMark/>
          </w:tcPr>
          <w:p w:rsidR="0085327B" w:rsidRPr="00C01032" w:rsidRDefault="0085327B" w:rsidP="00C01032">
            <w:pPr>
              <w:rPr>
                <w:b/>
                <w:sz w:val="20"/>
              </w:rPr>
            </w:pPr>
          </w:p>
        </w:tc>
        <w:tc>
          <w:tcPr>
            <w:tcW w:w="0" w:type="auto"/>
            <w:noWrap/>
            <w:hideMark/>
          </w:tcPr>
          <w:p w:rsidR="0085327B" w:rsidRPr="00C01032" w:rsidRDefault="0085327B" w:rsidP="00C01032">
            <w:pPr>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C01032">
              <w:rPr>
                <w:b/>
                <w:sz w:val="20"/>
              </w:rPr>
              <w:t>Valid N</w:t>
            </w:r>
          </w:p>
        </w:tc>
        <w:tc>
          <w:tcPr>
            <w:tcW w:w="0" w:type="auto"/>
            <w:noWrap/>
            <w:hideMark/>
          </w:tcPr>
          <w:p w:rsidR="0085327B" w:rsidRPr="00C01032" w:rsidRDefault="0085327B" w:rsidP="00C01032">
            <w:pPr>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C01032">
              <w:rPr>
                <w:b/>
                <w:sz w:val="20"/>
              </w:rPr>
              <w:t>Mean</w:t>
            </w:r>
          </w:p>
        </w:tc>
        <w:tc>
          <w:tcPr>
            <w:tcW w:w="0" w:type="auto"/>
            <w:noWrap/>
            <w:hideMark/>
          </w:tcPr>
          <w:p w:rsidR="0085327B" w:rsidRPr="00C01032" w:rsidRDefault="0085327B" w:rsidP="00C01032">
            <w:pPr>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C01032">
              <w:rPr>
                <w:b/>
                <w:sz w:val="20"/>
              </w:rPr>
              <w:t>Minimum</w:t>
            </w:r>
          </w:p>
        </w:tc>
        <w:tc>
          <w:tcPr>
            <w:tcW w:w="0" w:type="auto"/>
            <w:noWrap/>
            <w:hideMark/>
          </w:tcPr>
          <w:p w:rsidR="0085327B" w:rsidRPr="00C01032" w:rsidRDefault="0085327B" w:rsidP="00C01032">
            <w:pPr>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C01032">
              <w:rPr>
                <w:b/>
                <w:sz w:val="20"/>
              </w:rPr>
              <w:t>Maximum</w:t>
            </w:r>
          </w:p>
        </w:tc>
        <w:tc>
          <w:tcPr>
            <w:tcW w:w="0" w:type="auto"/>
            <w:noWrap/>
            <w:hideMark/>
          </w:tcPr>
          <w:p w:rsidR="0085327B" w:rsidRPr="00C01032" w:rsidRDefault="0085327B" w:rsidP="00C01032">
            <w:pPr>
              <w:cnfStyle w:val="100000000000" w:firstRow="1" w:lastRow="0" w:firstColumn="0" w:lastColumn="0" w:oddVBand="0" w:evenVBand="0" w:oddHBand="0" w:evenHBand="0" w:firstRowFirstColumn="0" w:firstRowLastColumn="0" w:lastRowFirstColumn="0" w:lastRowLastColumn="0"/>
              <w:rPr>
                <w:rFonts w:ascii="Times New Roman" w:hAnsi="Times New Roman"/>
                <w:b/>
                <w:sz w:val="20"/>
              </w:rPr>
            </w:pPr>
            <w:r w:rsidRPr="00C01032">
              <w:rPr>
                <w:b/>
                <w:sz w:val="20"/>
              </w:rPr>
              <w:t>Std.Dev.</w:t>
            </w:r>
          </w:p>
        </w:tc>
      </w:tr>
      <w:tr w:rsidR="0085327B" w:rsidRPr="00C01032" w:rsidTr="005805C7">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85327B" w:rsidRPr="00C01032" w:rsidRDefault="0085327B" w:rsidP="00C01032">
            <w:pPr>
              <w:rPr>
                <w:rFonts w:ascii="Times New Roman" w:hAnsi="Times New Roman"/>
                <w:b/>
                <w:sz w:val="20"/>
              </w:rPr>
            </w:pPr>
            <w:r w:rsidRPr="00C01032">
              <w:rPr>
                <w:b/>
                <w:sz w:val="20"/>
              </w:rPr>
              <w:t>v2x_EDcomp_thick</w:t>
            </w:r>
          </w:p>
        </w:tc>
        <w:tc>
          <w:tcPr>
            <w:tcW w:w="0" w:type="auto"/>
            <w:noWrap/>
            <w:hideMark/>
          </w:tcPr>
          <w:p w:rsidR="0085327B" w:rsidRPr="00C01032" w:rsidRDefault="0085327B" w:rsidP="00C010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01032">
              <w:rPr>
                <w:sz w:val="20"/>
              </w:rPr>
              <w:t>16007</w:t>
            </w:r>
          </w:p>
        </w:tc>
        <w:tc>
          <w:tcPr>
            <w:tcW w:w="0" w:type="auto"/>
            <w:noWrap/>
            <w:hideMark/>
          </w:tcPr>
          <w:p w:rsidR="0085327B" w:rsidRPr="00C01032" w:rsidRDefault="0085327B" w:rsidP="00C010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01032">
              <w:rPr>
                <w:sz w:val="20"/>
              </w:rPr>
              <w:t>0.343</w:t>
            </w:r>
          </w:p>
        </w:tc>
        <w:tc>
          <w:tcPr>
            <w:tcW w:w="0" w:type="auto"/>
            <w:noWrap/>
            <w:hideMark/>
          </w:tcPr>
          <w:p w:rsidR="0085327B" w:rsidRPr="00C01032" w:rsidRDefault="0085327B" w:rsidP="00C010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01032">
              <w:rPr>
                <w:sz w:val="20"/>
              </w:rPr>
              <w:t>0.00</w:t>
            </w:r>
            <w:r w:rsidR="005805C7" w:rsidRPr="00C01032">
              <w:rPr>
                <w:sz w:val="20"/>
              </w:rPr>
              <w:t>8</w:t>
            </w:r>
          </w:p>
        </w:tc>
        <w:tc>
          <w:tcPr>
            <w:tcW w:w="0" w:type="auto"/>
            <w:noWrap/>
            <w:hideMark/>
          </w:tcPr>
          <w:p w:rsidR="0085327B" w:rsidRPr="00C01032" w:rsidRDefault="0085327B" w:rsidP="00C010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01032">
              <w:rPr>
                <w:sz w:val="20"/>
              </w:rPr>
              <w:t>0.970</w:t>
            </w:r>
          </w:p>
        </w:tc>
        <w:tc>
          <w:tcPr>
            <w:tcW w:w="0" w:type="auto"/>
            <w:noWrap/>
            <w:hideMark/>
          </w:tcPr>
          <w:p w:rsidR="0085327B" w:rsidRPr="00C01032" w:rsidRDefault="005805C7" w:rsidP="00C010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01032">
              <w:rPr>
                <w:sz w:val="20"/>
              </w:rPr>
              <w:t>0.292</w:t>
            </w:r>
          </w:p>
        </w:tc>
      </w:tr>
      <w:tr w:rsidR="0085327B" w:rsidRPr="00C01032" w:rsidTr="005805C7">
        <w:trPr>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85327B" w:rsidRPr="00C01032" w:rsidRDefault="0085327B" w:rsidP="00C01032">
            <w:pPr>
              <w:rPr>
                <w:rFonts w:ascii="Times New Roman" w:hAnsi="Times New Roman"/>
                <w:b/>
                <w:sz w:val="20"/>
              </w:rPr>
            </w:pPr>
            <w:r w:rsidRPr="00C01032">
              <w:rPr>
                <w:b/>
                <w:sz w:val="20"/>
              </w:rPr>
              <w:t>v2x_EDcomp_thick5C</w:t>
            </w:r>
          </w:p>
        </w:tc>
        <w:tc>
          <w:tcPr>
            <w:tcW w:w="0" w:type="auto"/>
            <w:noWrap/>
            <w:hideMark/>
          </w:tcPr>
          <w:p w:rsidR="0085327B" w:rsidRPr="00C01032" w:rsidRDefault="0085327B" w:rsidP="00C010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01032">
              <w:rPr>
                <w:sz w:val="20"/>
              </w:rPr>
              <w:t>16007</w:t>
            </w:r>
          </w:p>
        </w:tc>
        <w:tc>
          <w:tcPr>
            <w:tcW w:w="0" w:type="auto"/>
            <w:noWrap/>
            <w:hideMark/>
          </w:tcPr>
          <w:p w:rsidR="0085327B" w:rsidRPr="00C01032" w:rsidRDefault="0085327B" w:rsidP="00C010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01032">
              <w:rPr>
                <w:sz w:val="20"/>
              </w:rPr>
              <w:t>0.318</w:t>
            </w:r>
          </w:p>
        </w:tc>
        <w:tc>
          <w:tcPr>
            <w:tcW w:w="0" w:type="auto"/>
            <w:noWrap/>
            <w:hideMark/>
          </w:tcPr>
          <w:p w:rsidR="0085327B" w:rsidRPr="00C01032" w:rsidRDefault="005805C7" w:rsidP="00C010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01032">
              <w:rPr>
                <w:sz w:val="20"/>
              </w:rPr>
              <w:t>0</w:t>
            </w:r>
          </w:p>
        </w:tc>
        <w:tc>
          <w:tcPr>
            <w:tcW w:w="0" w:type="auto"/>
            <w:noWrap/>
            <w:hideMark/>
          </w:tcPr>
          <w:p w:rsidR="0085327B" w:rsidRPr="00C01032" w:rsidRDefault="005805C7" w:rsidP="00C010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01032">
              <w:rPr>
                <w:sz w:val="20"/>
              </w:rPr>
              <w:t>1</w:t>
            </w:r>
          </w:p>
        </w:tc>
        <w:tc>
          <w:tcPr>
            <w:tcW w:w="0" w:type="auto"/>
            <w:noWrap/>
            <w:hideMark/>
          </w:tcPr>
          <w:p w:rsidR="0085327B" w:rsidRPr="00C01032" w:rsidRDefault="0085327B" w:rsidP="00C010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01032">
              <w:rPr>
                <w:sz w:val="20"/>
              </w:rPr>
              <w:t>0.35</w:t>
            </w:r>
            <w:r w:rsidR="005805C7" w:rsidRPr="00C01032">
              <w:rPr>
                <w:sz w:val="20"/>
              </w:rPr>
              <w:t>1</w:t>
            </w:r>
          </w:p>
        </w:tc>
      </w:tr>
    </w:tbl>
    <w:p w:rsidR="00A45B95" w:rsidRDefault="00A45B95" w:rsidP="00C01032"/>
    <w:p w:rsidR="00834E04" w:rsidRDefault="00680811" w:rsidP="00C01032">
      <w:pPr>
        <w:pStyle w:val="Figure"/>
      </w:pPr>
      <w:r>
        <w:object w:dxaOrig="9071" w:dyaOrig="6803">
          <v:shape id="_x0000_i1027" type="#_x0000_t75" style="width:468pt;height:351pt" o:ole="">
            <v:imagedata r:id="rId12" o:title=""/>
          </v:shape>
          <o:OLEObject Type="Embed" ProgID="STATISTICA.Graph" ShapeID="_x0000_i1027" DrawAspect="Content" ObjectID="_1578133893" r:id="rId13">
            <o:FieldCodes>\s</o:FieldCodes>
          </o:OLEObject>
        </w:object>
      </w:r>
    </w:p>
    <w:p w:rsidR="00A45B95" w:rsidRDefault="00A45B95" w:rsidP="00C01032">
      <w:pPr>
        <w:pStyle w:val="Figuretext"/>
        <w:rPr>
          <w:lang w:eastAsia="ar-SA"/>
        </w:rPr>
      </w:pPr>
      <w:r>
        <w:rPr>
          <w:lang w:eastAsia="ar-SA"/>
        </w:rPr>
        <w:t>Figure 3. Histogram</w:t>
      </w:r>
      <w:r w:rsidR="00D92343">
        <w:rPr>
          <w:lang w:eastAsia="ar-SA"/>
        </w:rPr>
        <w:t>s</w:t>
      </w:r>
      <w:r>
        <w:rPr>
          <w:lang w:eastAsia="ar-SA"/>
        </w:rPr>
        <w:t xml:space="preserve"> of the Electoral component index in both continuous and categorized formats.</w:t>
      </w:r>
    </w:p>
    <w:p w:rsidR="00C01032" w:rsidRDefault="00C01032">
      <w:pPr>
        <w:spacing w:after="0" w:line="240" w:lineRule="auto"/>
        <w:jc w:val="left"/>
        <w:rPr>
          <w:lang w:eastAsia="ar-SA"/>
        </w:rPr>
      </w:pPr>
      <w:r>
        <w:rPr>
          <w:lang w:eastAsia="ar-SA"/>
        </w:rPr>
        <w:br w:type="page"/>
      </w:r>
    </w:p>
    <w:p w:rsidR="009839C1" w:rsidRDefault="00C01032" w:rsidP="009839C1">
      <w:pPr>
        <w:pStyle w:val="Heading1"/>
      </w:pPr>
      <w:r>
        <w:lastRenderedPageBreak/>
        <w:t>II</w:t>
      </w:r>
      <w:r w:rsidR="009839C1">
        <w:t>. Illustrative Results</w:t>
      </w:r>
    </w:p>
    <w:p w:rsidR="00B7781C" w:rsidRPr="00B7781C" w:rsidRDefault="00B7781C" w:rsidP="00B7781C">
      <w:r>
        <w:t>We here present further analyses of our illustrative application using dependency tables and Bayesian dynamical systems.</w:t>
      </w:r>
    </w:p>
    <w:p w:rsidR="009839C1" w:rsidRDefault="009839C1" w:rsidP="009839C1">
      <w:pPr>
        <w:pStyle w:val="Heading2"/>
      </w:pPr>
      <w:r>
        <w:t>Dependency Tables</w:t>
      </w:r>
    </w:p>
    <w:p w:rsidR="00B7781C" w:rsidRPr="00E9170F" w:rsidRDefault="00B7781C" w:rsidP="00B7781C">
      <w:r w:rsidRPr="00E9170F">
        <w:t xml:space="preserve">Table </w:t>
      </w:r>
      <w:r>
        <w:t>4</w:t>
      </w:r>
      <w:r w:rsidRPr="00E9170F">
        <w:t xml:space="preserve"> below exemplifies the resulting type of aggregate summary of some 2,000 individual analyses following the dependency </w:t>
      </w:r>
      <w:r>
        <w:t>table</w:t>
      </w:r>
      <w:r w:rsidRPr="00E9170F">
        <w:t xml:space="preserve">s approach outlined above, over 22 variables included in the V-Dem indices for electoral and liberal democracy. Here we present the number of </w:t>
      </w:r>
      <w:r>
        <w:t>requisite</w:t>
      </w:r>
      <w:r w:rsidRPr="00E9170F">
        <w:t xml:space="preserve"> conditions for each of these 22 variables reaching their highest state (the top category).</w:t>
      </w:r>
    </w:p>
    <w:p w:rsidR="00B7781C" w:rsidRPr="00E9170F" w:rsidRDefault="00B7781C" w:rsidP="00B7781C">
      <w:r w:rsidRPr="00E9170F">
        <w:t>One should naturally not draw any strong conclusions from small differences in the number of dependencies</w:t>
      </w:r>
      <w:r>
        <w:t xml:space="preserve"> (requisite </w:t>
      </w:r>
      <w:r w:rsidRPr="00E9170F">
        <w:t>conditions</w:t>
      </w:r>
      <w:r>
        <w:t>)</w:t>
      </w:r>
      <w:r w:rsidRPr="00E9170F">
        <w:t xml:space="preserve">, found in such a table. But we can </w:t>
      </w:r>
      <w:r>
        <w:t>be more certain</w:t>
      </w:r>
      <w:r w:rsidRPr="00E9170F">
        <w:t xml:space="preserve"> about sequen</w:t>
      </w:r>
      <w:r>
        <w:t>tial relationships</w:t>
      </w:r>
      <w:r w:rsidRPr="00E9170F">
        <w:t xml:space="preserve"> </w:t>
      </w:r>
      <w:r>
        <w:t xml:space="preserve">(not causality) </w:t>
      </w:r>
      <w:r w:rsidRPr="00E9170F">
        <w:t xml:space="preserve">from large differences. For example, several indicators of civil liberties have very few dependencies. </w:t>
      </w:r>
      <w:r>
        <w:t>Inspecting</w:t>
      </w:r>
      <w:r w:rsidRPr="00E9170F">
        <w:t xml:space="preserve"> which these dependencies are (source data available upon request), </w:t>
      </w:r>
      <w:r>
        <w:t>we can confirm that they</w:t>
      </w:r>
      <w:r w:rsidRPr="00E9170F">
        <w:t xml:space="preserve"> consist exclusively of </w:t>
      </w:r>
      <w:r>
        <w:t>conditions</w:t>
      </w:r>
      <w:r w:rsidRPr="00E9170F">
        <w:t xml:space="preserve"> requiring only one of the lowest levels on other variables. They are thus “weak” dependencies.</w:t>
      </w:r>
    </w:p>
    <w:p w:rsidR="00B7781C" w:rsidRPr="00E9170F" w:rsidRDefault="00B7781C" w:rsidP="00B7781C">
      <w:pPr>
        <w:pStyle w:val="Figuretext"/>
      </w:pPr>
      <w:r w:rsidRPr="00E9170F">
        <w:rPr>
          <w:b/>
        </w:rPr>
        <w:t xml:space="preserve">Table </w:t>
      </w:r>
      <w:r>
        <w:rPr>
          <w:b/>
        </w:rPr>
        <w:t>4</w:t>
      </w:r>
      <w:r w:rsidRPr="00E9170F">
        <w:t>. Number of conditions required to the reach highest state (Category 5)</w:t>
      </w:r>
      <w:r>
        <w:t>.</w:t>
      </w:r>
    </w:p>
    <w:tbl>
      <w:tblPr>
        <w:tblW w:w="5722" w:type="dxa"/>
        <w:tblInd w:w="959" w:type="dxa"/>
        <w:tblLayout w:type="fixed"/>
        <w:tblLook w:val="04A0" w:firstRow="1" w:lastRow="0" w:firstColumn="1" w:lastColumn="0" w:noHBand="0" w:noVBand="1"/>
      </w:tblPr>
      <w:tblGrid>
        <w:gridCol w:w="3480"/>
        <w:gridCol w:w="2242"/>
      </w:tblGrid>
      <w:tr w:rsidR="00B7781C" w:rsidRPr="00EC22C3" w:rsidTr="00324B6B">
        <w:trPr>
          <w:trHeight w:val="567"/>
        </w:trPr>
        <w:tc>
          <w:tcPr>
            <w:tcW w:w="3480" w:type="dxa"/>
            <w:tcBorders>
              <w:bottom w:val="single" w:sz="4" w:space="0" w:color="7F7F7F"/>
              <w:right w:val="nil"/>
            </w:tcBorders>
            <w:shd w:val="clear" w:color="auto" w:fill="auto"/>
            <w:noWrap/>
            <w:hideMark/>
          </w:tcPr>
          <w:p w:rsidR="00B7781C" w:rsidRPr="00E9170F" w:rsidRDefault="00B7781C" w:rsidP="00324B6B">
            <w:pPr>
              <w:spacing w:after="0" w:line="240" w:lineRule="auto"/>
              <w:rPr>
                <w:b/>
                <w:bCs/>
                <w:sz w:val="20"/>
              </w:rPr>
            </w:pPr>
          </w:p>
        </w:tc>
        <w:tc>
          <w:tcPr>
            <w:tcW w:w="2242" w:type="dxa"/>
            <w:tcBorders>
              <w:bottom w:val="single" w:sz="4" w:space="0" w:color="7F7F7F"/>
            </w:tcBorders>
            <w:shd w:val="clear" w:color="auto" w:fill="auto"/>
            <w:hideMark/>
          </w:tcPr>
          <w:p w:rsidR="00B7781C" w:rsidRPr="00EC22C3" w:rsidRDefault="00B7781C" w:rsidP="00324B6B">
            <w:pPr>
              <w:spacing w:after="0" w:line="240" w:lineRule="auto"/>
              <w:jc w:val="center"/>
              <w:rPr>
                <w:b/>
                <w:bCs/>
                <w:caps/>
                <w:sz w:val="20"/>
              </w:rPr>
            </w:pPr>
            <w:r w:rsidRPr="00EC22C3">
              <w:rPr>
                <w:b/>
                <w:bCs/>
                <w:sz w:val="20"/>
              </w:rPr>
              <w:t># Requisite conditions</w:t>
            </w:r>
          </w:p>
          <w:p w:rsidR="00B7781C" w:rsidRPr="00EC22C3" w:rsidRDefault="00B7781C" w:rsidP="00324B6B">
            <w:pPr>
              <w:spacing w:after="0" w:line="240" w:lineRule="auto"/>
              <w:jc w:val="center"/>
              <w:rPr>
                <w:b/>
                <w:bCs/>
                <w:sz w:val="20"/>
              </w:rPr>
            </w:pPr>
            <w:r w:rsidRPr="00EC22C3">
              <w:rPr>
                <w:b/>
                <w:bCs/>
                <w:sz w:val="20"/>
              </w:rPr>
              <w:t>(max = 188)*</w:t>
            </w:r>
          </w:p>
        </w:tc>
      </w:tr>
      <w:tr w:rsidR="00B7781C" w:rsidRPr="00EC22C3"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Share with suffrage</w:t>
            </w:r>
          </w:p>
        </w:tc>
        <w:tc>
          <w:tcPr>
            <w:tcW w:w="2242" w:type="dxa"/>
            <w:shd w:val="clear" w:color="auto" w:fill="auto"/>
            <w:noWrap/>
            <w:hideMark/>
          </w:tcPr>
          <w:p w:rsidR="00B7781C" w:rsidRPr="00EC22C3" w:rsidRDefault="00B7781C" w:rsidP="00324B6B">
            <w:pPr>
              <w:spacing w:after="0" w:line="240" w:lineRule="auto"/>
              <w:jc w:val="center"/>
              <w:rPr>
                <w:caps/>
                <w:sz w:val="20"/>
              </w:rPr>
            </w:pPr>
            <w:r w:rsidRPr="00EC22C3">
              <w:rPr>
                <w:caps/>
                <w:sz w:val="20"/>
              </w:rPr>
              <w:t>14</w:t>
            </w:r>
          </w:p>
        </w:tc>
      </w:tr>
      <w:tr w:rsidR="00B7781C" w:rsidRPr="00EC22C3"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Freedom of movement for men</w:t>
            </w:r>
          </w:p>
        </w:tc>
        <w:tc>
          <w:tcPr>
            <w:tcW w:w="2242" w:type="dxa"/>
            <w:shd w:val="clear" w:color="auto" w:fill="auto"/>
            <w:noWrap/>
            <w:hideMark/>
          </w:tcPr>
          <w:p w:rsidR="00B7781C" w:rsidRPr="00EC22C3" w:rsidRDefault="00B7781C" w:rsidP="00324B6B">
            <w:pPr>
              <w:spacing w:after="0" w:line="240" w:lineRule="auto"/>
              <w:jc w:val="center"/>
              <w:rPr>
                <w:caps/>
                <w:sz w:val="20"/>
              </w:rPr>
            </w:pPr>
            <w:r w:rsidRPr="00EC22C3">
              <w:rPr>
                <w:caps/>
                <w:sz w:val="20"/>
              </w:rPr>
              <w:t>20</w:t>
            </w:r>
          </w:p>
        </w:tc>
      </w:tr>
      <w:tr w:rsidR="00B7781C" w:rsidRPr="00EC22C3"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Election voter registry</w:t>
            </w:r>
          </w:p>
        </w:tc>
        <w:tc>
          <w:tcPr>
            <w:tcW w:w="2242" w:type="dxa"/>
            <w:shd w:val="clear" w:color="auto" w:fill="auto"/>
            <w:noWrap/>
            <w:hideMark/>
          </w:tcPr>
          <w:p w:rsidR="00B7781C" w:rsidRPr="00EC22C3" w:rsidRDefault="00B7781C" w:rsidP="00324B6B">
            <w:pPr>
              <w:spacing w:after="0" w:line="240" w:lineRule="auto"/>
              <w:jc w:val="center"/>
              <w:rPr>
                <w:caps/>
                <w:sz w:val="20"/>
              </w:rPr>
            </w:pPr>
            <w:r w:rsidRPr="00EC22C3">
              <w:rPr>
                <w:caps/>
                <w:sz w:val="20"/>
              </w:rPr>
              <w:t>24</w:t>
            </w:r>
          </w:p>
        </w:tc>
      </w:tr>
      <w:tr w:rsidR="00B7781C" w:rsidRPr="00EC22C3"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Property rights for men</w:t>
            </w:r>
          </w:p>
        </w:tc>
        <w:tc>
          <w:tcPr>
            <w:tcW w:w="2242" w:type="dxa"/>
            <w:shd w:val="clear" w:color="auto" w:fill="auto"/>
            <w:noWrap/>
            <w:hideMark/>
          </w:tcPr>
          <w:p w:rsidR="00B7781C" w:rsidRPr="00EC22C3" w:rsidRDefault="00B7781C" w:rsidP="00324B6B">
            <w:pPr>
              <w:spacing w:after="0" w:line="240" w:lineRule="auto"/>
              <w:jc w:val="center"/>
              <w:rPr>
                <w:caps/>
                <w:sz w:val="20"/>
              </w:rPr>
            </w:pPr>
            <w:r w:rsidRPr="00EC22C3">
              <w:rPr>
                <w:caps/>
                <w:sz w:val="20"/>
              </w:rPr>
              <w:t>26</w:t>
            </w:r>
          </w:p>
        </w:tc>
      </w:tr>
      <w:tr w:rsidR="00B7781C" w:rsidRPr="00EC22C3"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Government intimidation</w:t>
            </w:r>
          </w:p>
        </w:tc>
        <w:tc>
          <w:tcPr>
            <w:tcW w:w="2242" w:type="dxa"/>
            <w:shd w:val="clear" w:color="auto" w:fill="auto"/>
            <w:noWrap/>
            <w:hideMark/>
          </w:tcPr>
          <w:p w:rsidR="00B7781C" w:rsidRPr="00EC22C3" w:rsidRDefault="00B7781C" w:rsidP="00324B6B">
            <w:pPr>
              <w:spacing w:after="0" w:line="240" w:lineRule="auto"/>
              <w:jc w:val="center"/>
              <w:rPr>
                <w:caps/>
                <w:sz w:val="20"/>
              </w:rPr>
            </w:pPr>
            <w:r w:rsidRPr="00EC22C3">
              <w:rPr>
                <w:caps/>
                <w:sz w:val="20"/>
              </w:rPr>
              <w:t>26</w:t>
            </w:r>
          </w:p>
        </w:tc>
      </w:tr>
      <w:tr w:rsidR="00B7781C" w:rsidRPr="00EC22C3"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Freedom of movement for women</w:t>
            </w:r>
          </w:p>
        </w:tc>
        <w:tc>
          <w:tcPr>
            <w:tcW w:w="2242" w:type="dxa"/>
            <w:shd w:val="clear" w:color="auto" w:fill="auto"/>
            <w:noWrap/>
            <w:hideMark/>
          </w:tcPr>
          <w:p w:rsidR="00B7781C" w:rsidRPr="00EC22C3" w:rsidRDefault="00B7781C" w:rsidP="00324B6B">
            <w:pPr>
              <w:spacing w:after="0" w:line="240" w:lineRule="auto"/>
              <w:jc w:val="center"/>
              <w:rPr>
                <w:caps/>
                <w:sz w:val="20"/>
              </w:rPr>
            </w:pPr>
            <w:r w:rsidRPr="00EC22C3">
              <w:rPr>
                <w:caps/>
                <w:sz w:val="20"/>
              </w:rPr>
              <w:t>30</w:t>
            </w:r>
          </w:p>
        </w:tc>
      </w:tr>
      <w:tr w:rsidR="00B7781C" w:rsidRPr="00EC22C3"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Party ban</w:t>
            </w:r>
          </w:p>
        </w:tc>
        <w:tc>
          <w:tcPr>
            <w:tcW w:w="2242" w:type="dxa"/>
            <w:shd w:val="clear" w:color="auto" w:fill="auto"/>
            <w:noWrap/>
            <w:hideMark/>
          </w:tcPr>
          <w:p w:rsidR="00B7781C" w:rsidRPr="00EC22C3" w:rsidRDefault="00B7781C" w:rsidP="00324B6B">
            <w:pPr>
              <w:spacing w:after="0" w:line="240" w:lineRule="auto"/>
              <w:jc w:val="center"/>
              <w:rPr>
                <w:caps/>
                <w:sz w:val="20"/>
              </w:rPr>
            </w:pPr>
            <w:r w:rsidRPr="00EC22C3">
              <w:rPr>
                <w:caps/>
                <w:sz w:val="20"/>
              </w:rPr>
              <w:t>31</w:t>
            </w:r>
          </w:p>
        </w:tc>
      </w:tr>
      <w:tr w:rsidR="00B7781C" w:rsidRPr="00EC22C3"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Barriers to parties</w:t>
            </w:r>
          </w:p>
        </w:tc>
        <w:tc>
          <w:tcPr>
            <w:tcW w:w="2242" w:type="dxa"/>
            <w:shd w:val="clear" w:color="auto" w:fill="auto"/>
            <w:noWrap/>
            <w:hideMark/>
          </w:tcPr>
          <w:p w:rsidR="00B7781C" w:rsidRPr="00EC22C3" w:rsidRDefault="00B7781C" w:rsidP="00324B6B">
            <w:pPr>
              <w:spacing w:after="0" w:line="240" w:lineRule="auto"/>
              <w:jc w:val="center"/>
              <w:rPr>
                <w:caps/>
                <w:sz w:val="20"/>
              </w:rPr>
            </w:pPr>
            <w:r w:rsidRPr="00EC22C3">
              <w:rPr>
                <w:caps/>
                <w:sz w:val="20"/>
              </w:rPr>
              <w:t>37</w:t>
            </w:r>
          </w:p>
        </w:tc>
      </w:tr>
      <w:tr w:rsidR="00B7781C" w:rsidRPr="00EC22C3"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Property rights for women</w:t>
            </w:r>
          </w:p>
        </w:tc>
        <w:tc>
          <w:tcPr>
            <w:tcW w:w="2242" w:type="dxa"/>
            <w:shd w:val="clear" w:color="auto" w:fill="auto"/>
            <w:noWrap/>
            <w:hideMark/>
          </w:tcPr>
          <w:p w:rsidR="00B7781C" w:rsidRPr="00EC22C3" w:rsidRDefault="00B7781C" w:rsidP="00324B6B">
            <w:pPr>
              <w:spacing w:after="0" w:line="240" w:lineRule="auto"/>
              <w:jc w:val="center"/>
              <w:rPr>
                <w:caps/>
                <w:sz w:val="20"/>
              </w:rPr>
            </w:pPr>
            <w:r w:rsidRPr="00EC22C3">
              <w:rPr>
                <w:caps/>
                <w:sz w:val="20"/>
              </w:rPr>
              <w:t>47</w:t>
            </w:r>
          </w:p>
        </w:tc>
      </w:tr>
      <w:tr w:rsidR="00B7781C" w:rsidRPr="00EC22C3"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Opposition parties autonomy</w:t>
            </w:r>
          </w:p>
        </w:tc>
        <w:tc>
          <w:tcPr>
            <w:tcW w:w="2242" w:type="dxa"/>
            <w:shd w:val="clear" w:color="auto" w:fill="auto"/>
            <w:noWrap/>
            <w:hideMark/>
          </w:tcPr>
          <w:p w:rsidR="00B7781C" w:rsidRPr="00EC22C3" w:rsidRDefault="00B7781C" w:rsidP="00324B6B">
            <w:pPr>
              <w:spacing w:after="0" w:line="240" w:lineRule="auto"/>
              <w:jc w:val="center"/>
              <w:rPr>
                <w:caps/>
                <w:sz w:val="20"/>
              </w:rPr>
            </w:pPr>
            <w:r w:rsidRPr="00EC22C3">
              <w:rPr>
                <w:caps/>
                <w:sz w:val="20"/>
              </w:rPr>
              <w:t>48</w:t>
            </w:r>
          </w:p>
        </w:tc>
      </w:tr>
      <w:tr w:rsidR="00B7781C" w:rsidRPr="00EC22C3"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Media self-censorship</w:t>
            </w:r>
          </w:p>
        </w:tc>
        <w:tc>
          <w:tcPr>
            <w:tcW w:w="2242" w:type="dxa"/>
            <w:shd w:val="clear" w:color="auto" w:fill="auto"/>
            <w:noWrap/>
            <w:hideMark/>
          </w:tcPr>
          <w:p w:rsidR="00B7781C" w:rsidRPr="00EC22C3" w:rsidRDefault="00B7781C" w:rsidP="00324B6B">
            <w:pPr>
              <w:spacing w:after="0" w:line="240" w:lineRule="auto"/>
              <w:jc w:val="center"/>
              <w:rPr>
                <w:caps/>
                <w:sz w:val="20"/>
              </w:rPr>
            </w:pPr>
            <w:r w:rsidRPr="00EC22C3">
              <w:rPr>
                <w:caps/>
                <w:sz w:val="20"/>
              </w:rPr>
              <w:t>50</w:t>
            </w:r>
          </w:p>
        </w:tc>
      </w:tr>
      <w:tr w:rsidR="00B7781C" w:rsidRPr="00EC22C3"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Civil society organizations repression</w:t>
            </w:r>
          </w:p>
        </w:tc>
        <w:tc>
          <w:tcPr>
            <w:tcW w:w="2242" w:type="dxa"/>
            <w:shd w:val="clear" w:color="auto" w:fill="auto"/>
            <w:noWrap/>
            <w:hideMark/>
          </w:tcPr>
          <w:p w:rsidR="00B7781C" w:rsidRPr="00EC22C3" w:rsidRDefault="00B7781C" w:rsidP="00324B6B">
            <w:pPr>
              <w:spacing w:after="0" w:line="240" w:lineRule="auto"/>
              <w:jc w:val="center"/>
              <w:rPr>
                <w:caps/>
                <w:sz w:val="20"/>
              </w:rPr>
            </w:pPr>
            <w:r w:rsidRPr="00EC22C3">
              <w:rPr>
                <w:caps/>
                <w:sz w:val="20"/>
              </w:rPr>
              <w:t>56</w:t>
            </w:r>
          </w:p>
        </w:tc>
      </w:tr>
      <w:tr w:rsidR="00B7781C" w:rsidRPr="00EC22C3"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Civil society organizations entry and exit</w:t>
            </w:r>
          </w:p>
        </w:tc>
        <w:tc>
          <w:tcPr>
            <w:tcW w:w="2242" w:type="dxa"/>
            <w:shd w:val="clear" w:color="auto" w:fill="auto"/>
            <w:noWrap/>
            <w:hideMark/>
          </w:tcPr>
          <w:p w:rsidR="00B7781C" w:rsidRPr="00EC22C3" w:rsidRDefault="00B7781C" w:rsidP="00324B6B">
            <w:pPr>
              <w:spacing w:after="0" w:line="240" w:lineRule="auto"/>
              <w:jc w:val="center"/>
              <w:rPr>
                <w:caps/>
                <w:sz w:val="20"/>
              </w:rPr>
            </w:pPr>
            <w:r w:rsidRPr="00EC22C3">
              <w:rPr>
                <w:caps/>
                <w:sz w:val="20"/>
              </w:rPr>
              <w:t>56</w:t>
            </w:r>
          </w:p>
        </w:tc>
      </w:tr>
      <w:tr w:rsidR="00B7781C" w:rsidRPr="00EC22C3"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Media bias</w:t>
            </w:r>
          </w:p>
        </w:tc>
        <w:tc>
          <w:tcPr>
            <w:tcW w:w="2242" w:type="dxa"/>
            <w:shd w:val="clear" w:color="auto" w:fill="auto"/>
            <w:noWrap/>
            <w:hideMark/>
          </w:tcPr>
          <w:p w:rsidR="00B7781C" w:rsidRPr="00EC22C3" w:rsidRDefault="00B7781C" w:rsidP="00324B6B">
            <w:pPr>
              <w:spacing w:after="0" w:line="240" w:lineRule="auto"/>
              <w:jc w:val="center"/>
              <w:rPr>
                <w:caps/>
                <w:sz w:val="20"/>
              </w:rPr>
            </w:pPr>
            <w:r w:rsidRPr="00EC22C3">
              <w:rPr>
                <w:caps/>
                <w:sz w:val="20"/>
              </w:rPr>
              <w:t>57</w:t>
            </w:r>
          </w:p>
        </w:tc>
      </w:tr>
      <w:tr w:rsidR="00B7781C" w:rsidRPr="00EC22C3"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Legislature opposition parties</w:t>
            </w:r>
          </w:p>
        </w:tc>
        <w:tc>
          <w:tcPr>
            <w:tcW w:w="2242" w:type="dxa"/>
            <w:shd w:val="clear" w:color="auto" w:fill="auto"/>
            <w:noWrap/>
            <w:hideMark/>
          </w:tcPr>
          <w:p w:rsidR="00B7781C" w:rsidRPr="00EC22C3" w:rsidRDefault="00B7781C" w:rsidP="00324B6B">
            <w:pPr>
              <w:spacing w:after="0" w:line="240" w:lineRule="auto"/>
              <w:jc w:val="center"/>
              <w:rPr>
                <w:caps/>
                <w:sz w:val="20"/>
              </w:rPr>
            </w:pPr>
            <w:r w:rsidRPr="00EC22C3">
              <w:rPr>
                <w:caps/>
                <w:sz w:val="20"/>
              </w:rPr>
              <w:t>58</w:t>
            </w:r>
          </w:p>
        </w:tc>
      </w:tr>
      <w:tr w:rsidR="00B7781C" w:rsidRPr="00EC22C3"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EMB autonomy</w:t>
            </w:r>
          </w:p>
        </w:tc>
        <w:tc>
          <w:tcPr>
            <w:tcW w:w="2242" w:type="dxa"/>
            <w:shd w:val="clear" w:color="auto" w:fill="auto"/>
            <w:noWrap/>
            <w:hideMark/>
          </w:tcPr>
          <w:p w:rsidR="00B7781C" w:rsidRPr="00EC22C3" w:rsidRDefault="00B7781C" w:rsidP="00324B6B">
            <w:pPr>
              <w:spacing w:after="0" w:line="240" w:lineRule="auto"/>
              <w:jc w:val="center"/>
              <w:rPr>
                <w:caps/>
                <w:sz w:val="20"/>
              </w:rPr>
            </w:pPr>
            <w:r w:rsidRPr="00EC22C3">
              <w:rPr>
                <w:caps/>
                <w:sz w:val="20"/>
              </w:rPr>
              <w:t>60</w:t>
            </w:r>
          </w:p>
        </w:tc>
      </w:tr>
      <w:tr w:rsidR="00B7781C" w:rsidRPr="00EC22C3"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Compliance with judiciary</w:t>
            </w:r>
          </w:p>
        </w:tc>
        <w:tc>
          <w:tcPr>
            <w:tcW w:w="2242" w:type="dxa"/>
            <w:shd w:val="clear" w:color="auto" w:fill="auto"/>
            <w:noWrap/>
            <w:hideMark/>
          </w:tcPr>
          <w:p w:rsidR="00B7781C" w:rsidRPr="00EC22C3" w:rsidRDefault="00B7781C" w:rsidP="00324B6B">
            <w:pPr>
              <w:spacing w:after="0" w:line="240" w:lineRule="auto"/>
              <w:jc w:val="center"/>
              <w:rPr>
                <w:caps/>
                <w:sz w:val="20"/>
              </w:rPr>
            </w:pPr>
            <w:r w:rsidRPr="00EC22C3">
              <w:rPr>
                <w:caps/>
                <w:sz w:val="20"/>
              </w:rPr>
              <w:t>63</w:t>
            </w:r>
          </w:p>
        </w:tc>
      </w:tr>
      <w:tr w:rsidR="00B7781C" w:rsidRPr="00EC22C3"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High court independence</w:t>
            </w:r>
          </w:p>
        </w:tc>
        <w:tc>
          <w:tcPr>
            <w:tcW w:w="2242" w:type="dxa"/>
            <w:shd w:val="clear" w:color="auto" w:fill="auto"/>
            <w:noWrap/>
            <w:hideMark/>
          </w:tcPr>
          <w:p w:rsidR="00B7781C" w:rsidRPr="00EC22C3" w:rsidRDefault="00B7781C" w:rsidP="00324B6B">
            <w:pPr>
              <w:spacing w:after="0" w:line="240" w:lineRule="auto"/>
              <w:jc w:val="center"/>
              <w:rPr>
                <w:caps/>
                <w:sz w:val="20"/>
              </w:rPr>
            </w:pPr>
            <w:r w:rsidRPr="00EC22C3">
              <w:rPr>
                <w:caps/>
                <w:sz w:val="20"/>
              </w:rPr>
              <w:t>67</w:t>
            </w:r>
          </w:p>
        </w:tc>
      </w:tr>
      <w:tr w:rsidR="00B7781C" w:rsidRPr="00EC22C3"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Harassment of journalists</w:t>
            </w:r>
          </w:p>
        </w:tc>
        <w:tc>
          <w:tcPr>
            <w:tcW w:w="2242" w:type="dxa"/>
            <w:shd w:val="clear" w:color="auto" w:fill="auto"/>
            <w:noWrap/>
            <w:hideMark/>
          </w:tcPr>
          <w:p w:rsidR="00B7781C" w:rsidRPr="00EC22C3" w:rsidRDefault="00B7781C" w:rsidP="00324B6B">
            <w:pPr>
              <w:spacing w:after="0" w:line="240" w:lineRule="auto"/>
              <w:jc w:val="center"/>
              <w:rPr>
                <w:caps/>
                <w:sz w:val="20"/>
              </w:rPr>
            </w:pPr>
            <w:r w:rsidRPr="00EC22C3">
              <w:rPr>
                <w:caps/>
                <w:sz w:val="20"/>
              </w:rPr>
              <w:t>69</w:t>
            </w:r>
          </w:p>
        </w:tc>
      </w:tr>
      <w:tr w:rsidR="00B7781C" w:rsidRPr="00EC22C3"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Access to justice for men</w:t>
            </w:r>
          </w:p>
        </w:tc>
        <w:tc>
          <w:tcPr>
            <w:tcW w:w="2242" w:type="dxa"/>
            <w:shd w:val="clear" w:color="auto" w:fill="auto"/>
            <w:noWrap/>
            <w:hideMark/>
          </w:tcPr>
          <w:p w:rsidR="00B7781C" w:rsidRPr="00EC22C3" w:rsidRDefault="00B7781C" w:rsidP="00324B6B">
            <w:pPr>
              <w:spacing w:after="0" w:line="240" w:lineRule="auto"/>
              <w:jc w:val="center"/>
              <w:rPr>
                <w:caps/>
                <w:sz w:val="20"/>
              </w:rPr>
            </w:pPr>
            <w:r w:rsidRPr="00EC22C3">
              <w:rPr>
                <w:caps/>
                <w:sz w:val="20"/>
              </w:rPr>
              <w:t>71</w:t>
            </w:r>
          </w:p>
        </w:tc>
      </w:tr>
      <w:tr w:rsidR="00B7781C" w:rsidRPr="00EC22C3"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Access to justice for women</w:t>
            </w:r>
          </w:p>
        </w:tc>
        <w:tc>
          <w:tcPr>
            <w:tcW w:w="2242" w:type="dxa"/>
            <w:shd w:val="clear" w:color="auto" w:fill="auto"/>
            <w:noWrap/>
            <w:hideMark/>
          </w:tcPr>
          <w:p w:rsidR="00B7781C" w:rsidRPr="00EC22C3" w:rsidRDefault="00B7781C" w:rsidP="00324B6B">
            <w:pPr>
              <w:spacing w:after="0" w:line="240" w:lineRule="auto"/>
              <w:jc w:val="center"/>
              <w:rPr>
                <w:caps/>
                <w:sz w:val="20"/>
              </w:rPr>
            </w:pPr>
            <w:r w:rsidRPr="00EC22C3">
              <w:rPr>
                <w:caps/>
                <w:sz w:val="20"/>
              </w:rPr>
              <w:t>71</w:t>
            </w:r>
          </w:p>
        </w:tc>
      </w:tr>
      <w:tr w:rsidR="00B7781C" w:rsidRPr="00E9170F" w:rsidTr="00324B6B">
        <w:trPr>
          <w:trHeight w:val="280"/>
        </w:trPr>
        <w:tc>
          <w:tcPr>
            <w:tcW w:w="3480" w:type="dxa"/>
            <w:tcBorders>
              <w:right w:val="single" w:sz="4" w:space="0" w:color="7F7F7F"/>
            </w:tcBorders>
            <w:shd w:val="clear" w:color="auto" w:fill="auto"/>
            <w:noWrap/>
            <w:hideMark/>
          </w:tcPr>
          <w:p w:rsidR="00B7781C" w:rsidRPr="00EC22C3" w:rsidRDefault="00B7781C" w:rsidP="00324B6B">
            <w:pPr>
              <w:spacing w:after="0" w:line="240" w:lineRule="auto"/>
              <w:rPr>
                <w:bCs/>
                <w:sz w:val="20"/>
              </w:rPr>
            </w:pPr>
            <w:r w:rsidRPr="00EC22C3">
              <w:rPr>
                <w:bCs/>
                <w:sz w:val="20"/>
              </w:rPr>
              <w:t>Executive oversight</w:t>
            </w:r>
          </w:p>
        </w:tc>
        <w:tc>
          <w:tcPr>
            <w:tcW w:w="2242" w:type="dxa"/>
            <w:shd w:val="clear" w:color="auto" w:fill="auto"/>
            <w:noWrap/>
            <w:hideMark/>
          </w:tcPr>
          <w:p w:rsidR="00B7781C" w:rsidRPr="00E9170F" w:rsidRDefault="00B7781C" w:rsidP="00324B6B">
            <w:pPr>
              <w:spacing w:after="0" w:line="240" w:lineRule="auto"/>
              <w:jc w:val="center"/>
              <w:rPr>
                <w:caps/>
                <w:sz w:val="20"/>
              </w:rPr>
            </w:pPr>
            <w:r w:rsidRPr="00EC22C3">
              <w:rPr>
                <w:caps/>
                <w:sz w:val="20"/>
              </w:rPr>
              <w:t>72</w:t>
            </w:r>
          </w:p>
        </w:tc>
      </w:tr>
    </w:tbl>
    <w:p w:rsidR="00B7781C" w:rsidRPr="00E9170F" w:rsidRDefault="00B7781C" w:rsidP="00B7781C">
      <w:pPr>
        <w:pStyle w:val="Figuretext"/>
      </w:pPr>
      <w:r w:rsidRPr="00E9170F">
        <w:rPr>
          <w:vertAlign w:val="superscript"/>
        </w:rPr>
        <w:lastRenderedPageBreak/>
        <w:t>*</w:t>
      </w:r>
      <w:r w:rsidRPr="00E9170F">
        <w:t xml:space="preserve">For this example, we have </w:t>
      </w:r>
      <w:r>
        <w:t>includ</w:t>
      </w:r>
      <w:r w:rsidRPr="00E9170F">
        <w:t xml:space="preserve">ed </w:t>
      </w:r>
      <w:r>
        <w:t>21</w:t>
      </w:r>
      <w:r w:rsidRPr="00E9170F">
        <w:t xml:space="preserve"> variables, summarizing to a total of </w:t>
      </w:r>
      <w:r>
        <w:t>84</w:t>
      </w:r>
      <w:r w:rsidRPr="00E9170F">
        <w:t xml:space="preserve"> if all variables were observed in all instances being 4 when the target variable was 4. The sum is </w:t>
      </w:r>
      <w:r>
        <w:t>83</w:t>
      </w:r>
      <w:r w:rsidRPr="00E9170F">
        <w:t xml:space="preserve"> as some of the variables had </w:t>
      </w:r>
      <w:r>
        <w:t>other</w:t>
      </w:r>
      <w:r w:rsidRPr="00E9170F">
        <w:t xml:space="preserve"> than 4 states. We here present only a subsection of our variable choice for illustrative purposes.</w:t>
      </w:r>
    </w:p>
    <w:p w:rsidR="00B7781C" w:rsidRDefault="00B7781C" w:rsidP="00B7781C">
      <w:r w:rsidRPr="00E9170F">
        <w:t xml:space="preserve">On the other hand, we note that several variables related to rule of law and oversight of the executive, as well as government influence on the media, have </w:t>
      </w:r>
      <w:r>
        <w:t xml:space="preserve">a </w:t>
      </w:r>
      <w:r w:rsidRPr="00E9170F">
        <w:t>very high number of dependencies. This indicates that not only are they dependent on many other variables before they can reach high (more democratic) levels, but also that for many such variables, they must reach high levels first, before the executive oversight, high court independence, or government media censorship can become really democratic.</w:t>
      </w:r>
    </w:p>
    <w:p w:rsidR="00B7781C" w:rsidRDefault="00B7781C" w:rsidP="00B7781C">
      <w:r w:rsidRPr="00E9170F">
        <w:t xml:space="preserve">The table above is illustrative only. It builds on an actual </w:t>
      </w:r>
      <w:r>
        <w:t>description</w:t>
      </w:r>
      <w:r w:rsidRPr="00E9170F">
        <w:t xml:space="preserve"> of V-Dem data but should not be taken as a substantive result. We will use the latest version of the data (v</w:t>
      </w:r>
      <w:r>
        <w:t>6</w:t>
      </w:r>
      <w:r w:rsidRPr="00E9170F">
        <w:t>) produced with a new and more reliable measurement model</w:t>
      </w:r>
      <w:r>
        <w:t xml:space="preserve"> and additional data to do that</w:t>
      </w:r>
      <w:r w:rsidRPr="00E9170F">
        <w:t xml:space="preserve">, and we also need to run several tests of robustness and consistency </w:t>
      </w:r>
      <w:r>
        <w:t xml:space="preserve">checks </w:t>
      </w:r>
      <w:r w:rsidRPr="00E9170F">
        <w:t>before we can speak of results. Nonetheless, the table above illustrates the kind of nuanced and detailed sequences that can be established empirically with the method proposed here.</w:t>
      </w:r>
    </w:p>
    <w:p w:rsidR="00C01032" w:rsidRDefault="00C01032" w:rsidP="009839C1">
      <w:pPr>
        <w:pStyle w:val="Heading2"/>
      </w:pPr>
      <w:r w:rsidRPr="00C01032">
        <w:t>Bayesian Dynamical Systems</w:t>
      </w:r>
    </w:p>
    <w:p w:rsidR="00C01032" w:rsidRDefault="00C01032" w:rsidP="00C01032">
      <w:r w:rsidRPr="00E9170F">
        <w:t xml:space="preserve">The dynamical system with the </w:t>
      </w:r>
      <w:r>
        <w:t>larg</w:t>
      </w:r>
      <w:r w:rsidRPr="00E9170F">
        <w:t>est Bayes’ factor</w:t>
      </w:r>
      <w:r>
        <w:t xml:space="preserve"> allowing for a specified number of terms can be computed using the R package </w:t>
      </w:r>
      <w:r w:rsidRPr="006D13BE">
        <w:rPr>
          <w:i/>
        </w:rPr>
        <w:t>bdynsys</w:t>
      </w:r>
      <w:r>
        <w:t xml:space="preserve"> (see </w:t>
      </w:r>
      <w:r w:rsidRPr="00E9170F">
        <w:t>Ranganathan et al. 2014</w:t>
      </w:r>
      <w:r>
        <w:t>).</w:t>
      </w:r>
      <w:r w:rsidRPr="00E9170F">
        <w:t xml:space="preserve"> </w:t>
      </w:r>
      <w:r>
        <w:t xml:space="preserve">Using continuous versions of the variables, the computed model with the largest Bayes’ factor (and thus suggested to be the best fit to the data) </w:t>
      </w:r>
      <w:r w:rsidRPr="00E9170F">
        <w:t xml:space="preserve">when allowing for up to four terms </w:t>
      </w:r>
      <w:r>
        <w:t xml:space="preserve">in an equation </w:t>
      </w:r>
      <w:r w:rsidRPr="00E9170F">
        <w:t>for the variables Freedom of expression (</w:t>
      </w:r>
      <w:r w:rsidRPr="00E9170F">
        <w:rPr>
          <w:i/>
        </w:rPr>
        <w:t>x</w:t>
      </w:r>
      <w:r w:rsidRPr="00E9170F">
        <w:t>), Alternative source information (</w:t>
      </w:r>
      <w:r w:rsidRPr="00E9170F">
        <w:rPr>
          <w:i/>
        </w:rPr>
        <w:t>y</w:t>
      </w:r>
      <w:r w:rsidRPr="00E9170F">
        <w:t>) and Electoral component index (</w:t>
      </w:r>
      <w:r w:rsidRPr="00E9170F">
        <w:rPr>
          <w:i/>
        </w:rPr>
        <w:t>z</w:t>
      </w:r>
      <w:r w:rsidRPr="00E9170F">
        <w:t>) is:</w:t>
      </w:r>
    </w:p>
    <w:p w:rsidR="00C01032" w:rsidRPr="00E9170F" w:rsidRDefault="00C01032" w:rsidP="00C01032">
      <m:oMathPara>
        <m:oMath>
          <m:r>
            <w:rPr>
              <w:rFonts w:ascii="Cambria Math" w:eastAsia="Times New Roman" w:hAnsi="Cambria Math"/>
              <w:sz w:val="22"/>
              <w:szCs w:val="22"/>
            </w:rPr>
            <m:t>dx=</m:t>
          </m:r>
          <m:d>
            <m:dPr>
              <m:ctrlPr>
                <w:rPr>
                  <w:rFonts w:ascii="Cambria Math" w:eastAsia="Times New Roman" w:hAnsi="Cambria Math"/>
                  <w:i/>
                  <w:sz w:val="22"/>
                  <w:szCs w:val="22"/>
                </w:rPr>
              </m:ctrlPr>
            </m:dPr>
            <m:e>
              <m:r>
                <w:rPr>
                  <w:rFonts w:ascii="Cambria Math" w:eastAsia="Times New Roman" w:hAnsi="Cambria Math"/>
                  <w:sz w:val="22"/>
                  <w:szCs w:val="22"/>
                </w:rPr>
                <m:t xml:space="preserve">-0.069x+0.024 </m:t>
              </m:r>
              <m:f>
                <m:fPr>
                  <m:ctrlPr>
                    <w:rPr>
                      <w:rFonts w:ascii="Cambria Math" w:eastAsia="Times New Roman" w:hAnsi="Cambria Math"/>
                      <w:i/>
                      <w:sz w:val="22"/>
                      <w:szCs w:val="22"/>
                    </w:rPr>
                  </m:ctrlPr>
                </m:fPr>
                <m:num>
                  <m:r>
                    <w:rPr>
                      <w:rFonts w:ascii="Cambria Math" w:eastAsia="Times New Roman" w:hAnsi="Cambria Math"/>
                      <w:sz w:val="22"/>
                      <w:szCs w:val="22"/>
                    </w:rPr>
                    <m:t>y</m:t>
                  </m:r>
                </m:num>
                <m:den>
                  <m:r>
                    <w:rPr>
                      <w:rFonts w:ascii="Cambria Math" w:eastAsia="Times New Roman" w:hAnsi="Cambria Math"/>
                      <w:sz w:val="22"/>
                      <w:szCs w:val="22"/>
                    </w:rPr>
                    <m:t>x</m:t>
                  </m:r>
                </m:den>
              </m:f>
              <m:r>
                <w:rPr>
                  <w:rFonts w:ascii="Cambria Math" w:eastAsia="Times New Roman" w:hAnsi="Cambria Math"/>
                  <w:sz w:val="22"/>
                  <w:szCs w:val="22"/>
                </w:rPr>
                <m:t>+0.015</m:t>
              </m:r>
              <m:f>
                <m:fPr>
                  <m:ctrlPr>
                    <w:rPr>
                      <w:rFonts w:ascii="Cambria Math" w:eastAsia="Times New Roman" w:hAnsi="Cambria Math"/>
                      <w:i/>
                      <w:sz w:val="22"/>
                      <w:szCs w:val="22"/>
                    </w:rPr>
                  </m:ctrlPr>
                </m:fPr>
                <m:num>
                  <m:r>
                    <w:rPr>
                      <w:rFonts w:ascii="Cambria Math" w:eastAsia="Times New Roman" w:hAnsi="Cambria Math"/>
                      <w:sz w:val="22"/>
                      <w:szCs w:val="22"/>
                    </w:rPr>
                    <m:t>x</m:t>
                  </m:r>
                </m:num>
                <m:den>
                  <m:r>
                    <w:rPr>
                      <w:rFonts w:ascii="Cambria Math" w:eastAsia="Times New Roman" w:hAnsi="Cambria Math"/>
                      <w:sz w:val="22"/>
                      <w:szCs w:val="22"/>
                    </w:rPr>
                    <m:t>y</m:t>
                  </m:r>
                </m:den>
              </m:f>
              <m:r>
                <w:rPr>
                  <w:rFonts w:ascii="Cambria Math" w:eastAsia="Times New Roman" w:hAnsi="Cambria Math"/>
                  <w:sz w:val="22"/>
                  <w:szCs w:val="22"/>
                </w:rPr>
                <m:t>+0.032</m:t>
              </m:r>
              <m:sSup>
                <m:sSupPr>
                  <m:ctrlPr>
                    <w:rPr>
                      <w:rFonts w:ascii="Cambria Math" w:eastAsia="Times New Roman" w:hAnsi="Cambria Math"/>
                      <w:i/>
                      <w:sz w:val="22"/>
                      <w:szCs w:val="22"/>
                    </w:rPr>
                  </m:ctrlPr>
                </m:sSupPr>
                <m:e>
                  <m:r>
                    <w:rPr>
                      <w:rFonts w:ascii="Cambria Math" w:eastAsia="Times New Roman" w:hAnsi="Cambria Math"/>
                      <w:sz w:val="22"/>
                      <w:szCs w:val="22"/>
                    </w:rPr>
                    <m:t>z</m:t>
                  </m:r>
                </m:e>
                <m:sup>
                  <m:r>
                    <w:rPr>
                      <w:rFonts w:ascii="Cambria Math" w:eastAsia="Times New Roman" w:hAnsi="Cambria Math"/>
                      <w:sz w:val="22"/>
                      <w:szCs w:val="22"/>
                    </w:rPr>
                    <m:t>2</m:t>
                  </m:r>
                </m:sup>
              </m:sSup>
            </m:e>
          </m:d>
          <m:r>
            <w:rPr>
              <w:rFonts w:ascii="Cambria Math" w:eastAsia="Times New Roman" w:hAnsi="Cambria Math"/>
              <w:sz w:val="22"/>
              <w:szCs w:val="22"/>
            </w:rPr>
            <m:t>z</m:t>
          </m:r>
          <m:r>
            <m:rPr>
              <m:sty m:val="p"/>
            </m:rPr>
            <w:rPr>
              <w:rFonts w:ascii="Cambria Math" w:eastAsia="Times New Roman" w:hAnsi="Cambria Math"/>
              <w:sz w:val="22"/>
              <w:szCs w:val="22"/>
            </w:rPr>
            <w:br/>
          </m:r>
        </m:oMath>
        <m:oMath>
          <m:r>
            <w:rPr>
              <w:rFonts w:ascii="Cambria Math" w:hAnsi="Cambria Math"/>
              <w:sz w:val="22"/>
              <w:szCs w:val="22"/>
            </w:rPr>
            <m:t>dy=</m:t>
          </m:r>
          <m:d>
            <m:dPr>
              <m:ctrlPr>
                <w:rPr>
                  <w:rFonts w:ascii="Cambria Math" w:hAnsi="Cambria Math"/>
                  <w:i/>
                  <w:sz w:val="22"/>
                  <w:szCs w:val="22"/>
                </w:rPr>
              </m:ctrlPr>
            </m:dPr>
            <m:e>
              <m:r>
                <w:rPr>
                  <w:rFonts w:ascii="Cambria Math" w:hAnsi="Cambria Math"/>
                  <w:sz w:val="22"/>
                  <w:szCs w:val="22"/>
                </w:rPr>
                <m:t>0.06-0.12y+0.055xy</m:t>
              </m:r>
            </m:e>
          </m:d>
          <m:r>
            <w:rPr>
              <w:rFonts w:ascii="Cambria Math" w:hAnsi="Cambria Math"/>
              <w:sz w:val="22"/>
              <w:szCs w:val="22"/>
            </w:rPr>
            <m:t>z</m:t>
          </m:r>
          <m:r>
            <m:rPr>
              <m:sty m:val="p"/>
            </m:rPr>
            <w:rPr>
              <w:rFonts w:ascii="Cambria Math" w:hAnsi="Cambria Math"/>
              <w:sz w:val="22"/>
              <w:szCs w:val="22"/>
            </w:rPr>
            <w:br/>
          </m:r>
        </m:oMath>
        <m:oMath>
          <m:r>
            <w:rPr>
              <w:rFonts w:ascii="Cambria Math" w:eastAsia="Times New Roman" w:hAnsi="Cambria Math"/>
              <w:sz w:val="22"/>
              <w:szCs w:val="22"/>
            </w:rPr>
            <m:t>dz=</m:t>
          </m:r>
          <m:d>
            <m:dPr>
              <m:ctrlPr>
                <w:rPr>
                  <w:rFonts w:ascii="Cambria Math" w:eastAsia="Times New Roman" w:hAnsi="Cambria Math"/>
                  <w:i/>
                  <w:sz w:val="22"/>
                  <w:szCs w:val="22"/>
                </w:rPr>
              </m:ctrlPr>
            </m:dPr>
            <m:e>
              <m:r>
                <w:rPr>
                  <w:rFonts w:ascii="Cambria Math" w:eastAsia="Times New Roman" w:hAnsi="Cambria Math"/>
                  <w:sz w:val="22"/>
                  <w:szCs w:val="22"/>
                </w:rPr>
                <m:t>0.099-0.44z+0.31</m:t>
              </m:r>
              <m:sSup>
                <m:sSupPr>
                  <m:ctrlPr>
                    <w:rPr>
                      <w:rFonts w:ascii="Cambria Math" w:eastAsia="Times New Roman" w:hAnsi="Cambria Math"/>
                      <w:i/>
                      <w:sz w:val="22"/>
                      <w:szCs w:val="22"/>
                    </w:rPr>
                  </m:ctrlPr>
                </m:sSupPr>
                <m:e>
                  <m:r>
                    <w:rPr>
                      <w:rFonts w:ascii="Cambria Math" w:eastAsia="Times New Roman" w:hAnsi="Cambria Math"/>
                      <w:sz w:val="22"/>
                      <w:szCs w:val="22"/>
                    </w:rPr>
                    <m:t>z</m:t>
                  </m:r>
                </m:e>
                <m:sup>
                  <m:r>
                    <w:rPr>
                      <w:rFonts w:ascii="Cambria Math" w:eastAsia="Times New Roman" w:hAnsi="Cambria Math"/>
                      <w:sz w:val="22"/>
                      <w:szCs w:val="22"/>
                    </w:rPr>
                    <m:t>2</m:t>
                  </m:r>
                </m:sup>
              </m:sSup>
            </m:e>
          </m:d>
          <m:r>
            <w:rPr>
              <w:rFonts w:ascii="Cambria Math" w:eastAsia="Times New Roman" w:hAnsi="Cambria Math"/>
              <w:sz w:val="22"/>
              <w:szCs w:val="22"/>
            </w:rPr>
            <m:t>z+0.05xy</m:t>
          </m:r>
        </m:oMath>
      </m:oMathPara>
    </w:p>
    <w:p w:rsidR="00C01032" w:rsidRDefault="00C01032" w:rsidP="00C01032">
      <w:r>
        <w:t xml:space="preserve">The equations quantify the direction and rate of change for the variables </w:t>
      </w:r>
      <w:r>
        <w:rPr>
          <w:i/>
        </w:rPr>
        <w:t>x</w:t>
      </w:r>
      <w:r>
        <w:t xml:space="preserve">, </w:t>
      </w:r>
      <w:r>
        <w:rPr>
          <w:i/>
        </w:rPr>
        <w:t>y</w:t>
      </w:r>
      <w:r>
        <w:t xml:space="preserve">, and </w:t>
      </w:r>
      <w:r>
        <w:rPr>
          <w:i/>
        </w:rPr>
        <w:t>z</w:t>
      </w:r>
      <w:r>
        <w:t xml:space="preserve">, respectively, depending on current values of </w:t>
      </w:r>
      <w:r>
        <w:rPr>
          <w:i/>
        </w:rPr>
        <w:t>x</w:t>
      </w:r>
      <w:r>
        <w:t xml:space="preserve">, </w:t>
      </w:r>
      <w:r>
        <w:rPr>
          <w:i/>
        </w:rPr>
        <w:t>y</w:t>
      </w:r>
      <w:r>
        <w:t xml:space="preserve">, and </w:t>
      </w:r>
      <w:r>
        <w:rPr>
          <w:i/>
        </w:rPr>
        <w:t>z</w:t>
      </w:r>
      <w:r>
        <w:t xml:space="preserve">. </w:t>
      </w:r>
      <w:r w:rsidRPr="00E9170F">
        <w:t>There is an interaction between all the variables</w:t>
      </w:r>
      <w:r>
        <w:t>, since all of them occur in all equations</w:t>
      </w:r>
      <w:r w:rsidRPr="00E9170F">
        <w:t xml:space="preserve">. </w:t>
      </w:r>
      <w:r>
        <w:t xml:space="preserve">For fixed values of </w:t>
      </w:r>
      <w:r w:rsidRPr="007962F9">
        <w:rPr>
          <w:i/>
        </w:rPr>
        <w:t>x</w:t>
      </w:r>
      <w:r>
        <w:t xml:space="preserve"> and </w:t>
      </w:r>
      <w:r>
        <w:rPr>
          <w:i/>
        </w:rPr>
        <w:t>y</w:t>
      </w:r>
      <w:r>
        <w:t>, t</w:t>
      </w:r>
      <w:r w:rsidRPr="007962F9">
        <w:t>he</w:t>
      </w:r>
      <w:r w:rsidRPr="00E9170F">
        <w:t xml:space="preserve"> rate of change of </w:t>
      </w:r>
      <w:r w:rsidRPr="00E9170F">
        <w:rPr>
          <w:i/>
        </w:rPr>
        <w:t>y</w:t>
      </w:r>
      <w:r w:rsidRPr="00E9170F">
        <w:t xml:space="preserve"> is linear to the value of </w:t>
      </w:r>
      <w:r w:rsidRPr="00E9170F">
        <w:rPr>
          <w:i/>
        </w:rPr>
        <w:t>z</w:t>
      </w:r>
      <w:r w:rsidRPr="00E9170F">
        <w:t xml:space="preserve">, and </w:t>
      </w:r>
      <w:r w:rsidRPr="00E9170F">
        <w:rPr>
          <w:i/>
        </w:rPr>
        <w:t>x</w:t>
      </w:r>
      <w:r w:rsidRPr="00E9170F">
        <w:t xml:space="preserve"> is close to it, with an added cubic term. The rate that is amplified is positive for </w:t>
      </w:r>
      <w:r w:rsidRPr="00E9170F">
        <w:rPr>
          <w:i/>
        </w:rPr>
        <w:t>y</w:t>
      </w:r>
      <w:r w:rsidRPr="00E9170F">
        <w:t xml:space="preserve"> unless </w:t>
      </w:r>
      <w:r w:rsidRPr="00E9170F">
        <w:rPr>
          <w:i/>
        </w:rPr>
        <w:t>y</w:t>
      </w:r>
      <w:r w:rsidRPr="00E9170F">
        <w:t xml:space="preserve"> is much larger than </w:t>
      </w:r>
      <w:r w:rsidRPr="00E9170F">
        <w:rPr>
          <w:i/>
        </w:rPr>
        <w:t>x</w:t>
      </w:r>
      <w:r w:rsidRPr="00E9170F">
        <w:t xml:space="preserve">, that is, alternative source information cannot remain at high values when there is little freedom of expression. The equation for </w:t>
      </w:r>
      <w:r w:rsidRPr="00E9170F">
        <w:rPr>
          <w:i/>
        </w:rPr>
        <w:t>dx</w:t>
      </w:r>
      <w:r w:rsidRPr="00E9170F">
        <w:t xml:space="preserve"> is a bit more complicated, but is </w:t>
      </w:r>
      <w:r w:rsidRPr="00E9170F">
        <w:lastRenderedPageBreak/>
        <w:t xml:space="preserve">positive as long as not both </w:t>
      </w:r>
      <w:r w:rsidRPr="00E9170F">
        <w:rPr>
          <w:i/>
        </w:rPr>
        <w:t>x</w:t>
      </w:r>
      <w:r w:rsidRPr="00E9170F">
        <w:t xml:space="preserve"> and </w:t>
      </w:r>
      <w:r w:rsidRPr="00E9170F">
        <w:rPr>
          <w:i/>
        </w:rPr>
        <w:t>y</w:t>
      </w:r>
      <w:r w:rsidRPr="00E9170F">
        <w:t xml:space="preserve"> are large. This means that </w:t>
      </w:r>
      <w:r w:rsidR="0067449E" w:rsidRPr="00E9170F">
        <w:t>for</w:t>
      </w:r>
      <w:r w:rsidRPr="00E9170F">
        <w:t xml:space="preserve"> freedom of expression to increase when already high, the electoral component index also needs to be high.</w:t>
      </w:r>
    </w:p>
    <w:p w:rsidR="00C01032" w:rsidRDefault="00C01032" w:rsidP="00C01032">
      <w:r w:rsidRPr="00E9170F">
        <w:t xml:space="preserve">Finally, </w:t>
      </w:r>
      <w:r w:rsidRPr="00E9170F">
        <w:rPr>
          <w:i/>
        </w:rPr>
        <w:t>z</w:t>
      </w:r>
      <w:r w:rsidRPr="00E9170F">
        <w:t xml:space="preserve"> can grow on its own merits up to 0.28</w:t>
      </w:r>
      <w:r>
        <w:t xml:space="preserve"> (since the polynomial in the parenthesis is positive up until that point)</w:t>
      </w:r>
      <w:r w:rsidRPr="00E9170F">
        <w:t>, after which the variable becomes self-limiting. Thus, for the electoral component index to grow beyond a third, both freedom of expression and alternative source information are needed.</w:t>
      </w:r>
    </w:p>
    <w:p w:rsidR="00C01032" w:rsidRPr="00E9170F" w:rsidRDefault="00C01032" w:rsidP="00C01032">
      <w:r>
        <w:t xml:space="preserve">The dynamical system largely verifies and quantifies our previous hints from the transition graphs: for most of the transitions process, the Electoral component index is dependent on the other two variables before it can grow, and more so than in the other direction, except at the onset of the transition process (potentially up to one third), where the Electoral component index grows first. The first two equations do suggest that Freedom of expression and Alternative source information have an intertwined transition process, as before, but also that some electoral rights </w:t>
      </w:r>
      <w:r w:rsidR="00FF1485">
        <w:t>must</w:t>
      </w:r>
      <w:r>
        <w:t xml:space="preserve"> be implemented before the variables can reach their highest values.</w:t>
      </w:r>
    </w:p>
    <w:p w:rsidR="00B7781C" w:rsidRDefault="00C01032" w:rsidP="00B7781C">
      <w:pPr>
        <w:keepNext/>
        <w:spacing w:after="0" w:line="240" w:lineRule="auto"/>
        <w:ind w:left="851" w:right="851"/>
        <w:jc w:val="center"/>
        <w:rPr>
          <w:b/>
          <w:sz w:val="20"/>
          <w:lang w:eastAsia="ar-SA"/>
        </w:rPr>
      </w:pPr>
      <w:r w:rsidRPr="00E9170F">
        <w:rPr>
          <w:noProof/>
        </w:rPr>
        <w:drawing>
          <wp:inline distT="0" distB="0" distL="0" distR="0" wp14:anchorId="7C294082" wp14:editId="559CA64C">
            <wp:extent cx="3863975" cy="3202806"/>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t="14133" b="2930"/>
                    <a:stretch>
                      <a:fillRect/>
                    </a:stretch>
                  </pic:blipFill>
                  <pic:spPr bwMode="auto">
                    <a:xfrm>
                      <a:off x="0" y="0"/>
                      <a:ext cx="3863975" cy="3202806"/>
                    </a:xfrm>
                    <a:prstGeom prst="rect">
                      <a:avLst/>
                    </a:prstGeom>
                    <a:noFill/>
                    <a:ln>
                      <a:noFill/>
                    </a:ln>
                  </pic:spPr>
                </pic:pic>
              </a:graphicData>
            </a:graphic>
          </wp:inline>
        </w:drawing>
      </w:r>
    </w:p>
    <w:p w:rsidR="00B7781C" w:rsidRPr="00B7781C" w:rsidRDefault="00B7781C" w:rsidP="00B7781C">
      <w:pPr>
        <w:keepNext/>
        <w:spacing w:before="120" w:after="240" w:line="240" w:lineRule="auto"/>
        <w:ind w:left="851" w:right="851"/>
        <w:jc w:val="left"/>
        <w:rPr>
          <w:sz w:val="20"/>
          <w:lang w:eastAsia="ar-SA"/>
        </w:rPr>
      </w:pPr>
      <w:r w:rsidRPr="00E9170F">
        <w:rPr>
          <w:b/>
          <w:sz w:val="20"/>
          <w:lang w:eastAsia="ar-SA"/>
        </w:rPr>
        <w:t xml:space="preserve">Figure </w:t>
      </w:r>
      <w:r>
        <w:rPr>
          <w:b/>
          <w:sz w:val="20"/>
          <w:lang w:eastAsia="ar-SA"/>
        </w:rPr>
        <w:t>4</w:t>
      </w:r>
      <w:r w:rsidRPr="00E9170F">
        <w:rPr>
          <w:sz w:val="20"/>
          <w:lang w:eastAsia="ar-SA"/>
        </w:rPr>
        <w:t xml:space="preserve">. Phase portrait showing the expected direction of change given different values of Freedom of expression and Alternative source information. Longer arrows indicate more rapid change. The figure also </w:t>
      </w:r>
      <w:r w:rsidRPr="00E9170F">
        <w:rPr>
          <w:sz w:val="20"/>
        </w:rPr>
        <w:t>includes</w:t>
      </w:r>
      <w:r w:rsidRPr="00E9170F">
        <w:rPr>
          <w:sz w:val="20"/>
          <w:lang w:eastAsia="ar-SA"/>
        </w:rPr>
        <w:t xml:space="preserve"> the actual trajectories of six arbitrarily chosen countries.</w:t>
      </w:r>
    </w:p>
    <w:p w:rsidR="00C01032" w:rsidRDefault="00C01032" w:rsidP="00C01032">
      <w:r w:rsidRPr="00E9170F">
        <w:t xml:space="preserve">Looking at systems of only two variables at a time enables us to inspect changes graphically in phase portraits, as in Figure </w:t>
      </w:r>
      <w:r>
        <w:t>4</w:t>
      </w:r>
      <w:r w:rsidRPr="00E9170F">
        <w:t>.</w:t>
      </w:r>
      <w:r>
        <w:t xml:space="preserve"> The phase portrait shows arrows over the domain of values that have historically been taken on by the two variables. For any point in this domain, the closest arrow shows the predicted direction of change for the pair of variables, and the relative length of the arrow depicts the relative rate of change. Given any starting point, we can follow the arrows to find the predicted trajectory of transitions from there. As a comparison, the actual historical trajectories </w:t>
      </w:r>
      <w:r>
        <w:lastRenderedPageBreak/>
        <w:t>of six arbitrarily chosen countries are also depicted in the figure, where the dot marks the first year, and the curves stretch as far as we have data.</w:t>
      </w:r>
    </w:p>
    <w:p w:rsidR="00C01032" w:rsidRPr="00E9170F" w:rsidRDefault="00C01032" w:rsidP="00C01032">
      <w:r w:rsidRPr="00E9170F">
        <w:t xml:space="preserve">Freedom of expression and alternative source information grow largely together. However, while the latter can </w:t>
      </w:r>
      <w:r>
        <w:t xml:space="preserve">still </w:t>
      </w:r>
      <w:r w:rsidRPr="00E9170F">
        <w:t>grow when the former is small, the former will rarely grow as long as it is larger than the latter.</w:t>
      </w:r>
      <w:r>
        <w:t xml:space="preserve"> Starting at a point where the variables take on equals values, similar to the transition graphs, the variables are predicted to keep on growing together, but will often end up slightly below their maximum value. Contrasting to assumptions in Figure 1 (main document) of convex or concave growth, the model also predicts S-curves if Freedom of expression is larger than Alternative source information, but the frequency tables reveal that this happens rarely.</w:t>
      </w:r>
    </w:p>
    <w:p w:rsidR="00C01032" w:rsidRDefault="00C01032" w:rsidP="00C01032">
      <w:r w:rsidRPr="00E9170F">
        <w:t xml:space="preserve">Figure </w:t>
      </w:r>
      <w:r>
        <w:t>5</w:t>
      </w:r>
      <w:r w:rsidRPr="00E9170F">
        <w:t xml:space="preserve"> shows the phase portrait for Freedom of expression and </w:t>
      </w:r>
      <w:r>
        <w:t xml:space="preserve">the </w:t>
      </w:r>
      <w:r w:rsidRPr="00E9170F">
        <w:t>Electoral component index. The system including Alternative source information instead of Freedom of expression is similar.</w:t>
      </w:r>
      <w:r>
        <w:t xml:space="preserve"> Similar to the transition graph, for the main part of the transition process, the variables grow together, roughly linearly, where Freedom of expression has a higher rate of change in absolute values. Following the arrows close to the origin, we can see that the Electoral component index grows most at first, after which freedom of expression will mainly develop. In cases where the electoral index is larger than freedom of expression, not only is freedom of expression predicted to grow, but the electoral index is also predicted to decrease towards having a slightly lower value than freedom of expression, before it can grow again (arrows in the upper triangle point both right and down). The electoral index is thus more restricted by freedom of expression, which is mostly not predicted to decrease (arrows pointing left) except when being almost at maximum value, than vice versa.</w:t>
      </w:r>
    </w:p>
    <w:p w:rsidR="00C01032" w:rsidRPr="00E9170F" w:rsidRDefault="00C01032" w:rsidP="00C01032">
      <w:r>
        <w:t>Again, the assumptions in Figure 1 (main document) are not generally satisfied, but states off the main path of transition, where Freedom of expression is slightly larger than the Electoral component index, are rare, and are predicted to transition rapidly into states along the main path.</w:t>
      </w:r>
    </w:p>
    <w:p w:rsidR="00B7781C" w:rsidRDefault="00C01032" w:rsidP="00B7781C">
      <w:pPr>
        <w:pStyle w:val="Figuretext"/>
        <w:jc w:val="center"/>
        <w:rPr>
          <w:b/>
          <w:lang w:eastAsia="ar-SA"/>
        </w:rPr>
      </w:pPr>
      <w:bookmarkStart w:id="1" w:name="_Hlk504318216"/>
      <w:r w:rsidRPr="00E9170F">
        <w:rPr>
          <w:noProof/>
        </w:rPr>
        <w:lastRenderedPageBreak/>
        <w:drawing>
          <wp:inline distT="0" distB="0" distL="0" distR="0" wp14:anchorId="66D9E93D" wp14:editId="50D5B595">
            <wp:extent cx="3824353" cy="3101975"/>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t="16266" b="2657"/>
                    <a:stretch>
                      <a:fillRect/>
                    </a:stretch>
                  </pic:blipFill>
                  <pic:spPr bwMode="auto">
                    <a:xfrm>
                      <a:off x="0" y="0"/>
                      <a:ext cx="3824353" cy="3101975"/>
                    </a:xfrm>
                    <a:prstGeom prst="rect">
                      <a:avLst/>
                    </a:prstGeom>
                    <a:noFill/>
                    <a:ln>
                      <a:noFill/>
                    </a:ln>
                  </pic:spPr>
                </pic:pic>
              </a:graphicData>
            </a:graphic>
          </wp:inline>
        </w:drawing>
      </w:r>
    </w:p>
    <w:p w:rsidR="00C01032" w:rsidRPr="00C01032" w:rsidRDefault="00B7781C" w:rsidP="00A4371C">
      <w:pPr>
        <w:pStyle w:val="Figuretext"/>
        <w:rPr>
          <w:lang w:eastAsia="ar-SA"/>
        </w:rPr>
      </w:pPr>
      <w:r w:rsidRPr="00E9170F">
        <w:rPr>
          <w:b/>
          <w:lang w:eastAsia="ar-SA"/>
        </w:rPr>
        <w:t xml:space="preserve">Figure </w:t>
      </w:r>
      <w:r>
        <w:rPr>
          <w:b/>
          <w:lang w:eastAsia="ar-SA"/>
        </w:rPr>
        <w:t>5</w:t>
      </w:r>
      <w:r w:rsidRPr="00E9170F">
        <w:rPr>
          <w:lang w:eastAsia="ar-SA"/>
        </w:rPr>
        <w:t xml:space="preserve">. Phase portrait showing the expected direction of change given different values of Freedom of expression and </w:t>
      </w:r>
      <w:r w:rsidRPr="00E9170F">
        <w:t>Electoral</w:t>
      </w:r>
      <w:r w:rsidRPr="00E9170F">
        <w:rPr>
          <w:lang w:eastAsia="ar-SA"/>
        </w:rPr>
        <w:t xml:space="preserve"> component index. Longer arrows indicate more rapid change. The figure also includes the actual trajectories of six arbitrarily chosen countries.</w:t>
      </w:r>
    </w:p>
    <w:bookmarkEnd w:id="1"/>
    <w:p w:rsidR="00C01032" w:rsidRPr="00C01032" w:rsidRDefault="00C01032" w:rsidP="00C01032">
      <w:pPr>
        <w:rPr>
          <w:lang w:eastAsia="ar-SA"/>
        </w:rPr>
      </w:pPr>
    </w:p>
    <w:sectPr w:rsidR="00C01032" w:rsidRPr="00C01032" w:rsidSect="005D2233">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FF2" w:rsidRDefault="00391FF2" w:rsidP="00C01032">
      <w:r>
        <w:separator/>
      </w:r>
    </w:p>
  </w:endnote>
  <w:endnote w:type="continuationSeparator" w:id="0">
    <w:p w:rsidR="00391FF2" w:rsidRDefault="00391FF2" w:rsidP="00C0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60342"/>
      <w:docPartObj>
        <w:docPartGallery w:val="Page Numbers (Bottom of Page)"/>
        <w:docPartUnique/>
      </w:docPartObj>
    </w:sdtPr>
    <w:sdtEndPr>
      <w:rPr>
        <w:noProof/>
      </w:rPr>
    </w:sdtEndPr>
    <w:sdtContent>
      <w:p w:rsidR="00A71C4A" w:rsidRDefault="00A71C4A" w:rsidP="00C01032">
        <w:pPr>
          <w:pStyle w:val="Footer"/>
        </w:pPr>
        <w:r>
          <w:fldChar w:fldCharType="begin"/>
        </w:r>
        <w:r>
          <w:instrText xml:space="preserve"> PAGE   \* MERGEFORMAT </w:instrText>
        </w:r>
        <w:r>
          <w:fldChar w:fldCharType="separate"/>
        </w:r>
        <w:r w:rsidR="00A4371C">
          <w:rPr>
            <w:noProof/>
          </w:rPr>
          <w:t>4</w:t>
        </w:r>
        <w:r>
          <w:rPr>
            <w:noProof/>
          </w:rPr>
          <w:fldChar w:fldCharType="end"/>
        </w:r>
      </w:p>
    </w:sdtContent>
  </w:sdt>
  <w:p w:rsidR="00A71C4A" w:rsidRDefault="00A71C4A" w:rsidP="00C010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FF2" w:rsidRDefault="00391FF2" w:rsidP="00C01032">
      <w:r>
        <w:separator/>
      </w:r>
    </w:p>
  </w:footnote>
  <w:footnote w:type="continuationSeparator" w:id="0">
    <w:p w:rsidR="00391FF2" w:rsidRDefault="00391FF2" w:rsidP="00C010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AAE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F22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38ED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E4B2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4E11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82C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D0CC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4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3694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D31413"/>
    <w:multiLevelType w:val="hybridMultilevel"/>
    <w:tmpl w:val="55040A32"/>
    <w:lvl w:ilvl="0" w:tplc="8CDEC7FA">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15:restartNumberingAfterBreak="0">
    <w:nsid w:val="3D4715B9"/>
    <w:multiLevelType w:val="hybridMultilevel"/>
    <w:tmpl w:val="1BE8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AwNjAyMDQwMQVSRko6SsGpxcWZ+XkgBUa1ADp+RkYsAAAA"/>
  </w:docVars>
  <w:rsids>
    <w:rsidRoot w:val="00834E04"/>
    <w:rsid w:val="00002D1D"/>
    <w:rsid w:val="00004574"/>
    <w:rsid w:val="00015E53"/>
    <w:rsid w:val="00023878"/>
    <w:rsid w:val="00036862"/>
    <w:rsid w:val="000402F4"/>
    <w:rsid w:val="00044DA7"/>
    <w:rsid w:val="00053C0C"/>
    <w:rsid w:val="00067863"/>
    <w:rsid w:val="00082E0D"/>
    <w:rsid w:val="00087401"/>
    <w:rsid w:val="00091793"/>
    <w:rsid w:val="000A1365"/>
    <w:rsid w:val="000A7240"/>
    <w:rsid w:val="000C583B"/>
    <w:rsid w:val="000C6A53"/>
    <w:rsid w:val="000C7F13"/>
    <w:rsid w:val="000E1951"/>
    <w:rsid w:val="00101D51"/>
    <w:rsid w:val="00106DE6"/>
    <w:rsid w:val="00110721"/>
    <w:rsid w:val="00120E81"/>
    <w:rsid w:val="001243DC"/>
    <w:rsid w:val="00125636"/>
    <w:rsid w:val="001258EF"/>
    <w:rsid w:val="0014793E"/>
    <w:rsid w:val="00147C48"/>
    <w:rsid w:val="001544AC"/>
    <w:rsid w:val="00163816"/>
    <w:rsid w:val="00163D78"/>
    <w:rsid w:val="00164FAD"/>
    <w:rsid w:val="0016530D"/>
    <w:rsid w:val="0017658C"/>
    <w:rsid w:val="001A62C9"/>
    <w:rsid w:val="001A7A49"/>
    <w:rsid w:val="001B62A3"/>
    <w:rsid w:val="001C7163"/>
    <w:rsid w:val="001D376F"/>
    <w:rsid w:val="001E3ED4"/>
    <w:rsid w:val="001E5B25"/>
    <w:rsid w:val="001F16C8"/>
    <w:rsid w:val="002077BB"/>
    <w:rsid w:val="00214854"/>
    <w:rsid w:val="00222DA9"/>
    <w:rsid w:val="0022677C"/>
    <w:rsid w:val="00253764"/>
    <w:rsid w:val="00264B57"/>
    <w:rsid w:val="00276237"/>
    <w:rsid w:val="00290A4F"/>
    <w:rsid w:val="002A5E9F"/>
    <w:rsid w:val="002C18BB"/>
    <w:rsid w:val="002D67FB"/>
    <w:rsid w:val="002E64F9"/>
    <w:rsid w:val="002F5CB9"/>
    <w:rsid w:val="00304AAF"/>
    <w:rsid w:val="003060E6"/>
    <w:rsid w:val="0032528C"/>
    <w:rsid w:val="00333A25"/>
    <w:rsid w:val="0034597D"/>
    <w:rsid w:val="003462A6"/>
    <w:rsid w:val="00346DFF"/>
    <w:rsid w:val="00360676"/>
    <w:rsid w:val="0036347F"/>
    <w:rsid w:val="00373C93"/>
    <w:rsid w:val="00387637"/>
    <w:rsid w:val="00391FF2"/>
    <w:rsid w:val="003A15B6"/>
    <w:rsid w:val="003A1BCB"/>
    <w:rsid w:val="003B6E23"/>
    <w:rsid w:val="003C3F95"/>
    <w:rsid w:val="003C4256"/>
    <w:rsid w:val="003C569A"/>
    <w:rsid w:val="003C694A"/>
    <w:rsid w:val="003D54BE"/>
    <w:rsid w:val="003D6448"/>
    <w:rsid w:val="003E04B0"/>
    <w:rsid w:val="003E3494"/>
    <w:rsid w:val="003E3610"/>
    <w:rsid w:val="003E78A3"/>
    <w:rsid w:val="003E7ABC"/>
    <w:rsid w:val="003F5B18"/>
    <w:rsid w:val="003F6E9D"/>
    <w:rsid w:val="00402D86"/>
    <w:rsid w:val="00421878"/>
    <w:rsid w:val="004218B7"/>
    <w:rsid w:val="00442F1A"/>
    <w:rsid w:val="00445CF6"/>
    <w:rsid w:val="0045070E"/>
    <w:rsid w:val="00453259"/>
    <w:rsid w:val="0045759C"/>
    <w:rsid w:val="004607A7"/>
    <w:rsid w:val="0049749F"/>
    <w:rsid w:val="004A12BB"/>
    <w:rsid w:val="004A6585"/>
    <w:rsid w:val="004B172D"/>
    <w:rsid w:val="004C06B7"/>
    <w:rsid w:val="004C0DF7"/>
    <w:rsid w:val="004C1388"/>
    <w:rsid w:val="004D2602"/>
    <w:rsid w:val="004F2FD7"/>
    <w:rsid w:val="00504DBE"/>
    <w:rsid w:val="00506F4A"/>
    <w:rsid w:val="00512BAF"/>
    <w:rsid w:val="00520BA7"/>
    <w:rsid w:val="00530FA0"/>
    <w:rsid w:val="0055149E"/>
    <w:rsid w:val="00552A59"/>
    <w:rsid w:val="00570EE9"/>
    <w:rsid w:val="00572A6C"/>
    <w:rsid w:val="005805C7"/>
    <w:rsid w:val="0059065A"/>
    <w:rsid w:val="005932B3"/>
    <w:rsid w:val="005A1BBB"/>
    <w:rsid w:val="005A761D"/>
    <w:rsid w:val="005B2830"/>
    <w:rsid w:val="005B3D5F"/>
    <w:rsid w:val="005B4D93"/>
    <w:rsid w:val="005C4BE2"/>
    <w:rsid w:val="005D0E53"/>
    <w:rsid w:val="005D1622"/>
    <w:rsid w:val="005D2233"/>
    <w:rsid w:val="005D53EC"/>
    <w:rsid w:val="005E42C9"/>
    <w:rsid w:val="00603DFF"/>
    <w:rsid w:val="00604A61"/>
    <w:rsid w:val="00631210"/>
    <w:rsid w:val="006469F4"/>
    <w:rsid w:val="00650544"/>
    <w:rsid w:val="00652091"/>
    <w:rsid w:val="00660A29"/>
    <w:rsid w:val="00665496"/>
    <w:rsid w:val="0067436E"/>
    <w:rsid w:val="0067449E"/>
    <w:rsid w:val="00680811"/>
    <w:rsid w:val="00685D03"/>
    <w:rsid w:val="00691DA7"/>
    <w:rsid w:val="006B3C93"/>
    <w:rsid w:val="006C64D8"/>
    <w:rsid w:val="006D2B73"/>
    <w:rsid w:val="006D63D9"/>
    <w:rsid w:val="006E5278"/>
    <w:rsid w:val="00711A52"/>
    <w:rsid w:val="0071400A"/>
    <w:rsid w:val="00725953"/>
    <w:rsid w:val="00726156"/>
    <w:rsid w:val="00726B04"/>
    <w:rsid w:val="00751411"/>
    <w:rsid w:val="0078365F"/>
    <w:rsid w:val="00794EDF"/>
    <w:rsid w:val="00795E03"/>
    <w:rsid w:val="007A1913"/>
    <w:rsid w:val="007C34AC"/>
    <w:rsid w:val="007D712F"/>
    <w:rsid w:val="007F11F6"/>
    <w:rsid w:val="007F461C"/>
    <w:rsid w:val="008264E1"/>
    <w:rsid w:val="00826DEE"/>
    <w:rsid w:val="00830DE1"/>
    <w:rsid w:val="00834E04"/>
    <w:rsid w:val="0084136F"/>
    <w:rsid w:val="00844BFB"/>
    <w:rsid w:val="00850FF5"/>
    <w:rsid w:val="0085327B"/>
    <w:rsid w:val="0086016F"/>
    <w:rsid w:val="008657DA"/>
    <w:rsid w:val="0087096F"/>
    <w:rsid w:val="00891E2D"/>
    <w:rsid w:val="00892B43"/>
    <w:rsid w:val="008B673E"/>
    <w:rsid w:val="008B6877"/>
    <w:rsid w:val="008B6C04"/>
    <w:rsid w:val="008C60B0"/>
    <w:rsid w:val="008D2C6E"/>
    <w:rsid w:val="008F421C"/>
    <w:rsid w:val="00902603"/>
    <w:rsid w:val="00911F3E"/>
    <w:rsid w:val="009331C1"/>
    <w:rsid w:val="00936EC6"/>
    <w:rsid w:val="00943CF8"/>
    <w:rsid w:val="00943DA8"/>
    <w:rsid w:val="00950EA5"/>
    <w:rsid w:val="009520BC"/>
    <w:rsid w:val="009539F7"/>
    <w:rsid w:val="009619ED"/>
    <w:rsid w:val="009670B6"/>
    <w:rsid w:val="009675D6"/>
    <w:rsid w:val="00971C11"/>
    <w:rsid w:val="00980823"/>
    <w:rsid w:val="009839C1"/>
    <w:rsid w:val="009A003C"/>
    <w:rsid w:val="009B286B"/>
    <w:rsid w:val="009B37D2"/>
    <w:rsid w:val="009B6EBF"/>
    <w:rsid w:val="009B7F30"/>
    <w:rsid w:val="009C0015"/>
    <w:rsid w:val="009C102E"/>
    <w:rsid w:val="009C10C4"/>
    <w:rsid w:val="009C1762"/>
    <w:rsid w:val="009C5F2C"/>
    <w:rsid w:val="009D026E"/>
    <w:rsid w:val="009D0A02"/>
    <w:rsid w:val="009D3377"/>
    <w:rsid w:val="009D45AD"/>
    <w:rsid w:val="009D6381"/>
    <w:rsid w:val="009E2447"/>
    <w:rsid w:val="009E30FE"/>
    <w:rsid w:val="009F0DE2"/>
    <w:rsid w:val="009F2700"/>
    <w:rsid w:val="009F33AD"/>
    <w:rsid w:val="00A04E02"/>
    <w:rsid w:val="00A2780C"/>
    <w:rsid w:val="00A33DA4"/>
    <w:rsid w:val="00A357B5"/>
    <w:rsid w:val="00A42E3C"/>
    <w:rsid w:val="00A4371C"/>
    <w:rsid w:val="00A45B95"/>
    <w:rsid w:val="00A51280"/>
    <w:rsid w:val="00A6331E"/>
    <w:rsid w:val="00A63901"/>
    <w:rsid w:val="00A64EED"/>
    <w:rsid w:val="00A66F24"/>
    <w:rsid w:val="00A71C4A"/>
    <w:rsid w:val="00A75754"/>
    <w:rsid w:val="00A80060"/>
    <w:rsid w:val="00AC359D"/>
    <w:rsid w:val="00AD05F7"/>
    <w:rsid w:val="00AD2503"/>
    <w:rsid w:val="00AD3163"/>
    <w:rsid w:val="00AE79B9"/>
    <w:rsid w:val="00B26093"/>
    <w:rsid w:val="00B37A3D"/>
    <w:rsid w:val="00B4059C"/>
    <w:rsid w:val="00B41881"/>
    <w:rsid w:val="00B54DFE"/>
    <w:rsid w:val="00B6437A"/>
    <w:rsid w:val="00B7781C"/>
    <w:rsid w:val="00B97F42"/>
    <w:rsid w:val="00BB287D"/>
    <w:rsid w:val="00BD0062"/>
    <w:rsid w:val="00BD3C4F"/>
    <w:rsid w:val="00BD67AB"/>
    <w:rsid w:val="00BD6A2E"/>
    <w:rsid w:val="00BD731A"/>
    <w:rsid w:val="00BE5F3F"/>
    <w:rsid w:val="00BF0B1B"/>
    <w:rsid w:val="00BF0F47"/>
    <w:rsid w:val="00BF1BBD"/>
    <w:rsid w:val="00C01032"/>
    <w:rsid w:val="00C12BAA"/>
    <w:rsid w:val="00C327FC"/>
    <w:rsid w:val="00C3423A"/>
    <w:rsid w:val="00C417EA"/>
    <w:rsid w:val="00C4709A"/>
    <w:rsid w:val="00C57317"/>
    <w:rsid w:val="00C71FAA"/>
    <w:rsid w:val="00C77C6F"/>
    <w:rsid w:val="00C836A4"/>
    <w:rsid w:val="00C876A5"/>
    <w:rsid w:val="00CA2C5B"/>
    <w:rsid w:val="00CB0249"/>
    <w:rsid w:val="00CB256C"/>
    <w:rsid w:val="00CC6117"/>
    <w:rsid w:val="00CD6F43"/>
    <w:rsid w:val="00CE6015"/>
    <w:rsid w:val="00CE7EDA"/>
    <w:rsid w:val="00D213ED"/>
    <w:rsid w:val="00D25EDC"/>
    <w:rsid w:val="00D30D49"/>
    <w:rsid w:val="00D314E5"/>
    <w:rsid w:val="00D32CFD"/>
    <w:rsid w:val="00D52DE0"/>
    <w:rsid w:val="00D56352"/>
    <w:rsid w:val="00D62785"/>
    <w:rsid w:val="00D652B7"/>
    <w:rsid w:val="00D76274"/>
    <w:rsid w:val="00D8760D"/>
    <w:rsid w:val="00D90F07"/>
    <w:rsid w:val="00D92343"/>
    <w:rsid w:val="00DC18BA"/>
    <w:rsid w:val="00DC6144"/>
    <w:rsid w:val="00DD5B00"/>
    <w:rsid w:val="00DD6AC1"/>
    <w:rsid w:val="00DF37D5"/>
    <w:rsid w:val="00E00630"/>
    <w:rsid w:val="00E0202A"/>
    <w:rsid w:val="00E1081B"/>
    <w:rsid w:val="00E159BF"/>
    <w:rsid w:val="00E20AA5"/>
    <w:rsid w:val="00E247C4"/>
    <w:rsid w:val="00E24E9E"/>
    <w:rsid w:val="00E271A6"/>
    <w:rsid w:val="00E34409"/>
    <w:rsid w:val="00E45851"/>
    <w:rsid w:val="00E45B5D"/>
    <w:rsid w:val="00E53B03"/>
    <w:rsid w:val="00E54E20"/>
    <w:rsid w:val="00E607AA"/>
    <w:rsid w:val="00E728EA"/>
    <w:rsid w:val="00E803F9"/>
    <w:rsid w:val="00E83172"/>
    <w:rsid w:val="00E84322"/>
    <w:rsid w:val="00EA35B7"/>
    <w:rsid w:val="00EB4DDB"/>
    <w:rsid w:val="00EB542E"/>
    <w:rsid w:val="00EB5524"/>
    <w:rsid w:val="00EB7BCD"/>
    <w:rsid w:val="00EC12CB"/>
    <w:rsid w:val="00EC5FFE"/>
    <w:rsid w:val="00ED3B4F"/>
    <w:rsid w:val="00EF0DD7"/>
    <w:rsid w:val="00EF1D93"/>
    <w:rsid w:val="00F03F4A"/>
    <w:rsid w:val="00F07B67"/>
    <w:rsid w:val="00F11135"/>
    <w:rsid w:val="00F16D73"/>
    <w:rsid w:val="00F17741"/>
    <w:rsid w:val="00F21A63"/>
    <w:rsid w:val="00F27F17"/>
    <w:rsid w:val="00F34D6E"/>
    <w:rsid w:val="00F36B40"/>
    <w:rsid w:val="00F46541"/>
    <w:rsid w:val="00F75018"/>
    <w:rsid w:val="00F84241"/>
    <w:rsid w:val="00FA1190"/>
    <w:rsid w:val="00FA1596"/>
    <w:rsid w:val="00FA384C"/>
    <w:rsid w:val="00FC77A8"/>
    <w:rsid w:val="00FD35DC"/>
    <w:rsid w:val="00FE617A"/>
    <w:rsid w:val="00FF1485"/>
    <w:rsid w:val="00FF600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4742B"/>
  <w15:docId w15:val="{0D1BCCF5-49A5-4A89-B32E-BAC7490F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032"/>
    <w:pPr>
      <w:spacing w:after="120" w:line="360" w:lineRule="auto"/>
      <w:jc w:val="both"/>
    </w:pPr>
    <w:rPr>
      <w:rFonts w:ascii="Garamond" w:eastAsia="PMingLiU" w:hAnsi="Garamond"/>
      <w:sz w:val="24"/>
      <w:lang w:val="en-US"/>
    </w:rPr>
  </w:style>
  <w:style w:type="paragraph" w:styleId="Heading1">
    <w:name w:val="heading 1"/>
    <w:basedOn w:val="Normal"/>
    <w:next w:val="Normal"/>
    <w:link w:val="Heading1Char"/>
    <w:uiPriority w:val="2"/>
    <w:qFormat/>
    <w:rsid w:val="00C01032"/>
    <w:pPr>
      <w:keepNext/>
      <w:keepLines/>
      <w:spacing w:before="240" w:after="200"/>
      <w:outlineLvl w:val="0"/>
    </w:pPr>
    <w:rPr>
      <w:rFonts w:eastAsia="MS Gothic"/>
      <w:b/>
      <w:bCs/>
      <w:szCs w:val="24"/>
    </w:rPr>
  </w:style>
  <w:style w:type="paragraph" w:styleId="Heading2">
    <w:name w:val="heading 2"/>
    <w:basedOn w:val="Normal"/>
    <w:next w:val="Normal"/>
    <w:link w:val="Heading2Char"/>
    <w:uiPriority w:val="3"/>
    <w:unhideWhenUsed/>
    <w:qFormat/>
    <w:rsid w:val="009839C1"/>
    <w:pPr>
      <w:keepNext/>
      <w:keepLines/>
      <w:spacing w:after="240"/>
      <w:outlineLvl w:val="1"/>
    </w:pPr>
    <w:rPr>
      <w:rFonts w:asciiTheme="majorHAnsi" w:eastAsiaTheme="majorEastAsia" w:hAnsiTheme="majorHAnsi" w:cstheme="majorBidi"/>
      <w:bCs/>
      <w:i/>
      <w:color w:val="000000" w:themeColor="text1"/>
      <w:szCs w:val="26"/>
      <w:u w:val="single"/>
    </w:rPr>
  </w:style>
  <w:style w:type="paragraph" w:styleId="Heading3">
    <w:name w:val="heading 3"/>
    <w:basedOn w:val="Normal"/>
    <w:next w:val="Normal"/>
    <w:link w:val="Heading3Char"/>
    <w:uiPriority w:val="4"/>
    <w:unhideWhenUsed/>
    <w:qFormat/>
    <w:rsid w:val="00C3423A"/>
    <w:pPr>
      <w:keepNext/>
      <w:keepLines/>
      <w:spacing w:after="240"/>
      <w:outlineLvl w:val="2"/>
    </w:pPr>
    <w:rPr>
      <w:rFonts w:asciiTheme="majorHAnsi" w:eastAsiaTheme="majorEastAsia" w:hAnsiTheme="majorHAnsi" w:cstheme="majorBidi"/>
      <w:b/>
      <w:bCs/>
      <w:i/>
      <w:color w:val="000000" w:themeColor="text1"/>
    </w:rPr>
  </w:style>
  <w:style w:type="paragraph" w:styleId="Heading4">
    <w:name w:val="heading 4"/>
    <w:basedOn w:val="Normal"/>
    <w:next w:val="Normal"/>
    <w:link w:val="Heading4Char"/>
    <w:uiPriority w:val="5"/>
    <w:unhideWhenUsed/>
    <w:rsid w:val="00D32C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01032"/>
    <w:pPr>
      <w:suppressAutoHyphens/>
      <w:jc w:val="center"/>
    </w:pPr>
    <w:rPr>
      <w:rFonts w:eastAsia="Times New Roman"/>
      <w:b/>
      <w:bCs/>
      <w:sz w:val="32"/>
      <w:szCs w:val="32"/>
      <w:lang w:eastAsia="ar-SA"/>
    </w:rPr>
  </w:style>
  <w:style w:type="character" w:customStyle="1" w:styleId="TitleChar">
    <w:name w:val="Title Char"/>
    <w:basedOn w:val="DefaultParagraphFont"/>
    <w:link w:val="Title"/>
    <w:rsid w:val="00C01032"/>
    <w:rPr>
      <w:rFonts w:ascii="Garamond" w:eastAsia="Times New Roman" w:hAnsi="Garamond"/>
      <w:b/>
      <w:bCs/>
      <w:sz w:val="32"/>
      <w:szCs w:val="32"/>
      <w:lang w:val="en-US" w:eastAsia="ar-SA"/>
    </w:rPr>
  </w:style>
  <w:style w:type="character" w:customStyle="1" w:styleId="Heading1Char">
    <w:name w:val="Heading 1 Char"/>
    <w:basedOn w:val="DefaultParagraphFont"/>
    <w:link w:val="Heading1"/>
    <w:uiPriority w:val="2"/>
    <w:rsid w:val="00C01032"/>
    <w:rPr>
      <w:rFonts w:ascii="Garamond" w:eastAsia="MS Gothic" w:hAnsi="Garamond"/>
      <w:b/>
      <w:bCs/>
      <w:sz w:val="24"/>
      <w:szCs w:val="24"/>
      <w:lang w:val="en-US"/>
    </w:rPr>
  </w:style>
  <w:style w:type="character" w:customStyle="1" w:styleId="Heading2Char">
    <w:name w:val="Heading 2 Char"/>
    <w:basedOn w:val="DefaultParagraphFont"/>
    <w:link w:val="Heading2"/>
    <w:uiPriority w:val="3"/>
    <w:rsid w:val="009839C1"/>
    <w:rPr>
      <w:rFonts w:asciiTheme="majorHAnsi" w:eastAsiaTheme="majorEastAsia" w:hAnsiTheme="majorHAnsi" w:cstheme="majorBidi"/>
      <w:bCs/>
      <w:i/>
      <w:color w:val="000000" w:themeColor="text1"/>
      <w:sz w:val="24"/>
      <w:szCs w:val="26"/>
      <w:u w:val="single"/>
      <w:lang w:val="en-US"/>
    </w:rPr>
  </w:style>
  <w:style w:type="character" w:customStyle="1" w:styleId="Heading3Char">
    <w:name w:val="Heading 3 Char"/>
    <w:basedOn w:val="DefaultParagraphFont"/>
    <w:link w:val="Heading3"/>
    <w:uiPriority w:val="4"/>
    <w:rsid w:val="00EB4DDB"/>
    <w:rPr>
      <w:rFonts w:asciiTheme="majorHAnsi" w:eastAsiaTheme="majorEastAsia" w:hAnsiTheme="majorHAnsi" w:cstheme="majorBidi"/>
      <w:b/>
      <w:bCs/>
      <w:i/>
      <w:color w:val="000000" w:themeColor="text1"/>
      <w:sz w:val="24"/>
    </w:rPr>
  </w:style>
  <w:style w:type="character" w:customStyle="1" w:styleId="Heading4Char">
    <w:name w:val="Heading 4 Char"/>
    <w:basedOn w:val="DefaultParagraphFont"/>
    <w:link w:val="Heading4"/>
    <w:uiPriority w:val="5"/>
    <w:rsid w:val="00EB4DDB"/>
    <w:rPr>
      <w:rFonts w:asciiTheme="majorHAnsi" w:eastAsiaTheme="majorEastAsia" w:hAnsiTheme="majorHAnsi" w:cstheme="majorBidi"/>
      <w:b/>
      <w:bCs/>
      <w:i/>
      <w:iCs/>
      <w:color w:val="4F81BD" w:themeColor="accent1"/>
      <w:sz w:val="24"/>
    </w:rPr>
  </w:style>
  <w:style w:type="paragraph" w:customStyle="1" w:styleId="Figure">
    <w:name w:val="Figure"/>
    <w:basedOn w:val="Normal"/>
    <w:next w:val="Figuretext"/>
    <w:uiPriority w:val="6"/>
    <w:qFormat/>
    <w:rsid w:val="00C01032"/>
    <w:pPr>
      <w:ind w:left="-567" w:right="-567"/>
      <w:jc w:val="center"/>
    </w:pPr>
    <w:rPr>
      <w:sz w:val="20"/>
    </w:rPr>
  </w:style>
  <w:style w:type="paragraph" w:customStyle="1" w:styleId="Figuretext">
    <w:name w:val="Figure text"/>
    <w:basedOn w:val="Normal"/>
    <w:next w:val="Normal"/>
    <w:uiPriority w:val="7"/>
    <w:qFormat/>
    <w:rsid w:val="00C01032"/>
    <w:pPr>
      <w:spacing w:before="120" w:after="240"/>
      <w:ind w:left="567" w:right="567"/>
    </w:pPr>
    <w:rPr>
      <w:sz w:val="20"/>
    </w:rPr>
  </w:style>
  <w:style w:type="paragraph" w:styleId="Quote">
    <w:name w:val="Quote"/>
    <w:basedOn w:val="Normal"/>
    <w:next w:val="Normal"/>
    <w:link w:val="QuoteChar"/>
    <w:uiPriority w:val="9"/>
    <w:qFormat/>
    <w:rsid w:val="00C3423A"/>
    <w:pPr>
      <w:ind w:left="567" w:right="567"/>
    </w:pPr>
    <w:rPr>
      <w:i/>
      <w:iCs/>
      <w:color w:val="000000" w:themeColor="text1"/>
    </w:rPr>
  </w:style>
  <w:style w:type="character" w:customStyle="1" w:styleId="QuoteChar">
    <w:name w:val="Quote Char"/>
    <w:basedOn w:val="DefaultParagraphFont"/>
    <w:link w:val="Quote"/>
    <w:uiPriority w:val="9"/>
    <w:rsid w:val="00EB4DDB"/>
    <w:rPr>
      <w:rFonts w:asciiTheme="minorHAnsi" w:hAnsiTheme="minorHAnsi"/>
      <w:i/>
      <w:iCs/>
      <w:color w:val="000000" w:themeColor="text1"/>
      <w:sz w:val="24"/>
    </w:rPr>
  </w:style>
  <w:style w:type="paragraph" w:customStyle="1" w:styleId="Reference">
    <w:name w:val="Reference"/>
    <w:basedOn w:val="Normal"/>
    <w:uiPriority w:val="8"/>
    <w:qFormat/>
    <w:rsid w:val="00C3423A"/>
    <w:pPr>
      <w:ind w:left="284" w:hanging="284"/>
    </w:pPr>
  </w:style>
  <w:style w:type="paragraph" w:customStyle="1" w:styleId="Authors">
    <w:name w:val="Authors"/>
    <w:basedOn w:val="Normal"/>
    <w:rsid w:val="00E45B5D"/>
    <w:pPr>
      <w:suppressAutoHyphens/>
      <w:jc w:val="center"/>
    </w:pPr>
    <w:rPr>
      <w:rFonts w:ascii="Times New Roman" w:eastAsia="Times New Roman" w:hAnsi="Times New Roman"/>
      <w:sz w:val="32"/>
      <w:lang w:eastAsia="ar-SA"/>
    </w:rPr>
  </w:style>
  <w:style w:type="paragraph" w:customStyle="1" w:styleId="Addresses">
    <w:name w:val="Addresses"/>
    <w:basedOn w:val="Normal"/>
    <w:rsid w:val="00E45B5D"/>
    <w:pPr>
      <w:suppressAutoHyphens/>
      <w:jc w:val="center"/>
    </w:pPr>
    <w:rPr>
      <w:rFonts w:ascii="Times New Roman" w:eastAsia="Times New Roman" w:hAnsi="Times New Roman"/>
      <w:lang w:eastAsia="ar-SA"/>
    </w:rPr>
  </w:style>
  <w:style w:type="character" w:styleId="Hyperlink">
    <w:name w:val="Hyperlink"/>
    <w:basedOn w:val="DefaultParagraphFont"/>
    <w:uiPriority w:val="99"/>
    <w:unhideWhenUsed/>
    <w:rsid w:val="000A7240"/>
    <w:rPr>
      <w:color w:val="0000FF" w:themeColor="hyperlink"/>
      <w:u w:val="single"/>
    </w:rPr>
  </w:style>
  <w:style w:type="paragraph" w:styleId="BalloonText">
    <w:name w:val="Balloon Text"/>
    <w:basedOn w:val="Normal"/>
    <w:link w:val="BalloonTextChar"/>
    <w:uiPriority w:val="99"/>
    <w:semiHidden/>
    <w:unhideWhenUsed/>
    <w:rsid w:val="006B3C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C93"/>
    <w:rPr>
      <w:rFonts w:ascii="Tahoma" w:hAnsi="Tahoma" w:cs="Tahoma"/>
      <w:sz w:val="16"/>
      <w:szCs w:val="16"/>
    </w:rPr>
  </w:style>
  <w:style w:type="paragraph" w:styleId="NormalWeb">
    <w:name w:val="Normal (Web)"/>
    <w:basedOn w:val="Normal"/>
    <w:uiPriority w:val="99"/>
    <w:semiHidden/>
    <w:unhideWhenUsed/>
    <w:rsid w:val="009C102E"/>
    <w:pPr>
      <w:spacing w:before="100" w:beforeAutospacing="1" w:after="100" w:afterAutospacing="1" w:line="240" w:lineRule="auto"/>
      <w:jc w:val="left"/>
    </w:pPr>
    <w:rPr>
      <w:rFonts w:ascii="Times" w:hAnsi="Times"/>
      <w:sz w:val="20"/>
      <w:lang w:eastAsia="sv-SE"/>
    </w:rPr>
  </w:style>
  <w:style w:type="character" w:customStyle="1" w:styleId="apple-converted-space">
    <w:name w:val="apple-converted-space"/>
    <w:basedOn w:val="DefaultParagraphFont"/>
    <w:rsid w:val="009C102E"/>
  </w:style>
  <w:style w:type="table" w:styleId="LightShading">
    <w:name w:val="Light Shading"/>
    <w:basedOn w:val="TableNormal"/>
    <w:uiPriority w:val="60"/>
    <w:rsid w:val="00D314E5"/>
    <w:rPr>
      <w:rFonts w:asciiTheme="minorHAnsi" w:eastAsiaTheme="minorEastAsia" w:hAnsiTheme="minorHAnsi" w:cstheme="minorBidi"/>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rsid w:val="0071400A"/>
    <w:pPr>
      <w:ind w:left="720"/>
      <w:contextualSpacing/>
    </w:pPr>
  </w:style>
  <w:style w:type="table" w:customStyle="1" w:styleId="PlainTable21">
    <w:name w:val="Plain Table 21"/>
    <w:basedOn w:val="TableNormal"/>
    <w:uiPriority w:val="42"/>
    <w:rsid w:val="0071400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71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99"/>
    <w:rsid w:val="00CE60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99"/>
    <w:rsid w:val="00CE60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8264E1"/>
    <w:pPr>
      <w:tabs>
        <w:tab w:val="center" w:pos="4703"/>
        <w:tab w:val="right" w:pos="9406"/>
      </w:tabs>
      <w:spacing w:after="0" w:line="240" w:lineRule="auto"/>
    </w:pPr>
  </w:style>
  <w:style w:type="character" w:customStyle="1" w:styleId="HeaderChar">
    <w:name w:val="Header Char"/>
    <w:basedOn w:val="DefaultParagraphFont"/>
    <w:link w:val="Header"/>
    <w:uiPriority w:val="99"/>
    <w:rsid w:val="008264E1"/>
    <w:rPr>
      <w:rFonts w:asciiTheme="minorHAnsi" w:hAnsiTheme="minorHAnsi"/>
      <w:sz w:val="24"/>
    </w:rPr>
  </w:style>
  <w:style w:type="paragraph" w:styleId="Footer">
    <w:name w:val="footer"/>
    <w:basedOn w:val="Normal"/>
    <w:link w:val="FooterChar"/>
    <w:uiPriority w:val="99"/>
    <w:unhideWhenUsed/>
    <w:rsid w:val="008264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8264E1"/>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85089">
      <w:bodyDiv w:val="1"/>
      <w:marLeft w:val="0"/>
      <w:marRight w:val="0"/>
      <w:marTop w:val="0"/>
      <w:marBottom w:val="0"/>
      <w:divBdr>
        <w:top w:val="none" w:sz="0" w:space="0" w:color="auto"/>
        <w:left w:val="none" w:sz="0" w:space="0" w:color="auto"/>
        <w:bottom w:val="none" w:sz="0" w:space="0" w:color="auto"/>
        <w:right w:val="none" w:sz="0" w:space="0" w:color="auto"/>
      </w:divBdr>
    </w:div>
    <w:div w:id="361520331">
      <w:bodyDiv w:val="1"/>
      <w:marLeft w:val="0"/>
      <w:marRight w:val="0"/>
      <w:marTop w:val="0"/>
      <w:marBottom w:val="0"/>
      <w:divBdr>
        <w:top w:val="none" w:sz="0" w:space="0" w:color="auto"/>
        <w:left w:val="none" w:sz="0" w:space="0" w:color="auto"/>
        <w:bottom w:val="none" w:sz="0" w:space="0" w:color="auto"/>
        <w:right w:val="none" w:sz="0" w:space="0" w:color="auto"/>
      </w:divBdr>
      <w:divsChild>
        <w:div w:id="239095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8516">
              <w:marLeft w:val="0"/>
              <w:marRight w:val="0"/>
              <w:marTop w:val="0"/>
              <w:marBottom w:val="0"/>
              <w:divBdr>
                <w:top w:val="none" w:sz="0" w:space="0" w:color="auto"/>
                <w:left w:val="none" w:sz="0" w:space="0" w:color="auto"/>
                <w:bottom w:val="none" w:sz="0" w:space="0" w:color="auto"/>
                <w:right w:val="none" w:sz="0" w:space="0" w:color="auto"/>
              </w:divBdr>
              <w:divsChild>
                <w:div w:id="128400175">
                  <w:marLeft w:val="0"/>
                  <w:marRight w:val="0"/>
                  <w:marTop w:val="0"/>
                  <w:marBottom w:val="0"/>
                  <w:divBdr>
                    <w:top w:val="none" w:sz="0" w:space="0" w:color="auto"/>
                    <w:left w:val="none" w:sz="0" w:space="0" w:color="auto"/>
                    <w:bottom w:val="none" w:sz="0" w:space="0" w:color="auto"/>
                    <w:right w:val="none" w:sz="0" w:space="0" w:color="auto"/>
                  </w:divBdr>
                  <w:divsChild>
                    <w:div w:id="1198856594">
                      <w:marLeft w:val="0"/>
                      <w:marRight w:val="0"/>
                      <w:marTop w:val="0"/>
                      <w:marBottom w:val="0"/>
                      <w:divBdr>
                        <w:top w:val="none" w:sz="0" w:space="0" w:color="auto"/>
                        <w:left w:val="none" w:sz="0" w:space="0" w:color="auto"/>
                        <w:bottom w:val="none" w:sz="0" w:space="0" w:color="auto"/>
                        <w:right w:val="none" w:sz="0" w:space="0" w:color="auto"/>
                      </w:divBdr>
                      <w:divsChild>
                        <w:div w:id="933590730">
                          <w:marLeft w:val="0"/>
                          <w:marRight w:val="0"/>
                          <w:marTop w:val="0"/>
                          <w:marBottom w:val="0"/>
                          <w:divBdr>
                            <w:top w:val="none" w:sz="0" w:space="0" w:color="auto"/>
                            <w:left w:val="none" w:sz="0" w:space="0" w:color="auto"/>
                            <w:bottom w:val="none" w:sz="0" w:space="0" w:color="auto"/>
                            <w:right w:val="none" w:sz="0" w:space="0" w:color="auto"/>
                          </w:divBdr>
                          <w:divsChild>
                            <w:div w:id="1572157149">
                              <w:marLeft w:val="0"/>
                              <w:marRight w:val="0"/>
                              <w:marTop w:val="0"/>
                              <w:marBottom w:val="0"/>
                              <w:divBdr>
                                <w:top w:val="none" w:sz="0" w:space="0" w:color="auto"/>
                                <w:left w:val="none" w:sz="0" w:space="0" w:color="auto"/>
                                <w:bottom w:val="none" w:sz="0" w:space="0" w:color="auto"/>
                                <w:right w:val="none" w:sz="0" w:space="0" w:color="auto"/>
                              </w:divBdr>
                            </w:div>
                            <w:div w:id="1564217827">
                              <w:marLeft w:val="0"/>
                              <w:marRight w:val="0"/>
                              <w:marTop w:val="0"/>
                              <w:marBottom w:val="0"/>
                              <w:divBdr>
                                <w:top w:val="none" w:sz="0" w:space="0" w:color="auto"/>
                                <w:left w:val="none" w:sz="0" w:space="0" w:color="auto"/>
                                <w:bottom w:val="none" w:sz="0" w:space="0" w:color="auto"/>
                                <w:right w:val="none" w:sz="0" w:space="0" w:color="auto"/>
                              </w:divBdr>
                              <w:divsChild>
                                <w:div w:id="1617372662">
                                  <w:marLeft w:val="0"/>
                                  <w:marRight w:val="0"/>
                                  <w:marTop w:val="0"/>
                                  <w:marBottom w:val="0"/>
                                  <w:divBdr>
                                    <w:top w:val="none" w:sz="0" w:space="0" w:color="auto"/>
                                    <w:left w:val="none" w:sz="0" w:space="0" w:color="auto"/>
                                    <w:bottom w:val="none" w:sz="0" w:space="0" w:color="auto"/>
                                    <w:right w:val="none" w:sz="0" w:space="0" w:color="auto"/>
                                  </w:divBdr>
                                  <w:divsChild>
                                    <w:div w:id="13430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669094">
      <w:bodyDiv w:val="1"/>
      <w:marLeft w:val="0"/>
      <w:marRight w:val="0"/>
      <w:marTop w:val="0"/>
      <w:marBottom w:val="0"/>
      <w:divBdr>
        <w:top w:val="none" w:sz="0" w:space="0" w:color="auto"/>
        <w:left w:val="none" w:sz="0" w:space="0" w:color="auto"/>
        <w:bottom w:val="none" w:sz="0" w:space="0" w:color="auto"/>
        <w:right w:val="none" w:sz="0" w:space="0" w:color="auto"/>
      </w:divBdr>
    </w:div>
    <w:div w:id="499542444">
      <w:bodyDiv w:val="1"/>
      <w:marLeft w:val="0"/>
      <w:marRight w:val="0"/>
      <w:marTop w:val="0"/>
      <w:marBottom w:val="0"/>
      <w:divBdr>
        <w:top w:val="none" w:sz="0" w:space="0" w:color="auto"/>
        <w:left w:val="none" w:sz="0" w:space="0" w:color="auto"/>
        <w:bottom w:val="none" w:sz="0" w:space="0" w:color="auto"/>
        <w:right w:val="none" w:sz="0" w:space="0" w:color="auto"/>
      </w:divBdr>
    </w:div>
    <w:div w:id="942302694">
      <w:bodyDiv w:val="1"/>
      <w:marLeft w:val="0"/>
      <w:marRight w:val="0"/>
      <w:marTop w:val="0"/>
      <w:marBottom w:val="0"/>
      <w:divBdr>
        <w:top w:val="none" w:sz="0" w:space="0" w:color="auto"/>
        <w:left w:val="none" w:sz="0" w:space="0" w:color="auto"/>
        <w:bottom w:val="none" w:sz="0" w:space="0" w:color="auto"/>
        <w:right w:val="none" w:sz="0" w:space="0" w:color="auto"/>
      </w:divBdr>
    </w:div>
    <w:div w:id="1628706447">
      <w:bodyDiv w:val="1"/>
      <w:marLeft w:val="0"/>
      <w:marRight w:val="0"/>
      <w:marTop w:val="0"/>
      <w:marBottom w:val="0"/>
      <w:divBdr>
        <w:top w:val="none" w:sz="0" w:space="0" w:color="auto"/>
        <w:left w:val="none" w:sz="0" w:space="0" w:color="auto"/>
        <w:bottom w:val="none" w:sz="0" w:space="0" w:color="auto"/>
        <w:right w:val="none" w:sz="0" w:space="0" w:color="auto"/>
      </w:divBdr>
    </w:div>
    <w:div w:id="1733380947">
      <w:bodyDiv w:val="1"/>
      <w:marLeft w:val="0"/>
      <w:marRight w:val="0"/>
      <w:marTop w:val="0"/>
      <w:marBottom w:val="0"/>
      <w:divBdr>
        <w:top w:val="none" w:sz="0" w:space="0" w:color="auto"/>
        <w:left w:val="none" w:sz="0" w:space="0" w:color="auto"/>
        <w:bottom w:val="none" w:sz="0" w:space="0" w:color="auto"/>
        <w:right w:val="none" w:sz="0" w:space="0" w:color="auto"/>
      </w:divBdr>
      <w:divsChild>
        <w:div w:id="600072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416021">
              <w:marLeft w:val="0"/>
              <w:marRight w:val="0"/>
              <w:marTop w:val="0"/>
              <w:marBottom w:val="0"/>
              <w:divBdr>
                <w:top w:val="none" w:sz="0" w:space="0" w:color="auto"/>
                <w:left w:val="none" w:sz="0" w:space="0" w:color="auto"/>
                <w:bottom w:val="none" w:sz="0" w:space="0" w:color="auto"/>
                <w:right w:val="none" w:sz="0" w:space="0" w:color="auto"/>
              </w:divBdr>
              <w:divsChild>
                <w:div w:id="825166254">
                  <w:marLeft w:val="0"/>
                  <w:marRight w:val="0"/>
                  <w:marTop w:val="0"/>
                  <w:marBottom w:val="0"/>
                  <w:divBdr>
                    <w:top w:val="none" w:sz="0" w:space="0" w:color="auto"/>
                    <w:left w:val="none" w:sz="0" w:space="0" w:color="auto"/>
                    <w:bottom w:val="none" w:sz="0" w:space="0" w:color="auto"/>
                    <w:right w:val="none" w:sz="0" w:space="0" w:color="auto"/>
                  </w:divBdr>
                  <w:divsChild>
                    <w:div w:id="1190030518">
                      <w:marLeft w:val="0"/>
                      <w:marRight w:val="0"/>
                      <w:marTop w:val="0"/>
                      <w:marBottom w:val="0"/>
                      <w:divBdr>
                        <w:top w:val="none" w:sz="0" w:space="0" w:color="auto"/>
                        <w:left w:val="none" w:sz="0" w:space="0" w:color="auto"/>
                        <w:bottom w:val="none" w:sz="0" w:space="0" w:color="auto"/>
                        <w:right w:val="none" w:sz="0" w:space="0" w:color="auto"/>
                      </w:divBdr>
                      <w:divsChild>
                        <w:div w:id="1931036122">
                          <w:marLeft w:val="0"/>
                          <w:marRight w:val="0"/>
                          <w:marTop w:val="0"/>
                          <w:marBottom w:val="0"/>
                          <w:divBdr>
                            <w:top w:val="none" w:sz="0" w:space="0" w:color="auto"/>
                            <w:left w:val="none" w:sz="0" w:space="0" w:color="auto"/>
                            <w:bottom w:val="none" w:sz="0" w:space="0" w:color="auto"/>
                            <w:right w:val="none" w:sz="0" w:space="0" w:color="auto"/>
                          </w:divBdr>
                          <w:divsChild>
                            <w:div w:id="1588920380">
                              <w:marLeft w:val="0"/>
                              <w:marRight w:val="0"/>
                              <w:marTop w:val="0"/>
                              <w:marBottom w:val="0"/>
                              <w:divBdr>
                                <w:top w:val="none" w:sz="0" w:space="0" w:color="auto"/>
                                <w:left w:val="none" w:sz="0" w:space="0" w:color="auto"/>
                                <w:bottom w:val="none" w:sz="0" w:space="0" w:color="auto"/>
                                <w:right w:val="none" w:sz="0" w:space="0" w:color="auto"/>
                              </w:divBdr>
                            </w:div>
                            <w:div w:id="1301380031">
                              <w:marLeft w:val="0"/>
                              <w:marRight w:val="0"/>
                              <w:marTop w:val="0"/>
                              <w:marBottom w:val="0"/>
                              <w:divBdr>
                                <w:top w:val="none" w:sz="0" w:space="0" w:color="auto"/>
                                <w:left w:val="none" w:sz="0" w:space="0" w:color="auto"/>
                                <w:bottom w:val="none" w:sz="0" w:space="0" w:color="auto"/>
                                <w:right w:val="none" w:sz="0" w:space="0" w:color="auto"/>
                              </w:divBdr>
                              <w:divsChild>
                                <w:div w:id="1083456415">
                                  <w:marLeft w:val="0"/>
                                  <w:marRight w:val="0"/>
                                  <w:marTop w:val="0"/>
                                  <w:marBottom w:val="0"/>
                                  <w:divBdr>
                                    <w:top w:val="none" w:sz="0" w:space="0" w:color="auto"/>
                                    <w:left w:val="none" w:sz="0" w:space="0" w:color="auto"/>
                                    <w:bottom w:val="none" w:sz="0" w:space="0" w:color="auto"/>
                                    <w:right w:val="none" w:sz="0" w:space="0" w:color="auto"/>
                                  </w:divBdr>
                                  <w:divsChild>
                                    <w:div w:id="341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5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k\Documents\Su%20Officemallar\Manuscrip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801E0-1FF9-4EDF-9644-22B18CF1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ManuscriptX.dotx</Template>
  <TotalTime>47</TotalTime>
  <Pages>9</Pages>
  <Words>1701</Words>
  <Characters>9699</Characters>
  <Application>Microsoft Office Word</Application>
  <DocSecurity>0</DocSecurity>
  <Lines>80</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Patrik Lindenfors</dc:creator>
  <cp:lastModifiedBy>Patrik Lindenfors</cp:lastModifiedBy>
  <cp:revision>6</cp:revision>
  <dcterms:created xsi:type="dcterms:W3CDTF">2018-01-19T10:10:00Z</dcterms:created>
  <dcterms:modified xsi:type="dcterms:W3CDTF">2018-01-22T12:45:00Z</dcterms:modified>
</cp:coreProperties>
</file>