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23" w:rsidRPr="005D5087" w:rsidRDefault="00D56D23" w:rsidP="00D56D23">
      <w:pPr>
        <w:rPr>
          <w:b/>
        </w:rPr>
      </w:pPr>
      <w:r w:rsidRPr="005D5087">
        <w:rPr>
          <w:b/>
        </w:rPr>
        <w:t>Appendix</w:t>
      </w:r>
      <w:r>
        <w:rPr>
          <w:b/>
        </w:rPr>
        <w:t xml:space="preserve"> 1</w:t>
      </w:r>
      <w:r w:rsidRPr="005D5087">
        <w:rPr>
          <w:b/>
        </w:rPr>
        <w:t>: Wording of Survey Questions Used to Construct Variables</w:t>
      </w:r>
    </w:p>
    <w:p w:rsidR="00D56D23" w:rsidRPr="005D5087" w:rsidRDefault="00D56D23" w:rsidP="00D56D23"/>
    <w:p w:rsidR="00D56D23" w:rsidRPr="005D5087" w:rsidRDefault="00D56D23" w:rsidP="00D56D23">
      <w:pPr>
        <w:ind w:left="720" w:hanging="720"/>
      </w:pPr>
      <w:r w:rsidRPr="005D5087">
        <w:t xml:space="preserve">Variable Names: </w:t>
      </w:r>
      <w:r w:rsidRPr="005D5087">
        <w:rPr>
          <w:i/>
        </w:rPr>
        <w:t>MC Thermometer, Party Thermometer, Congress Thermometer</w:t>
      </w:r>
    </w:p>
    <w:p w:rsidR="00D56D23" w:rsidRPr="005D5087" w:rsidRDefault="00D56D23" w:rsidP="00D56D23">
      <w:pPr>
        <w:ind w:left="720" w:hanging="720"/>
        <w:rPr>
          <w:rFonts w:eastAsia="Times New Roman"/>
        </w:rPr>
      </w:pPr>
      <w:r w:rsidRPr="005D5087">
        <w:t xml:space="preserve">Question Wording: </w:t>
      </w:r>
      <w:r w:rsidRPr="005D5087">
        <w:rPr>
          <w:rFonts w:eastAsia="Times New Roman"/>
        </w:rPr>
        <w:t xml:space="preserve">Please rate your feelings toward the following people/groups using what is called a "feeling thermometer."  Ratings between 50 and 100 degrees mean that you feel favorably and warm toward these people; ratings between 0 and 50 degrees mean that you don't feel favorably towards them.  If you don't feel particularly warm or cold toward the people, you would rate them at 50 degrees. [Groups: {NAME OF YOUR MC}, The United States Congress, </w:t>
      </w:r>
      <w:proofErr w:type="gramStart"/>
      <w:r w:rsidRPr="005D5087">
        <w:rPr>
          <w:rFonts w:eastAsia="Times New Roman"/>
        </w:rPr>
        <w:t>The</w:t>
      </w:r>
      <w:proofErr w:type="gramEnd"/>
      <w:r w:rsidRPr="005D5087">
        <w:rPr>
          <w:rFonts w:eastAsia="Times New Roman"/>
        </w:rPr>
        <w:t xml:space="preserve"> Democratic party, The Republican party.]</w:t>
      </w:r>
    </w:p>
    <w:p w:rsidR="00D56D23" w:rsidRPr="005D5087" w:rsidRDefault="00D56D23" w:rsidP="00D56D23">
      <w:pPr>
        <w:ind w:left="720" w:hanging="720"/>
      </w:pPr>
      <w:proofErr w:type="gramStart"/>
      <w:r w:rsidRPr="005D5087">
        <w:t>Coding of Responses: 0-100 (higher values indicate higher levels of warmth).</w:t>
      </w:r>
      <w:proofErr w:type="gramEnd"/>
      <w:r w:rsidRPr="005D5087">
        <w:t xml:space="preserve">  </w:t>
      </w:r>
    </w:p>
    <w:p w:rsidR="00D56D23" w:rsidRPr="005D5087" w:rsidRDefault="00D56D23" w:rsidP="00D56D23"/>
    <w:p w:rsidR="00D56D23" w:rsidRPr="005D5087" w:rsidRDefault="00D56D23" w:rsidP="00D56D23">
      <w:pPr>
        <w:ind w:left="720" w:hanging="720"/>
        <w:rPr>
          <w:rFonts w:eastAsia="Times New Roman"/>
        </w:rPr>
      </w:pPr>
      <w:r w:rsidRPr="005D5087">
        <w:rPr>
          <w:rFonts w:eastAsia="Times New Roman"/>
        </w:rPr>
        <w:t xml:space="preserve">Variable Name: </w:t>
      </w:r>
      <w:r w:rsidRPr="005D5087">
        <w:rPr>
          <w:rFonts w:eastAsia="Times New Roman"/>
          <w:i/>
        </w:rPr>
        <w:t>MC Job Approval</w:t>
      </w:r>
    </w:p>
    <w:p w:rsidR="00D56D23" w:rsidRPr="005D5087" w:rsidRDefault="00D56D23" w:rsidP="00D56D23">
      <w:pPr>
        <w:ind w:left="720" w:hanging="720"/>
        <w:rPr>
          <w:rFonts w:eastAsia="Times New Roman"/>
        </w:rPr>
      </w:pPr>
      <w:r w:rsidRPr="005D5087">
        <w:rPr>
          <w:rFonts w:eastAsia="Times New Roman"/>
        </w:rPr>
        <w:t>Question Wording: In general, do you approve or disapprove of the way {NAME OF YOUR MC} is handling his or her job as a member of Congress for {Your STATE}?</w:t>
      </w:r>
    </w:p>
    <w:p w:rsidR="00D56D23" w:rsidRPr="005D5087" w:rsidRDefault="00D56D23" w:rsidP="00D56D23">
      <w:pPr>
        <w:ind w:left="720" w:hanging="720"/>
      </w:pPr>
      <w:r w:rsidRPr="005D5087">
        <w:rPr>
          <w:rFonts w:eastAsia="Times New Roman"/>
        </w:rPr>
        <w:t>Coding of Responses: 1=</w:t>
      </w:r>
      <w:proofErr w:type="gramStart"/>
      <w:r w:rsidRPr="005D5087">
        <w:rPr>
          <w:rFonts w:eastAsia="Times New Roman"/>
        </w:rPr>
        <w:t>Strongly</w:t>
      </w:r>
      <w:proofErr w:type="gramEnd"/>
      <w:r w:rsidRPr="005D5087">
        <w:rPr>
          <w:rFonts w:eastAsia="Times New Roman"/>
        </w:rPr>
        <w:t xml:space="preserve"> disapprove, 2=Somewhat disapprove, 3=Somewhat approve, 4=Strongly approve.</w:t>
      </w:r>
    </w:p>
    <w:p w:rsidR="00D56D23" w:rsidRPr="005D5087" w:rsidRDefault="00D56D23" w:rsidP="00D56D23">
      <w:pPr>
        <w:rPr>
          <w:rFonts w:eastAsia="Times New Roman"/>
        </w:rPr>
      </w:pPr>
    </w:p>
    <w:p w:rsidR="00D56D23" w:rsidRPr="005D5087" w:rsidRDefault="00D56D23" w:rsidP="00D56D23">
      <w:pPr>
        <w:ind w:left="720" w:hanging="720"/>
        <w:rPr>
          <w:rFonts w:eastAsia="Times New Roman"/>
          <w:i/>
        </w:rPr>
      </w:pPr>
      <w:r w:rsidRPr="005D5087">
        <w:rPr>
          <w:rFonts w:eastAsia="Times New Roman"/>
        </w:rPr>
        <w:t xml:space="preserve">Variable Name: </w:t>
      </w:r>
      <w:r w:rsidRPr="005D5087">
        <w:rPr>
          <w:rFonts w:eastAsia="Times New Roman"/>
          <w:i/>
        </w:rPr>
        <w:t>Vote for MC</w:t>
      </w:r>
    </w:p>
    <w:p w:rsidR="00D56D23" w:rsidRPr="005D5087" w:rsidRDefault="00D56D23" w:rsidP="00D56D23">
      <w:pPr>
        <w:ind w:left="720" w:hanging="720"/>
        <w:rPr>
          <w:rFonts w:eastAsia="Times New Roman"/>
        </w:rPr>
      </w:pPr>
      <w:r w:rsidRPr="005D5087">
        <w:rPr>
          <w:rFonts w:eastAsia="Times New Roman"/>
        </w:rPr>
        <w:t>Question Wording: Please tell us how likely you would be to vote for {NAME OF YOUR MC} if an election were held today and they faced a high-quality opponent.</w:t>
      </w:r>
    </w:p>
    <w:p w:rsidR="00D56D23" w:rsidRPr="005D5087" w:rsidRDefault="00D56D23" w:rsidP="00D56D23">
      <w:pPr>
        <w:ind w:left="720" w:hanging="720"/>
        <w:rPr>
          <w:rFonts w:eastAsia="Times New Roman"/>
        </w:rPr>
      </w:pPr>
      <w:r w:rsidRPr="005D5087">
        <w:rPr>
          <w:rFonts w:eastAsia="Times New Roman"/>
        </w:rPr>
        <w:t>Coding of Responses: 1=Almost certainly not, 2=Not likely, 3=Even chance, 4=Likely, 5=Almost certainly.</w:t>
      </w:r>
    </w:p>
    <w:p w:rsidR="00D56D23" w:rsidRPr="005D5087" w:rsidRDefault="00D56D23" w:rsidP="00D56D23">
      <w:pPr>
        <w:rPr>
          <w:rFonts w:eastAsia="Times New Roman"/>
        </w:rPr>
      </w:pPr>
    </w:p>
    <w:p w:rsidR="00D56D23" w:rsidRPr="005D5087" w:rsidRDefault="00D56D23" w:rsidP="00D56D23">
      <w:pPr>
        <w:spacing w:before="100" w:beforeAutospacing="1"/>
        <w:ind w:left="720" w:hanging="720"/>
        <w:contextualSpacing/>
      </w:pPr>
      <w:r w:rsidRPr="005D5087">
        <w:t xml:space="preserve">Variable Name: </w:t>
      </w:r>
      <w:r w:rsidRPr="005D5087">
        <w:rPr>
          <w:i/>
        </w:rPr>
        <w:t>Trust Legislators</w:t>
      </w:r>
    </w:p>
    <w:p w:rsidR="00D56D23" w:rsidRPr="005D5087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  <w:r w:rsidRPr="005D5087">
        <w:t xml:space="preserve">Question Wording: </w:t>
      </w:r>
      <w:r w:rsidRPr="005D5087">
        <w:rPr>
          <w:rFonts w:eastAsia="Times New Roman"/>
        </w:rPr>
        <w:t xml:space="preserve">How much of the time do you think you can trust members of the </w:t>
      </w:r>
      <w:r>
        <w:rPr>
          <w:rFonts w:eastAsia="Times New Roman"/>
        </w:rPr>
        <w:t>US</w:t>
      </w:r>
      <w:r w:rsidRPr="005D5087">
        <w:rPr>
          <w:rFonts w:eastAsia="Times New Roman"/>
        </w:rPr>
        <w:t xml:space="preserve"> Congress to do what is right?</w:t>
      </w: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  <w:r w:rsidRPr="005D5087">
        <w:rPr>
          <w:rFonts w:eastAsia="Times New Roman"/>
        </w:rPr>
        <w:t>Coding of Responses: 1=Never, 2=</w:t>
      </w:r>
      <w:proofErr w:type="gramStart"/>
      <w:r w:rsidRPr="005D5087">
        <w:rPr>
          <w:rFonts w:eastAsia="Times New Roman"/>
        </w:rPr>
        <w:t>Only</w:t>
      </w:r>
      <w:proofErr w:type="gramEnd"/>
      <w:r w:rsidRPr="005D5087">
        <w:rPr>
          <w:rFonts w:eastAsia="Times New Roman"/>
        </w:rPr>
        <w:t xml:space="preserve"> some of the time, 3=Most of the time, 4=Just about always.</w:t>
      </w: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rPr>
          <w:rFonts w:eastAsia="Times New Roman"/>
        </w:rPr>
      </w:pPr>
    </w:p>
    <w:p w:rsidR="00D56D23" w:rsidRDefault="00D56D23" w:rsidP="00D56D23">
      <w:pPr>
        <w:spacing w:before="100" w:beforeAutospacing="1"/>
        <w:ind w:left="720" w:hanging="720"/>
        <w:contextualSpacing/>
        <w:jc w:val="center"/>
        <w:rPr>
          <w:rFonts w:eastAsia="Times New Roman"/>
          <w:b/>
        </w:rPr>
      </w:pPr>
      <w:r w:rsidRPr="004575DC">
        <w:rPr>
          <w:rFonts w:eastAsia="Times New Roman"/>
          <w:b/>
        </w:rPr>
        <w:t>Appendix 2</w:t>
      </w:r>
      <w:r>
        <w:rPr>
          <w:rFonts w:eastAsia="Times New Roman"/>
          <w:b/>
        </w:rPr>
        <w:t>:</w:t>
      </w:r>
    </w:p>
    <w:p w:rsidR="00D56D23" w:rsidRPr="00F25370" w:rsidRDefault="00D56D23" w:rsidP="00D56D23">
      <w:pPr>
        <w:spacing w:before="100" w:beforeAutospacing="1"/>
        <w:ind w:left="720" w:hanging="720"/>
        <w:contextualSpacing/>
        <w:jc w:val="center"/>
        <w:rPr>
          <w:rFonts w:eastAsia="Times New Roman"/>
        </w:rPr>
      </w:pPr>
      <w:r w:rsidRPr="00F25370">
        <w:rPr>
          <w:rFonts w:eastAsia="Times New Roman"/>
        </w:rPr>
        <w:t>Table A1: Observational Models of Legislator and Institutional Approval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112"/>
        <w:gridCol w:w="1626"/>
        <w:gridCol w:w="1627"/>
      </w:tblGrid>
      <w:tr w:rsidR="00D56D23" w:rsidRPr="00D75EDC" w:rsidTr="00F91F94">
        <w:trPr>
          <w:jc w:val="center"/>
        </w:trPr>
        <w:tc>
          <w:tcPr>
            <w:tcW w:w="3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(1)</w:t>
            </w:r>
          </w:p>
        </w:tc>
        <w:tc>
          <w:tcPr>
            <w:tcW w:w="16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(2)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Approval of Congress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Approval of MC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Not very satisfied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0.08*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0.78***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(0.04)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Somewhat satisfied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0.18***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1.74***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(0.04)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(0.04)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Very satisfied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0.33***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2.81***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(0.04)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(0.04)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Strong Democrat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1.24***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-0.49***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Weak Democrat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0.84***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-0.60***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Lean Democrat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0.87***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-0.61***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Lean Republican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-0.76***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-0.60***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Weak Republican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-0.13**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-0.53***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Strong Republican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-0.62***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-0.52***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Same Party as MC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-0.10***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1.10***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(0.03)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Female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0.25***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0.05*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(0.02)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White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-0.01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(0.05)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Black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0.16*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0.08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Hispanic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0.05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-0.11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Income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-0.02***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-0.01*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(0.00</w:t>
            </w:r>
            <w:r>
              <w:rPr>
                <w:sz w:val="18"/>
                <w:szCs w:val="18"/>
              </w:rPr>
              <w:t>4</w:t>
            </w:r>
            <w:r w:rsidRPr="00D75EDC">
              <w:rPr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(0.00</w:t>
            </w:r>
            <w:r>
              <w:rPr>
                <w:sz w:val="18"/>
                <w:szCs w:val="18"/>
              </w:rPr>
              <w:t>4</w:t>
            </w:r>
            <w:r w:rsidRPr="00D75EDC">
              <w:rPr>
                <w:sz w:val="18"/>
                <w:szCs w:val="18"/>
              </w:rPr>
              <w:t>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Education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-0.02**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(0.01)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Constant (Cut 1)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0.41***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0.26***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Constant (Cut 2)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1.52***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1.14***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Constant (Cut 3)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1.58***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1.33***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Constant (Cut 4)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3.19***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2.75***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(0.09)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(0.08)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Log Likelihood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-8902.01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-10561.64</w:t>
            </w:r>
          </w:p>
        </w:tc>
      </w:tr>
      <w:tr w:rsidR="00D56D23" w:rsidRPr="00D75EDC" w:rsidTr="00F91F94">
        <w:trPr>
          <w:jc w:val="center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Pseudo-R</w:t>
            </w:r>
            <w:r w:rsidRPr="00D75E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0.31</w:t>
            </w:r>
          </w:p>
        </w:tc>
      </w:tr>
      <w:tr w:rsidR="00D56D23" w:rsidRPr="00D75EDC" w:rsidTr="00F91F9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Observations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10,511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Pr="00D75EDC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EDC">
              <w:rPr>
                <w:sz w:val="18"/>
                <w:szCs w:val="18"/>
              </w:rPr>
              <w:t>10,562</w:t>
            </w:r>
          </w:p>
        </w:tc>
      </w:tr>
    </w:tbl>
    <w:p w:rsidR="00D56D23" w:rsidRPr="00D75EDC" w:rsidRDefault="00D56D23" w:rsidP="00D56D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D75EDC">
        <w:rPr>
          <w:sz w:val="18"/>
          <w:szCs w:val="18"/>
        </w:rPr>
        <w:t xml:space="preserve">Ordered </w:t>
      </w:r>
      <w:proofErr w:type="spellStart"/>
      <w:r w:rsidRPr="00D75EDC">
        <w:rPr>
          <w:sz w:val="18"/>
          <w:szCs w:val="18"/>
        </w:rPr>
        <w:t>probit</w:t>
      </w:r>
      <w:proofErr w:type="spellEnd"/>
      <w:r w:rsidRPr="00D75EDC">
        <w:rPr>
          <w:sz w:val="18"/>
          <w:szCs w:val="18"/>
        </w:rPr>
        <w:t xml:space="preserve"> coefficients, with standard errors in parentheses.</w:t>
      </w:r>
      <w:proofErr w:type="gramEnd"/>
      <w:r w:rsidRPr="00D75EDC">
        <w:rPr>
          <w:sz w:val="18"/>
          <w:szCs w:val="18"/>
        </w:rPr>
        <w:t xml:space="preserve">  Excluded category of satisfaction variables is “Not at all satisfied.”</w:t>
      </w:r>
    </w:p>
    <w:p w:rsidR="00D56D23" w:rsidRPr="00D75EDC" w:rsidRDefault="00D56D23" w:rsidP="00D56D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75EDC">
        <w:rPr>
          <w:sz w:val="18"/>
          <w:szCs w:val="18"/>
        </w:rPr>
        <w:t>*** p&lt;0.01, ** p&lt;0.05, * p&lt;0.1, two-tailed</w:t>
      </w: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t>Table A2: Distance between Respondent and MC’s Ideological Positions</w:t>
      </w:r>
    </w:p>
    <w:tbl>
      <w:tblPr>
        <w:tblW w:w="9291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2306"/>
        <w:gridCol w:w="2328"/>
        <w:gridCol w:w="2328"/>
        <w:gridCol w:w="2329"/>
      </w:tblGrid>
      <w:tr w:rsidR="00D56D23" w:rsidTr="00F91F94">
        <w:trPr>
          <w:jc w:val="center"/>
        </w:trPr>
        <w:tc>
          <w:tcPr>
            <w:tcW w:w="23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All Respondents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Same Party as MC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Different Party from MC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Not very satisfied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-7.65***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-4.56***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-7.41***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(0.70)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(0.98)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Somewhat satisfied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-21.89***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-13.37***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-23.64***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(0.65)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(0.95)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(0.97)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Very Satisfied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-28.20***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-18.19***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-34.90***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(0.65)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(0.91)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(1.05)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Party ID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0.37***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-0.29***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1.40***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(0.16)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Same Party as MC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-24.50***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(0.44)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1.50**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(0.40)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(0.39)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(0.74)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White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1.88**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1.59*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(0.87)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(0.88)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(1.54)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Black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-3.63***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-1.73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-8.16***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(1.39)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(1.30)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(2.83)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Hispanic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2.45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(1.31)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(1.28)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(2.42)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Income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-0.28***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0.19*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(0.11)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Education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0.37***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0.47*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(0.14)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(0.26)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58.79***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31.90***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53.32***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(1.24)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(1.43)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(2.15)</w:t>
            </w: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9,816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5,435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4,381</w:t>
            </w:r>
          </w:p>
        </w:tc>
      </w:tr>
      <w:tr w:rsidR="00D56D23" w:rsidTr="00F91F9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Adjusted R</w:t>
            </w:r>
            <w:r w:rsidRPr="0098366D">
              <w:rPr>
                <w:vertAlign w:val="superscript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0.26</w:t>
            </w:r>
          </w:p>
        </w:tc>
      </w:tr>
    </w:tbl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t xml:space="preserve">Dependent variable is the absolute value of the difference between respondent’s ideology and estimate of the MC’s ideology.  </w:t>
      </w:r>
      <w:r w:rsidRPr="00FE2245">
        <w:t>Excluded category of satisfaction variables is “Not at all satisfied.”</w:t>
      </w:r>
      <w:r>
        <w:t xml:space="preserve"> </w:t>
      </w:r>
      <w:proofErr w:type="gramStart"/>
      <w:r>
        <w:t>OLS regression coefficients with standard errors in parentheses.</w:t>
      </w:r>
      <w:proofErr w:type="gramEnd"/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t>*** p&lt;0.01, ** p&lt;0.05, * p&lt;0.1, two-tailed</w:t>
      </w: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br w:type="page"/>
      </w:r>
      <w:r>
        <w:lastRenderedPageBreak/>
        <w:t>Table A3: Distance between Respondent and MC’s Party’s Ideological Positions</w:t>
      </w:r>
    </w:p>
    <w:tbl>
      <w:tblPr>
        <w:tblW w:w="8859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2540"/>
        <w:gridCol w:w="2106"/>
        <w:gridCol w:w="2106"/>
        <w:gridCol w:w="2107"/>
      </w:tblGrid>
      <w:tr w:rsidR="00D56D23" w:rsidTr="00F91F94">
        <w:trPr>
          <w:jc w:val="center"/>
        </w:trPr>
        <w:tc>
          <w:tcPr>
            <w:tcW w:w="2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All Respondents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Same Party as MC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Different Party from MC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Not very satisfied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-3.73***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-1.90*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-3.64***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(0.71)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(1.13)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(0.99)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Somewhat satisfied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-10.83***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-5.21***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-12.04***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(0.66)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(0.99)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(0.97)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Very Satisfied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-13.87***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-6.59***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-19.85***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(0.66)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(0.95)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(1.06)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Party ID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1.25***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0.42***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2.59***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(0.17)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Same Party as MC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-34.01***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(0.45)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Female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-0.68*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-2.50***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1.96***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(0.41)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(0.42)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(0.74)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White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1.69*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1.93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(0.89)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(0.94)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(1.55)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Black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-2.68*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-2.50*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-3.68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(1.41)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(1.39)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(2.79)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Hispanic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0.98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0.72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2.30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(1.33)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(1.37)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(2.42)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Income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-0.20***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0.15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(0.06)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(0.07)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(0.11)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Education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0.48***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-0.30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(0.14)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(0.15)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(0.26)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57.63***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22.71***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52.74***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(1.26)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(1.51)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(2.17)</w:t>
            </w: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6D23" w:rsidTr="00F91F94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5,659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4,548</w:t>
            </w:r>
          </w:p>
        </w:tc>
      </w:tr>
      <w:tr w:rsidR="00D56D23" w:rsidTr="00F91F9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</w:pPr>
            <w:r>
              <w:t>Adjusted R</w:t>
            </w:r>
            <w:r w:rsidRPr="0098366D">
              <w:rPr>
                <w:vertAlign w:val="superscript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D23" w:rsidRDefault="00D56D23" w:rsidP="00F91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0.13</w:t>
            </w:r>
          </w:p>
        </w:tc>
      </w:tr>
    </w:tbl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t xml:space="preserve">Dependent variable is the absolute value of the difference between respondent’s ideology and estimate of the MC’s party’s ideology.  </w:t>
      </w:r>
      <w:r w:rsidRPr="00FE2245">
        <w:t>Excluded category of satisfaction variables is “Not at all satisfied.”</w:t>
      </w:r>
      <w:r>
        <w:t xml:space="preserve"> </w:t>
      </w:r>
      <w:proofErr w:type="gramStart"/>
      <w:r>
        <w:t>OLS regression coefficients with standard errors in parentheses.</w:t>
      </w:r>
      <w:proofErr w:type="gramEnd"/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  <w:r>
        <w:t>*** p&lt;0.01, ** p&lt;0.05, * p&lt;0.1, two-tailed</w:t>
      </w: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</w:p>
    <w:p w:rsidR="00D56D23" w:rsidRDefault="00D56D23" w:rsidP="00D56D23">
      <w:pPr>
        <w:widowControl w:val="0"/>
        <w:autoSpaceDE w:val="0"/>
        <w:autoSpaceDN w:val="0"/>
        <w:adjustRightInd w:val="0"/>
        <w:jc w:val="center"/>
      </w:pPr>
    </w:p>
    <w:p w:rsidR="00D56D23" w:rsidRPr="004575DC" w:rsidRDefault="00D56D23" w:rsidP="00D56D23">
      <w:pPr>
        <w:spacing w:before="100" w:beforeAutospacing="1"/>
        <w:ind w:left="720" w:hanging="720"/>
        <w:contextualSpacing/>
        <w:rPr>
          <w:rFonts w:eastAsia="Times New Roman"/>
          <w:b/>
        </w:rPr>
      </w:pPr>
    </w:p>
    <w:p w:rsidR="006614D8" w:rsidRDefault="006614D8"/>
    <w:sectPr w:rsidR="006614D8" w:rsidSect="003D4505">
      <w:footerReference w:type="even" r:id="rId4"/>
      <w:footerReference w:type="default" r:id="rId5"/>
      <w:footnotePr>
        <w:numFmt w:val="chicago"/>
      </w:footnotePr>
      <w:endnotePr>
        <w:numFmt w:val="decimal"/>
      </w:endnotePr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B" w:rsidRDefault="00D56D23" w:rsidP="003D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EAB" w:rsidRDefault="00D56D23" w:rsidP="00782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B" w:rsidRDefault="00D56D23" w:rsidP="003D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3EAB" w:rsidRDefault="00D56D23" w:rsidP="0078213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characterSpacingControl w:val="doNotCompress"/>
  <w:footnotePr>
    <w:numFmt w:val="chicago"/>
  </w:footnotePr>
  <w:endnotePr>
    <w:numFmt w:val="decimal"/>
  </w:endnotePr>
  <w:compat/>
  <w:rsids>
    <w:rsidRoot w:val="00D56D23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5CD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56D23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D23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6D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D56D23"/>
    <w:rPr>
      <w:rFonts w:ascii="Cambria" w:eastAsia="Cambria" w:hAnsi="Cambria"/>
      <w:sz w:val="24"/>
      <w:szCs w:val="24"/>
      <w:lang/>
    </w:rPr>
  </w:style>
  <w:style w:type="character" w:styleId="PageNumber">
    <w:name w:val="page number"/>
    <w:basedOn w:val="DefaultParagraphFont"/>
    <w:rsid w:val="00D5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D.Sandeep</cp:lastModifiedBy>
  <cp:revision>1</cp:revision>
  <dcterms:created xsi:type="dcterms:W3CDTF">2016-02-01T20:53:00Z</dcterms:created>
  <dcterms:modified xsi:type="dcterms:W3CDTF">2016-02-01T20:53:00Z</dcterms:modified>
</cp:coreProperties>
</file>