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30" w:rsidRPr="00B54749" w:rsidRDefault="00B54749" w:rsidP="00121C30">
      <w:pPr>
        <w:spacing w:line="480" w:lineRule="auto"/>
        <w:jc w:val="center"/>
        <w:rPr>
          <w:rFonts w:ascii="Garamond" w:hAnsi="Garamond"/>
        </w:rPr>
      </w:pPr>
      <w:bookmarkStart w:id="0" w:name="_GoBack"/>
      <w:bookmarkEnd w:id="0"/>
      <w:r w:rsidRPr="00B54749">
        <w:rPr>
          <w:rFonts w:ascii="Garamond" w:hAnsi="Garamond"/>
        </w:rPr>
        <w:t xml:space="preserve">Online </w:t>
      </w:r>
      <w:r w:rsidR="00121C30" w:rsidRPr="00B54749">
        <w:rPr>
          <w:rFonts w:ascii="Garamond" w:hAnsi="Garamond"/>
        </w:rPr>
        <w:t>Appendix</w:t>
      </w:r>
    </w:p>
    <w:p w:rsidR="00121C30" w:rsidRDefault="00121C30" w:rsidP="00121C30">
      <w:pPr>
        <w:spacing w:line="480" w:lineRule="auto"/>
        <w:jc w:val="center"/>
        <w:rPr>
          <w:rFonts w:ascii="Garamond" w:hAnsi="Garamond"/>
        </w:rPr>
      </w:pPr>
      <w:r w:rsidRPr="00B54749">
        <w:rPr>
          <w:rFonts w:ascii="Garamond" w:hAnsi="Garamond"/>
        </w:rPr>
        <w:t>Pivotality and Turnout</w:t>
      </w:r>
      <w:r w:rsidR="00B54749">
        <w:rPr>
          <w:rFonts w:ascii="Garamond" w:hAnsi="Garamond"/>
        </w:rPr>
        <w:t>: Evidence from a Field Experiment in the Aftermath of a Tied Election</w:t>
      </w:r>
    </w:p>
    <w:p w:rsidR="00B54749" w:rsidRDefault="00B54749" w:rsidP="00121C30">
      <w:pPr>
        <w:spacing w:line="480" w:lineRule="auto"/>
        <w:jc w:val="center"/>
        <w:rPr>
          <w:rFonts w:ascii="Garamond" w:hAnsi="Garamond"/>
        </w:rPr>
      </w:pPr>
      <w:r>
        <w:rPr>
          <w:rFonts w:ascii="Garamond" w:hAnsi="Garamond"/>
        </w:rPr>
        <w:t xml:space="preserve">Ryan D. </w:t>
      </w:r>
      <w:proofErr w:type="spellStart"/>
      <w:r>
        <w:rPr>
          <w:rFonts w:ascii="Garamond" w:hAnsi="Garamond"/>
        </w:rPr>
        <w:t>Enos</w:t>
      </w:r>
      <w:proofErr w:type="spellEnd"/>
      <w:r>
        <w:rPr>
          <w:rFonts w:ascii="Garamond" w:hAnsi="Garamond"/>
        </w:rPr>
        <w:t xml:space="preserve"> and Anthony Fowler</w:t>
      </w:r>
    </w:p>
    <w:p w:rsidR="00573B36" w:rsidRDefault="00573B36" w:rsidP="00573B36">
      <w:pPr>
        <w:spacing w:line="480" w:lineRule="auto"/>
        <w:jc w:val="both"/>
        <w:rPr>
          <w:rFonts w:ascii="Garamond" w:hAnsi="Garamond"/>
          <w:b/>
        </w:rPr>
      </w:pPr>
    </w:p>
    <w:p w:rsidR="00573B36" w:rsidRPr="00573B36" w:rsidRDefault="00573B36" w:rsidP="00573B36">
      <w:pPr>
        <w:spacing w:line="480" w:lineRule="auto"/>
        <w:jc w:val="both"/>
        <w:rPr>
          <w:rFonts w:ascii="Garamond" w:hAnsi="Garamond"/>
          <w:b/>
        </w:rPr>
      </w:pPr>
      <w:r>
        <w:rPr>
          <w:rFonts w:ascii="Garamond" w:hAnsi="Garamond"/>
          <w:b/>
        </w:rPr>
        <w:t>Note on the Inclusion of Articles in the Literature Review of Articles on Turnout</w:t>
      </w:r>
    </w:p>
    <w:p w:rsidR="00573B36" w:rsidRPr="00B8037B" w:rsidRDefault="00573B36" w:rsidP="00573B36">
      <w:pPr>
        <w:spacing w:line="480" w:lineRule="auto"/>
        <w:jc w:val="both"/>
        <w:rPr>
          <w:rFonts w:ascii="Garamond" w:hAnsi="Garamond"/>
        </w:rPr>
      </w:pPr>
      <w:r>
        <w:rPr>
          <w:rFonts w:ascii="Garamond" w:hAnsi="Garamond" w:cs="Times New Roman"/>
        </w:rPr>
        <w:tab/>
        <w:t>W</w:t>
      </w:r>
      <w:r w:rsidRPr="00102D53">
        <w:rPr>
          <w:rFonts w:ascii="Garamond" w:hAnsi="Garamond" w:cs="Times New Roman"/>
        </w:rPr>
        <w:t xml:space="preserve">e reviewed all articles published on voter turnout since 1980 which appear in five leading political science journals: </w:t>
      </w:r>
      <w:r w:rsidRPr="00102D53">
        <w:rPr>
          <w:rFonts w:ascii="Garamond" w:hAnsi="Garamond" w:cs="Times New Roman"/>
          <w:i/>
        </w:rPr>
        <w:t>American Journal of Political Science</w:t>
      </w:r>
      <w:r w:rsidRPr="00102D53">
        <w:rPr>
          <w:rFonts w:ascii="Garamond" w:hAnsi="Garamond" w:cs="Times New Roman"/>
        </w:rPr>
        <w:t xml:space="preserve">, </w:t>
      </w:r>
      <w:r w:rsidRPr="00102D53">
        <w:rPr>
          <w:rFonts w:ascii="Garamond" w:hAnsi="Garamond" w:cs="Times New Roman"/>
          <w:i/>
        </w:rPr>
        <w:t>American Political Science Review</w:t>
      </w:r>
      <w:r w:rsidRPr="00102D53">
        <w:rPr>
          <w:rFonts w:ascii="Garamond" w:hAnsi="Garamond" w:cs="Times New Roman"/>
        </w:rPr>
        <w:t xml:space="preserve">, </w:t>
      </w:r>
      <w:r w:rsidRPr="00102D53">
        <w:rPr>
          <w:rFonts w:ascii="Garamond" w:hAnsi="Garamond" w:cs="Times New Roman"/>
          <w:i/>
        </w:rPr>
        <w:t>British Journal of Political Science</w:t>
      </w:r>
      <w:r w:rsidRPr="00102D53">
        <w:rPr>
          <w:rFonts w:ascii="Garamond" w:hAnsi="Garamond" w:cs="Times New Roman"/>
        </w:rPr>
        <w:t xml:space="preserve">, </w:t>
      </w:r>
      <w:r w:rsidRPr="00102D53">
        <w:rPr>
          <w:rFonts w:ascii="Garamond" w:hAnsi="Garamond" w:cs="Times New Roman"/>
          <w:i/>
        </w:rPr>
        <w:t xml:space="preserve">Journal of Politics, </w:t>
      </w:r>
      <w:r w:rsidRPr="00102D53">
        <w:rPr>
          <w:rFonts w:ascii="Garamond" w:hAnsi="Garamond" w:cs="Times New Roman"/>
        </w:rPr>
        <w:t xml:space="preserve">and </w:t>
      </w:r>
      <w:r w:rsidRPr="00102D53">
        <w:rPr>
          <w:rFonts w:ascii="Garamond" w:hAnsi="Garamond" w:cs="Times New Roman"/>
          <w:i/>
        </w:rPr>
        <w:t>Quarterly Journal of Political Science</w:t>
      </w:r>
      <w:r w:rsidRPr="00102D53">
        <w:rPr>
          <w:rFonts w:ascii="Garamond" w:hAnsi="Garamond" w:cs="Times New Roman"/>
        </w:rPr>
        <w:t>.</w:t>
      </w:r>
      <w:r w:rsidR="00C3741F">
        <w:rPr>
          <w:rFonts w:ascii="Garamond" w:hAnsi="Garamond" w:cs="Times New Roman"/>
        </w:rPr>
        <w:t xml:space="preserve"> </w:t>
      </w:r>
      <w:r w:rsidRPr="00102D53">
        <w:rPr>
          <w:rFonts w:ascii="Garamond" w:hAnsi="Garamond" w:cs="Times New Roman"/>
        </w:rPr>
        <w:t>An article was included if the title indicated the study of voter turnout.</w:t>
      </w:r>
      <w:r w:rsidR="00C3741F">
        <w:rPr>
          <w:rFonts w:ascii="Garamond" w:hAnsi="Garamond" w:cs="Times New Roman"/>
        </w:rPr>
        <w:t xml:space="preserve"> </w:t>
      </w:r>
      <w:r w:rsidRPr="00102D53">
        <w:rPr>
          <w:rFonts w:ascii="Garamond" w:hAnsi="Garamond" w:cs="Times New Roman"/>
        </w:rPr>
        <w:t xml:space="preserve">After reading the papers, a research assistant recorded any clear appeals to </w:t>
      </w:r>
      <w:r w:rsidR="00B8037B">
        <w:rPr>
          <w:rFonts w:ascii="Garamond" w:hAnsi="Garamond" w:cs="Times New Roman"/>
        </w:rPr>
        <w:t>the importance of electoral competition or pivotality.</w:t>
      </w:r>
    </w:p>
    <w:p w:rsidR="00B54749" w:rsidRDefault="00B54749" w:rsidP="00573B36">
      <w:pPr>
        <w:spacing w:line="480" w:lineRule="auto"/>
        <w:rPr>
          <w:rFonts w:ascii="Garamond" w:hAnsi="Garamond"/>
        </w:rPr>
      </w:pPr>
    </w:p>
    <w:p w:rsidR="00A23F6B" w:rsidRDefault="00A23F6B" w:rsidP="00294CC6">
      <w:pPr>
        <w:spacing w:line="480" w:lineRule="auto"/>
        <w:jc w:val="both"/>
        <w:rPr>
          <w:rFonts w:ascii="Garamond" w:hAnsi="Garamond"/>
          <w:b/>
        </w:rPr>
      </w:pPr>
      <w:r>
        <w:rPr>
          <w:rFonts w:ascii="Garamond" w:hAnsi="Garamond"/>
          <w:b/>
        </w:rPr>
        <w:t>Review of Previous Empirical Evidence on Pivotality and Turnout</w:t>
      </w:r>
    </w:p>
    <w:p w:rsidR="00A23F6B" w:rsidRPr="00102D53" w:rsidRDefault="00A23F6B" w:rsidP="00294CC6">
      <w:pPr>
        <w:spacing w:line="480" w:lineRule="auto"/>
        <w:jc w:val="both"/>
        <w:rPr>
          <w:rFonts w:ascii="Garamond" w:hAnsi="Garamond"/>
        </w:rPr>
      </w:pPr>
      <w:r>
        <w:rPr>
          <w:rFonts w:ascii="Garamond" w:hAnsi="Garamond"/>
        </w:rPr>
        <w:tab/>
      </w:r>
      <w:r w:rsidRPr="00102D53">
        <w:rPr>
          <w:rFonts w:ascii="Garamond" w:hAnsi="Garamond"/>
        </w:rPr>
        <w:t>Despite the widespread belief that electoral competition increases voter turnout, the empirical evidence is weak.</w:t>
      </w:r>
      <w:r w:rsidR="00C3741F">
        <w:rPr>
          <w:rFonts w:ascii="Garamond" w:hAnsi="Garamond"/>
        </w:rPr>
        <w:t xml:space="preserve"> </w:t>
      </w:r>
      <w:r w:rsidRPr="00102D53">
        <w:rPr>
          <w:rFonts w:ascii="Garamond" w:hAnsi="Garamond"/>
        </w:rPr>
        <w:t>The existing literature asserts the importance of close elections and pivotality but almost all previous studies suffer from one or more shortcoming.</w:t>
      </w:r>
      <w:r w:rsidR="00C3741F">
        <w:rPr>
          <w:rFonts w:ascii="Garamond" w:hAnsi="Garamond"/>
        </w:rPr>
        <w:t xml:space="preserve"> </w:t>
      </w:r>
      <w:r w:rsidRPr="00102D53">
        <w:rPr>
          <w:rFonts w:ascii="Garamond" w:hAnsi="Garamond"/>
        </w:rPr>
        <w:t>Observational studies suffer from the confounding of close elections or individual perceptions</w:t>
      </w:r>
      <w:r>
        <w:rPr>
          <w:rFonts w:ascii="Garamond" w:hAnsi="Garamond"/>
        </w:rPr>
        <w:t xml:space="preserve"> of closeness</w:t>
      </w:r>
      <w:r w:rsidRPr="00102D53">
        <w:rPr>
          <w:rFonts w:ascii="Garamond" w:hAnsi="Garamond"/>
        </w:rPr>
        <w:t xml:space="preserve"> with </w:t>
      </w:r>
      <w:r>
        <w:rPr>
          <w:rFonts w:ascii="Garamond" w:hAnsi="Garamond"/>
        </w:rPr>
        <w:t xml:space="preserve">other, </w:t>
      </w:r>
      <w:r w:rsidRPr="00102D53">
        <w:rPr>
          <w:rFonts w:ascii="Garamond" w:hAnsi="Garamond"/>
        </w:rPr>
        <w:t>unmeasured variables.</w:t>
      </w:r>
      <w:r w:rsidR="00C3741F">
        <w:rPr>
          <w:rFonts w:ascii="Garamond" w:hAnsi="Garamond"/>
        </w:rPr>
        <w:t xml:space="preserve"> </w:t>
      </w:r>
      <w:r w:rsidRPr="00102D53">
        <w:rPr>
          <w:rFonts w:ascii="Garamond" w:hAnsi="Garamond"/>
        </w:rPr>
        <w:t>Experimental studies, whether in the laboratory or field, lack external validity.</w:t>
      </w:r>
      <w:r w:rsidR="00C3741F">
        <w:rPr>
          <w:rFonts w:ascii="Garamond" w:hAnsi="Garamond"/>
        </w:rPr>
        <w:t xml:space="preserve"> </w:t>
      </w:r>
      <w:r w:rsidRPr="00102D53">
        <w:rPr>
          <w:rFonts w:ascii="Garamond" w:hAnsi="Garamond"/>
        </w:rPr>
        <w:t xml:space="preserve">In short, despite the heavy scholarly attention to </w:t>
      </w:r>
      <w:r w:rsidRPr="00102D53">
        <w:rPr>
          <w:rFonts w:ascii="Garamond" w:hAnsi="Garamond"/>
          <w:i/>
          <w:iCs/>
        </w:rPr>
        <w:t>P</w:t>
      </w:r>
      <w:r w:rsidRPr="00102D53">
        <w:rPr>
          <w:rFonts w:ascii="Garamond" w:hAnsi="Garamond"/>
        </w:rPr>
        <w:t>, existing studies have yet to find a satisfactory way to measure the influence of close elections on voters.</w:t>
      </w:r>
      <w:r w:rsidR="00C3741F">
        <w:rPr>
          <w:rFonts w:ascii="Garamond" w:hAnsi="Garamond"/>
        </w:rPr>
        <w:t xml:space="preserve"> </w:t>
      </w:r>
      <w:r w:rsidRPr="00102D53">
        <w:rPr>
          <w:rFonts w:ascii="Garamond" w:hAnsi="Garamond"/>
        </w:rPr>
        <w:t>Using a multi-method approach and harnessing unique and original data, we overcome the limitations of previous studies and address the direct influence of closeness on behavior.</w:t>
      </w:r>
      <w:r w:rsidR="00C3741F">
        <w:rPr>
          <w:rFonts w:ascii="Garamond" w:hAnsi="Garamond"/>
        </w:rPr>
        <w:t xml:space="preserve"> </w:t>
      </w:r>
    </w:p>
    <w:p w:rsidR="00A23F6B" w:rsidRPr="00102D53" w:rsidRDefault="00A23F6B" w:rsidP="00294CC6">
      <w:pPr>
        <w:spacing w:line="480" w:lineRule="auto"/>
        <w:jc w:val="both"/>
        <w:rPr>
          <w:rFonts w:ascii="Garamond" w:hAnsi="Garamond"/>
        </w:rPr>
      </w:pPr>
      <w:r w:rsidRPr="00102D53">
        <w:rPr>
          <w:rFonts w:ascii="Garamond" w:hAnsi="Garamond"/>
        </w:rPr>
        <w:tab/>
        <w:t>While many studies report higher turnout during close elections (</w:t>
      </w:r>
      <w:proofErr w:type="spellStart"/>
      <w:r w:rsidRPr="00102D53">
        <w:rPr>
          <w:rFonts w:ascii="Garamond" w:hAnsi="Garamond"/>
        </w:rPr>
        <w:t>Barzel</w:t>
      </w:r>
      <w:proofErr w:type="spellEnd"/>
      <w:r>
        <w:rPr>
          <w:rFonts w:ascii="Garamond" w:hAnsi="Garamond"/>
        </w:rPr>
        <w:t xml:space="preserve"> and Silberberg 1973; Kim, </w:t>
      </w:r>
      <w:proofErr w:type="spellStart"/>
      <w:r>
        <w:rPr>
          <w:rFonts w:ascii="Garamond" w:hAnsi="Garamond"/>
        </w:rPr>
        <w:t>Petrocik</w:t>
      </w:r>
      <w:proofErr w:type="spellEnd"/>
      <w:r>
        <w:rPr>
          <w:rFonts w:ascii="Garamond" w:hAnsi="Garamond"/>
        </w:rPr>
        <w:t xml:space="preserve">, and </w:t>
      </w:r>
      <w:proofErr w:type="spellStart"/>
      <w:r>
        <w:rPr>
          <w:rFonts w:ascii="Garamond" w:hAnsi="Garamond"/>
        </w:rPr>
        <w:t>Enokson</w:t>
      </w:r>
      <w:proofErr w:type="spellEnd"/>
      <w:r w:rsidRPr="00102D53">
        <w:rPr>
          <w:rFonts w:ascii="Garamond" w:hAnsi="Garamond"/>
        </w:rPr>
        <w:t xml:space="preserve"> 1975) other studies find no such correlation (</w:t>
      </w:r>
      <w:proofErr w:type="spellStart"/>
      <w:r w:rsidRPr="00102D53">
        <w:rPr>
          <w:rFonts w:ascii="Garamond" w:hAnsi="Garamond"/>
        </w:rPr>
        <w:t>Ferejohn</w:t>
      </w:r>
      <w:proofErr w:type="spellEnd"/>
      <w:r w:rsidRPr="00102D53">
        <w:rPr>
          <w:rFonts w:ascii="Garamond" w:hAnsi="Garamond"/>
        </w:rPr>
        <w:t xml:space="preserve"> and Fiorina 1975; </w:t>
      </w:r>
      <w:proofErr w:type="spellStart"/>
      <w:r w:rsidRPr="00102D53">
        <w:rPr>
          <w:rFonts w:ascii="Garamond" w:hAnsi="Garamond"/>
        </w:rPr>
        <w:t>Matsusaka</w:t>
      </w:r>
      <w:proofErr w:type="spellEnd"/>
      <w:r w:rsidRPr="00102D53">
        <w:rPr>
          <w:rFonts w:ascii="Garamond" w:hAnsi="Garamond"/>
        </w:rPr>
        <w:t xml:space="preserve"> 1993).</w:t>
      </w:r>
      <w:r w:rsidR="00C3741F">
        <w:rPr>
          <w:rFonts w:ascii="Garamond" w:hAnsi="Garamond"/>
        </w:rPr>
        <w:t xml:space="preserve"> </w:t>
      </w:r>
      <w:r w:rsidR="00E0750B">
        <w:rPr>
          <w:rFonts w:ascii="Garamond" w:hAnsi="Garamond"/>
        </w:rPr>
        <w:t xml:space="preserve">In U.S. presidential elections where the probabilities of pivotality vary </w:t>
      </w:r>
      <w:r w:rsidR="00E0750B">
        <w:rPr>
          <w:rFonts w:ascii="Garamond" w:hAnsi="Garamond"/>
        </w:rPr>
        <w:lastRenderedPageBreak/>
        <w:t>significantly across states, turnout is only minimally higher in battleground states compared to non-battleground states (Gerber et al. 2009).</w:t>
      </w:r>
      <w:r w:rsidR="00C3741F">
        <w:rPr>
          <w:rFonts w:ascii="Garamond" w:hAnsi="Garamond"/>
        </w:rPr>
        <w:t xml:space="preserve"> </w:t>
      </w:r>
      <w:r w:rsidRPr="00102D53">
        <w:rPr>
          <w:rFonts w:ascii="Garamond" w:hAnsi="Garamond"/>
        </w:rPr>
        <w:t>More importantly, even if electoral competitiveness is correlated with turnout, these measures tell us little about the causal effect of closeness on turnout through individual voter psychology.</w:t>
      </w:r>
      <w:r w:rsidR="00C3741F">
        <w:rPr>
          <w:rFonts w:ascii="Garamond" w:hAnsi="Garamond"/>
        </w:rPr>
        <w:t xml:space="preserve"> </w:t>
      </w:r>
      <w:r w:rsidRPr="00102D53">
        <w:rPr>
          <w:rFonts w:ascii="Garamond" w:hAnsi="Garamond"/>
        </w:rPr>
        <w:t xml:space="preserve">Campaign activity (Patterson and </w:t>
      </w:r>
      <w:proofErr w:type="spellStart"/>
      <w:r w:rsidRPr="00102D53">
        <w:rPr>
          <w:rFonts w:ascii="Garamond" w:hAnsi="Garamond"/>
        </w:rPr>
        <w:t>Caldiera</w:t>
      </w:r>
      <w:proofErr w:type="spellEnd"/>
      <w:r w:rsidRPr="00102D53">
        <w:rPr>
          <w:rFonts w:ascii="Garamond" w:hAnsi="Garamond"/>
        </w:rPr>
        <w:t xml:space="preserve"> 1983; </w:t>
      </w:r>
      <w:proofErr w:type="spellStart"/>
      <w:r w:rsidRPr="00102D53">
        <w:rPr>
          <w:rFonts w:ascii="Garamond" w:hAnsi="Garamond"/>
        </w:rPr>
        <w:t>Schachar</w:t>
      </w:r>
      <w:proofErr w:type="spellEnd"/>
      <w:r w:rsidRPr="00102D53">
        <w:rPr>
          <w:rFonts w:ascii="Garamond" w:hAnsi="Garamond"/>
        </w:rPr>
        <w:t xml:space="preserve"> and </w:t>
      </w:r>
      <w:proofErr w:type="spellStart"/>
      <w:r w:rsidRPr="00102D53">
        <w:rPr>
          <w:rFonts w:ascii="Garamond" w:hAnsi="Garamond"/>
        </w:rPr>
        <w:t>Nalebuff</w:t>
      </w:r>
      <w:proofErr w:type="spellEnd"/>
      <w:r w:rsidRPr="00102D53">
        <w:rPr>
          <w:rFonts w:ascii="Garamond" w:hAnsi="Garamond"/>
        </w:rPr>
        <w:t xml:space="preserve"> 1999; Hill and McKee 2005, </w:t>
      </w:r>
      <w:proofErr w:type="spellStart"/>
      <w:r w:rsidRPr="00102D53">
        <w:rPr>
          <w:rFonts w:ascii="Garamond" w:hAnsi="Garamond"/>
        </w:rPr>
        <w:t>Gimpel</w:t>
      </w:r>
      <w:proofErr w:type="spellEnd"/>
      <w:r w:rsidRPr="00102D53">
        <w:rPr>
          <w:rFonts w:ascii="Garamond" w:hAnsi="Garamond"/>
        </w:rPr>
        <w:t>, Kaufmann, and Pearson-</w:t>
      </w:r>
      <w:proofErr w:type="spellStart"/>
      <w:r w:rsidRPr="00102D53">
        <w:rPr>
          <w:rFonts w:ascii="Garamond" w:hAnsi="Garamond"/>
        </w:rPr>
        <w:t>Merkowitz</w:t>
      </w:r>
      <w:proofErr w:type="spellEnd"/>
      <w:r w:rsidRPr="00102D53">
        <w:rPr>
          <w:rFonts w:ascii="Garamond" w:hAnsi="Garamond"/>
        </w:rPr>
        <w:t xml:space="preserve"> 2007), elite mobilization (Cox and </w:t>
      </w:r>
      <w:proofErr w:type="spellStart"/>
      <w:r w:rsidRPr="00102D53">
        <w:rPr>
          <w:rFonts w:ascii="Garamond" w:hAnsi="Garamond"/>
        </w:rPr>
        <w:t>Munger</w:t>
      </w:r>
      <w:proofErr w:type="spellEnd"/>
      <w:r w:rsidRPr="00102D53">
        <w:rPr>
          <w:rFonts w:ascii="Garamond" w:hAnsi="Garamond"/>
        </w:rPr>
        <w:t xml:space="preserve"> 1989), campaign donations (</w:t>
      </w:r>
      <w:proofErr w:type="spellStart"/>
      <w:r w:rsidRPr="00102D53">
        <w:rPr>
          <w:rFonts w:ascii="Garamond" w:hAnsi="Garamond"/>
        </w:rPr>
        <w:t>Ansolabehere</w:t>
      </w:r>
      <w:proofErr w:type="spellEnd"/>
      <w:r w:rsidRPr="00102D53">
        <w:rPr>
          <w:rFonts w:ascii="Garamond" w:hAnsi="Garamond"/>
        </w:rPr>
        <w:t xml:space="preserve"> and Snyder 2000; Erikson and Palfrey 2000), and media coverage (Clarke and Evans 1983; Jackson 1996) are significantly greater during competitive elections which may increase turnout even if individual citizens are unaware of or uninfluenced by the closeness of the election.</w:t>
      </w:r>
      <w:r w:rsidR="00C3741F">
        <w:rPr>
          <w:rFonts w:ascii="Garamond" w:hAnsi="Garamond"/>
        </w:rPr>
        <w:t xml:space="preserve"> </w:t>
      </w:r>
      <w:r w:rsidRPr="00102D53">
        <w:rPr>
          <w:rFonts w:ascii="Garamond" w:hAnsi="Garamond"/>
        </w:rPr>
        <w:t>Moreover, higher turnout may lead to increased electoral competitiveness instead of competitiveness driving turnout.</w:t>
      </w:r>
      <w:r w:rsidR="00C3741F">
        <w:rPr>
          <w:rFonts w:ascii="Garamond" w:hAnsi="Garamond"/>
        </w:rPr>
        <w:t xml:space="preserve"> </w:t>
      </w:r>
      <w:r w:rsidRPr="00102D53">
        <w:rPr>
          <w:rFonts w:ascii="Garamond" w:hAnsi="Garamond"/>
        </w:rPr>
        <w:t>In fact, Panagopoulos and Green (2008) demonstrate that experimental increases in turnout may lead to tighter election outcomes.</w:t>
      </w:r>
      <w:r w:rsidR="00C3741F">
        <w:rPr>
          <w:rFonts w:ascii="Garamond" w:hAnsi="Garamond"/>
        </w:rPr>
        <w:t xml:space="preserve"> </w:t>
      </w:r>
      <w:r w:rsidRPr="00102D53">
        <w:rPr>
          <w:rFonts w:ascii="Garamond" w:hAnsi="Garamond"/>
        </w:rPr>
        <w:t xml:space="preserve">Both of these confounding factors will lead the already weak correlations between competitiveness and turnout to overstate the true effect of </w:t>
      </w:r>
      <w:r w:rsidRPr="00102D53">
        <w:rPr>
          <w:rFonts w:ascii="Garamond" w:hAnsi="Garamond"/>
          <w:i/>
        </w:rPr>
        <w:t>P</w:t>
      </w:r>
      <w:r w:rsidRPr="00102D53">
        <w:rPr>
          <w:rFonts w:ascii="Garamond" w:hAnsi="Garamond"/>
        </w:rPr>
        <w:t>.</w:t>
      </w:r>
      <w:r w:rsidR="00C3741F">
        <w:rPr>
          <w:rFonts w:ascii="Garamond" w:hAnsi="Garamond"/>
        </w:rPr>
        <w:t xml:space="preserve"> </w:t>
      </w:r>
      <w:r w:rsidRPr="00102D53">
        <w:rPr>
          <w:rFonts w:ascii="Garamond" w:hAnsi="Garamond"/>
        </w:rPr>
        <w:tab/>
      </w:r>
    </w:p>
    <w:p w:rsidR="00A23F6B" w:rsidRPr="00102D53" w:rsidRDefault="00A23F6B" w:rsidP="00294CC6">
      <w:pPr>
        <w:spacing w:line="480" w:lineRule="auto"/>
        <w:ind w:firstLine="720"/>
        <w:jc w:val="both"/>
        <w:rPr>
          <w:rFonts w:ascii="Garamond" w:hAnsi="Garamond"/>
        </w:rPr>
      </w:pPr>
      <w:r w:rsidRPr="00102D53">
        <w:rPr>
          <w:rFonts w:ascii="Garamond" w:hAnsi="Garamond"/>
        </w:rPr>
        <w:t>Some studies attempt to assess the independent psychological effect of electoral closeness over and above campaign activity by including closeness and campaign spending in the same model.</w:t>
      </w:r>
      <w:r w:rsidR="00C3741F">
        <w:rPr>
          <w:rFonts w:ascii="Garamond" w:hAnsi="Garamond"/>
        </w:rPr>
        <w:t xml:space="preserve"> </w:t>
      </w:r>
      <w:r w:rsidRPr="00102D53">
        <w:rPr>
          <w:rFonts w:ascii="Garamond" w:hAnsi="Garamond"/>
        </w:rPr>
        <w:t>The effect of closeness in these models is small (</w:t>
      </w:r>
      <w:proofErr w:type="spellStart"/>
      <w:r w:rsidRPr="00102D53">
        <w:rPr>
          <w:rFonts w:ascii="Garamond" w:hAnsi="Garamond"/>
        </w:rPr>
        <w:t>Seidle</w:t>
      </w:r>
      <w:proofErr w:type="spellEnd"/>
      <w:r w:rsidRPr="00102D53">
        <w:rPr>
          <w:rFonts w:ascii="Garamond" w:hAnsi="Garamond"/>
        </w:rPr>
        <w:t xml:space="preserve"> and Miller 1976; Tucker 1986; Cox and </w:t>
      </w:r>
      <w:proofErr w:type="spellStart"/>
      <w:r w:rsidRPr="00102D53">
        <w:rPr>
          <w:rFonts w:ascii="Garamond" w:hAnsi="Garamond"/>
        </w:rPr>
        <w:t>Munger</w:t>
      </w:r>
      <w:proofErr w:type="spellEnd"/>
      <w:r w:rsidRPr="00102D53">
        <w:rPr>
          <w:rFonts w:ascii="Garamond" w:hAnsi="Garamond"/>
        </w:rPr>
        <w:t xml:space="preserve"> 1989; </w:t>
      </w:r>
      <w:proofErr w:type="spellStart"/>
      <w:r w:rsidRPr="00102D53">
        <w:rPr>
          <w:rFonts w:ascii="Garamond" w:hAnsi="Garamond"/>
        </w:rPr>
        <w:t>Berch</w:t>
      </w:r>
      <w:proofErr w:type="spellEnd"/>
      <w:r w:rsidRPr="00102D53">
        <w:rPr>
          <w:rFonts w:ascii="Garamond" w:hAnsi="Garamond"/>
        </w:rPr>
        <w:t xml:space="preserve"> 1993), mixed (</w:t>
      </w:r>
      <w:proofErr w:type="spellStart"/>
      <w:r w:rsidRPr="00102D53">
        <w:rPr>
          <w:rFonts w:ascii="Garamond" w:hAnsi="Garamond"/>
        </w:rPr>
        <w:t>Matsusaka</w:t>
      </w:r>
      <w:proofErr w:type="spellEnd"/>
      <w:r w:rsidRPr="00102D53">
        <w:rPr>
          <w:rFonts w:ascii="Garamond" w:hAnsi="Garamond"/>
        </w:rPr>
        <w:t xml:space="preserve"> and </w:t>
      </w:r>
      <w:proofErr w:type="spellStart"/>
      <w:r w:rsidRPr="00102D53">
        <w:rPr>
          <w:rFonts w:ascii="Garamond" w:hAnsi="Garamond"/>
        </w:rPr>
        <w:t>Palda</w:t>
      </w:r>
      <w:proofErr w:type="spellEnd"/>
      <w:r w:rsidRPr="00102D53">
        <w:rPr>
          <w:rFonts w:ascii="Garamond" w:hAnsi="Garamond"/>
        </w:rPr>
        <w:t xml:space="preserve"> 1993), or zero (Jackson 1996), and this multivariate approach does not overcome the problems of </w:t>
      </w:r>
      <w:proofErr w:type="spellStart"/>
      <w:r w:rsidRPr="00102D53">
        <w:rPr>
          <w:rFonts w:ascii="Garamond" w:hAnsi="Garamond"/>
        </w:rPr>
        <w:t>endogeneity</w:t>
      </w:r>
      <w:proofErr w:type="spellEnd"/>
      <w:r w:rsidRPr="00102D53">
        <w:rPr>
          <w:rFonts w:ascii="Garamond" w:hAnsi="Garamond"/>
        </w:rPr>
        <w:t>.</w:t>
      </w:r>
      <w:r w:rsidR="00C3741F">
        <w:rPr>
          <w:rFonts w:ascii="Garamond" w:hAnsi="Garamond"/>
        </w:rPr>
        <w:t xml:space="preserve"> </w:t>
      </w:r>
      <w:r w:rsidRPr="00102D53">
        <w:rPr>
          <w:rFonts w:ascii="Garamond" w:hAnsi="Garamond"/>
        </w:rPr>
        <w:t>First, this approach does not account for the possibility of reverse causation, as discussed above.</w:t>
      </w:r>
      <w:r w:rsidR="00C3741F">
        <w:rPr>
          <w:rFonts w:ascii="Garamond" w:hAnsi="Garamond"/>
        </w:rPr>
        <w:t xml:space="preserve"> </w:t>
      </w:r>
      <w:r w:rsidRPr="00102D53">
        <w:rPr>
          <w:rFonts w:ascii="Garamond" w:hAnsi="Garamond"/>
        </w:rPr>
        <w:t>Second, the addition of control variables is unlikely to account for all differences between close and uncompetitive elections.</w:t>
      </w:r>
      <w:r w:rsidR="00C3741F">
        <w:rPr>
          <w:rFonts w:ascii="Garamond" w:hAnsi="Garamond"/>
        </w:rPr>
        <w:t xml:space="preserve"> </w:t>
      </w:r>
    </w:p>
    <w:p w:rsidR="00A23F6B" w:rsidRPr="00102D53" w:rsidRDefault="00A23F6B" w:rsidP="00294CC6">
      <w:pPr>
        <w:spacing w:line="480" w:lineRule="auto"/>
        <w:jc w:val="both"/>
        <w:rPr>
          <w:rFonts w:ascii="Garamond" w:hAnsi="Garamond"/>
        </w:rPr>
      </w:pPr>
      <w:r w:rsidRPr="00102D53">
        <w:rPr>
          <w:rFonts w:ascii="Garamond" w:hAnsi="Garamond"/>
        </w:rPr>
        <w:tab/>
        <w:t>In addition to these aggregate observational studies, researchers have attempted to assess the effects of close elections at the individual level using survey data.</w:t>
      </w:r>
      <w:r w:rsidR="00C3741F">
        <w:rPr>
          <w:rFonts w:ascii="Garamond" w:hAnsi="Garamond"/>
        </w:rPr>
        <w:t xml:space="preserve"> </w:t>
      </w:r>
      <w:r w:rsidRPr="00102D53">
        <w:rPr>
          <w:rFonts w:ascii="Garamond" w:hAnsi="Garamond"/>
        </w:rPr>
        <w:t xml:space="preserve">Respondents who think an upcoming election will be close are more likely to vote (Riker and </w:t>
      </w:r>
      <w:proofErr w:type="spellStart"/>
      <w:r w:rsidRPr="00102D53">
        <w:rPr>
          <w:rFonts w:ascii="Garamond" w:hAnsi="Garamond"/>
        </w:rPr>
        <w:t>Ordeshook</w:t>
      </w:r>
      <w:proofErr w:type="spellEnd"/>
      <w:r w:rsidRPr="00102D53">
        <w:rPr>
          <w:rFonts w:ascii="Garamond" w:hAnsi="Garamond"/>
        </w:rPr>
        <w:t xml:space="preserve"> 19</w:t>
      </w:r>
      <w:r w:rsidR="00C002A6">
        <w:rPr>
          <w:rFonts w:ascii="Garamond" w:hAnsi="Garamond"/>
        </w:rPr>
        <w:t xml:space="preserve">68; Aldrich 1976; </w:t>
      </w:r>
      <w:proofErr w:type="spellStart"/>
      <w:r w:rsidR="00C002A6">
        <w:rPr>
          <w:rFonts w:ascii="Garamond" w:hAnsi="Garamond"/>
        </w:rPr>
        <w:t>Blais</w:t>
      </w:r>
      <w:proofErr w:type="spellEnd"/>
      <w:r w:rsidR="00C002A6">
        <w:rPr>
          <w:rFonts w:ascii="Garamond" w:hAnsi="Garamond"/>
        </w:rPr>
        <w:t xml:space="preserve">, </w:t>
      </w:r>
      <w:proofErr w:type="spellStart"/>
      <w:r w:rsidR="00C002A6">
        <w:rPr>
          <w:rFonts w:ascii="Garamond" w:hAnsi="Garamond"/>
        </w:rPr>
        <w:t>Yound</w:t>
      </w:r>
      <w:proofErr w:type="spellEnd"/>
      <w:r w:rsidR="00C002A6">
        <w:rPr>
          <w:rFonts w:ascii="Garamond" w:hAnsi="Garamond"/>
        </w:rPr>
        <w:t>, and Lapp</w:t>
      </w:r>
      <w:r w:rsidRPr="00102D53">
        <w:rPr>
          <w:rFonts w:ascii="Garamond" w:hAnsi="Garamond"/>
        </w:rPr>
        <w:t xml:space="preserve"> 2000), suggesting that a high perception of </w:t>
      </w:r>
      <w:r w:rsidRPr="00102D53">
        <w:rPr>
          <w:rFonts w:ascii="Garamond" w:hAnsi="Garamond"/>
          <w:i/>
        </w:rPr>
        <w:t xml:space="preserve">P </w:t>
      </w:r>
      <w:r w:rsidRPr="00102D53">
        <w:rPr>
          <w:rFonts w:ascii="Garamond" w:hAnsi="Garamond"/>
        </w:rPr>
        <w:t>may drive citizens to the polls.</w:t>
      </w:r>
      <w:r w:rsidR="00C3741F">
        <w:rPr>
          <w:rFonts w:ascii="Garamond" w:hAnsi="Garamond"/>
        </w:rPr>
        <w:t xml:space="preserve"> </w:t>
      </w:r>
      <w:r w:rsidRPr="00102D53">
        <w:rPr>
          <w:rFonts w:ascii="Garamond" w:hAnsi="Garamond"/>
        </w:rPr>
        <w:lastRenderedPageBreak/>
        <w:t>Again, however, these correlations likely overestimate the true causal effect of electoral competition on turnout.</w:t>
      </w:r>
      <w:r w:rsidR="00C3741F">
        <w:rPr>
          <w:rFonts w:ascii="Garamond" w:hAnsi="Garamond"/>
        </w:rPr>
        <w:t xml:space="preserve"> </w:t>
      </w:r>
      <w:r w:rsidRPr="00102D53">
        <w:rPr>
          <w:rFonts w:ascii="Garamond" w:hAnsi="Garamond"/>
        </w:rPr>
        <w:t>Omitted variables may influence both turnout and respondents’ propensity to say an election will be close.</w:t>
      </w:r>
      <w:r w:rsidR="00C3741F">
        <w:rPr>
          <w:rFonts w:ascii="Garamond" w:hAnsi="Garamond"/>
        </w:rPr>
        <w:t xml:space="preserve"> </w:t>
      </w:r>
      <w:r w:rsidRPr="00102D53">
        <w:rPr>
          <w:rFonts w:ascii="Garamond" w:hAnsi="Garamond"/>
        </w:rPr>
        <w:t>For example, campaign activity increases citizens’ perceptions of competition (Bowler and Donovan 2011).</w:t>
      </w:r>
      <w:r w:rsidR="00C3741F">
        <w:rPr>
          <w:rFonts w:ascii="Garamond" w:hAnsi="Garamond"/>
        </w:rPr>
        <w:t xml:space="preserve"> </w:t>
      </w:r>
      <w:r w:rsidRPr="00102D53">
        <w:rPr>
          <w:rFonts w:ascii="Garamond" w:hAnsi="Garamond"/>
        </w:rPr>
        <w:t>Moreover, the act of voting itself may lead voters to increase their perceptions of closeness to avoid cognitive dissonance.</w:t>
      </w:r>
      <w:r w:rsidR="00C3741F">
        <w:rPr>
          <w:rFonts w:ascii="Garamond" w:hAnsi="Garamond"/>
        </w:rPr>
        <w:t xml:space="preserve"> </w:t>
      </w:r>
      <w:r w:rsidRPr="00102D53">
        <w:rPr>
          <w:rFonts w:ascii="Garamond" w:hAnsi="Garamond"/>
        </w:rPr>
        <w:t>Since the act of voting is costly, voters might convince themselves that their vote is meaningful in order to justify the expense.</w:t>
      </w:r>
      <w:r w:rsidR="00C3741F">
        <w:rPr>
          <w:rFonts w:ascii="Garamond" w:hAnsi="Garamond"/>
        </w:rPr>
        <w:t xml:space="preserve"> </w:t>
      </w:r>
      <w:r w:rsidRPr="00102D53">
        <w:rPr>
          <w:rFonts w:ascii="Garamond" w:hAnsi="Garamond"/>
        </w:rPr>
        <w:t>For these reasons, we would expect a positive correlation between citizens’ perceptions and turnout even if electoral competition does not drive turnout.</w:t>
      </w:r>
      <w:r w:rsidR="00C3741F">
        <w:rPr>
          <w:rFonts w:ascii="Garamond" w:hAnsi="Garamond"/>
        </w:rPr>
        <w:t xml:space="preserve"> </w:t>
      </w:r>
      <w:r w:rsidR="0064622E">
        <w:rPr>
          <w:rFonts w:ascii="Garamond" w:hAnsi="Garamond"/>
        </w:rPr>
        <w:t>See below for our own analysis of survey data, suggesting that these correlations are largely explained by omitted variables, reverse causation, and cognitive dissonance.</w:t>
      </w:r>
      <w:r w:rsidR="00C3741F">
        <w:rPr>
          <w:rFonts w:ascii="Garamond" w:hAnsi="Garamond"/>
        </w:rPr>
        <w:t xml:space="preserve"> </w:t>
      </w:r>
    </w:p>
    <w:p w:rsidR="00A23F6B" w:rsidRPr="00102D53" w:rsidRDefault="00A23F6B" w:rsidP="00294CC6">
      <w:pPr>
        <w:spacing w:line="480" w:lineRule="auto"/>
        <w:jc w:val="both"/>
        <w:rPr>
          <w:rFonts w:ascii="Garamond" w:hAnsi="Garamond"/>
        </w:rPr>
      </w:pPr>
      <w:r w:rsidRPr="00102D53">
        <w:rPr>
          <w:rFonts w:ascii="Garamond" w:hAnsi="Garamond"/>
        </w:rPr>
        <w:tab/>
        <w:t>Lab experiments provide an additional opportunity to test for the effects of close elections.</w:t>
      </w:r>
      <w:r w:rsidR="00C3741F">
        <w:rPr>
          <w:rFonts w:ascii="Garamond" w:hAnsi="Garamond"/>
        </w:rPr>
        <w:t xml:space="preserve"> </w:t>
      </w:r>
      <w:proofErr w:type="spellStart"/>
      <w:r w:rsidRPr="00102D53">
        <w:rPr>
          <w:rFonts w:ascii="Garamond" w:hAnsi="Garamond"/>
        </w:rPr>
        <w:t>Ansolabehere</w:t>
      </w:r>
      <w:proofErr w:type="spellEnd"/>
      <w:r w:rsidRPr="00102D53">
        <w:rPr>
          <w:rFonts w:ascii="Garamond" w:hAnsi="Garamond"/>
        </w:rPr>
        <w:t xml:space="preserve"> and </w:t>
      </w:r>
      <w:proofErr w:type="spellStart"/>
      <w:r w:rsidRPr="00102D53">
        <w:rPr>
          <w:rFonts w:ascii="Garamond" w:hAnsi="Garamond"/>
        </w:rPr>
        <w:t>Iyengar</w:t>
      </w:r>
      <w:proofErr w:type="spellEnd"/>
      <w:r w:rsidRPr="00102D53">
        <w:rPr>
          <w:rFonts w:ascii="Garamond" w:hAnsi="Garamond"/>
        </w:rPr>
        <w:t xml:space="preserve"> (1994) randomly presented prospective voters with different poll results before the 1992 general election.</w:t>
      </w:r>
      <w:r w:rsidR="00C3741F">
        <w:rPr>
          <w:rFonts w:ascii="Garamond" w:hAnsi="Garamond"/>
        </w:rPr>
        <w:t xml:space="preserve"> </w:t>
      </w:r>
      <w:r w:rsidRPr="00102D53">
        <w:rPr>
          <w:rFonts w:ascii="Garamond" w:hAnsi="Garamond"/>
        </w:rPr>
        <w:t>However, subjects receiving news of a competitive race were no more likely to express an intention to vote than those receiving news of a one-sided race.</w:t>
      </w:r>
      <w:r w:rsidR="00C3741F">
        <w:rPr>
          <w:rFonts w:ascii="Garamond" w:hAnsi="Garamond"/>
        </w:rPr>
        <w:t xml:space="preserve"> </w:t>
      </w:r>
      <w:r w:rsidRPr="00102D53">
        <w:rPr>
          <w:rFonts w:ascii="Garamond" w:hAnsi="Garamond"/>
        </w:rPr>
        <w:t xml:space="preserve">Later lab experiments report that closeness increases turnout (Levine and Palfrey 2007; Duffy and </w:t>
      </w:r>
      <w:proofErr w:type="spellStart"/>
      <w:r w:rsidRPr="00102D53">
        <w:rPr>
          <w:rFonts w:ascii="Garamond" w:hAnsi="Garamond"/>
        </w:rPr>
        <w:t>Tavits</w:t>
      </w:r>
      <w:proofErr w:type="spellEnd"/>
      <w:r w:rsidRPr="00102D53">
        <w:rPr>
          <w:rFonts w:ascii="Garamond" w:hAnsi="Garamond"/>
        </w:rPr>
        <w:t xml:space="preserve"> 2008), but these results arise from artificial, non-political settings where the financial costs and benefits of casting a “vote” are explicitly laid out for subjects.</w:t>
      </w:r>
      <w:r w:rsidR="00C3741F">
        <w:rPr>
          <w:rFonts w:ascii="Garamond" w:hAnsi="Garamond"/>
        </w:rPr>
        <w:t xml:space="preserve"> </w:t>
      </w:r>
      <w:r w:rsidRPr="00102D53">
        <w:rPr>
          <w:rFonts w:ascii="Garamond" w:hAnsi="Garamond"/>
        </w:rPr>
        <w:t>These results show that experimental subjects can make arithmetic calculations and respond to clear financial incentives, but they suffer from a lack of external validity when speaking to causes of voter turnout in real-world elections.</w:t>
      </w:r>
      <w:r w:rsidRPr="00102D53">
        <w:rPr>
          <w:rStyle w:val="FootnoteReference"/>
          <w:rFonts w:ascii="Garamond" w:hAnsi="Garamond"/>
        </w:rPr>
        <w:footnoteReference w:id="1"/>
      </w:r>
    </w:p>
    <w:p w:rsidR="00DE3532" w:rsidRDefault="00A23F6B" w:rsidP="00294CC6">
      <w:pPr>
        <w:spacing w:line="480" w:lineRule="auto"/>
        <w:jc w:val="both"/>
        <w:rPr>
          <w:rFonts w:ascii="Garamond" w:hAnsi="Garamond"/>
        </w:rPr>
      </w:pPr>
      <w:r w:rsidRPr="00102D53">
        <w:rPr>
          <w:rFonts w:ascii="Garamond" w:hAnsi="Garamond"/>
          <w:b/>
          <w:bCs/>
        </w:rPr>
        <w:tab/>
      </w:r>
      <w:r w:rsidRPr="00102D53">
        <w:rPr>
          <w:rFonts w:ascii="Garamond" w:hAnsi="Garamond"/>
        </w:rPr>
        <w:t>Lastly, field experiments provide a final opportunity to test for the effects of close elections.</w:t>
      </w:r>
      <w:r w:rsidR="00C3741F">
        <w:rPr>
          <w:rFonts w:ascii="Garamond" w:hAnsi="Garamond"/>
        </w:rPr>
        <w:t xml:space="preserve"> </w:t>
      </w:r>
      <w:r w:rsidRPr="00102D53">
        <w:rPr>
          <w:rFonts w:ascii="Garamond" w:hAnsi="Garamond"/>
        </w:rPr>
        <w:t xml:space="preserve">Experimental treatments telling prospective voters that an upcoming election will be close are equally if not less effective than other treatments in mobilizing voters (Gerber and Green 2000; </w:t>
      </w:r>
      <w:proofErr w:type="spellStart"/>
      <w:r w:rsidRPr="00102D53">
        <w:rPr>
          <w:rFonts w:ascii="Garamond" w:hAnsi="Garamond"/>
        </w:rPr>
        <w:lastRenderedPageBreak/>
        <w:t>Bennion</w:t>
      </w:r>
      <w:proofErr w:type="spellEnd"/>
      <w:r w:rsidRPr="00102D53">
        <w:rPr>
          <w:rFonts w:ascii="Garamond" w:hAnsi="Garamond"/>
        </w:rPr>
        <w:t xml:space="preserve"> 2005; Dale and Strauss 2009).</w:t>
      </w:r>
      <w:r w:rsidR="00C3741F">
        <w:rPr>
          <w:rFonts w:ascii="Garamond" w:hAnsi="Garamond"/>
        </w:rPr>
        <w:t xml:space="preserve"> </w:t>
      </w:r>
      <w:r w:rsidRPr="00102D53">
        <w:rPr>
          <w:rFonts w:ascii="Garamond" w:hAnsi="Garamond"/>
        </w:rPr>
        <w:t>These results suggest that priming electoral competition is not particularly effective in generating turnout, but they should be interpreted cautiously.</w:t>
      </w:r>
      <w:r w:rsidR="00C3741F">
        <w:rPr>
          <w:rFonts w:ascii="Garamond" w:hAnsi="Garamond"/>
        </w:rPr>
        <w:t xml:space="preserve"> </w:t>
      </w:r>
      <w:r w:rsidRPr="00102D53">
        <w:rPr>
          <w:rFonts w:ascii="Garamond" w:hAnsi="Garamond"/>
        </w:rPr>
        <w:t>In one study (</w:t>
      </w:r>
      <w:proofErr w:type="spellStart"/>
      <w:r w:rsidRPr="00102D53">
        <w:rPr>
          <w:rFonts w:ascii="Garamond" w:hAnsi="Garamond"/>
        </w:rPr>
        <w:t>Bennion</w:t>
      </w:r>
      <w:proofErr w:type="spellEnd"/>
      <w:r w:rsidRPr="00102D53">
        <w:rPr>
          <w:rFonts w:ascii="Garamond" w:hAnsi="Garamond"/>
        </w:rPr>
        <w:t xml:space="preserve"> 2005), the “close election” treatment was paired against a “civic duty” treatment, and both treatments may have their own independent effect.</w:t>
      </w:r>
      <w:r w:rsidR="00C3741F">
        <w:rPr>
          <w:rFonts w:ascii="Garamond" w:hAnsi="Garamond"/>
        </w:rPr>
        <w:t xml:space="preserve"> </w:t>
      </w:r>
      <w:r w:rsidRPr="00102D53">
        <w:rPr>
          <w:rFonts w:ascii="Garamond" w:hAnsi="Garamond"/>
        </w:rPr>
        <w:t>In the other two studies, the experiments took place in non-competitive elections, so the “close election” treatments may have lacked credibility among subjects.</w:t>
      </w:r>
      <w:r w:rsidR="00C3741F">
        <w:rPr>
          <w:rFonts w:ascii="Garamond" w:hAnsi="Garamond"/>
        </w:rPr>
        <w:t xml:space="preserve"> </w:t>
      </w:r>
      <w:r w:rsidRPr="00102D53">
        <w:rPr>
          <w:rFonts w:ascii="Garamond" w:hAnsi="Garamond"/>
        </w:rPr>
        <w:t>In this respect, field experiments suffer from problems of external validity similar to those of lab experiments; we do not know how voters would have responded to these interventions in the real-world situation of a close election.</w:t>
      </w:r>
    </w:p>
    <w:p w:rsidR="00A23F6B" w:rsidRDefault="00A23F6B" w:rsidP="00294CC6">
      <w:pPr>
        <w:spacing w:line="480" w:lineRule="auto"/>
        <w:jc w:val="both"/>
        <w:rPr>
          <w:rFonts w:ascii="Garamond" w:hAnsi="Garamond"/>
          <w:b/>
        </w:rPr>
      </w:pPr>
    </w:p>
    <w:p w:rsidR="00B54749" w:rsidRPr="00102D53" w:rsidRDefault="00B54749" w:rsidP="00294CC6">
      <w:pPr>
        <w:spacing w:line="480" w:lineRule="auto"/>
        <w:jc w:val="both"/>
        <w:rPr>
          <w:rFonts w:ascii="Garamond" w:hAnsi="Garamond"/>
        </w:rPr>
      </w:pPr>
      <w:r>
        <w:rPr>
          <w:rFonts w:ascii="Garamond" w:hAnsi="Garamond"/>
          <w:b/>
        </w:rPr>
        <w:t>A Reevaluation of Survey Data on Pivotality and Turnout</w:t>
      </w:r>
    </w:p>
    <w:p w:rsidR="00B54749" w:rsidRPr="00102D53" w:rsidRDefault="00B54749" w:rsidP="00294CC6">
      <w:pPr>
        <w:spacing w:line="480" w:lineRule="auto"/>
        <w:jc w:val="both"/>
        <w:rPr>
          <w:rFonts w:ascii="Garamond" w:hAnsi="Garamond"/>
        </w:rPr>
      </w:pPr>
      <w:r w:rsidRPr="00102D53">
        <w:rPr>
          <w:rFonts w:ascii="Garamond" w:hAnsi="Garamond"/>
          <w:b/>
        </w:rPr>
        <w:tab/>
      </w:r>
      <w:r w:rsidRPr="00102D53">
        <w:rPr>
          <w:rFonts w:ascii="Garamond" w:hAnsi="Garamond"/>
        </w:rPr>
        <w:t>For every U.S. presidential election since 1952, the American National Election Study (ANES) has asked respondents to gauge whether the upcoming election will be close.</w:t>
      </w:r>
      <w:r w:rsidR="00C3741F">
        <w:rPr>
          <w:rFonts w:ascii="Garamond" w:hAnsi="Garamond"/>
        </w:rPr>
        <w:t xml:space="preserve"> </w:t>
      </w:r>
      <w:r w:rsidRPr="00102D53">
        <w:rPr>
          <w:rFonts w:ascii="Garamond" w:hAnsi="Garamond"/>
        </w:rPr>
        <w:t xml:space="preserve">Analyzing these surveys in 1952, 1956, and 1960, Riker and </w:t>
      </w:r>
      <w:proofErr w:type="spellStart"/>
      <w:r w:rsidRPr="00102D53">
        <w:rPr>
          <w:rFonts w:ascii="Garamond" w:hAnsi="Garamond"/>
        </w:rPr>
        <w:t>Ordeshook</w:t>
      </w:r>
      <w:proofErr w:type="spellEnd"/>
      <w:r w:rsidRPr="00102D53">
        <w:rPr>
          <w:rFonts w:ascii="Garamond" w:hAnsi="Garamond"/>
        </w:rPr>
        <w:t xml:space="preserve"> (1968) and Aldrich (1976) – adding 1972 to the analysis – show that the prediction of a close election is correlated with turnout, concluding that perceptions of closeness causally influence individuals’ decisions to turn out.</w:t>
      </w:r>
      <w:r w:rsidR="00C3741F">
        <w:rPr>
          <w:rFonts w:ascii="Garamond" w:hAnsi="Garamond"/>
        </w:rPr>
        <w:t xml:space="preserve"> </w:t>
      </w:r>
      <w:r w:rsidRPr="00102D53">
        <w:rPr>
          <w:rFonts w:ascii="Garamond" w:hAnsi="Garamond"/>
        </w:rPr>
        <w:t>However, the evidence deserves further scrutiny.</w:t>
      </w:r>
      <w:r w:rsidR="00C3741F">
        <w:rPr>
          <w:rFonts w:ascii="Garamond" w:hAnsi="Garamond"/>
        </w:rPr>
        <w:t xml:space="preserve"> </w:t>
      </w:r>
      <w:r w:rsidRPr="00102D53">
        <w:rPr>
          <w:rFonts w:ascii="Garamond" w:hAnsi="Garamond"/>
        </w:rPr>
        <w:t xml:space="preserve">The relationships reported by Riker and </w:t>
      </w:r>
      <w:proofErr w:type="spellStart"/>
      <w:r w:rsidRPr="00102D53">
        <w:rPr>
          <w:rFonts w:ascii="Garamond" w:hAnsi="Garamond"/>
        </w:rPr>
        <w:t>Ordeshook</w:t>
      </w:r>
      <w:proofErr w:type="spellEnd"/>
      <w:r w:rsidRPr="00102D53">
        <w:rPr>
          <w:rFonts w:ascii="Garamond" w:hAnsi="Garamond"/>
        </w:rPr>
        <w:t xml:space="preserve"> (1968) and Aldrich (1976) were not subject to the rigors of multivariate regression analysis, raising the possibility that omitted variables are driving the results. Additionally, as discussed above, the analyses might be plagued by reverse causality.</w:t>
      </w:r>
      <w:r w:rsidR="00C3741F">
        <w:rPr>
          <w:rFonts w:ascii="Garamond" w:hAnsi="Garamond"/>
        </w:rPr>
        <w:t xml:space="preserve"> </w:t>
      </w:r>
      <w:r w:rsidRPr="00102D53">
        <w:rPr>
          <w:rFonts w:ascii="Garamond" w:hAnsi="Garamond"/>
        </w:rPr>
        <w:tab/>
      </w:r>
    </w:p>
    <w:p w:rsidR="00B54749" w:rsidRPr="00102D53" w:rsidRDefault="00B54749" w:rsidP="00294CC6">
      <w:pPr>
        <w:spacing w:line="480" w:lineRule="auto"/>
        <w:jc w:val="both"/>
        <w:rPr>
          <w:rFonts w:ascii="Garamond" w:hAnsi="Garamond"/>
        </w:rPr>
      </w:pPr>
      <w:r w:rsidRPr="00102D53">
        <w:rPr>
          <w:rFonts w:ascii="Garamond" w:hAnsi="Garamond"/>
        </w:rPr>
        <w:tab/>
        <w:t xml:space="preserve">In table </w:t>
      </w:r>
      <w:r>
        <w:rPr>
          <w:rFonts w:ascii="Garamond" w:hAnsi="Garamond"/>
        </w:rPr>
        <w:t>A</w:t>
      </w:r>
      <w:r w:rsidRPr="00102D53">
        <w:rPr>
          <w:rFonts w:ascii="Garamond" w:hAnsi="Garamond"/>
        </w:rPr>
        <w:t>1, we analyze all ANES surveys in presidential election years between 1952 and 2008.</w:t>
      </w:r>
      <w:r w:rsidR="00C3741F">
        <w:rPr>
          <w:rFonts w:ascii="Garamond" w:hAnsi="Garamond"/>
        </w:rPr>
        <w:t xml:space="preserve"> </w:t>
      </w:r>
      <w:r w:rsidRPr="00102D53">
        <w:rPr>
          <w:rFonts w:ascii="Garamond" w:hAnsi="Garamond"/>
        </w:rPr>
        <w:t>Like the previous studies, we find that the prediction of a close election is strongly correlated with turnout.</w:t>
      </w:r>
      <w:r w:rsidR="00C3741F">
        <w:rPr>
          <w:rFonts w:ascii="Garamond" w:hAnsi="Garamond"/>
        </w:rPr>
        <w:t xml:space="preserve"> </w:t>
      </w:r>
      <w:r w:rsidRPr="00102D53">
        <w:rPr>
          <w:rFonts w:ascii="Garamond" w:hAnsi="Garamond"/>
        </w:rPr>
        <w:t xml:space="preserve">Regressing turnout on a dummy variable, </w:t>
      </w:r>
      <w:r w:rsidRPr="00102D53">
        <w:rPr>
          <w:rFonts w:ascii="Garamond" w:hAnsi="Garamond"/>
          <w:i/>
        </w:rPr>
        <w:t>Close</w:t>
      </w:r>
      <w:r w:rsidRPr="00102D53">
        <w:rPr>
          <w:rFonts w:ascii="Garamond" w:hAnsi="Garamond"/>
        </w:rPr>
        <w:t xml:space="preserve"> (1 = respondent thinks election will be close, 0 = not close), and election fixed effects, we find that turnout is 7 percentage points higher among those who predict a close election (Column 1).</w:t>
      </w:r>
      <w:r w:rsidR="00C3741F">
        <w:rPr>
          <w:rFonts w:ascii="Garamond" w:hAnsi="Garamond"/>
        </w:rPr>
        <w:t xml:space="preserve"> </w:t>
      </w:r>
      <w:r w:rsidRPr="00102D53">
        <w:rPr>
          <w:rFonts w:ascii="Garamond" w:hAnsi="Garamond"/>
        </w:rPr>
        <w:t xml:space="preserve">However, the effect shrinks to 4 percentage </w:t>
      </w:r>
      <w:r w:rsidRPr="00102D53">
        <w:rPr>
          <w:rFonts w:ascii="Garamond" w:hAnsi="Garamond"/>
        </w:rPr>
        <w:lastRenderedPageBreak/>
        <w:t>points when we control for each respondent’s turnout in the previous presidential election (Column 2), and it shrinks further to 2 percentage points when we include additional demographic controls such as age, education, and political knowledge (Column 3).</w:t>
      </w:r>
      <w:r w:rsidR="00C3741F">
        <w:rPr>
          <w:rFonts w:ascii="Garamond" w:hAnsi="Garamond"/>
        </w:rPr>
        <w:t xml:space="preserve"> </w:t>
      </w:r>
    </w:p>
    <w:p w:rsidR="00B54749" w:rsidRDefault="00B54749" w:rsidP="00294CC6">
      <w:pPr>
        <w:spacing w:line="480" w:lineRule="auto"/>
        <w:jc w:val="both"/>
        <w:rPr>
          <w:rFonts w:ascii="Garamond" w:hAnsi="Garamond"/>
        </w:rPr>
      </w:pPr>
      <w:r w:rsidRPr="00102D53">
        <w:rPr>
          <w:rFonts w:ascii="Garamond" w:hAnsi="Garamond"/>
        </w:rPr>
        <w:tab/>
        <w:t xml:space="preserve">Even these smaller estimates of the effect of </w:t>
      </w:r>
      <w:r w:rsidRPr="00102D53">
        <w:rPr>
          <w:rFonts w:ascii="Garamond" w:hAnsi="Garamond"/>
          <w:i/>
          <w:iCs/>
        </w:rPr>
        <w:t>P</w:t>
      </w:r>
      <w:r w:rsidRPr="00102D53">
        <w:rPr>
          <w:rFonts w:ascii="Garamond" w:hAnsi="Garamond"/>
        </w:rPr>
        <w:t xml:space="preserve"> may not represent the true effect. Turnout itself could influence perceptions of </w:t>
      </w:r>
      <w:r w:rsidRPr="00102D53">
        <w:rPr>
          <w:rFonts w:ascii="Garamond" w:hAnsi="Garamond"/>
          <w:i/>
        </w:rPr>
        <w:t xml:space="preserve">P </w:t>
      </w:r>
      <w:r w:rsidRPr="00102D53">
        <w:rPr>
          <w:rFonts w:ascii="Garamond" w:hAnsi="Garamond"/>
        </w:rPr>
        <w:t>through the well-known process of cognitive dissonance (</w:t>
      </w:r>
      <w:proofErr w:type="spellStart"/>
      <w:r w:rsidRPr="00102D53">
        <w:rPr>
          <w:rFonts w:ascii="Garamond" w:hAnsi="Garamond"/>
        </w:rPr>
        <w:t>Festinger</w:t>
      </w:r>
      <w:proofErr w:type="spellEnd"/>
      <w:r w:rsidRPr="00102D53">
        <w:rPr>
          <w:rFonts w:ascii="Garamond" w:hAnsi="Garamond"/>
        </w:rPr>
        <w:t xml:space="preserve"> 1957).</w:t>
      </w:r>
      <w:r w:rsidR="00C3741F">
        <w:rPr>
          <w:rFonts w:ascii="Garamond" w:hAnsi="Garamond"/>
        </w:rPr>
        <w:t xml:space="preserve"> </w:t>
      </w:r>
      <w:r w:rsidRPr="00102D53">
        <w:rPr>
          <w:rFonts w:ascii="Garamond" w:hAnsi="Garamond"/>
        </w:rPr>
        <w:t>Voters may justify their decisions to turn out by convincing themselves that their vote matters.</w:t>
      </w:r>
      <w:r w:rsidR="00C3741F">
        <w:rPr>
          <w:rFonts w:ascii="Garamond" w:hAnsi="Garamond"/>
        </w:rPr>
        <w:t xml:space="preserve"> </w:t>
      </w:r>
      <w:r w:rsidRPr="00102D53">
        <w:rPr>
          <w:rFonts w:ascii="Garamond" w:hAnsi="Garamond"/>
        </w:rPr>
        <w:t xml:space="preserve">In this way, voters may turn out for reasons unrelated to </w:t>
      </w:r>
      <w:r w:rsidRPr="00102D53">
        <w:rPr>
          <w:rFonts w:ascii="Garamond" w:hAnsi="Garamond"/>
          <w:i/>
        </w:rPr>
        <w:t>P</w:t>
      </w:r>
      <w:r w:rsidRPr="00102D53">
        <w:rPr>
          <w:rFonts w:ascii="Garamond" w:hAnsi="Garamond"/>
        </w:rPr>
        <w:t xml:space="preserve"> but increase their stated </w:t>
      </w:r>
    </w:p>
    <w:p w:rsidR="00B54749" w:rsidRDefault="00B54749" w:rsidP="00294CC6">
      <w:pPr>
        <w:spacing w:line="480" w:lineRule="auto"/>
        <w:jc w:val="both"/>
        <w:rPr>
          <w:rFonts w:ascii="Garamond" w:hAnsi="Garamond"/>
        </w:rPr>
      </w:pPr>
      <w:proofErr w:type="gramStart"/>
      <w:r w:rsidRPr="00102D53">
        <w:rPr>
          <w:rFonts w:ascii="Garamond" w:hAnsi="Garamond"/>
        </w:rPr>
        <w:t>perceptions</w:t>
      </w:r>
      <w:proofErr w:type="gramEnd"/>
      <w:r w:rsidRPr="00102D53">
        <w:rPr>
          <w:rFonts w:ascii="Garamond" w:hAnsi="Garamond"/>
        </w:rPr>
        <w:t xml:space="preserve"> of closeness to avoid cognitive dissonance.</w:t>
      </w:r>
      <w:r w:rsidR="00C3741F">
        <w:rPr>
          <w:rFonts w:ascii="Garamond" w:hAnsi="Garamond"/>
        </w:rPr>
        <w:t xml:space="preserve"> </w:t>
      </w:r>
      <w:r w:rsidRPr="00102D53">
        <w:rPr>
          <w:rFonts w:ascii="Garamond" w:hAnsi="Garamond"/>
        </w:rPr>
        <w:t>Our analysis in Table 2 is consistent with this pattern of dissonance.</w:t>
      </w:r>
      <w:r w:rsidR="00C3741F">
        <w:rPr>
          <w:rFonts w:ascii="Garamond" w:hAnsi="Garamond"/>
        </w:rPr>
        <w:t xml:space="preserve"> </w:t>
      </w:r>
      <w:r w:rsidRPr="00102D53">
        <w:rPr>
          <w:rFonts w:ascii="Garamond" w:hAnsi="Garamond"/>
        </w:rPr>
        <w:t xml:space="preserve">In column 4, we conduct a placebo test, </w:t>
      </w:r>
      <w:proofErr w:type="gramStart"/>
      <w:r w:rsidRPr="00102D53">
        <w:rPr>
          <w:rFonts w:ascii="Garamond" w:hAnsi="Garamond"/>
        </w:rPr>
        <w:t>regressing</w:t>
      </w:r>
      <w:proofErr w:type="gramEnd"/>
      <w:r w:rsidRPr="00102D53">
        <w:rPr>
          <w:rFonts w:ascii="Garamond" w:hAnsi="Garamond"/>
        </w:rPr>
        <w:t xml:space="preserve"> each respondent’s turnout in the previous presidential election on their perception of closeness in the current election.</w:t>
      </w:r>
      <w:r w:rsidR="00C3741F">
        <w:rPr>
          <w:rFonts w:ascii="Garamond" w:hAnsi="Garamond"/>
        </w:rPr>
        <w:t xml:space="preserve"> </w:t>
      </w:r>
      <w:r w:rsidRPr="00102D53">
        <w:rPr>
          <w:rFonts w:ascii="Garamond" w:hAnsi="Garamond"/>
        </w:rPr>
        <w:t>If dissonance is at work, we would expect that perceptions of closeness in the current election are related to higher levels of turnout in previous elections, since voters may justify their past behavior by adjusting their current perceptions.</w:t>
      </w:r>
      <w:r w:rsidR="00C3741F">
        <w:rPr>
          <w:rFonts w:ascii="Garamond" w:hAnsi="Garamond"/>
        </w:rPr>
        <w:t xml:space="preserve"> </w:t>
      </w:r>
      <w:r w:rsidRPr="00102D53">
        <w:rPr>
          <w:rFonts w:ascii="Garamond" w:hAnsi="Garamond"/>
        </w:rPr>
        <w:t>Consistent with this hypothesis, voters who think the upcoming election will be close are 7 percentage points more likely to have voted in the previous presidential election.</w:t>
      </w:r>
      <w:r w:rsidR="00C3741F">
        <w:rPr>
          <w:rFonts w:ascii="Garamond" w:hAnsi="Garamond"/>
        </w:rPr>
        <w:t xml:space="preserve"> </w:t>
      </w:r>
      <w:r w:rsidRPr="00102D53">
        <w:rPr>
          <w:rFonts w:ascii="Garamond" w:hAnsi="Garamond"/>
        </w:rPr>
        <w:t>Moreover, this placebo effect is the same size as the observed effect in column 1, where turnout in the current election is regressed on perceptions of closeness in the current election, suggesting that most, if not all, of the previously observed effects are driven by omitted variables, reverse causation, and cognitive dissonance.</w:t>
      </w:r>
      <w:r w:rsidR="00C3741F">
        <w:rPr>
          <w:rFonts w:ascii="Garamond" w:hAnsi="Garamond"/>
        </w:rPr>
        <w:t xml:space="preserve"> </w:t>
      </w:r>
      <w:r w:rsidRPr="00102D53">
        <w:rPr>
          <w:rFonts w:ascii="Garamond" w:hAnsi="Garamond"/>
        </w:rPr>
        <w:t xml:space="preserve">The observed patterns in Table 2 are unchanged if we restrict our analysis to only those years analyzed by Riker and </w:t>
      </w:r>
      <w:proofErr w:type="spellStart"/>
      <w:r w:rsidRPr="00102D53">
        <w:rPr>
          <w:rFonts w:ascii="Garamond" w:hAnsi="Garamond"/>
        </w:rPr>
        <w:t>Ordeshook</w:t>
      </w:r>
      <w:proofErr w:type="spellEnd"/>
      <w:r w:rsidRPr="00102D53">
        <w:rPr>
          <w:rFonts w:ascii="Garamond" w:hAnsi="Garamond"/>
        </w:rPr>
        <w:t xml:space="preserve"> (1968) or Aldrich (1976), indicating that the small effect of </w:t>
      </w:r>
      <w:r w:rsidRPr="00102D53">
        <w:rPr>
          <w:rFonts w:ascii="Garamond" w:hAnsi="Garamond"/>
          <w:i/>
        </w:rPr>
        <w:t>P</w:t>
      </w:r>
      <w:r w:rsidRPr="00102D53">
        <w:rPr>
          <w:rFonts w:ascii="Garamond" w:hAnsi="Garamond"/>
        </w:rPr>
        <w:t xml:space="preserve"> on turnout is not simply a result of the expanded time-frame of our analysis.</w:t>
      </w:r>
    </w:p>
    <w:p w:rsidR="00B54749" w:rsidRDefault="00B54749">
      <w:pPr>
        <w:suppressAutoHyphens w:val="0"/>
        <w:spacing w:after="200" w:line="276" w:lineRule="auto"/>
        <w:rPr>
          <w:rFonts w:ascii="Garamond" w:hAnsi="Garamond"/>
        </w:rPr>
      </w:pPr>
      <w:r>
        <w:rPr>
          <w:rFonts w:ascii="Garamond" w:hAnsi="Garamond"/>
        </w:rPr>
        <w:br w:type="page"/>
      </w:r>
    </w:p>
    <w:p w:rsidR="00B54749" w:rsidRPr="00102D53" w:rsidRDefault="00B54749" w:rsidP="00B54749">
      <w:pPr>
        <w:jc w:val="center"/>
        <w:rPr>
          <w:rFonts w:ascii="Garamond" w:hAnsi="Garamond" w:cs="SFRM1200"/>
        </w:rPr>
      </w:pPr>
      <w:r w:rsidRPr="00102D53">
        <w:rPr>
          <w:rFonts w:ascii="Garamond" w:hAnsi="Garamond" w:cs="SFRM1200"/>
          <w:b/>
        </w:rPr>
        <w:lastRenderedPageBreak/>
        <w:t xml:space="preserve">Table </w:t>
      </w:r>
      <w:r>
        <w:rPr>
          <w:rFonts w:ascii="Garamond" w:hAnsi="Garamond" w:cs="SFRM1200"/>
          <w:b/>
        </w:rPr>
        <w:t>A</w:t>
      </w:r>
      <w:r w:rsidRPr="00102D53">
        <w:rPr>
          <w:rFonts w:ascii="Garamond" w:hAnsi="Garamond" w:cs="SFRM1200"/>
          <w:b/>
        </w:rPr>
        <w:t>1. Perceived Closeness and Turnout in Presidential Elections, ANES 1952-2008</w:t>
      </w:r>
    </w:p>
    <w:tbl>
      <w:tblPr>
        <w:tblpPr w:leftFromText="180" w:rightFromText="180" w:vertAnchor="text" w:tblpXSpec="center" w:tblpY="1"/>
        <w:tblOverlap w:val="never"/>
        <w:tblW w:w="0" w:type="auto"/>
        <w:tblInd w:w="-5" w:type="dxa"/>
        <w:tblLayout w:type="fixed"/>
        <w:tblLook w:val="0000" w:firstRow="0" w:lastRow="0" w:firstColumn="0" w:lastColumn="0" w:noHBand="0" w:noVBand="0"/>
      </w:tblPr>
      <w:tblGrid>
        <w:gridCol w:w="2588"/>
        <w:gridCol w:w="951"/>
        <w:gridCol w:w="951"/>
        <w:gridCol w:w="951"/>
        <w:gridCol w:w="1374"/>
      </w:tblGrid>
      <w:tr w:rsidR="00B54749" w:rsidRPr="00102D53" w:rsidTr="00783D9B">
        <w:tc>
          <w:tcPr>
            <w:tcW w:w="2588" w:type="dxa"/>
            <w:tcBorders>
              <w:top w:val="single" w:sz="12" w:space="0" w:color="auto"/>
              <w:bottom w:val="single" w:sz="12" w:space="0" w:color="auto"/>
              <w:right w:val="single" w:sz="12" w:space="0" w:color="auto"/>
            </w:tcBorders>
          </w:tcPr>
          <w:p w:rsidR="00B54749" w:rsidRPr="00102D53" w:rsidRDefault="00B54749" w:rsidP="00783D9B">
            <w:pPr>
              <w:autoSpaceDE w:val="0"/>
              <w:snapToGrid w:val="0"/>
              <w:jc w:val="center"/>
              <w:rPr>
                <w:rFonts w:ascii="Garamond" w:hAnsi="Garamond" w:cs="SFRM1200"/>
              </w:rPr>
            </w:pPr>
          </w:p>
        </w:tc>
        <w:tc>
          <w:tcPr>
            <w:tcW w:w="2853" w:type="dxa"/>
            <w:gridSpan w:val="3"/>
            <w:tcBorders>
              <w:top w:val="single" w:sz="12" w:space="0" w:color="auto"/>
              <w:left w:val="single" w:sz="12" w:space="0" w:color="auto"/>
              <w:bottom w:val="single" w:sz="12" w:space="0" w:color="auto"/>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DV = Turnout</w:t>
            </w:r>
          </w:p>
        </w:tc>
        <w:tc>
          <w:tcPr>
            <w:tcW w:w="1374" w:type="dxa"/>
            <w:tcBorders>
              <w:top w:val="single" w:sz="12" w:space="0" w:color="auto"/>
              <w:left w:val="single" w:sz="12" w:space="0" w:color="auto"/>
              <w:bottom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Turnout, t-1</w:t>
            </w:r>
          </w:p>
        </w:tc>
      </w:tr>
      <w:tr w:rsidR="00B54749" w:rsidRPr="00102D53" w:rsidTr="00783D9B">
        <w:tc>
          <w:tcPr>
            <w:tcW w:w="2588" w:type="dxa"/>
            <w:tcBorders>
              <w:top w:val="single" w:sz="12" w:space="0" w:color="auto"/>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Close</w:t>
            </w:r>
          </w:p>
        </w:tc>
        <w:tc>
          <w:tcPr>
            <w:tcW w:w="951" w:type="dxa"/>
            <w:tcBorders>
              <w:top w:val="single" w:sz="12" w:space="0" w:color="auto"/>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.071</w:t>
            </w:r>
          </w:p>
        </w:tc>
        <w:tc>
          <w:tcPr>
            <w:tcW w:w="951" w:type="dxa"/>
            <w:tcBorders>
              <w:top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.039</w:t>
            </w:r>
          </w:p>
        </w:tc>
        <w:tc>
          <w:tcPr>
            <w:tcW w:w="951" w:type="dxa"/>
            <w:tcBorders>
              <w:top w:val="single" w:sz="12" w:space="0" w:color="auto"/>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.021</w:t>
            </w:r>
          </w:p>
        </w:tc>
        <w:tc>
          <w:tcPr>
            <w:tcW w:w="1374" w:type="dxa"/>
            <w:tcBorders>
              <w:top w:val="single" w:sz="12" w:space="0" w:color="auto"/>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.067</w:t>
            </w: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(.006)**</w:t>
            </w: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(.005)**</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(.006)**</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(.006)**</w:t>
            </w: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Turnout, t-1</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.483</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.393</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(.006)**</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(.006)**</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Election Fixed Effects</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X</w:t>
            </w: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X</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X</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X</w:t>
            </w: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c>
          <w:tcPr>
            <w:tcW w:w="951" w:type="dxa"/>
          </w:tcPr>
          <w:p w:rsidR="00B54749" w:rsidRPr="00102D53" w:rsidRDefault="00B54749" w:rsidP="00783D9B">
            <w:pPr>
              <w:autoSpaceDE w:val="0"/>
              <w:snapToGrid w:val="0"/>
              <w:jc w:val="center"/>
              <w:rPr>
                <w:rFonts w:ascii="Garamond" w:hAnsi="Garamond" w:cs="SFRM1200"/>
              </w:rPr>
            </w:pP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Demographic Controls</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c>
          <w:tcPr>
            <w:tcW w:w="951" w:type="dxa"/>
          </w:tcPr>
          <w:p w:rsidR="00B54749" w:rsidRPr="00102D53" w:rsidRDefault="00B54749" w:rsidP="00783D9B">
            <w:pPr>
              <w:autoSpaceDE w:val="0"/>
              <w:snapToGrid w:val="0"/>
              <w:jc w:val="center"/>
              <w:rPr>
                <w:rFonts w:ascii="Garamond" w:hAnsi="Garamond" w:cs="SFRM1200"/>
              </w:rPr>
            </w:pP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X</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c>
          <w:tcPr>
            <w:tcW w:w="951" w:type="dxa"/>
          </w:tcPr>
          <w:p w:rsidR="00B54749" w:rsidRPr="00102D53" w:rsidRDefault="00B54749" w:rsidP="00783D9B">
            <w:pPr>
              <w:autoSpaceDE w:val="0"/>
              <w:snapToGrid w:val="0"/>
              <w:jc w:val="center"/>
              <w:rPr>
                <w:rFonts w:ascii="Garamond" w:hAnsi="Garamond" w:cs="SFRM1200"/>
              </w:rPr>
            </w:pP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N-Observations</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27,725</w:t>
            </w: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27,725</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25,429</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27,725</w:t>
            </w: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N-Elections</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15</w:t>
            </w: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15</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15</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15</w:t>
            </w:r>
          </w:p>
        </w:tc>
      </w:tr>
      <w:tr w:rsidR="00B54749" w:rsidRPr="00102D53" w:rsidTr="00783D9B">
        <w:tc>
          <w:tcPr>
            <w:tcW w:w="2588" w:type="dxa"/>
            <w:tcBorders>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R-squared</w:t>
            </w:r>
          </w:p>
        </w:tc>
        <w:tc>
          <w:tcPr>
            <w:tcW w:w="951"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.005</w:t>
            </w:r>
          </w:p>
        </w:tc>
        <w:tc>
          <w:tcPr>
            <w:tcW w:w="951" w:type="dxa"/>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.217</w:t>
            </w:r>
          </w:p>
        </w:tc>
        <w:tc>
          <w:tcPr>
            <w:tcW w:w="951" w:type="dxa"/>
            <w:tcBorders>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.272</w:t>
            </w:r>
          </w:p>
        </w:tc>
        <w:tc>
          <w:tcPr>
            <w:tcW w:w="1374" w:type="dxa"/>
            <w:tcBorders>
              <w:lef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.005</w:t>
            </w:r>
          </w:p>
        </w:tc>
      </w:tr>
      <w:tr w:rsidR="00B54749" w:rsidRPr="00102D53" w:rsidTr="00783D9B">
        <w:tc>
          <w:tcPr>
            <w:tcW w:w="2588" w:type="dxa"/>
            <w:tcBorders>
              <w:bottom w:val="single" w:sz="12" w:space="0" w:color="auto"/>
              <w:right w:val="single" w:sz="12" w:space="0" w:color="auto"/>
            </w:tcBorders>
          </w:tcPr>
          <w:p w:rsidR="00B54749" w:rsidRPr="00102D53" w:rsidRDefault="00B54749" w:rsidP="00783D9B">
            <w:pPr>
              <w:autoSpaceDE w:val="0"/>
              <w:snapToGrid w:val="0"/>
              <w:rPr>
                <w:rFonts w:ascii="Garamond" w:hAnsi="Garamond" w:cs="SFRM1200"/>
              </w:rPr>
            </w:pPr>
            <w:r w:rsidRPr="00102D53">
              <w:rPr>
                <w:rFonts w:ascii="Garamond" w:hAnsi="Garamond" w:cs="SFRM1200"/>
              </w:rPr>
              <w:t>SER</w:t>
            </w:r>
          </w:p>
        </w:tc>
        <w:tc>
          <w:tcPr>
            <w:tcW w:w="951" w:type="dxa"/>
            <w:tcBorders>
              <w:left w:val="single" w:sz="12" w:space="0" w:color="auto"/>
              <w:bottom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.47</w:t>
            </w:r>
          </w:p>
        </w:tc>
        <w:tc>
          <w:tcPr>
            <w:tcW w:w="951" w:type="dxa"/>
            <w:tcBorders>
              <w:bottom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.42</w:t>
            </w:r>
          </w:p>
        </w:tc>
        <w:tc>
          <w:tcPr>
            <w:tcW w:w="951" w:type="dxa"/>
            <w:tcBorders>
              <w:bottom w:val="single" w:sz="12" w:space="0" w:color="auto"/>
              <w:right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.40</w:t>
            </w:r>
          </w:p>
        </w:tc>
        <w:tc>
          <w:tcPr>
            <w:tcW w:w="1374" w:type="dxa"/>
            <w:tcBorders>
              <w:left w:val="single" w:sz="12" w:space="0" w:color="auto"/>
              <w:bottom w:val="single" w:sz="12" w:space="0" w:color="auto"/>
            </w:tcBorders>
          </w:tcPr>
          <w:p w:rsidR="00B54749" w:rsidRPr="00102D53" w:rsidRDefault="00B54749" w:rsidP="00783D9B">
            <w:pPr>
              <w:autoSpaceDE w:val="0"/>
              <w:snapToGrid w:val="0"/>
              <w:jc w:val="center"/>
              <w:rPr>
                <w:rFonts w:ascii="Garamond" w:hAnsi="Garamond" w:cs="SFRM1200"/>
              </w:rPr>
            </w:pPr>
            <w:r w:rsidRPr="00102D53">
              <w:rPr>
                <w:rFonts w:ascii="Garamond" w:hAnsi="Garamond" w:cs="SFRM1200"/>
              </w:rPr>
              <w:t>.45</w:t>
            </w:r>
          </w:p>
        </w:tc>
      </w:tr>
    </w:tbl>
    <w:p w:rsidR="00B54749" w:rsidRPr="00102D53" w:rsidRDefault="00B54749" w:rsidP="00B54749">
      <w:pPr>
        <w:autoSpaceDE w:val="0"/>
        <w:jc w:val="both"/>
        <w:rPr>
          <w:rFonts w:ascii="Garamond" w:hAnsi="Garamond" w:cs="SFRM1200"/>
          <w:i/>
        </w:rPr>
      </w:pPr>
      <w:r w:rsidRPr="00102D53">
        <w:rPr>
          <w:rFonts w:ascii="Garamond" w:hAnsi="Garamond" w:cs="SFRM1200"/>
        </w:rPr>
        <w:br w:type="textWrapping" w:clear="all"/>
      </w:r>
      <w:r w:rsidRPr="00102D53">
        <w:rPr>
          <w:rFonts w:ascii="Garamond" w:hAnsi="Garamond" w:cs="SFRM1200"/>
          <w:i/>
        </w:rPr>
        <w:t>Standard errors in parentheses; ** significant at 1%</w:t>
      </w:r>
    </w:p>
    <w:p w:rsidR="00B54749" w:rsidRPr="00102D53" w:rsidRDefault="00B54749" w:rsidP="00294CC6">
      <w:pPr>
        <w:jc w:val="both"/>
        <w:rPr>
          <w:rFonts w:ascii="Garamond" w:hAnsi="Garamond"/>
        </w:rPr>
      </w:pPr>
      <w:r w:rsidRPr="00102D53">
        <w:rPr>
          <w:rFonts w:ascii="Garamond" w:hAnsi="Garamond"/>
          <w:i/>
        </w:rPr>
        <w:t>Each OLS regression includes all ANES respondents in presidential election years from 1952 to 2008.</w:t>
      </w:r>
      <w:r w:rsidR="00C3741F">
        <w:rPr>
          <w:rFonts w:ascii="Garamond" w:hAnsi="Garamond"/>
          <w:i/>
        </w:rPr>
        <w:t xml:space="preserve"> </w:t>
      </w:r>
      <w:r w:rsidRPr="00102D53">
        <w:rPr>
          <w:rFonts w:ascii="Garamond" w:hAnsi="Garamond"/>
          <w:i/>
        </w:rPr>
        <w:t>Close is a dummy variable indicating whether the respondent perceives that the upcoming election will be close.</w:t>
      </w:r>
      <w:r w:rsidR="00C3741F">
        <w:rPr>
          <w:rFonts w:ascii="Garamond" w:hAnsi="Garamond"/>
          <w:i/>
        </w:rPr>
        <w:t xml:space="preserve"> </w:t>
      </w:r>
      <w:r w:rsidRPr="00102D53">
        <w:rPr>
          <w:rFonts w:ascii="Garamond" w:hAnsi="Garamond"/>
          <w:i/>
        </w:rPr>
        <w:t>In the first three models, the dependent variable is reported turnout in that presidential election, and in the last model, the dependent variable is reported turnout in the previous presidential election.</w:t>
      </w:r>
      <w:r w:rsidR="00C3741F">
        <w:rPr>
          <w:rFonts w:ascii="Garamond" w:hAnsi="Garamond"/>
          <w:i/>
        </w:rPr>
        <w:t xml:space="preserve"> </w:t>
      </w:r>
      <w:r w:rsidRPr="00102D53">
        <w:rPr>
          <w:rFonts w:ascii="Garamond" w:hAnsi="Garamond"/>
          <w:i/>
        </w:rPr>
        <w:t>Demographic controls include white racial identity, gender, age, squared age, income, education, church attendance, party identity, and political knowledge.</w:t>
      </w:r>
    </w:p>
    <w:p w:rsidR="00B54749" w:rsidRDefault="00B54749" w:rsidP="00B54749">
      <w:pPr>
        <w:spacing w:line="480" w:lineRule="auto"/>
        <w:rPr>
          <w:rFonts w:ascii="Garamond" w:hAnsi="Garamond"/>
        </w:rPr>
      </w:pPr>
    </w:p>
    <w:p w:rsidR="00B54749" w:rsidRPr="00B54749" w:rsidRDefault="00B54749" w:rsidP="00121C30">
      <w:pPr>
        <w:spacing w:line="480" w:lineRule="auto"/>
        <w:jc w:val="center"/>
        <w:rPr>
          <w:rFonts w:ascii="Garamond" w:hAnsi="Garamond"/>
        </w:rPr>
      </w:pPr>
    </w:p>
    <w:p w:rsidR="00B54749" w:rsidRDefault="00B54749">
      <w:pPr>
        <w:suppressAutoHyphens w:val="0"/>
        <w:spacing w:after="200" w:line="276" w:lineRule="auto"/>
        <w:rPr>
          <w:rFonts w:ascii="Garamond" w:hAnsi="Garamond"/>
          <w:b/>
        </w:rPr>
      </w:pPr>
      <w:r>
        <w:rPr>
          <w:rFonts w:ascii="Garamond" w:hAnsi="Garamond"/>
          <w:b/>
        </w:rPr>
        <w:br w:type="page"/>
      </w:r>
    </w:p>
    <w:p w:rsidR="002E5A32" w:rsidRDefault="002E5A32" w:rsidP="00294CC6">
      <w:pPr>
        <w:spacing w:line="480" w:lineRule="auto"/>
        <w:jc w:val="both"/>
        <w:rPr>
          <w:rFonts w:ascii="Garamond" w:hAnsi="Garamond"/>
          <w:b/>
        </w:rPr>
      </w:pPr>
      <w:r>
        <w:rPr>
          <w:rFonts w:ascii="Garamond" w:hAnsi="Garamond"/>
          <w:b/>
        </w:rPr>
        <w:lastRenderedPageBreak/>
        <w:t>Voter Data</w:t>
      </w:r>
    </w:p>
    <w:p w:rsidR="002E5A32" w:rsidRDefault="002E5A32" w:rsidP="00573B36">
      <w:pPr>
        <w:spacing w:line="480" w:lineRule="auto"/>
        <w:ind w:firstLine="720"/>
        <w:jc w:val="both"/>
        <w:rPr>
          <w:rFonts w:ascii="Garamond" w:hAnsi="Garamond"/>
        </w:rPr>
      </w:pPr>
      <w:r w:rsidRPr="00102D53">
        <w:rPr>
          <w:rFonts w:ascii="Garamond" w:hAnsi="Garamond"/>
        </w:rPr>
        <w:t xml:space="preserve">We obtained the list of registered voters in the district and their phone numbers from </w:t>
      </w:r>
      <w:proofErr w:type="spellStart"/>
      <w:r w:rsidRPr="00102D53">
        <w:rPr>
          <w:rFonts w:ascii="Garamond" w:hAnsi="Garamond"/>
        </w:rPr>
        <w:t>Catalist</w:t>
      </w:r>
      <w:proofErr w:type="spellEnd"/>
      <w:r w:rsidRPr="00102D53">
        <w:rPr>
          <w:rFonts w:ascii="Garamond" w:hAnsi="Garamond"/>
        </w:rPr>
        <w:t>, a for-profit political data vendor.</w:t>
      </w:r>
      <w:r w:rsidR="00C3741F">
        <w:rPr>
          <w:rFonts w:ascii="Garamond" w:hAnsi="Garamond"/>
        </w:rPr>
        <w:t xml:space="preserve"> </w:t>
      </w:r>
      <w:proofErr w:type="spellStart"/>
      <w:r w:rsidRPr="00102D53">
        <w:rPr>
          <w:rFonts w:ascii="Garamond" w:hAnsi="Garamond"/>
        </w:rPr>
        <w:t>Catalist</w:t>
      </w:r>
      <w:proofErr w:type="spellEnd"/>
      <w:r w:rsidRPr="00102D53">
        <w:rPr>
          <w:rFonts w:ascii="Garamond" w:hAnsi="Garamond"/>
        </w:rPr>
        <w:t xml:space="preserve"> provided us with 19,327 registered voters in the district</w:t>
      </w:r>
      <w:r>
        <w:rPr>
          <w:rFonts w:ascii="Garamond" w:hAnsi="Garamond"/>
        </w:rPr>
        <w:t xml:space="preserve"> connected with 9,318 unique phone numbers.</w:t>
      </w:r>
      <w:r w:rsidR="00C3741F">
        <w:rPr>
          <w:rFonts w:ascii="Garamond" w:hAnsi="Garamond"/>
        </w:rPr>
        <w:t xml:space="preserve"> </w:t>
      </w:r>
      <w:r w:rsidRPr="00102D53">
        <w:rPr>
          <w:rFonts w:ascii="Garamond" w:hAnsi="Garamond"/>
        </w:rPr>
        <w:t xml:space="preserve">To </w:t>
      </w:r>
      <w:r>
        <w:rPr>
          <w:rFonts w:ascii="Garamond" w:hAnsi="Garamond"/>
        </w:rPr>
        <w:t xml:space="preserve">verify the </w:t>
      </w:r>
      <w:r w:rsidRPr="00102D53">
        <w:rPr>
          <w:rFonts w:ascii="Garamond" w:hAnsi="Garamond"/>
        </w:rPr>
        <w:t>quality of numbers</w:t>
      </w:r>
      <w:r>
        <w:rPr>
          <w:rFonts w:ascii="Garamond" w:hAnsi="Garamond"/>
        </w:rPr>
        <w:t xml:space="preserve">, we used </w:t>
      </w:r>
      <w:r w:rsidRPr="00102D53">
        <w:rPr>
          <w:rFonts w:ascii="Garamond" w:hAnsi="Garamond"/>
        </w:rPr>
        <w:t xml:space="preserve">a </w:t>
      </w:r>
      <w:proofErr w:type="spellStart"/>
      <w:r w:rsidRPr="00102D53">
        <w:rPr>
          <w:rFonts w:ascii="Garamond" w:hAnsi="Garamond"/>
        </w:rPr>
        <w:t>robo</w:t>
      </w:r>
      <w:proofErr w:type="spellEnd"/>
      <w:r w:rsidRPr="00102D53">
        <w:rPr>
          <w:rFonts w:ascii="Garamond" w:hAnsi="Garamond"/>
        </w:rPr>
        <w:t>-call service</w:t>
      </w:r>
      <w:r>
        <w:rPr>
          <w:rFonts w:ascii="Garamond" w:hAnsi="Garamond"/>
        </w:rPr>
        <w:t xml:space="preserve"> and</w:t>
      </w:r>
      <w:r w:rsidRPr="00102D53">
        <w:rPr>
          <w:rFonts w:ascii="Garamond" w:hAnsi="Garamond"/>
        </w:rPr>
        <w:t xml:space="preserve"> remove</w:t>
      </w:r>
      <w:r>
        <w:rPr>
          <w:rFonts w:ascii="Garamond" w:hAnsi="Garamond"/>
        </w:rPr>
        <w:t>d 84</w:t>
      </w:r>
      <w:r w:rsidRPr="00102D53">
        <w:rPr>
          <w:rFonts w:ascii="Garamond" w:hAnsi="Garamond"/>
        </w:rPr>
        <w:t xml:space="preserve"> invalid phone numbers from our list.</w:t>
      </w:r>
      <w:r w:rsidR="00C3741F">
        <w:rPr>
          <w:rFonts w:ascii="Garamond" w:hAnsi="Garamond"/>
        </w:rPr>
        <w:t xml:space="preserve"> </w:t>
      </w:r>
      <w:r w:rsidRPr="00102D53">
        <w:rPr>
          <w:rFonts w:ascii="Garamond" w:hAnsi="Garamond"/>
        </w:rPr>
        <w:t>Then, we removed 369 phone numbers that had more than four registered voters to make it easier for our callers to identify the recipient of the call.</w:t>
      </w:r>
      <w:r w:rsidR="00C3741F">
        <w:rPr>
          <w:rFonts w:ascii="Garamond" w:hAnsi="Garamond"/>
        </w:rPr>
        <w:t xml:space="preserve"> </w:t>
      </w:r>
      <w:r w:rsidRPr="00102D53">
        <w:rPr>
          <w:rFonts w:ascii="Garamond" w:hAnsi="Garamond"/>
        </w:rPr>
        <w:t>This strategy of removing large households has been previously employed to improve both the administration and the interpretation of field experiments (</w:t>
      </w:r>
      <w:r>
        <w:rPr>
          <w:rFonts w:ascii="Garamond" w:hAnsi="Garamond"/>
        </w:rPr>
        <w:t xml:space="preserve">e.g., </w:t>
      </w:r>
      <w:r w:rsidRPr="00102D53">
        <w:rPr>
          <w:rFonts w:ascii="Garamond" w:hAnsi="Garamond"/>
        </w:rPr>
        <w:t>Nickerson 2008; Huber, Gerber, and Washington 2010; Nickerson and Rogers 2010).</w:t>
      </w:r>
      <w:r w:rsidR="00C3741F">
        <w:rPr>
          <w:rFonts w:ascii="Garamond" w:hAnsi="Garamond"/>
        </w:rPr>
        <w:t xml:space="preserve"> </w:t>
      </w:r>
    </w:p>
    <w:p w:rsidR="002E5A32" w:rsidRDefault="002E5A32" w:rsidP="00294CC6">
      <w:pPr>
        <w:spacing w:line="480" w:lineRule="auto"/>
        <w:jc w:val="both"/>
        <w:rPr>
          <w:rFonts w:ascii="Garamond" w:hAnsi="Garamond"/>
          <w:b/>
        </w:rPr>
      </w:pPr>
      <w:r>
        <w:rPr>
          <w:rFonts w:ascii="Garamond" w:hAnsi="Garamond"/>
        </w:rPr>
        <w:tab/>
        <w:t>After the election, l</w:t>
      </w:r>
      <w:r w:rsidRPr="00102D53">
        <w:rPr>
          <w:rFonts w:ascii="Garamond" w:hAnsi="Garamond"/>
        </w:rPr>
        <w:t>ists of special election</w:t>
      </w:r>
      <w:r>
        <w:rPr>
          <w:rFonts w:ascii="Garamond" w:hAnsi="Garamond"/>
        </w:rPr>
        <w:t xml:space="preserve"> voters were obtained from the five</w:t>
      </w:r>
      <w:r w:rsidRPr="00102D53">
        <w:rPr>
          <w:rFonts w:ascii="Garamond" w:hAnsi="Garamond"/>
        </w:rPr>
        <w:t xml:space="preserve"> different town clerks in the district and matched to the list of treated individuals and</w:t>
      </w:r>
      <w:r>
        <w:rPr>
          <w:rFonts w:ascii="Garamond" w:hAnsi="Garamond"/>
        </w:rPr>
        <w:t xml:space="preserve"> treated phone numbers.</w:t>
      </w:r>
      <w:r w:rsidR="00C3741F">
        <w:rPr>
          <w:rFonts w:ascii="Garamond" w:hAnsi="Garamond"/>
        </w:rPr>
        <w:t xml:space="preserve"> </w:t>
      </w:r>
      <w:r>
        <w:rPr>
          <w:rFonts w:ascii="Garamond" w:hAnsi="Garamond"/>
        </w:rPr>
        <w:t>97 percent of the</w:t>
      </w:r>
      <w:r w:rsidRPr="00102D53">
        <w:rPr>
          <w:rFonts w:ascii="Garamond" w:hAnsi="Garamond"/>
        </w:rPr>
        <w:t xml:space="preserve"> subjects were successfully matched to the towns’ records of registered voters.</w:t>
      </w:r>
      <w:r w:rsidR="00C3741F">
        <w:rPr>
          <w:rFonts w:ascii="Garamond" w:hAnsi="Garamond"/>
        </w:rPr>
        <w:t xml:space="preserve"> </w:t>
      </w:r>
      <w:r w:rsidRPr="00102D53">
        <w:rPr>
          <w:rFonts w:ascii="Garamond" w:hAnsi="Garamond"/>
        </w:rPr>
        <w:t>Importantly, rates of attrition are the same for voters in both treatment groups.</w:t>
      </w:r>
    </w:p>
    <w:p w:rsidR="00A46F51" w:rsidRDefault="00A46F51" w:rsidP="00294CC6">
      <w:pPr>
        <w:spacing w:line="480" w:lineRule="auto"/>
        <w:jc w:val="both"/>
        <w:rPr>
          <w:rFonts w:ascii="Garamond" w:hAnsi="Garamond"/>
          <w:b/>
        </w:rPr>
      </w:pPr>
    </w:p>
    <w:p w:rsidR="00121C30" w:rsidRPr="00102D53" w:rsidRDefault="00121C30" w:rsidP="00294CC6">
      <w:pPr>
        <w:spacing w:line="480" w:lineRule="auto"/>
        <w:jc w:val="both"/>
        <w:rPr>
          <w:rFonts w:ascii="Garamond" w:hAnsi="Garamond"/>
          <w:b/>
        </w:rPr>
      </w:pPr>
      <w:r w:rsidRPr="00102D53">
        <w:rPr>
          <w:rFonts w:ascii="Garamond" w:hAnsi="Garamond"/>
          <w:b/>
        </w:rPr>
        <w:t>Randomization Procedures</w:t>
      </w:r>
    </w:p>
    <w:p w:rsidR="00121C30" w:rsidRPr="00102D53" w:rsidRDefault="00121C30" w:rsidP="00294CC6">
      <w:pPr>
        <w:spacing w:line="480" w:lineRule="auto"/>
        <w:jc w:val="both"/>
        <w:rPr>
          <w:rFonts w:ascii="Garamond" w:hAnsi="Garamond"/>
        </w:rPr>
      </w:pPr>
      <w:r w:rsidRPr="00102D53">
        <w:rPr>
          <w:rFonts w:ascii="Garamond" w:hAnsi="Garamond"/>
        </w:rPr>
        <w:tab/>
        <w:t>In order to ensure greater balance between treatment groups and achieve greater precision with our subsequent estimates, we first stratified the population of phone numbers and then randomly assigned treatment conditions within each stratum.</w:t>
      </w:r>
      <w:r w:rsidR="00C3741F">
        <w:rPr>
          <w:rFonts w:ascii="Garamond" w:hAnsi="Garamond"/>
        </w:rPr>
        <w:t xml:space="preserve"> </w:t>
      </w:r>
      <w:r w:rsidRPr="00102D53">
        <w:rPr>
          <w:rFonts w:ascii="Garamond" w:hAnsi="Garamond"/>
        </w:rPr>
        <w:t>Based on previous literature, previous turnout would likely be a good predictor of turnout in the special election.</w:t>
      </w:r>
      <w:r w:rsidR="00C3741F">
        <w:rPr>
          <w:rFonts w:ascii="Garamond" w:hAnsi="Garamond"/>
        </w:rPr>
        <w:t xml:space="preserve"> </w:t>
      </w:r>
      <w:r w:rsidRPr="00102D53">
        <w:rPr>
          <w:rFonts w:ascii="Garamond" w:hAnsi="Garamond"/>
        </w:rPr>
        <w:t>Therefore, we divided phone numbers into three categories: (1) those where at least one person had voted in a low-salience special election in 2009, (2) those where at least one person had voted in the 2010 general election but no one voted in 2009, and (3) numbers where nobody voted in either election.</w:t>
      </w:r>
      <w:r w:rsidR="00C3741F">
        <w:rPr>
          <w:rFonts w:ascii="Garamond" w:hAnsi="Garamond"/>
        </w:rPr>
        <w:t xml:space="preserve"> </w:t>
      </w:r>
    </w:p>
    <w:p w:rsidR="00121C30" w:rsidRPr="00102D53" w:rsidRDefault="00121C30" w:rsidP="00294CC6">
      <w:pPr>
        <w:spacing w:line="480" w:lineRule="auto"/>
        <w:jc w:val="both"/>
        <w:rPr>
          <w:rFonts w:ascii="Garamond" w:hAnsi="Garamond"/>
        </w:rPr>
      </w:pPr>
      <w:r w:rsidRPr="00102D53">
        <w:rPr>
          <w:rFonts w:ascii="Garamond" w:hAnsi="Garamond"/>
        </w:rPr>
        <w:lastRenderedPageBreak/>
        <w:tab/>
        <w:t>Next we divided phone numbers into three additional categories depending on the number of voters listed: (1) 1 registered voter at that number, (2) 2 registered voters, and (3) 3 or 4 voters.</w:t>
      </w:r>
      <w:r w:rsidR="00C3741F">
        <w:rPr>
          <w:rFonts w:ascii="Garamond" w:hAnsi="Garamond"/>
        </w:rPr>
        <w:t xml:space="preserve"> </w:t>
      </w:r>
      <w:r w:rsidRPr="00102D53">
        <w:rPr>
          <w:rFonts w:ascii="Garamond" w:hAnsi="Garamond"/>
        </w:rPr>
        <w:t>Remember that we omitted numbers with more than four voters.</w:t>
      </w:r>
    </w:p>
    <w:p w:rsidR="00121C30" w:rsidRPr="00102D53" w:rsidRDefault="00121C30" w:rsidP="00294CC6">
      <w:pPr>
        <w:spacing w:line="480" w:lineRule="auto"/>
        <w:jc w:val="both"/>
        <w:rPr>
          <w:rFonts w:ascii="Garamond" w:hAnsi="Garamond"/>
        </w:rPr>
      </w:pPr>
      <w:r w:rsidRPr="00102D53">
        <w:rPr>
          <w:rFonts w:ascii="Garamond" w:hAnsi="Garamond"/>
        </w:rPr>
        <w:tab/>
        <w:t>Then, we decided that town of residence may be a good predictor of turnout in the special election.</w:t>
      </w:r>
      <w:r w:rsidR="00C3741F">
        <w:rPr>
          <w:rFonts w:ascii="Garamond" w:hAnsi="Garamond"/>
        </w:rPr>
        <w:t xml:space="preserve"> </w:t>
      </w:r>
      <w:r w:rsidRPr="00102D53">
        <w:rPr>
          <w:rFonts w:ascii="Garamond" w:hAnsi="Garamond"/>
        </w:rPr>
        <w:t>In this district, roughly one-third of the voters live in Charlton, one-third live in Southbridge, and one-third are distributed across three smaller towns, East Brookfield, Oxford, and Spencer.</w:t>
      </w:r>
      <w:r w:rsidR="00C3741F">
        <w:rPr>
          <w:rFonts w:ascii="Garamond" w:hAnsi="Garamond"/>
        </w:rPr>
        <w:t xml:space="preserve"> </w:t>
      </w:r>
      <w:r w:rsidRPr="00102D53">
        <w:rPr>
          <w:rFonts w:ascii="Garamond" w:hAnsi="Garamond"/>
        </w:rPr>
        <w:t>We divided the phone numbers into three categories accordingly.</w:t>
      </w:r>
      <w:r w:rsidR="00C3741F">
        <w:rPr>
          <w:rFonts w:ascii="Garamond" w:hAnsi="Garamond"/>
        </w:rPr>
        <w:t xml:space="preserve"> </w:t>
      </w:r>
      <w:r w:rsidRPr="00102D53">
        <w:rPr>
          <w:rFonts w:ascii="Garamond" w:hAnsi="Garamond"/>
        </w:rPr>
        <w:t xml:space="preserve">Post-election interviews with the candidates revealed that their voter contact strategies were heavily influenced by town-based geographic strategy (author interviews, July and August 2011), so stratifying on town was likely a good decision on our part. </w:t>
      </w:r>
    </w:p>
    <w:p w:rsidR="00121C30" w:rsidRPr="00102D53" w:rsidRDefault="00121C30" w:rsidP="00294CC6">
      <w:pPr>
        <w:spacing w:line="480" w:lineRule="auto"/>
        <w:jc w:val="both"/>
        <w:rPr>
          <w:rFonts w:ascii="Garamond" w:hAnsi="Garamond"/>
        </w:rPr>
      </w:pPr>
      <w:r w:rsidRPr="00102D53">
        <w:rPr>
          <w:rFonts w:ascii="Garamond" w:hAnsi="Garamond"/>
        </w:rPr>
        <w:tab/>
        <w:t xml:space="preserve">Lastly, we stratified based on our data collected from </w:t>
      </w:r>
      <w:proofErr w:type="spellStart"/>
      <w:r w:rsidRPr="00102D53">
        <w:rPr>
          <w:rFonts w:ascii="Garamond" w:hAnsi="Garamond"/>
        </w:rPr>
        <w:t>robo</w:t>
      </w:r>
      <w:proofErr w:type="spellEnd"/>
      <w:r w:rsidRPr="00102D53">
        <w:rPr>
          <w:rFonts w:ascii="Garamond" w:hAnsi="Garamond"/>
        </w:rPr>
        <w:t>-calling.</w:t>
      </w:r>
      <w:r w:rsidR="00C3741F">
        <w:rPr>
          <w:rFonts w:ascii="Garamond" w:hAnsi="Garamond"/>
        </w:rPr>
        <w:t xml:space="preserve"> </w:t>
      </w:r>
      <w:r w:rsidRPr="00102D53">
        <w:rPr>
          <w:rFonts w:ascii="Garamond" w:hAnsi="Garamond"/>
        </w:rPr>
        <w:t>To ensure that similar numbers of calls in each condition are answered, we separated the numbers where a live person had answered the phone from all others.</w:t>
      </w:r>
    </w:p>
    <w:p w:rsidR="00121C30" w:rsidRPr="00102D53" w:rsidRDefault="00121C30" w:rsidP="00294CC6">
      <w:pPr>
        <w:spacing w:line="480" w:lineRule="auto"/>
        <w:jc w:val="both"/>
        <w:rPr>
          <w:rFonts w:ascii="Garamond" w:hAnsi="Garamond"/>
        </w:rPr>
      </w:pPr>
      <w:r w:rsidRPr="00102D53">
        <w:rPr>
          <w:rFonts w:ascii="Garamond" w:hAnsi="Garamond"/>
          <w:b/>
        </w:rPr>
        <w:tab/>
      </w:r>
      <w:r w:rsidRPr="00102D53">
        <w:rPr>
          <w:rFonts w:ascii="Garamond" w:hAnsi="Garamond"/>
        </w:rPr>
        <w:t xml:space="preserve">As a result of these categorizations, an individual phone number would fall into one of 54 unique categories (i.e. 1 registered voter, voted in 2010, lives in Southbridge, failed to answer </w:t>
      </w:r>
      <w:proofErr w:type="spellStart"/>
      <w:r w:rsidRPr="00102D53">
        <w:rPr>
          <w:rFonts w:ascii="Garamond" w:hAnsi="Garamond"/>
        </w:rPr>
        <w:t>robo</w:t>
      </w:r>
      <w:proofErr w:type="spellEnd"/>
      <w:r w:rsidRPr="00102D53">
        <w:rPr>
          <w:rFonts w:ascii="Garamond" w:hAnsi="Garamond"/>
        </w:rPr>
        <w:t>-call).</w:t>
      </w:r>
      <w:r w:rsidR="00C3741F">
        <w:rPr>
          <w:rFonts w:ascii="Garamond" w:hAnsi="Garamond"/>
        </w:rPr>
        <w:t xml:space="preserve"> </w:t>
      </w:r>
      <w:r w:rsidRPr="00102D53">
        <w:rPr>
          <w:rFonts w:ascii="Garamond" w:hAnsi="Garamond"/>
        </w:rPr>
        <w:t>Since we expected many calls to be unanswered, we wanted to ensure that each stratum had at least 100 phone numbers.</w:t>
      </w:r>
      <w:r w:rsidR="00C3741F">
        <w:rPr>
          <w:rFonts w:ascii="Garamond" w:hAnsi="Garamond"/>
        </w:rPr>
        <w:t xml:space="preserve"> </w:t>
      </w:r>
      <w:r w:rsidRPr="00102D53">
        <w:rPr>
          <w:rFonts w:ascii="Garamond" w:hAnsi="Garamond"/>
        </w:rPr>
        <w:t>Most of the 54 categories had more, but we combined some of the smaller categories to meet this criterion.</w:t>
      </w:r>
      <w:r w:rsidR="00C3741F">
        <w:rPr>
          <w:rFonts w:ascii="Garamond" w:hAnsi="Garamond"/>
        </w:rPr>
        <w:t xml:space="preserve"> </w:t>
      </w:r>
      <w:r w:rsidRPr="00102D53">
        <w:rPr>
          <w:rFonts w:ascii="Garamond" w:hAnsi="Garamond"/>
        </w:rPr>
        <w:t xml:space="preserve">In 9 cases, we combined categories that shared everything in common except their answers to the </w:t>
      </w:r>
      <w:proofErr w:type="spellStart"/>
      <w:r w:rsidRPr="00102D53">
        <w:rPr>
          <w:rFonts w:ascii="Garamond" w:hAnsi="Garamond"/>
        </w:rPr>
        <w:t>robo</w:t>
      </w:r>
      <w:proofErr w:type="spellEnd"/>
      <w:r w:rsidRPr="00102D53">
        <w:rPr>
          <w:rFonts w:ascii="Garamond" w:hAnsi="Garamond"/>
        </w:rPr>
        <w:t>-call.</w:t>
      </w:r>
      <w:r w:rsidR="00C3741F">
        <w:rPr>
          <w:rFonts w:ascii="Garamond" w:hAnsi="Garamond"/>
        </w:rPr>
        <w:t xml:space="preserve"> </w:t>
      </w:r>
      <w:r w:rsidRPr="00102D53">
        <w:rPr>
          <w:rFonts w:ascii="Garamond" w:hAnsi="Garamond"/>
        </w:rPr>
        <w:t>In 1 additional case, we also combined categories from different towns.</w:t>
      </w:r>
      <w:r w:rsidR="00C3741F">
        <w:rPr>
          <w:rFonts w:ascii="Garamond" w:hAnsi="Garamond"/>
        </w:rPr>
        <w:t xml:space="preserve"> </w:t>
      </w:r>
      <w:r w:rsidRPr="00102D53">
        <w:rPr>
          <w:rFonts w:ascii="Garamond" w:hAnsi="Garamond"/>
        </w:rPr>
        <w:t>This resulted in 44 unique strata with at least 100 phone numbers.</w:t>
      </w:r>
      <w:r w:rsidR="00C3741F">
        <w:rPr>
          <w:rFonts w:ascii="Garamond" w:hAnsi="Garamond"/>
        </w:rPr>
        <w:t xml:space="preserve"> </w:t>
      </w:r>
      <w:r w:rsidRPr="00102D53">
        <w:rPr>
          <w:rFonts w:ascii="Garamond" w:hAnsi="Garamond"/>
        </w:rPr>
        <w:t>Within each strata, we randomly assigned one-third to the reminder condition, one-third to the pivotal condition, one-thirtieth to the survey condition, and the remainder to the no contact condition; always rounding to the nearest integer when necessary.</w:t>
      </w:r>
      <w:r w:rsidR="00C3741F">
        <w:rPr>
          <w:rFonts w:ascii="Garamond" w:hAnsi="Garamond"/>
        </w:rPr>
        <w:t xml:space="preserve"> </w:t>
      </w:r>
    </w:p>
    <w:p w:rsidR="005B172D" w:rsidRDefault="00121C30" w:rsidP="00294CC6">
      <w:pPr>
        <w:spacing w:line="480" w:lineRule="auto"/>
        <w:jc w:val="both"/>
        <w:rPr>
          <w:rFonts w:ascii="Garamond" w:hAnsi="Garamond"/>
        </w:rPr>
      </w:pPr>
      <w:r w:rsidRPr="00102D53">
        <w:rPr>
          <w:rFonts w:ascii="Garamond" w:hAnsi="Garamond"/>
        </w:rPr>
        <w:lastRenderedPageBreak/>
        <w:tab/>
        <w:t>This procedure generates near-perfect balance across previous turnout, town, household size, and propensity to answer the phone.</w:t>
      </w:r>
      <w:r w:rsidR="00C3741F">
        <w:rPr>
          <w:rFonts w:ascii="Garamond" w:hAnsi="Garamond"/>
        </w:rPr>
        <w:t xml:space="preserve"> </w:t>
      </w:r>
      <w:r w:rsidRPr="00102D53">
        <w:rPr>
          <w:rFonts w:ascii="Garamond" w:hAnsi="Garamond"/>
        </w:rPr>
        <w:t>Moreover, random assignment guarantees balance over all observable and unobservable pre-treatment characteristics in expectation.</w:t>
      </w:r>
      <w:r w:rsidR="00C3741F">
        <w:rPr>
          <w:rFonts w:ascii="Garamond" w:hAnsi="Garamond"/>
        </w:rPr>
        <w:t xml:space="preserve"> </w:t>
      </w:r>
      <w:r w:rsidRPr="00102D53">
        <w:rPr>
          <w:rFonts w:ascii="Garamond" w:hAnsi="Garamond"/>
        </w:rPr>
        <w:t>Nonetheless, there could be slight imbalances by chance between conditions over other variables of interest.</w:t>
      </w:r>
      <w:r w:rsidR="00C3741F">
        <w:rPr>
          <w:rFonts w:ascii="Garamond" w:hAnsi="Garamond"/>
        </w:rPr>
        <w:t xml:space="preserve"> </w:t>
      </w:r>
      <w:r w:rsidRPr="00102D53">
        <w:rPr>
          <w:rFonts w:ascii="Garamond" w:hAnsi="Garamond"/>
        </w:rPr>
        <w:t>To avoid this, we generated 500 different randomization schemes according to the protocol above and then selected the one scheme that generated the best balance on other variable such as party registration, Hispanic ethnicity, and turnout in other elections.</w:t>
      </w:r>
    </w:p>
    <w:p w:rsidR="002E5A32" w:rsidRDefault="002E5A32" w:rsidP="00573B36">
      <w:pPr>
        <w:spacing w:line="480" w:lineRule="auto"/>
        <w:ind w:firstLine="720"/>
        <w:jc w:val="both"/>
        <w:rPr>
          <w:rFonts w:ascii="Garamond" w:hAnsi="Garamond"/>
        </w:rPr>
      </w:pPr>
      <w:r w:rsidRPr="00102D53">
        <w:rPr>
          <w:rFonts w:ascii="Garamond" w:hAnsi="Garamond"/>
        </w:rPr>
        <w:t xml:space="preserve">After numbers were assigned to conditions, they were randomly sorted before </w:t>
      </w:r>
      <w:r>
        <w:rPr>
          <w:rFonts w:ascii="Garamond" w:hAnsi="Garamond"/>
        </w:rPr>
        <w:t xml:space="preserve">being </w:t>
      </w:r>
      <w:r w:rsidRPr="00102D53">
        <w:rPr>
          <w:rFonts w:ascii="Garamond" w:hAnsi="Garamond"/>
        </w:rPr>
        <w:t>given to callers.</w:t>
      </w:r>
      <w:r w:rsidR="00C3741F">
        <w:rPr>
          <w:rFonts w:ascii="Garamond" w:hAnsi="Garamond"/>
        </w:rPr>
        <w:t xml:space="preserve"> </w:t>
      </w:r>
      <w:r w:rsidRPr="00102D53">
        <w:rPr>
          <w:rFonts w:ascii="Garamond" w:hAnsi="Garamond"/>
        </w:rPr>
        <w:t xml:space="preserve">Therefore, the timing of the call was also random and each caller had approximately the same proportion of reminder, pivotal, </w:t>
      </w:r>
      <w:r>
        <w:rPr>
          <w:rFonts w:ascii="Garamond" w:hAnsi="Garamond"/>
        </w:rPr>
        <w:t>and survey calls.</w:t>
      </w:r>
    </w:p>
    <w:p w:rsidR="00DE3532" w:rsidRDefault="00DE3532" w:rsidP="00294CC6">
      <w:pPr>
        <w:spacing w:line="480" w:lineRule="auto"/>
        <w:jc w:val="both"/>
        <w:rPr>
          <w:rFonts w:ascii="Garamond" w:hAnsi="Garamond"/>
          <w:b/>
        </w:rPr>
      </w:pPr>
    </w:p>
    <w:p w:rsidR="00B54749" w:rsidRDefault="00B54749" w:rsidP="00294CC6">
      <w:pPr>
        <w:spacing w:line="480" w:lineRule="auto"/>
        <w:jc w:val="both"/>
        <w:rPr>
          <w:rFonts w:ascii="Garamond" w:hAnsi="Garamond"/>
          <w:b/>
        </w:rPr>
      </w:pPr>
      <w:r>
        <w:rPr>
          <w:rFonts w:ascii="Garamond" w:hAnsi="Garamond"/>
          <w:b/>
        </w:rPr>
        <w:t>Placebo/Balance Tests</w:t>
      </w:r>
    </w:p>
    <w:p w:rsidR="00B54749" w:rsidRPr="00102D53" w:rsidRDefault="00B54749" w:rsidP="00294CC6">
      <w:pPr>
        <w:spacing w:line="480" w:lineRule="auto"/>
        <w:jc w:val="both"/>
        <w:rPr>
          <w:rFonts w:ascii="Garamond" w:hAnsi="Garamond"/>
        </w:rPr>
      </w:pPr>
      <w:r>
        <w:rPr>
          <w:rFonts w:ascii="Garamond" w:hAnsi="Garamond"/>
          <w:b/>
        </w:rPr>
        <w:tab/>
      </w:r>
      <w:r w:rsidRPr="00102D53">
        <w:rPr>
          <w:rFonts w:ascii="Garamond" w:hAnsi="Garamond"/>
        </w:rPr>
        <w:t>Although we find minimal effects of the pivotal treatment compared to the reminder condition, we might worry that a real effect has been masked or counteracted by unobserved differences between the two experimental groups.</w:t>
      </w:r>
      <w:r w:rsidR="00C3741F">
        <w:rPr>
          <w:rFonts w:ascii="Garamond" w:hAnsi="Garamond"/>
        </w:rPr>
        <w:t xml:space="preserve"> </w:t>
      </w:r>
      <w:r w:rsidRPr="00102D53">
        <w:rPr>
          <w:rFonts w:ascii="Garamond" w:hAnsi="Garamond"/>
        </w:rPr>
        <w:t>Random assignment guarantees that the two groups are asymptotically identical, but for our finite sample size, small differences may arise by chance.</w:t>
      </w:r>
      <w:r w:rsidR="00C3741F">
        <w:rPr>
          <w:rFonts w:ascii="Garamond" w:hAnsi="Garamond"/>
        </w:rPr>
        <w:t xml:space="preserve"> </w:t>
      </w:r>
      <w:r w:rsidRPr="00102D53">
        <w:rPr>
          <w:rFonts w:ascii="Garamond" w:hAnsi="Garamond"/>
        </w:rPr>
        <w:t>Our stratified randomization procedure ensured greater balance between treatment conditions for certain variables, but small differences could arise for other variables.</w:t>
      </w:r>
      <w:r w:rsidR="00C3741F">
        <w:rPr>
          <w:rFonts w:ascii="Garamond" w:hAnsi="Garamond"/>
        </w:rPr>
        <w:t xml:space="preserve"> </w:t>
      </w:r>
      <w:r w:rsidRPr="00102D53">
        <w:rPr>
          <w:rFonts w:ascii="Garamond" w:hAnsi="Garamond"/>
        </w:rPr>
        <w:t>Moreover, the subset of households or individuals who answered the phone and received a treatment could be slightly different by chance in the two conditions.</w:t>
      </w:r>
    </w:p>
    <w:p w:rsidR="00B54749" w:rsidRPr="00102D53" w:rsidRDefault="00B54749" w:rsidP="00294CC6">
      <w:pPr>
        <w:spacing w:line="480" w:lineRule="auto"/>
        <w:jc w:val="both"/>
        <w:rPr>
          <w:rFonts w:ascii="Garamond" w:hAnsi="Garamond"/>
        </w:rPr>
      </w:pPr>
      <w:r w:rsidRPr="00102D53">
        <w:rPr>
          <w:rFonts w:ascii="Garamond" w:hAnsi="Garamond"/>
        </w:rPr>
        <w:tab/>
        <w:t>To demonstrate that these concerns do not plague experimental results, researchers often present the difference between the two experimental conditions for a number of pre-treatment variables.</w:t>
      </w:r>
      <w:r w:rsidR="00C3741F">
        <w:rPr>
          <w:rFonts w:ascii="Garamond" w:hAnsi="Garamond"/>
        </w:rPr>
        <w:t xml:space="preserve"> </w:t>
      </w:r>
      <w:r w:rsidRPr="00102D53">
        <w:rPr>
          <w:rFonts w:ascii="Garamond" w:hAnsi="Garamond"/>
        </w:rPr>
        <w:t>Since our analysis first requires the removal of strata fixed-effects, a simple difference-in-means alone would not assure us that our estimates are valid.</w:t>
      </w:r>
      <w:r w:rsidR="00C3741F">
        <w:rPr>
          <w:rFonts w:ascii="Garamond" w:hAnsi="Garamond"/>
        </w:rPr>
        <w:t xml:space="preserve"> </w:t>
      </w:r>
      <w:r w:rsidRPr="00102D53">
        <w:rPr>
          <w:rFonts w:ascii="Garamond" w:hAnsi="Garamond"/>
        </w:rPr>
        <w:t xml:space="preserve">Instead, we present a number of </w:t>
      </w:r>
      <w:r w:rsidRPr="00102D53">
        <w:rPr>
          <w:rFonts w:ascii="Garamond" w:hAnsi="Garamond"/>
        </w:rPr>
        <w:lastRenderedPageBreak/>
        <w:t>placebo tests, replicating our previous estimates but substituting our dependent variable for nume</w:t>
      </w:r>
      <w:r>
        <w:rPr>
          <w:rFonts w:ascii="Garamond" w:hAnsi="Garamond"/>
        </w:rPr>
        <w:t>rous pre-treatment variables.</w:t>
      </w:r>
      <w:r w:rsidR="00C3741F">
        <w:rPr>
          <w:rFonts w:ascii="Garamond" w:hAnsi="Garamond"/>
        </w:rPr>
        <w:t xml:space="preserve"> </w:t>
      </w:r>
      <w:r>
        <w:rPr>
          <w:rFonts w:ascii="Garamond" w:hAnsi="Garamond"/>
        </w:rPr>
        <w:t xml:space="preserve">By </w:t>
      </w:r>
      <w:proofErr w:type="gramStart"/>
      <w:r>
        <w:rPr>
          <w:rFonts w:ascii="Garamond" w:hAnsi="Garamond"/>
        </w:rPr>
        <w:t>r</w:t>
      </w:r>
      <w:r w:rsidRPr="00102D53">
        <w:rPr>
          <w:rFonts w:ascii="Garamond" w:hAnsi="Garamond"/>
        </w:rPr>
        <w:t>egressing</w:t>
      </w:r>
      <w:proofErr w:type="gramEnd"/>
      <w:r w:rsidRPr="00102D53">
        <w:rPr>
          <w:rFonts w:ascii="Garamond" w:hAnsi="Garamond"/>
        </w:rPr>
        <w:t xml:space="preserve"> a pre-treatment variable on a dummy for the pivotal treatment and strata fixed-effects, we can assess the extent of imbalance between treatment conditions for</w:t>
      </w:r>
      <w:r>
        <w:rPr>
          <w:rFonts w:ascii="Garamond" w:hAnsi="Garamond"/>
        </w:rPr>
        <w:t xml:space="preserve"> that particular variable.</w:t>
      </w:r>
      <w:r w:rsidR="00C3741F">
        <w:rPr>
          <w:rFonts w:ascii="Garamond" w:hAnsi="Garamond"/>
        </w:rPr>
        <w:t xml:space="preserve"> </w:t>
      </w:r>
      <w:r>
        <w:rPr>
          <w:rFonts w:ascii="Garamond" w:hAnsi="Garamond"/>
        </w:rPr>
        <w:t>Table A2 below</w:t>
      </w:r>
      <w:r w:rsidRPr="00102D53">
        <w:rPr>
          <w:rFonts w:ascii="Garamond" w:hAnsi="Garamond"/>
        </w:rPr>
        <w:t xml:space="preserve"> presents the results of 45 placebo tests.</w:t>
      </w:r>
      <w:r w:rsidR="00C3741F">
        <w:rPr>
          <w:rFonts w:ascii="Garamond" w:hAnsi="Garamond"/>
        </w:rPr>
        <w:t xml:space="preserve"> </w:t>
      </w:r>
      <w:r w:rsidRPr="00102D53">
        <w:rPr>
          <w:rFonts w:ascii="Garamond" w:hAnsi="Garamond"/>
        </w:rPr>
        <w:t>Each cell in the table presents the coefficient on the pivotal treatment and the corresponding standard error for a particular sample and for a particular</w:t>
      </w:r>
      <w:r>
        <w:rPr>
          <w:rFonts w:ascii="Garamond" w:hAnsi="Garamond"/>
        </w:rPr>
        <w:t xml:space="preserve"> placebo outcome.</w:t>
      </w:r>
      <w:r w:rsidR="00C3741F">
        <w:rPr>
          <w:rFonts w:ascii="Garamond" w:hAnsi="Garamond"/>
        </w:rPr>
        <w:t xml:space="preserve"> </w:t>
      </w:r>
      <w:r>
        <w:rPr>
          <w:rFonts w:ascii="Garamond" w:hAnsi="Garamond"/>
        </w:rPr>
        <w:t>As in Table 2</w:t>
      </w:r>
      <w:r w:rsidRPr="00102D53">
        <w:rPr>
          <w:rFonts w:ascii="Garamond" w:hAnsi="Garamond"/>
        </w:rPr>
        <w:t>, standard errors are clustered by phone number where appropriate.</w:t>
      </w:r>
      <w:r w:rsidR="00C3741F">
        <w:rPr>
          <w:rFonts w:ascii="Garamond" w:hAnsi="Garamond"/>
        </w:rPr>
        <w:t xml:space="preserve"> </w:t>
      </w:r>
    </w:p>
    <w:p w:rsidR="00B54749" w:rsidRPr="00102D53" w:rsidRDefault="00B54749" w:rsidP="00294CC6">
      <w:pPr>
        <w:spacing w:line="480" w:lineRule="auto"/>
        <w:jc w:val="both"/>
        <w:rPr>
          <w:rFonts w:ascii="Garamond" w:hAnsi="Garamond"/>
        </w:rPr>
      </w:pPr>
      <w:r w:rsidRPr="00102D53">
        <w:rPr>
          <w:rFonts w:ascii="Garamond" w:hAnsi="Garamond"/>
        </w:rPr>
        <w:tab/>
        <w:t>There are few meaningful differences in pre-treatment characteristics between treatment conditions.</w:t>
      </w:r>
      <w:r w:rsidR="00C3741F">
        <w:rPr>
          <w:rFonts w:ascii="Garamond" w:hAnsi="Garamond"/>
        </w:rPr>
        <w:t xml:space="preserve"> </w:t>
      </w:r>
      <w:r w:rsidRPr="00102D53">
        <w:rPr>
          <w:rFonts w:ascii="Garamond" w:hAnsi="Garamond"/>
        </w:rPr>
        <w:t>Individuals in the two experimental groups were similar in terms of their turnout in the 2010 general election, the 2009 special election, the 2008 primary election, Hispanic racial identity, age, party registration, absentee voting in the special election, and whether we were able to match them to the town voter files.</w:t>
      </w:r>
      <w:r w:rsidR="00C3741F">
        <w:rPr>
          <w:rFonts w:ascii="Garamond" w:hAnsi="Garamond"/>
        </w:rPr>
        <w:t xml:space="preserve"> </w:t>
      </w:r>
      <w:r w:rsidRPr="00102D53">
        <w:rPr>
          <w:rFonts w:ascii="Garamond" w:hAnsi="Garamond"/>
        </w:rPr>
        <w:t>If anything, uninformed individuals in the pivotal group were, by chance, more likely to vote in previous elections, suggesting that our previous estimates may overestimate the effect of the pivotal treatment.</w:t>
      </w:r>
      <w:r w:rsidR="00C3741F">
        <w:rPr>
          <w:rFonts w:ascii="Garamond" w:hAnsi="Garamond"/>
        </w:rPr>
        <w:t xml:space="preserve"> </w:t>
      </w:r>
      <w:r w:rsidR="003944BB">
        <w:rPr>
          <w:rFonts w:ascii="Garamond" w:hAnsi="Garamond"/>
        </w:rPr>
        <w:t>None of the 45 coefficients are</w:t>
      </w:r>
      <w:r w:rsidRPr="00102D53">
        <w:rPr>
          <w:rFonts w:ascii="Garamond" w:hAnsi="Garamond"/>
        </w:rPr>
        <w:t xml:space="preserve"> statistically significant at the 5% level.</w:t>
      </w:r>
      <w:r w:rsidR="00C3741F">
        <w:rPr>
          <w:rFonts w:ascii="Garamond" w:hAnsi="Garamond"/>
        </w:rPr>
        <w:t xml:space="preserve"> </w:t>
      </w:r>
      <w:r w:rsidR="003944BB">
        <w:rPr>
          <w:rFonts w:ascii="Garamond" w:hAnsi="Garamond"/>
        </w:rPr>
        <w:t>Moreover, none of our results in Table 1 are meaningfully</w:t>
      </w:r>
      <w:r w:rsidRPr="00102D53">
        <w:rPr>
          <w:rFonts w:ascii="Garamond" w:hAnsi="Garamond"/>
        </w:rPr>
        <w:t xml:space="preserve"> changed by the inclusion or exclusion of pre-treatment controls.</w:t>
      </w:r>
      <w:r w:rsidR="00C3741F">
        <w:rPr>
          <w:rFonts w:ascii="Garamond" w:hAnsi="Garamond"/>
        </w:rPr>
        <w:t xml:space="preserve"> </w:t>
      </w:r>
      <w:r w:rsidRPr="00102D53">
        <w:rPr>
          <w:rFonts w:ascii="Garamond" w:hAnsi="Garamond"/>
        </w:rPr>
        <w:t>These placebo tests confirm that subjects in the pivotal and reminder conditions are comparable to each other and only differed in the extent to which we informed them about the closeness of the upcoming election.</w:t>
      </w:r>
    </w:p>
    <w:p w:rsidR="00B54749" w:rsidRDefault="00B54749">
      <w:pPr>
        <w:suppressAutoHyphens w:val="0"/>
        <w:spacing w:after="200" w:line="276" w:lineRule="auto"/>
        <w:rPr>
          <w:rFonts w:ascii="Garamond" w:hAnsi="Garamond"/>
          <w:b/>
        </w:rPr>
      </w:pPr>
      <w:r>
        <w:rPr>
          <w:rFonts w:ascii="Garamond" w:hAnsi="Garamond"/>
          <w:b/>
        </w:rPr>
        <w:br w:type="page"/>
      </w:r>
    </w:p>
    <w:p w:rsidR="00A2038E" w:rsidRDefault="00A2038E" w:rsidP="00B54749">
      <w:pPr>
        <w:spacing w:after="200"/>
        <w:contextualSpacing/>
        <w:rPr>
          <w:rFonts w:ascii="Garamond" w:hAnsi="Garamond"/>
          <w:b/>
        </w:rPr>
        <w:sectPr w:rsidR="00A2038E" w:rsidSect="006B5147">
          <w:footerReference w:type="default" r:id="rId7"/>
          <w:pgSz w:w="12240" w:h="15840"/>
          <w:pgMar w:top="1440" w:right="1440" w:bottom="1440" w:left="1440" w:header="720" w:footer="1440" w:gutter="0"/>
          <w:cols w:space="720"/>
          <w:docGrid w:linePitch="360"/>
        </w:sectPr>
      </w:pPr>
    </w:p>
    <w:p w:rsidR="00B54749" w:rsidRPr="00102D53" w:rsidRDefault="00B54749" w:rsidP="00B54749">
      <w:pPr>
        <w:spacing w:after="200"/>
        <w:contextualSpacing/>
        <w:rPr>
          <w:rFonts w:ascii="Garamond" w:hAnsi="Garamond"/>
        </w:rPr>
      </w:pPr>
      <w:r>
        <w:rPr>
          <w:rFonts w:ascii="Garamond" w:hAnsi="Garamond"/>
          <w:b/>
        </w:rPr>
        <w:lastRenderedPageBreak/>
        <w:t>Table A2. P</w:t>
      </w:r>
      <w:r w:rsidRPr="00102D53">
        <w:rPr>
          <w:rFonts w:ascii="Garamond" w:hAnsi="Garamond"/>
          <w:b/>
        </w:rPr>
        <w:t>lacebo Tests</w:t>
      </w:r>
      <w:r w:rsidRPr="00102D53">
        <w:rPr>
          <w:rStyle w:val="FootnoteReference"/>
          <w:rFonts w:ascii="Garamond" w:hAnsi="Garamond"/>
        </w:rPr>
        <w:footnoteReference w:id="2"/>
      </w:r>
    </w:p>
    <w:tbl>
      <w:tblPr>
        <w:tblW w:w="0" w:type="auto"/>
        <w:tblInd w:w="-10" w:type="dxa"/>
        <w:tblLook w:val="0000" w:firstRow="0" w:lastRow="0" w:firstColumn="0" w:lastColumn="0" w:noHBand="0" w:noVBand="0"/>
      </w:tblPr>
      <w:tblGrid>
        <w:gridCol w:w="4270"/>
        <w:gridCol w:w="1028"/>
        <w:gridCol w:w="1028"/>
        <w:gridCol w:w="1028"/>
        <w:gridCol w:w="1039"/>
        <w:gridCol w:w="879"/>
        <w:gridCol w:w="766"/>
        <w:gridCol w:w="766"/>
        <w:gridCol w:w="1081"/>
        <w:gridCol w:w="1301"/>
      </w:tblGrid>
      <w:tr w:rsidR="00B54749" w:rsidRPr="00102D53" w:rsidTr="008F5A1A">
        <w:trPr>
          <w:trHeight w:val="315"/>
        </w:trPr>
        <w:tc>
          <w:tcPr>
            <w:tcW w:w="0" w:type="auto"/>
            <w:vMerge w:val="restart"/>
            <w:tcBorders>
              <w:top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p>
        </w:tc>
        <w:tc>
          <w:tcPr>
            <w:tcW w:w="8868" w:type="dxa"/>
            <w:gridSpan w:val="9"/>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Dependent Variable</w:t>
            </w:r>
          </w:p>
        </w:tc>
      </w:tr>
      <w:tr w:rsidR="00B54749" w:rsidRPr="00102D53" w:rsidTr="008F5A1A">
        <w:trPr>
          <w:trHeight w:val="315"/>
        </w:trPr>
        <w:tc>
          <w:tcPr>
            <w:tcW w:w="0" w:type="auto"/>
            <w:vMerge/>
            <w:tcBorders>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Voted ‘10</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Voted ’09</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Voted ‘08</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Hispanic</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Age</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Dem</w:t>
            </w:r>
          </w:p>
        </w:tc>
        <w:tc>
          <w:tcPr>
            <w:tcW w:w="0" w:type="auto"/>
            <w:tcBorders>
              <w:top w:val="single" w:sz="12" w:space="0" w:color="auto"/>
              <w:bottom w:val="single" w:sz="12" w:space="0" w:color="auto"/>
            </w:tcBorders>
            <w:shd w:val="clear" w:color="auto" w:fill="auto"/>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Rep</w:t>
            </w:r>
          </w:p>
        </w:tc>
        <w:tc>
          <w:tcPr>
            <w:tcW w:w="0" w:type="auto"/>
            <w:tcBorders>
              <w:top w:val="single" w:sz="12" w:space="0" w:color="auto"/>
              <w:bottom w:val="single" w:sz="12" w:space="0" w:color="auto"/>
            </w:tcBorders>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Absentee</w:t>
            </w:r>
          </w:p>
        </w:tc>
        <w:tc>
          <w:tcPr>
            <w:tcW w:w="0" w:type="auto"/>
            <w:tcBorders>
              <w:top w:val="single" w:sz="12" w:space="0" w:color="auto"/>
              <w:bottom w:val="single" w:sz="12" w:space="0" w:color="auto"/>
            </w:tcBorders>
            <w:vAlign w:val="bottom"/>
          </w:tcPr>
          <w:p w:rsidR="00B54749" w:rsidRPr="00102D53" w:rsidRDefault="00B54749" w:rsidP="00783D9B">
            <w:pPr>
              <w:snapToGrid w:val="0"/>
              <w:contextualSpacing/>
              <w:jc w:val="center"/>
              <w:rPr>
                <w:rFonts w:ascii="Garamond" w:hAnsi="Garamond"/>
                <w:color w:val="000000"/>
              </w:rPr>
            </w:pPr>
            <w:r w:rsidRPr="00102D53">
              <w:rPr>
                <w:rFonts w:ascii="Garamond" w:hAnsi="Garamond"/>
                <w:color w:val="000000"/>
              </w:rPr>
              <w:t>Unmatched</w:t>
            </w:r>
          </w:p>
        </w:tc>
      </w:tr>
      <w:tr w:rsidR="00A2038E" w:rsidRPr="00102D53" w:rsidTr="004D2E3E">
        <w:trPr>
          <w:trHeight w:val="315"/>
        </w:trPr>
        <w:tc>
          <w:tcPr>
            <w:tcW w:w="0" w:type="auto"/>
            <w:vMerge w:val="restart"/>
            <w:tcBorders>
              <w:top w:val="single" w:sz="12" w:space="0" w:color="auto"/>
            </w:tcBorders>
            <w:shd w:val="clear" w:color="auto" w:fill="auto"/>
          </w:tcPr>
          <w:p w:rsidR="00A2038E" w:rsidRPr="00102D53" w:rsidRDefault="00A2038E" w:rsidP="004D2E3E">
            <w:pPr>
              <w:snapToGrid w:val="0"/>
              <w:contextualSpacing/>
              <w:rPr>
                <w:rFonts w:ascii="Garamond" w:hAnsi="Garamond"/>
                <w:color w:val="000000"/>
              </w:rPr>
            </w:pPr>
            <w:r w:rsidRPr="00102D53">
              <w:rPr>
                <w:rFonts w:ascii="Garamond" w:hAnsi="Garamond"/>
                <w:color w:val="000000"/>
              </w:rPr>
              <w:t>Intention-to-Treat</w:t>
            </w:r>
          </w:p>
        </w:tc>
        <w:tc>
          <w:tcPr>
            <w:tcW w:w="0" w:type="auto"/>
            <w:tcBorders>
              <w:top w:val="single" w:sz="12"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.000</w:t>
            </w:r>
          </w:p>
        </w:tc>
        <w:tc>
          <w:tcPr>
            <w:tcW w:w="0" w:type="auto"/>
            <w:tcBorders>
              <w:top w:val="single" w:sz="12"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.003</w:t>
            </w:r>
          </w:p>
        </w:tc>
        <w:tc>
          <w:tcPr>
            <w:tcW w:w="0" w:type="auto"/>
            <w:tcBorders>
              <w:top w:val="single" w:sz="12"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−.002</w:t>
            </w:r>
          </w:p>
        </w:tc>
        <w:tc>
          <w:tcPr>
            <w:tcW w:w="0" w:type="auto"/>
            <w:tcBorders>
              <w:top w:val="single" w:sz="12"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−.004</w:t>
            </w:r>
          </w:p>
        </w:tc>
        <w:tc>
          <w:tcPr>
            <w:tcW w:w="0" w:type="auto"/>
            <w:tcBorders>
              <w:top w:val="single" w:sz="12"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.195</w:t>
            </w:r>
          </w:p>
        </w:tc>
        <w:tc>
          <w:tcPr>
            <w:tcW w:w="0" w:type="auto"/>
            <w:tcBorders>
              <w:top w:val="single" w:sz="12"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.001</w:t>
            </w:r>
          </w:p>
        </w:tc>
        <w:tc>
          <w:tcPr>
            <w:tcW w:w="0" w:type="auto"/>
            <w:tcBorders>
              <w:top w:val="single" w:sz="12" w:space="0" w:color="auto"/>
            </w:tcBorders>
            <w:shd w:val="clear" w:color="auto" w:fill="auto"/>
          </w:tcPr>
          <w:p w:rsidR="00A2038E" w:rsidRPr="00102D53" w:rsidRDefault="002B4432"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.002</w:t>
            </w:r>
          </w:p>
        </w:tc>
        <w:tc>
          <w:tcPr>
            <w:tcW w:w="0" w:type="auto"/>
            <w:tcBorders>
              <w:top w:val="single" w:sz="12"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−.003</w:t>
            </w:r>
          </w:p>
        </w:tc>
        <w:tc>
          <w:tcPr>
            <w:tcW w:w="0" w:type="auto"/>
            <w:tcBorders>
              <w:top w:val="single" w:sz="12"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.001</w:t>
            </w:r>
          </w:p>
        </w:tc>
      </w:tr>
      <w:tr w:rsidR="00A2038E" w:rsidRPr="00102D53" w:rsidTr="004D2E3E">
        <w:trPr>
          <w:trHeight w:val="315"/>
        </w:trPr>
        <w:tc>
          <w:tcPr>
            <w:tcW w:w="0" w:type="auto"/>
            <w:vMerge/>
            <w:tcBorders>
              <w:bottom w:val="single" w:sz="6" w:space="0" w:color="auto"/>
            </w:tcBorders>
            <w:shd w:val="clear" w:color="auto" w:fill="auto"/>
          </w:tcPr>
          <w:p w:rsidR="00A2038E" w:rsidRPr="00102D53" w:rsidRDefault="00A2038E" w:rsidP="004D2E3E">
            <w:pPr>
              <w:snapToGrid w:val="0"/>
              <w:contextualSpacing/>
              <w:rPr>
                <w:rFonts w:ascii="Garamond" w:hAnsi="Garamond"/>
                <w:color w:val="000000"/>
              </w:rPr>
            </w:pPr>
          </w:p>
        </w:tc>
        <w:tc>
          <w:tcPr>
            <w:tcW w:w="0" w:type="auto"/>
            <w:tcBorders>
              <w:bottom w:val="single" w:sz="6" w:space="0" w:color="auto"/>
            </w:tcBorders>
            <w:shd w:val="clear" w:color="auto" w:fill="auto"/>
          </w:tcPr>
          <w:p w:rsidR="00A2038E" w:rsidRPr="00102D53" w:rsidRDefault="00EB2DFC" w:rsidP="004D2E3E">
            <w:pPr>
              <w:snapToGrid w:val="0"/>
              <w:contextualSpacing/>
              <w:jc w:val="center"/>
              <w:rPr>
                <w:rFonts w:ascii="Garamond" w:hAnsi="Garamond"/>
                <w:color w:val="000000"/>
              </w:rPr>
            </w:pPr>
            <w:r>
              <w:rPr>
                <w:rFonts w:ascii="Garamond" w:hAnsi="Garamond"/>
                <w:color w:val="000000"/>
              </w:rPr>
              <w:t>(.006</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(.004)</w:t>
            </w:r>
          </w:p>
        </w:tc>
        <w:tc>
          <w:tcPr>
            <w:tcW w:w="0" w:type="auto"/>
            <w:tcBorders>
              <w:bottom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(.008</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(.006</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(.345</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(.010)</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(.007)</w:t>
            </w:r>
          </w:p>
        </w:tc>
        <w:tc>
          <w:tcPr>
            <w:tcW w:w="0" w:type="auto"/>
            <w:tcBorders>
              <w:bottom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(.003)</w:t>
            </w:r>
          </w:p>
        </w:tc>
        <w:tc>
          <w:tcPr>
            <w:tcW w:w="0" w:type="auto"/>
            <w:tcBorders>
              <w:bottom w:val="single" w:sz="6" w:space="0" w:color="auto"/>
            </w:tcBorders>
          </w:tcPr>
          <w:p w:rsidR="00A2038E" w:rsidRPr="00102D53" w:rsidRDefault="00451CDD" w:rsidP="004D2E3E">
            <w:pPr>
              <w:snapToGrid w:val="0"/>
              <w:contextualSpacing/>
              <w:jc w:val="center"/>
              <w:rPr>
                <w:rFonts w:ascii="Garamond" w:hAnsi="Garamond"/>
                <w:color w:val="000000"/>
              </w:rPr>
            </w:pPr>
            <w:r>
              <w:rPr>
                <w:rFonts w:ascii="Garamond" w:hAnsi="Garamond"/>
                <w:color w:val="000000"/>
              </w:rPr>
              <w:t>(.004</w:t>
            </w:r>
            <w:r w:rsidR="00A2038E" w:rsidRPr="00102D53">
              <w:rPr>
                <w:rFonts w:ascii="Garamond" w:hAnsi="Garamond"/>
                <w:color w:val="000000"/>
              </w:rPr>
              <w:t>)</w:t>
            </w:r>
          </w:p>
        </w:tc>
      </w:tr>
      <w:tr w:rsidR="00A2038E" w:rsidRPr="00102D53" w:rsidTr="004D2E3E">
        <w:trPr>
          <w:trHeight w:val="315"/>
        </w:trPr>
        <w:tc>
          <w:tcPr>
            <w:tcW w:w="0" w:type="auto"/>
            <w:vMerge w:val="restart"/>
            <w:tcBorders>
              <w:top w:val="single" w:sz="6" w:space="0" w:color="auto"/>
            </w:tcBorders>
            <w:shd w:val="clear" w:color="auto" w:fill="auto"/>
          </w:tcPr>
          <w:p w:rsidR="00A2038E" w:rsidRPr="00102D53" w:rsidRDefault="00A2038E" w:rsidP="004D2E3E">
            <w:pPr>
              <w:snapToGrid w:val="0"/>
              <w:contextualSpacing/>
              <w:rPr>
                <w:rFonts w:ascii="Garamond" w:hAnsi="Garamond"/>
                <w:color w:val="000000"/>
              </w:rPr>
            </w:pPr>
            <w:r w:rsidRPr="00102D53">
              <w:rPr>
                <w:rFonts w:ascii="Garamond" w:hAnsi="Garamond"/>
                <w:color w:val="000000"/>
              </w:rPr>
              <w:t>Contacted Individuals</w:t>
            </w:r>
          </w:p>
        </w:tc>
        <w:tc>
          <w:tcPr>
            <w:tcW w:w="0" w:type="auto"/>
            <w:tcBorders>
              <w:top w:val="single" w:sz="6" w:space="0" w:color="auto"/>
            </w:tcBorders>
            <w:shd w:val="clear" w:color="auto" w:fill="auto"/>
          </w:tcPr>
          <w:p w:rsidR="00A2038E" w:rsidRPr="00102D53" w:rsidRDefault="00EB2DFC" w:rsidP="004D2E3E">
            <w:pPr>
              <w:snapToGrid w:val="0"/>
              <w:contextualSpacing/>
              <w:jc w:val="center"/>
              <w:rPr>
                <w:rFonts w:ascii="Garamond" w:hAnsi="Garamond"/>
                <w:color w:val="000000"/>
              </w:rPr>
            </w:pPr>
            <w:r>
              <w:rPr>
                <w:rFonts w:ascii="Garamond" w:hAnsi="Garamond"/>
                <w:color w:val="000000"/>
              </w:rPr>
              <w:t>.003</w:t>
            </w:r>
          </w:p>
        </w:tc>
        <w:tc>
          <w:tcPr>
            <w:tcW w:w="0" w:type="auto"/>
            <w:tcBorders>
              <w:top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.001</w:t>
            </w:r>
          </w:p>
        </w:tc>
        <w:tc>
          <w:tcPr>
            <w:tcW w:w="0" w:type="auto"/>
            <w:tcBorders>
              <w:top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−.046</w:t>
            </w:r>
          </w:p>
        </w:tc>
        <w:tc>
          <w:tcPr>
            <w:tcW w:w="0" w:type="auto"/>
            <w:tcBorders>
              <w:top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−.004</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−.937</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−.03</w:t>
            </w:r>
            <w:r w:rsidR="00A2038E" w:rsidRPr="00102D53">
              <w:rPr>
                <w:rFonts w:ascii="Garamond" w:hAnsi="Garamond"/>
                <w:color w:val="000000"/>
              </w:rPr>
              <w:t>8</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.032</w:t>
            </w:r>
          </w:p>
        </w:tc>
        <w:tc>
          <w:tcPr>
            <w:tcW w:w="0" w:type="auto"/>
            <w:tcBorders>
              <w:top w:val="single" w:sz="6"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−.006</w:t>
            </w:r>
          </w:p>
        </w:tc>
        <w:tc>
          <w:tcPr>
            <w:tcW w:w="0" w:type="auto"/>
            <w:tcBorders>
              <w:top w:val="single" w:sz="6" w:space="0" w:color="auto"/>
            </w:tcBorders>
          </w:tcPr>
          <w:p w:rsidR="00A2038E" w:rsidRPr="00102D53" w:rsidRDefault="00451CDD"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.001</w:t>
            </w:r>
          </w:p>
        </w:tc>
      </w:tr>
      <w:tr w:rsidR="00A2038E" w:rsidRPr="00102D53" w:rsidTr="004D2E3E">
        <w:trPr>
          <w:trHeight w:val="315"/>
        </w:trPr>
        <w:tc>
          <w:tcPr>
            <w:tcW w:w="0" w:type="auto"/>
            <w:vMerge/>
            <w:tcBorders>
              <w:bottom w:val="single" w:sz="6" w:space="0" w:color="auto"/>
            </w:tcBorders>
            <w:shd w:val="clear" w:color="auto" w:fill="auto"/>
          </w:tcPr>
          <w:p w:rsidR="00A2038E" w:rsidRPr="00102D53" w:rsidRDefault="00A2038E" w:rsidP="004D2E3E">
            <w:pPr>
              <w:snapToGrid w:val="0"/>
              <w:contextualSpacing/>
              <w:rPr>
                <w:rFonts w:ascii="Garamond" w:hAnsi="Garamond"/>
                <w:color w:val="000000"/>
              </w:rPr>
            </w:pPr>
          </w:p>
        </w:tc>
        <w:tc>
          <w:tcPr>
            <w:tcW w:w="0" w:type="auto"/>
            <w:tcBorders>
              <w:bottom w:val="single" w:sz="6" w:space="0" w:color="auto"/>
            </w:tcBorders>
            <w:shd w:val="clear" w:color="auto" w:fill="auto"/>
          </w:tcPr>
          <w:p w:rsidR="00A2038E" w:rsidRPr="00102D53" w:rsidRDefault="00EB2DFC" w:rsidP="004D2E3E">
            <w:pPr>
              <w:snapToGrid w:val="0"/>
              <w:contextualSpacing/>
              <w:jc w:val="center"/>
              <w:rPr>
                <w:rFonts w:ascii="Garamond" w:hAnsi="Garamond"/>
                <w:color w:val="000000"/>
              </w:rPr>
            </w:pPr>
            <w:r>
              <w:rPr>
                <w:rFonts w:ascii="Garamond" w:hAnsi="Garamond"/>
                <w:color w:val="000000"/>
              </w:rPr>
              <w:t>(.022</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(.018</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(.025</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(.011</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(1.072</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(.031)</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(.021)</w:t>
            </w:r>
          </w:p>
        </w:tc>
        <w:tc>
          <w:tcPr>
            <w:tcW w:w="0" w:type="auto"/>
            <w:tcBorders>
              <w:bottom w:val="single" w:sz="6"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(.010</w:t>
            </w:r>
            <w:r w:rsidR="00A2038E" w:rsidRPr="00102D53">
              <w:rPr>
                <w:rFonts w:ascii="Garamond" w:hAnsi="Garamond"/>
                <w:color w:val="000000"/>
              </w:rPr>
              <w:t>)</w:t>
            </w:r>
          </w:p>
        </w:tc>
        <w:tc>
          <w:tcPr>
            <w:tcW w:w="0" w:type="auto"/>
            <w:tcBorders>
              <w:bottom w:val="single" w:sz="6" w:space="0" w:color="auto"/>
            </w:tcBorders>
          </w:tcPr>
          <w:p w:rsidR="00A2038E" w:rsidRPr="00102D53" w:rsidRDefault="00451CDD" w:rsidP="004D2E3E">
            <w:pPr>
              <w:snapToGrid w:val="0"/>
              <w:contextualSpacing/>
              <w:jc w:val="center"/>
              <w:rPr>
                <w:rFonts w:ascii="Garamond" w:hAnsi="Garamond"/>
                <w:color w:val="000000"/>
              </w:rPr>
            </w:pPr>
            <w:r>
              <w:rPr>
                <w:rFonts w:ascii="Garamond" w:hAnsi="Garamond"/>
                <w:color w:val="000000"/>
              </w:rPr>
              <w:t>(.010</w:t>
            </w:r>
            <w:r w:rsidR="00A2038E" w:rsidRPr="00102D53">
              <w:rPr>
                <w:rFonts w:ascii="Garamond" w:hAnsi="Garamond"/>
                <w:color w:val="000000"/>
              </w:rPr>
              <w:t>)</w:t>
            </w:r>
          </w:p>
        </w:tc>
      </w:tr>
      <w:tr w:rsidR="00A2038E" w:rsidRPr="00102D53" w:rsidTr="004D2E3E">
        <w:trPr>
          <w:trHeight w:val="315"/>
        </w:trPr>
        <w:tc>
          <w:tcPr>
            <w:tcW w:w="0" w:type="auto"/>
            <w:vMerge w:val="restart"/>
            <w:tcBorders>
              <w:top w:val="single" w:sz="6" w:space="0" w:color="auto"/>
            </w:tcBorders>
            <w:shd w:val="clear" w:color="auto" w:fill="auto"/>
          </w:tcPr>
          <w:p w:rsidR="00A2038E" w:rsidRPr="00102D53" w:rsidRDefault="00A2038E" w:rsidP="004D2E3E">
            <w:pPr>
              <w:snapToGrid w:val="0"/>
              <w:contextualSpacing/>
              <w:rPr>
                <w:rFonts w:ascii="Garamond" w:hAnsi="Garamond"/>
                <w:color w:val="000000"/>
              </w:rPr>
            </w:pPr>
            <w:r w:rsidRPr="00102D53">
              <w:rPr>
                <w:rFonts w:ascii="Garamond" w:hAnsi="Garamond"/>
                <w:color w:val="000000"/>
              </w:rPr>
              <w:t>Contacted, Uninformed Individuals</w:t>
            </w:r>
          </w:p>
        </w:tc>
        <w:tc>
          <w:tcPr>
            <w:tcW w:w="0" w:type="auto"/>
            <w:tcBorders>
              <w:top w:val="single" w:sz="6" w:space="0" w:color="auto"/>
            </w:tcBorders>
            <w:shd w:val="clear" w:color="auto" w:fill="auto"/>
          </w:tcPr>
          <w:p w:rsidR="00A2038E" w:rsidRPr="00102D53" w:rsidRDefault="00EB2DFC" w:rsidP="004D2E3E">
            <w:pPr>
              <w:snapToGrid w:val="0"/>
              <w:contextualSpacing/>
              <w:jc w:val="center"/>
              <w:rPr>
                <w:rFonts w:ascii="Garamond" w:hAnsi="Garamond"/>
                <w:color w:val="000000"/>
              </w:rPr>
            </w:pPr>
            <w:r>
              <w:rPr>
                <w:rFonts w:ascii="Garamond" w:hAnsi="Garamond"/>
                <w:color w:val="000000"/>
              </w:rPr>
              <w:t>.057</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.029</w:t>
            </w:r>
          </w:p>
        </w:tc>
        <w:tc>
          <w:tcPr>
            <w:tcW w:w="0" w:type="auto"/>
            <w:tcBorders>
              <w:top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−.046</w:t>
            </w:r>
          </w:p>
        </w:tc>
        <w:tc>
          <w:tcPr>
            <w:tcW w:w="0" w:type="auto"/>
            <w:tcBorders>
              <w:top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−.036</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1.646</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−.042</w:t>
            </w:r>
          </w:p>
        </w:tc>
        <w:tc>
          <w:tcPr>
            <w:tcW w:w="0" w:type="auto"/>
            <w:tcBorders>
              <w:top w:val="single" w:sz="6" w:space="0" w:color="auto"/>
            </w:tcBorders>
            <w:shd w:val="clear" w:color="auto" w:fill="auto"/>
          </w:tcPr>
          <w:p w:rsidR="00A2038E" w:rsidRPr="00102D53" w:rsidRDefault="002B4432" w:rsidP="004D2E3E">
            <w:pPr>
              <w:snapToGrid w:val="0"/>
              <w:contextualSpacing/>
              <w:jc w:val="center"/>
              <w:rPr>
                <w:rFonts w:ascii="Garamond" w:hAnsi="Garamond"/>
                <w:color w:val="000000"/>
              </w:rPr>
            </w:pPr>
            <w:r>
              <w:rPr>
                <w:rFonts w:ascii="Garamond" w:hAnsi="Garamond"/>
                <w:color w:val="000000"/>
              </w:rPr>
              <w:t>−.015</w:t>
            </w:r>
          </w:p>
        </w:tc>
        <w:tc>
          <w:tcPr>
            <w:tcW w:w="0" w:type="auto"/>
            <w:tcBorders>
              <w:top w:val="single" w:sz="6"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−.001</w:t>
            </w:r>
          </w:p>
        </w:tc>
        <w:tc>
          <w:tcPr>
            <w:tcW w:w="0" w:type="auto"/>
            <w:tcBorders>
              <w:top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.002</w:t>
            </w:r>
          </w:p>
        </w:tc>
      </w:tr>
      <w:tr w:rsidR="00A2038E" w:rsidRPr="00102D53" w:rsidTr="004D2E3E">
        <w:trPr>
          <w:trHeight w:val="102"/>
        </w:trPr>
        <w:tc>
          <w:tcPr>
            <w:tcW w:w="0" w:type="auto"/>
            <w:vMerge/>
            <w:tcBorders>
              <w:bottom w:val="single" w:sz="6" w:space="0" w:color="auto"/>
            </w:tcBorders>
            <w:shd w:val="clear" w:color="auto" w:fill="auto"/>
          </w:tcPr>
          <w:p w:rsidR="00A2038E" w:rsidRPr="00102D53" w:rsidRDefault="00A2038E" w:rsidP="004D2E3E">
            <w:pPr>
              <w:snapToGrid w:val="0"/>
              <w:contextualSpacing/>
              <w:rPr>
                <w:rFonts w:ascii="Garamond" w:hAnsi="Garamond"/>
                <w:color w:val="000000"/>
              </w:rPr>
            </w:pP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(.042)</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(.026)</w:t>
            </w:r>
          </w:p>
        </w:tc>
        <w:tc>
          <w:tcPr>
            <w:tcW w:w="0" w:type="auto"/>
            <w:tcBorders>
              <w:bottom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(.051</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(.020)</w:t>
            </w:r>
          </w:p>
        </w:tc>
        <w:tc>
          <w:tcPr>
            <w:tcW w:w="0" w:type="auto"/>
            <w:tcBorders>
              <w:bottom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(2.021</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(.056)</w:t>
            </w:r>
          </w:p>
        </w:tc>
        <w:tc>
          <w:tcPr>
            <w:tcW w:w="0" w:type="auto"/>
            <w:tcBorders>
              <w:bottom w:val="single" w:sz="6" w:space="0" w:color="auto"/>
            </w:tcBorders>
            <w:shd w:val="clear" w:color="auto" w:fill="auto"/>
          </w:tcPr>
          <w:p w:rsidR="00A2038E" w:rsidRPr="00102D53" w:rsidRDefault="002B4432" w:rsidP="004D2E3E">
            <w:pPr>
              <w:snapToGrid w:val="0"/>
              <w:contextualSpacing/>
              <w:jc w:val="center"/>
              <w:rPr>
                <w:rFonts w:ascii="Garamond" w:hAnsi="Garamond"/>
                <w:color w:val="000000"/>
              </w:rPr>
            </w:pPr>
            <w:r>
              <w:rPr>
                <w:rFonts w:ascii="Garamond" w:hAnsi="Garamond"/>
                <w:color w:val="000000"/>
              </w:rPr>
              <w:t>(.037</w:t>
            </w:r>
            <w:r w:rsidR="00A2038E" w:rsidRPr="00102D53">
              <w:rPr>
                <w:rFonts w:ascii="Garamond" w:hAnsi="Garamond"/>
                <w:color w:val="000000"/>
              </w:rPr>
              <w:t>)</w:t>
            </w:r>
          </w:p>
        </w:tc>
        <w:tc>
          <w:tcPr>
            <w:tcW w:w="0" w:type="auto"/>
            <w:tcBorders>
              <w:bottom w:val="single" w:sz="6"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(.010</w:t>
            </w:r>
            <w:r w:rsidR="00A2038E" w:rsidRPr="00102D53">
              <w:rPr>
                <w:rFonts w:ascii="Garamond" w:hAnsi="Garamond"/>
                <w:color w:val="000000"/>
              </w:rPr>
              <w:t>)</w:t>
            </w:r>
          </w:p>
        </w:tc>
        <w:tc>
          <w:tcPr>
            <w:tcW w:w="0" w:type="auto"/>
            <w:tcBorders>
              <w:bottom w:val="single" w:sz="6" w:space="0" w:color="auto"/>
            </w:tcBorders>
          </w:tcPr>
          <w:p w:rsidR="00A2038E" w:rsidRPr="00102D53" w:rsidRDefault="00451CDD" w:rsidP="004D2E3E">
            <w:pPr>
              <w:snapToGrid w:val="0"/>
              <w:contextualSpacing/>
              <w:jc w:val="center"/>
              <w:rPr>
                <w:rFonts w:ascii="Garamond" w:hAnsi="Garamond"/>
                <w:color w:val="000000"/>
              </w:rPr>
            </w:pPr>
            <w:r>
              <w:rPr>
                <w:rFonts w:ascii="Garamond" w:hAnsi="Garamond"/>
                <w:color w:val="000000"/>
              </w:rPr>
              <w:t>(.015</w:t>
            </w:r>
            <w:r w:rsidR="00A2038E" w:rsidRPr="00102D53">
              <w:rPr>
                <w:rFonts w:ascii="Garamond" w:hAnsi="Garamond"/>
                <w:color w:val="000000"/>
              </w:rPr>
              <w:t>)</w:t>
            </w:r>
          </w:p>
        </w:tc>
      </w:tr>
      <w:tr w:rsidR="00A2038E" w:rsidRPr="00102D53" w:rsidTr="004D2E3E">
        <w:trPr>
          <w:trHeight w:val="125"/>
        </w:trPr>
        <w:tc>
          <w:tcPr>
            <w:tcW w:w="0" w:type="auto"/>
            <w:vMerge w:val="restart"/>
            <w:tcBorders>
              <w:top w:val="single" w:sz="6" w:space="0" w:color="auto"/>
            </w:tcBorders>
            <w:shd w:val="clear" w:color="auto" w:fill="auto"/>
          </w:tcPr>
          <w:p w:rsidR="00A2038E" w:rsidRPr="00102D53" w:rsidRDefault="00A2038E" w:rsidP="004D2E3E">
            <w:pPr>
              <w:snapToGrid w:val="0"/>
              <w:contextualSpacing/>
              <w:rPr>
                <w:rFonts w:ascii="Garamond" w:hAnsi="Garamond"/>
                <w:color w:val="000000"/>
              </w:rPr>
            </w:pPr>
            <w:r w:rsidRPr="00102D53">
              <w:rPr>
                <w:rFonts w:ascii="Garamond" w:hAnsi="Garamond"/>
                <w:color w:val="000000"/>
              </w:rPr>
              <w:t>Contacted, Uninformed,</w:t>
            </w:r>
            <w:r>
              <w:rPr>
                <w:rFonts w:ascii="Garamond" w:hAnsi="Garamond"/>
                <w:color w:val="000000"/>
              </w:rPr>
              <w:t xml:space="preserve"> voted in &gt; 2 recent elections</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.071</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.054</w:t>
            </w:r>
          </w:p>
        </w:tc>
        <w:tc>
          <w:tcPr>
            <w:tcW w:w="0" w:type="auto"/>
            <w:tcBorders>
              <w:top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−.007</w:t>
            </w:r>
          </w:p>
        </w:tc>
        <w:tc>
          <w:tcPr>
            <w:tcW w:w="0" w:type="auto"/>
            <w:tcBorders>
              <w:top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−.033</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1.054</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.138</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.076</w:t>
            </w:r>
          </w:p>
        </w:tc>
        <w:tc>
          <w:tcPr>
            <w:tcW w:w="0" w:type="auto"/>
            <w:tcBorders>
              <w:top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.019</w:t>
            </w:r>
          </w:p>
        </w:tc>
        <w:tc>
          <w:tcPr>
            <w:tcW w:w="0" w:type="auto"/>
            <w:tcBorders>
              <w:top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.002</w:t>
            </w:r>
          </w:p>
        </w:tc>
      </w:tr>
      <w:tr w:rsidR="00A2038E" w:rsidRPr="00102D53" w:rsidTr="004D2E3E">
        <w:trPr>
          <w:trHeight w:val="297"/>
        </w:trPr>
        <w:tc>
          <w:tcPr>
            <w:tcW w:w="0" w:type="auto"/>
            <w:vMerge/>
            <w:tcBorders>
              <w:bottom w:val="single" w:sz="6" w:space="0" w:color="auto"/>
            </w:tcBorders>
            <w:shd w:val="clear" w:color="auto" w:fill="auto"/>
          </w:tcPr>
          <w:p w:rsidR="00A2038E" w:rsidRPr="00102D53" w:rsidRDefault="00A2038E" w:rsidP="004D2E3E">
            <w:pPr>
              <w:snapToGrid w:val="0"/>
              <w:contextualSpacing/>
              <w:rPr>
                <w:rFonts w:ascii="Garamond" w:hAnsi="Garamond"/>
                <w:color w:val="000000"/>
              </w:rPr>
            </w:pP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(.054)</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(.046)</w:t>
            </w:r>
          </w:p>
        </w:tc>
        <w:tc>
          <w:tcPr>
            <w:tcW w:w="0" w:type="auto"/>
            <w:tcBorders>
              <w:bottom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(.047</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(.023</w:t>
            </w:r>
            <w:r w:rsidR="00A2038E" w:rsidRPr="00102D53">
              <w:rPr>
                <w:rFonts w:ascii="Garamond" w:hAnsi="Garamond"/>
                <w:color w:val="000000"/>
              </w:rPr>
              <w:t>)</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(2.743)</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(.094)</w:t>
            </w:r>
          </w:p>
        </w:tc>
        <w:tc>
          <w:tcPr>
            <w:tcW w:w="0" w:type="auto"/>
            <w:tcBorders>
              <w:bottom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(.050)</w:t>
            </w:r>
          </w:p>
        </w:tc>
        <w:tc>
          <w:tcPr>
            <w:tcW w:w="0" w:type="auto"/>
            <w:tcBorders>
              <w:bottom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(.017)</w:t>
            </w:r>
          </w:p>
        </w:tc>
        <w:tc>
          <w:tcPr>
            <w:tcW w:w="0" w:type="auto"/>
            <w:tcBorders>
              <w:bottom w:val="single" w:sz="6"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(.024)</w:t>
            </w:r>
          </w:p>
        </w:tc>
      </w:tr>
      <w:tr w:rsidR="00A2038E" w:rsidRPr="00102D53" w:rsidTr="004D2E3E">
        <w:trPr>
          <w:trHeight w:val="315"/>
        </w:trPr>
        <w:tc>
          <w:tcPr>
            <w:tcW w:w="0" w:type="auto"/>
            <w:vMerge w:val="restart"/>
            <w:tcBorders>
              <w:top w:val="single" w:sz="6" w:space="0" w:color="auto"/>
            </w:tcBorders>
            <w:shd w:val="clear" w:color="auto" w:fill="auto"/>
          </w:tcPr>
          <w:p w:rsidR="00A2038E" w:rsidRPr="00102D53" w:rsidRDefault="00A2038E" w:rsidP="004D2E3E">
            <w:pPr>
              <w:snapToGrid w:val="0"/>
              <w:contextualSpacing/>
              <w:rPr>
                <w:rFonts w:ascii="Garamond" w:hAnsi="Garamond"/>
                <w:color w:val="000000"/>
              </w:rPr>
            </w:pPr>
            <w:r w:rsidRPr="00102D53">
              <w:rPr>
                <w:rFonts w:ascii="Garamond" w:hAnsi="Garamond"/>
                <w:color w:val="000000"/>
              </w:rPr>
              <w:t>Contacted, Uninformed,</w:t>
            </w:r>
            <w:r>
              <w:rPr>
                <w:rFonts w:ascii="Garamond" w:hAnsi="Garamond"/>
                <w:color w:val="000000"/>
              </w:rPr>
              <w:t xml:space="preserve"> voted in </w:t>
            </w:r>
            <w:r w:rsidRPr="00102D53">
              <w:rPr>
                <w:rFonts w:ascii="Garamond" w:hAnsi="Garamond"/>
                <w:color w:val="000000"/>
              </w:rPr>
              <w:t>≤ 2 recent elections</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.039</w:t>
            </w:r>
          </w:p>
        </w:tc>
        <w:tc>
          <w:tcPr>
            <w:tcW w:w="0" w:type="auto"/>
            <w:tcBorders>
              <w:top w:val="single" w:sz="6"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.009</w:t>
            </w:r>
          </w:p>
        </w:tc>
        <w:tc>
          <w:tcPr>
            <w:tcW w:w="0" w:type="auto"/>
            <w:tcBorders>
              <w:top w:val="single" w:sz="6"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−.067</w:t>
            </w:r>
          </w:p>
        </w:tc>
        <w:tc>
          <w:tcPr>
            <w:tcW w:w="0" w:type="auto"/>
            <w:tcBorders>
              <w:top w:val="single" w:sz="6"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w:t>
            </w:r>
            <w:r w:rsidR="00A2038E" w:rsidRPr="00102D53">
              <w:rPr>
                <w:rFonts w:ascii="Garamond" w:hAnsi="Garamond"/>
                <w:color w:val="000000"/>
              </w:rPr>
              <w:t>.020</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4.844</w:t>
            </w:r>
          </w:p>
        </w:tc>
        <w:tc>
          <w:tcPr>
            <w:tcW w:w="0" w:type="auto"/>
            <w:tcBorders>
              <w:top w:val="single" w:sz="6"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.056</w:t>
            </w:r>
          </w:p>
        </w:tc>
        <w:tc>
          <w:tcPr>
            <w:tcW w:w="0" w:type="auto"/>
            <w:tcBorders>
              <w:top w:val="single" w:sz="6" w:space="0" w:color="auto"/>
            </w:tcBorders>
            <w:shd w:val="clear" w:color="auto" w:fill="auto"/>
          </w:tcPr>
          <w:p w:rsidR="00A2038E" w:rsidRPr="00102D53" w:rsidRDefault="002B4432" w:rsidP="004D2E3E">
            <w:pPr>
              <w:snapToGrid w:val="0"/>
              <w:contextualSpacing/>
              <w:jc w:val="center"/>
              <w:rPr>
                <w:rFonts w:ascii="Garamond" w:hAnsi="Garamond"/>
                <w:color w:val="000000"/>
              </w:rPr>
            </w:pPr>
            <w:r>
              <w:rPr>
                <w:rFonts w:ascii="Garamond" w:hAnsi="Garamond"/>
                <w:color w:val="000000"/>
              </w:rPr>
              <w:t>−.072</w:t>
            </w:r>
          </w:p>
        </w:tc>
        <w:tc>
          <w:tcPr>
            <w:tcW w:w="0" w:type="auto"/>
            <w:tcBorders>
              <w:top w:val="single" w:sz="6"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−.014</w:t>
            </w:r>
          </w:p>
        </w:tc>
        <w:tc>
          <w:tcPr>
            <w:tcW w:w="0" w:type="auto"/>
            <w:tcBorders>
              <w:top w:val="single" w:sz="6" w:space="0" w:color="auto"/>
            </w:tcBorders>
          </w:tcPr>
          <w:p w:rsidR="00A2038E" w:rsidRPr="00102D53" w:rsidRDefault="00451CDD" w:rsidP="004D2E3E">
            <w:pPr>
              <w:snapToGrid w:val="0"/>
              <w:contextualSpacing/>
              <w:jc w:val="center"/>
              <w:rPr>
                <w:rFonts w:ascii="Garamond" w:hAnsi="Garamond"/>
                <w:color w:val="000000"/>
              </w:rPr>
            </w:pPr>
            <w:r>
              <w:rPr>
                <w:rFonts w:ascii="Garamond" w:hAnsi="Garamond"/>
                <w:color w:val="000000"/>
              </w:rPr>
              <w:t>−.003</w:t>
            </w:r>
          </w:p>
        </w:tc>
      </w:tr>
      <w:tr w:rsidR="00A2038E" w:rsidRPr="00102D53" w:rsidTr="004D2E3E">
        <w:trPr>
          <w:trHeight w:val="315"/>
        </w:trPr>
        <w:tc>
          <w:tcPr>
            <w:tcW w:w="0" w:type="auto"/>
            <w:vMerge/>
            <w:tcBorders>
              <w:bottom w:val="single" w:sz="12" w:space="0" w:color="auto"/>
            </w:tcBorders>
            <w:shd w:val="clear" w:color="auto" w:fill="auto"/>
            <w:vAlign w:val="bottom"/>
          </w:tcPr>
          <w:p w:rsidR="00A2038E" w:rsidRPr="00102D53" w:rsidRDefault="00A2038E" w:rsidP="00783D9B">
            <w:pPr>
              <w:snapToGrid w:val="0"/>
              <w:contextualSpacing/>
              <w:rPr>
                <w:rFonts w:ascii="Garamond" w:hAnsi="Garamond"/>
                <w:color w:val="000000"/>
              </w:rPr>
            </w:pPr>
          </w:p>
        </w:tc>
        <w:tc>
          <w:tcPr>
            <w:tcW w:w="0" w:type="auto"/>
            <w:tcBorders>
              <w:bottom w:val="single" w:sz="12" w:space="0" w:color="auto"/>
            </w:tcBorders>
            <w:shd w:val="clear" w:color="auto" w:fill="auto"/>
          </w:tcPr>
          <w:p w:rsidR="00A2038E" w:rsidRPr="00102D53" w:rsidRDefault="00EB2DFC" w:rsidP="004D2E3E">
            <w:pPr>
              <w:snapToGrid w:val="0"/>
              <w:contextualSpacing/>
              <w:jc w:val="center"/>
              <w:rPr>
                <w:rFonts w:ascii="Garamond" w:hAnsi="Garamond"/>
                <w:color w:val="000000"/>
              </w:rPr>
            </w:pPr>
            <w:r>
              <w:rPr>
                <w:rFonts w:ascii="Garamond" w:hAnsi="Garamond"/>
                <w:color w:val="000000"/>
              </w:rPr>
              <w:t>(.049</w:t>
            </w:r>
            <w:r w:rsidR="00A2038E" w:rsidRPr="00102D53">
              <w:rPr>
                <w:rFonts w:ascii="Garamond" w:hAnsi="Garamond"/>
                <w:color w:val="000000"/>
              </w:rPr>
              <w:t>)</w:t>
            </w:r>
          </w:p>
        </w:tc>
        <w:tc>
          <w:tcPr>
            <w:tcW w:w="0" w:type="auto"/>
            <w:tcBorders>
              <w:bottom w:val="single" w:sz="12"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(.016)</w:t>
            </w:r>
          </w:p>
        </w:tc>
        <w:tc>
          <w:tcPr>
            <w:tcW w:w="0" w:type="auto"/>
            <w:tcBorders>
              <w:bottom w:val="single" w:sz="12" w:space="0" w:color="auto"/>
            </w:tcBorders>
            <w:shd w:val="clear" w:color="auto" w:fill="auto"/>
          </w:tcPr>
          <w:p w:rsidR="00A2038E" w:rsidRPr="00102D53" w:rsidRDefault="00EB6E79" w:rsidP="004D2E3E">
            <w:pPr>
              <w:snapToGrid w:val="0"/>
              <w:contextualSpacing/>
              <w:jc w:val="center"/>
              <w:rPr>
                <w:rFonts w:ascii="Garamond" w:hAnsi="Garamond"/>
                <w:color w:val="000000"/>
              </w:rPr>
            </w:pPr>
            <w:r>
              <w:rPr>
                <w:rFonts w:ascii="Garamond" w:hAnsi="Garamond"/>
                <w:color w:val="000000"/>
              </w:rPr>
              <w:t>(.077</w:t>
            </w:r>
            <w:r w:rsidR="00A2038E" w:rsidRPr="00102D53">
              <w:rPr>
                <w:rFonts w:ascii="Garamond" w:hAnsi="Garamond"/>
                <w:color w:val="000000"/>
              </w:rPr>
              <w:t>)</w:t>
            </w:r>
          </w:p>
        </w:tc>
        <w:tc>
          <w:tcPr>
            <w:tcW w:w="0" w:type="auto"/>
            <w:tcBorders>
              <w:bottom w:val="single" w:sz="12" w:space="0" w:color="auto"/>
            </w:tcBorders>
            <w:shd w:val="clear" w:color="auto" w:fill="auto"/>
          </w:tcPr>
          <w:p w:rsidR="00A2038E" w:rsidRPr="00102D53" w:rsidRDefault="004D2E3E" w:rsidP="004D2E3E">
            <w:pPr>
              <w:snapToGrid w:val="0"/>
              <w:contextualSpacing/>
              <w:jc w:val="center"/>
              <w:rPr>
                <w:rFonts w:ascii="Garamond" w:hAnsi="Garamond"/>
                <w:color w:val="000000"/>
              </w:rPr>
            </w:pPr>
            <w:r>
              <w:rPr>
                <w:rFonts w:ascii="Garamond" w:hAnsi="Garamond"/>
                <w:color w:val="000000"/>
              </w:rPr>
              <w:t>(.044</w:t>
            </w:r>
            <w:r w:rsidR="00A2038E" w:rsidRPr="00102D53">
              <w:rPr>
                <w:rFonts w:ascii="Garamond" w:hAnsi="Garamond"/>
                <w:color w:val="000000"/>
              </w:rPr>
              <w:t>)</w:t>
            </w:r>
          </w:p>
        </w:tc>
        <w:tc>
          <w:tcPr>
            <w:tcW w:w="0" w:type="auto"/>
            <w:tcBorders>
              <w:bottom w:val="single" w:sz="12"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(2.816</w:t>
            </w:r>
            <w:r w:rsidR="00A2038E" w:rsidRPr="00102D53">
              <w:rPr>
                <w:rFonts w:ascii="Garamond" w:hAnsi="Garamond"/>
                <w:color w:val="000000"/>
              </w:rPr>
              <w:t>)</w:t>
            </w:r>
          </w:p>
        </w:tc>
        <w:tc>
          <w:tcPr>
            <w:tcW w:w="0" w:type="auto"/>
            <w:tcBorders>
              <w:bottom w:val="single" w:sz="12" w:space="0" w:color="auto"/>
            </w:tcBorders>
            <w:shd w:val="clear" w:color="auto" w:fill="auto"/>
          </w:tcPr>
          <w:p w:rsidR="00A2038E" w:rsidRPr="00102D53" w:rsidRDefault="00A02F0C" w:rsidP="004D2E3E">
            <w:pPr>
              <w:snapToGrid w:val="0"/>
              <w:contextualSpacing/>
              <w:jc w:val="center"/>
              <w:rPr>
                <w:rFonts w:ascii="Garamond" w:hAnsi="Garamond"/>
                <w:color w:val="000000"/>
              </w:rPr>
            </w:pPr>
            <w:r>
              <w:rPr>
                <w:rFonts w:ascii="Garamond" w:hAnsi="Garamond"/>
                <w:color w:val="000000"/>
              </w:rPr>
              <w:t>(.074</w:t>
            </w:r>
            <w:r w:rsidR="00A2038E" w:rsidRPr="00102D53">
              <w:rPr>
                <w:rFonts w:ascii="Garamond" w:hAnsi="Garamond"/>
                <w:color w:val="000000"/>
              </w:rPr>
              <w:t>)</w:t>
            </w:r>
          </w:p>
        </w:tc>
        <w:tc>
          <w:tcPr>
            <w:tcW w:w="0" w:type="auto"/>
            <w:tcBorders>
              <w:bottom w:val="single" w:sz="12" w:space="0" w:color="auto"/>
            </w:tcBorders>
            <w:shd w:val="clear" w:color="auto" w:fill="auto"/>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(.054)</w:t>
            </w:r>
          </w:p>
        </w:tc>
        <w:tc>
          <w:tcPr>
            <w:tcW w:w="0" w:type="auto"/>
            <w:tcBorders>
              <w:bottom w:val="single" w:sz="12" w:space="0" w:color="auto"/>
            </w:tcBorders>
          </w:tcPr>
          <w:p w:rsidR="00A2038E" w:rsidRPr="00102D53" w:rsidRDefault="002B4432" w:rsidP="004D2E3E">
            <w:pPr>
              <w:snapToGrid w:val="0"/>
              <w:contextualSpacing/>
              <w:jc w:val="center"/>
              <w:rPr>
                <w:rFonts w:ascii="Garamond" w:hAnsi="Garamond"/>
                <w:color w:val="000000"/>
              </w:rPr>
            </w:pPr>
            <w:r>
              <w:rPr>
                <w:rFonts w:ascii="Garamond" w:hAnsi="Garamond"/>
                <w:color w:val="000000"/>
              </w:rPr>
              <w:t>(.010</w:t>
            </w:r>
            <w:r w:rsidR="00A2038E" w:rsidRPr="00102D53">
              <w:rPr>
                <w:rFonts w:ascii="Garamond" w:hAnsi="Garamond"/>
                <w:color w:val="000000"/>
              </w:rPr>
              <w:t>)</w:t>
            </w:r>
          </w:p>
        </w:tc>
        <w:tc>
          <w:tcPr>
            <w:tcW w:w="0" w:type="auto"/>
            <w:tcBorders>
              <w:bottom w:val="single" w:sz="12" w:space="0" w:color="auto"/>
            </w:tcBorders>
          </w:tcPr>
          <w:p w:rsidR="00A2038E" w:rsidRPr="00102D53" w:rsidRDefault="00A2038E" w:rsidP="004D2E3E">
            <w:pPr>
              <w:snapToGrid w:val="0"/>
              <w:contextualSpacing/>
              <w:jc w:val="center"/>
              <w:rPr>
                <w:rFonts w:ascii="Garamond" w:hAnsi="Garamond"/>
                <w:color w:val="000000"/>
              </w:rPr>
            </w:pPr>
            <w:r w:rsidRPr="00102D53">
              <w:rPr>
                <w:rFonts w:ascii="Garamond" w:hAnsi="Garamond"/>
                <w:color w:val="000000"/>
              </w:rPr>
              <w:t>(.016)</w:t>
            </w:r>
          </w:p>
        </w:tc>
      </w:tr>
    </w:tbl>
    <w:p w:rsidR="00B54749" w:rsidRPr="00102D53" w:rsidRDefault="00B54749" w:rsidP="00B54749">
      <w:pPr>
        <w:spacing w:after="200"/>
        <w:contextualSpacing/>
        <w:rPr>
          <w:rFonts w:ascii="Garamond" w:hAnsi="Garamond" w:cs="CMR12"/>
          <w:kern w:val="0"/>
          <w:lang w:eastAsia="en-US" w:bidi="ar-SA"/>
        </w:rPr>
      </w:pPr>
      <w:r w:rsidRPr="00102D53">
        <w:rPr>
          <w:rFonts w:ascii="Garamond" w:hAnsi="Garamond"/>
        </w:rPr>
        <w:t xml:space="preserve">Standard </w:t>
      </w:r>
      <w:r w:rsidR="003944BB">
        <w:rPr>
          <w:rFonts w:ascii="Garamond" w:hAnsi="Garamond"/>
        </w:rPr>
        <w:t>errors in parentheses</w:t>
      </w:r>
    </w:p>
    <w:p w:rsidR="00B54749" w:rsidRPr="00B54749" w:rsidRDefault="00B54749" w:rsidP="00121C30">
      <w:pPr>
        <w:spacing w:line="480" w:lineRule="auto"/>
        <w:rPr>
          <w:rFonts w:ascii="Garamond" w:hAnsi="Garamond"/>
          <w:b/>
        </w:rPr>
      </w:pPr>
    </w:p>
    <w:p w:rsidR="00121C30" w:rsidRPr="00102D53" w:rsidRDefault="00121C30" w:rsidP="00121C30">
      <w:pPr>
        <w:spacing w:line="480" w:lineRule="auto"/>
        <w:rPr>
          <w:rFonts w:ascii="Garamond" w:hAnsi="Garamond"/>
        </w:rPr>
      </w:pPr>
    </w:p>
    <w:p w:rsidR="00B54749" w:rsidRDefault="00B54749">
      <w:pPr>
        <w:suppressAutoHyphens w:val="0"/>
        <w:spacing w:after="200" w:line="276" w:lineRule="auto"/>
        <w:rPr>
          <w:rFonts w:ascii="Garamond" w:hAnsi="Garamond"/>
          <w:b/>
        </w:rPr>
      </w:pPr>
      <w:r>
        <w:rPr>
          <w:rFonts w:ascii="Garamond" w:hAnsi="Garamond"/>
          <w:b/>
        </w:rPr>
        <w:br w:type="page"/>
      </w:r>
    </w:p>
    <w:p w:rsidR="00A2038E" w:rsidRDefault="00A2038E" w:rsidP="00121C30">
      <w:pPr>
        <w:spacing w:line="480" w:lineRule="auto"/>
        <w:rPr>
          <w:rFonts w:ascii="Garamond" w:hAnsi="Garamond"/>
          <w:b/>
        </w:rPr>
        <w:sectPr w:rsidR="00A2038E" w:rsidSect="00A2038E">
          <w:pgSz w:w="15840" w:h="12240" w:orient="landscape"/>
          <w:pgMar w:top="1440" w:right="1440" w:bottom="1440" w:left="1440" w:header="720" w:footer="1440" w:gutter="0"/>
          <w:cols w:space="720"/>
          <w:docGrid w:linePitch="360"/>
        </w:sectPr>
      </w:pPr>
    </w:p>
    <w:p w:rsidR="00121C30" w:rsidRPr="00102D53" w:rsidRDefault="00121C30" w:rsidP="00294CC6">
      <w:pPr>
        <w:spacing w:line="480" w:lineRule="auto"/>
        <w:jc w:val="both"/>
        <w:rPr>
          <w:rFonts w:ascii="Garamond" w:hAnsi="Garamond"/>
          <w:b/>
        </w:rPr>
      </w:pPr>
      <w:r w:rsidRPr="00102D53">
        <w:rPr>
          <w:rFonts w:ascii="Garamond" w:hAnsi="Garamond"/>
          <w:b/>
        </w:rPr>
        <w:lastRenderedPageBreak/>
        <w:t>Wording of Scripts Given to Callers</w:t>
      </w:r>
    </w:p>
    <w:p w:rsidR="00121C30" w:rsidRPr="00102D53" w:rsidRDefault="00121C30" w:rsidP="00294CC6">
      <w:pPr>
        <w:spacing w:line="480" w:lineRule="auto"/>
        <w:jc w:val="both"/>
        <w:rPr>
          <w:rFonts w:ascii="Garamond" w:hAnsi="Garamond"/>
          <w:u w:val="single"/>
        </w:rPr>
      </w:pPr>
      <w:r w:rsidRPr="00102D53">
        <w:rPr>
          <w:rFonts w:ascii="Garamond" w:hAnsi="Garamond"/>
          <w:u w:val="single"/>
        </w:rPr>
        <w:t xml:space="preserve">Reminder </w:t>
      </w:r>
      <w:proofErr w:type="spellStart"/>
      <w:r w:rsidRPr="00102D53">
        <w:rPr>
          <w:rFonts w:ascii="Garamond" w:hAnsi="Garamond"/>
          <w:u w:val="single"/>
        </w:rPr>
        <w:t>Treatement</w:t>
      </w:r>
      <w:proofErr w:type="spellEnd"/>
      <w:r w:rsidRPr="00102D53">
        <w:rPr>
          <w:rFonts w:ascii="Garamond" w:hAnsi="Garamond"/>
          <w:u w:val="single"/>
        </w:rPr>
        <w:t>:</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Hello, this is XXXX from Harvard University. We are calling registered voters to provide information about an upcoming election in your town.</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Am I speaking with XXXXXXXX?</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Did you know that there is a special election coming up?</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[IF YES] Do you know when it is?</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We just want to remind you that there's a special election on Tuesday, May 10th to fill the seat of your representative in the Massachusetts State House. For more information on the election you can visit the website of the Secretary of the Commonwealth.</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Goodbye</w:t>
      </w:r>
    </w:p>
    <w:p w:rsidR="00121C30" w:rsidRPr="00102D53" w:rsidRDefault="00121C30" w:rsidP="00294CC6">
      <w:pPr>
        <w:spacing w:line="480" w:lineRule="auto"/>
        <w:jc w:val="both"/>
        <w:rPr>
          <w:rFonts w:ascii="Garamond" w:hAnsi="Garamond"/>
          <w:u w:val="single"/>
        </w:rPr>
      </w:pPr>
    </w:p>
    <w:p w:rsidR="00121C30" w:rsidRPr="00102D53" w:rsidRDefault="00121C30" w:rsidP="00294CC6">
      <w:pPr>
        <w:spacing w:line="480" w:lineRule="auto"/>
        <w:jc w:val="both"/>
        <w:rPr>
          <w:rFonts w:ascii="Garamond" w:hAnsi="Garamond"/>
          <w:u w:val="single"/>
        </w:rPr>
      </w:pPr>
      <w:r w:rsidRPr="00102D53">
        <w:rPr>
          <w:rFonts w:ascii="Garamond" w:hAnsi="Garamond"/>
          <w:u w:val="single"/>
        </w:rPr>
        <w:t xml:space="preserve">Pivotal </w:t>
      </w:r>
      <w:proofErr w:type="spellStart"/>
      <w:r w:rsidRPr="00102D53">
        <w:rPr>
          <w:rFonts w:ascii="Garamond" w:hAnsi="Garamond"/>
          <w:u w:val="single"/>
        </w:rPr>
        <w:t>Treatement</w:t>
      </w:r>
      <w:proofErr w:type="spellEnd"/>
      <w:r w:rsidRPr="00102D53">
        <w:rPr>
          <w:rFonts w:ascii="Garamond" w:hAnsi="Garamond"/>
          <w:u w:val="single"/>
        </w:rPr>
        <w:t>:</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Hello, this is XXXX from Harvard University. We are calling registered voters to provide information about an upcoming election in your town.</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Am I speaking with XXXXXXXX?</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Did you know that there is a special election coming up?</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[IF YES] Do you know when it is?</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We just want to remind you that there's a special election on Tuesday, May 10th to fill the seat of your representative in the Massachusetts State House. For more information on the election you can visit the website of the Secretary of the Commonwealth.</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 xml:space="preserve">The reason that there is a special election is that the last election ended in an exact tie. Had one more or one less person voted in the last election, your candidate would have won. The special </w:t>
      </w:r>
      <w:r w:rsidRPr="00102D53">
        <w:rPr>
          <w:rFonts w:ascii="Garamond" w:eastAsia="Times New Roman" w:hAnsi="Garamond" w:cs="CMR12"/>
          <w:lang w:bidi="ar-SA"/>
        </w:rPr>
        <w:lastRenderedPageBreak/>
        <w:t>election on Tuesday is likely to be close again, so there is a high chance that your vote could make a difference.</w:t>
      </w:r>
    </w:p>
    <w:p w:rsidR="00121C30" w:rsidRPr="00102D53" w:rsidRDefault="00121C30" w:rsidP="00294CC6">
      <w:pPr>
        <w:autoSpaceDE w:val="0"/>
        <w:autoSpaceDN w:val="0"/>
        <w:adjustRightInd w:val="0"/>
        <w:spacing w:line="480" w:lineRule="auto"/>
        <w:jc w:val="both"/>
        <w:rPr>
          <w:rFonts w:ascii="Garamond" w:eastAsia="Times New Roman" w:hAnsi="Garamond" w:cs="CMR12"/>
          <w:lang w:bidi="ar-SA"/>
        </w:rPr>
      </w:pPr>
      <w:r w:rsidRPr="00102D53">
        <w:rPr>
          <w:rFonts w:ascii="Garamond" w:eastAsia="Times New Roman" w:hAnsi="Garamond" w:cs="CMR12"/>
          <w:lang w:bidi="ar-SA"/>
        </w:rPr>
        <w:t>Goodbye</w:t>
      </w:r>
    </w:p>
    <w:p w:rsidR="00121C30" w:rsidRPr="00102D53" w:rsidRDefault="00121C30" w:rsidP="00121C30">
      <w:pPr>
        <w:spacing w:line="480" w:lineRule="auto"/>
        <w:rPr>
          <w:rFonts w:ascii="Garamond" w:hAnsi="Garamond"/>
        </w:rPr>
      </w:pPr>
    </w:p>
    <w:p w:rsidR="00121C30" w:rsidRPr="00102D53" w:rsidRDefault="00121C30" w:rsidP="00121C30">
      <w:pPr>
        <w:spacing w:line="480" w:lineRule="auto"/>
        <w:rPr>
          <w:rFonts w:ascii="Garamond" w:hAnsi="Garamond"/>
        </w:rPr>
      </w:pPr>
    </w:p>
    <w:p w:rsidR="00121C30" w:rsidRPr="00102D53" w:rsidRDefault="00121C30" w:rsidP="00121C30">
      <w:pPr>
        <w:rPr>
          <w:rFonts w:ascii="Garamond" w:hAnsi="Garamond"/>
          <w:b/>
        </w:rPr>
      </w:pPr>
      <w:r w:rsidRPr="00102D53">
        <w:rPr>
          <w:rFonts w:ascii="Garamond" w:hAnsi="Garamond"/>
        </w:rPr>
        <w:br w:type="page"/>
      </w:r>
      <w:r w:rsidR="00B54749" w:rsidRPr="00B54749">
        <w:rPr>
          <w:rFonts w:ascii="Garamond" w:hAnsi="Garamond"/>
          <w:b/>
        </w:rPr>
        <w:lastRenderedPageBreak/>
        <w:t xml:space="preserve">Table A3. </w:t>
      </w:r>
      <w:r w:rsidRPr="00B54749">
        <w:rPr>
          <w:rFonts w:ascii="Garamond" w:eastAsia="Times New Roman" w:hAnsi="Garamond" w:cs="CMR12"/>
          <w:b/>
          <w:lang w:bidi="ar-SA"/>
        </w:rPr>
        <w:t>Mean</w:t>
      </w:r>
      <w:r w:rsidRPr="00102D53">
        <w:rPr>
          <w:rFonts w:ascii="Garamond" w:eastAsia="Times New Roman" w:hAnsi="Garamond" w:cs="CMR12"/>
          <w:b/>
          <w:lang w:bidi="ar-SA"/>
        </w:rPr>
        <w:t xml:space="preserve"> Turnout among each Subset of Experimental Subjects</w:t>
      </w:r>
    </w:p>
    <w:tbl>
      <w:tblPr>
        <w:tblW w:w="9831" w:type="dxa"/>
        <w:tblInd w:w="87" w:type="dxa"/>
        <w:tblLook w:val="04A0" w:firstRow="1" w:lastRow="0" w:firstColumn="1" w:lastColumn="0" w:noHBand="0" w:noVBand="1"/>
      </w:tblPr>
      <w:tblGrid>
        <w:gridCol w:w="5712"/>
        <w:gridCol w:w="1230"/>
        <w:gridCol w:w="938"/>
        <w:gridCol w:w="730"/>
        <w:gridCol w:w="1221"/>
      </w:tblGrid>
      <w:tr w:rsidR="00121C30" w:rsidRPr="00102D53" w:rsidTr="00B17CB3">
        <w:trPr>
          <w:trHeight w:val="315"/>
        </w:trPr>
        <w:tc>
          <w:tcPr>
            <w:tcW w:w="0" w:type="auto"/>
            <w:tcBorders>
              <w:top w:val="single" w:sz="12" w:space="0" w:color="auto"/>
              <w:bottom w:val="single" w:sz="12" w:space="0" w:color="auto"/>
            </w:tcBorders>
            <w:shd w:val="clear" w:color="auto" w:fill="auto"/>
            <w:noWrap/>
            <w:vAlign w:val="bottom"/>
            <w:hideMark/>
          </w:tcPr>
          <w:p w:rsidR="00121C30" w:rsidRPr="00102D53" w:rsidRDefault="00121C30" w:rsidP="00643A64">
            <w:pPr>
              <w:rPr>
                <w:rFonts w:ascii="Garamond" w:eastAsia="Times New Roman" w:hAnsi="Garamond"/>
                <w:color w:val="000000"/>
                <w:lang w:bidi="ar-SA"/>
              </w:rPr>
            </w:pPr>
          </w:p>
        </w:tc>
        <w:tc>
          <w:tcPr>
            <w:tcW w:w="0" w:type="auto"/>
            <w:tcBorders>
              <w:top w:val="single" w:sz="12" w:space="0" w:color="auto"/>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Reminder</w:t>
            </w:r>
          </w:p>
        </w:tc>
        <w:tc>
          <w:tcPr>
            <w:tcW w:w="0" w:type="auto"/>
            <w:tcBorders>
              <w:top w:val="single" w:sz="12" w:space="0" w:color="auto"/>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Pivotal</w:t>
            </w:r>
          </w:p>
        </w:tc>
        <w:tc>
          <w:tcPr>
            <w:tcW w:w="0" w:type="auto"/>
            <w:tcBorders>
              <w:top w:val="single" w:sz="12" w:space="0" w:color="auto"/>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proofErr w:type="spellStart"/>
            <w:r w:rsidRPr="00102D53">
              <w:rPr>
                <w:rFonts w:ascii="Garamond" w:eastAsia="Times New Roman" w:hAnsi="Garamond"/>
                <w:color w:val="000000"/>
                <w:lang w:bidi="ar-SA"/>
              </w:rPr>
              <w:t>Obs</w:t>
            </w:r>
            <w:proofErr w:type="spellEnd"/>
          </w:p>
        </w:tc>
        <w:tc>
          <w:tcPr>
            <w:tcW w:w="1221" w:type="dxa"/>
            <w:tcBorders>
              <w:top w:val="single" w:sz="12" w:space="0" w:color="auto"/>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P-value</w:t>
            </w:r>
          </w:p>
        </w:tc>
      </w:tr>
      <w:tr w:rsidR="00121C30" w:rsidRPr="00102D53" w:rsidTr="00B17CB3">
        <w:trPr>
          <w:trHeight w:val="315"/>
        </w:trPr>
        <w:tc>
          <w:tcPr>
            <w:tcW w:w="0" w:type="auto"/>
            <w:tcBorders>
              <w:top w:val="single" w:sz="12" w:space="0" w:color="auto"/>
            </w:tcBorders>
            <w:shd w:val="clear" w:color="auto" w:fill="auto"/>
            <w:noWrap/>
            <w:vAlign w:val="bottom"/>
            <w:hideMark/>
          </w:tcPr>
          <w:p w:rsidR="00121C30" w:rsidRPr="00102D53" w:rsidRDefault="00121C30" w:rsidP="00643A64">
            <w:pPr>
              <w:rPr>
                <w:rFonts w:ascii="Garamond" w:eastAsia="Times New Roman" w:hAnsi="Garamond"/>
                <w:color w:val="000000"/>
                <w:lang w:bidi="ar-SA"/>
              </w:rPr>
            </w:pPr>
            <w:r w:rsidRPr="00102D53">
              <w:rPr>
                <w:rFonts w:ascii="Garamond" w:eastAsia="Times New Roman" w:hAnsi="Garamond"/>
                <w:color w:val="000000"/>
                <w:lang w:bidi="ar-SA"/>
              </w:rPr>
              <w:t>Intention-to-Treat</w:t>
            </w:r>
          </w:p>
        </w:tc>
        <w:tc>
          <w:tcPr>
            <w:tcW w:w="0" w:type="auto"/>
            <w:tcBorders>
              <w:top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.311</w:t>
            </w:r>
          </w:p>
        </w:tc>
        <w:tc>
          <w:tcPr>
            <w:tcW w:w="0" w:type="auto"/>
            <w:tcBorders>
              <w:top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.318</w:t>
            </w:r>
          </w:p>
        </w:tc>
        <w:tc>
          <w:tcPr>
            <w:tcW w:w="0" w:type="auto"/>
            <w:tcBorders>
              <w:top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5771</w:t>
            </w:r>
          </w:p>
        </w:tc>
        <w:tc>
          <w:tcPr>
            <w:tcW w:w="1221" w:type="dxa"/>
            <w:tcBorders>
              <w:top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.467</w:t>
            </w:r>
          </w:p>
        </w:tc>
      </w:tr>
      <w:tr w:rsidR="00121C30" w:rsidRPr="00102D53" w:rsidTr="00B17CB3">
        <w:trPr>
          <w:trHeight w:val="315"/>
        </w:trPr>
        <w:tc>
          <w:tcPr>
            <w:tcW w:w="0" w:type="auto"/>
            <w:shd w:val="clear" w:color="auto" w:fill="auto"/>
            <w:noWrap/>
            <w:vAlign w:val="bottom"/>
            <w:hideMark/>
          </w:tcPr>
          <w:p w:rsidR="00121C30" w:rsidRPr="00102D53" w:rsidRDefault="00121C30" w:rsidP="00643A64">
            <w:pPr>
              <w:rPr>
                <w:rFonts w:ascii="Garamond" w:eastAsia="Times New Roman" w:hAnsi="Garamond"/>
                <w:color w:val="000000"/>
                <w:lang w:bidi="ar-SA"/>
              </w:rPr>
            </w:pPr>
            <w:r w:rsidRPr="00102D53">
              <w:rPr>
                <w:rFonts w:ascii="Garamond" w:eastAsia="Times New Roman" w:hAnsi="Garamond"/>
                <w:color w:val="000000"/>
                <w:lang w:bidi="ar-SA"/>
              </w:rPr>
              <w:t>Contacted Individuals</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.456</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.472</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489</w:t>
            </w:r>
          </w:p>
        </w:tc>
        <w:tc>
          <w:tcPr>
            <w:tcW w:w="1221" w:type="dxa"/>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.615</w:t>
            </w:r>
          </w:p>
        </w:tc>
      </w:tr>
      <w:tr w:rsidR="00121C30" w:rsidRPr="00102D53" w:rsidTr="00B17CB3">
        <w:trPr>
          <w:trHeight w:val="315"/>
        </w:trPr>
        <w:tc>
          <w:tcPr>
            <w:tcW w:w="0" w:type="auto"/>
            <w:shd w:val="clear" w:color="auto" w:fill="auto"/>
            <w:noWrap/>
            <w:vAlign w:val="bottom"/>
            <w:hideMark/>
          </w:tcPr>
          <w:p w:rsidR="00121C30" w:rsidRPr="00102D53" w:rsidRDefault="00121C30" w:rsidP="00643A64">
            <w:pPr>
              <w:rPr>
                <w:rFonts w:ascii="Garamond" w:eastAsia="Times New Roman" w:hAnsi="Garamond"/>
                <w:color w:val="000000"/>
                <w:lang w:bidi="ar-SA"/>
              </w:rPr>
            </w:pPr>
            <w:r w:rsidRPr="00102D53">
              <w:rPr>
                <w:rFonts w:ascii="Garamond" w:eastAsia="Times New Roman" w:hAnsi="Garamond"/>
                <w:color w:val="000000"/>
                <w:lang w:bidi="ar-SA"/>
              </w:rPr>
              <w:t>Contacted, Uninformed Individuals</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.180</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.237</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167</w:t>
            </w:r>
          </w:p>
        </w:tc>
        <w:tc>
          <w:tcPr>
            <w:tcW w:w="1221" w:type="dxa"/>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.209</w:t>
            </w:r>
          </w:p>
        </w:tc>
      </w:tr>
      <w:tr w:rsidR="00121C30" w:rsidRPr="00102D53" w:rsidTr="00B17CB3">
        <w:trPr>
          <w:trHeight w:val="315"/>
        </w:trPr>
        <w:tc>
          <w:tcPr>
            <w:tcW w:w="0" w:type="auto"/>
            <w:shd w:val="clear" w:color="auto" w:fill="auto"/>
            <w:noWrap/>
            <w:vAlign w:val="bottom"/>
            <w:hideMark/>
          </w:tcPr>
          <w:p w:rsidR="00121C30" w:rsidRPr="00102D53" w:rsidRDefault="00121C30" w:rsidP="00643A64">
            <w:pPr>
              <w:rPr>
                <w:rFonts w:ascii="Garamond" w:eastAsia="Times New Roman" w:hAnsi="Garamond"/>
                <w:color w:val="000000"/>
                <w:lang w:bidi="ar-SA"/>
              </w:rPr>
            </w:pPr>
            <w:r w:rsidRPr="00102D53">
              <w:rPr>
                <w:rFonts w:ascii="Garamond" w:eastAsia="Times New Roman" w:hAnsi="Garamond"/>
                <w:color w:val="000000"/>
                <w:lang w:bidi="ar-SA"/>
              </w:rPr>
              <w:t>Contacted, Uninformed, voted in &gt; 2 recent elections</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.364</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.532</w:t>
            </w:r>
          </w:p>
        </w:tc>
        <w:tc>
          <w:tcPr>
            <w:tcW w:w="0" w:type="auto"/>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77</w:t>
            </w:r>
          </w:p>
        </w:tc>
        <w:tc>
          <w:tcPr>
            <w:tcW w:w="1221" w:type="dxa"/>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.047</w:t>
            </w:r>
          </w:p>
        </w:tc>
      </w:tr>
      <w:tr w:rsidR="00121C30" w:rsidRPr="00102D53" w:rsidTr="00B17CB3">
        <w:trPr>
          <w:trHeight w:val="315"/>
        </w:trPr>
        <w:tc>
          <w:tcPr>
            <w:tcW w:w="0" w:type="auto"/>
            <w:tcBorders>
              <w:bottom w:val="single" w:sz="12" w:space="0" w:color="auto"/>
            </w:tcBorders>
            <w:shd w:val="clear" w:color="auto" w:fill="auto"/>
            <w:noWrap/>
            <w:vAlign w:val="bottom"/>
            <w:hideMark/>
          </w:tcPr>
          <w:p w:rsidR="00121C30" w:rsidRPr="00102D53" w:rsidRDefault="00121C30" w:rsidP="00643A64">
            <w:pPr>
              <w:rPr>
                <w:rFonts w:ascii="Garamond" w:eastAsia="Times New Roman" w:hAnsi="Garamond"/>
                <w:color w:val="000000"/>
                <w:lang w:bidi="ar-SA"/>
              </w:rPr>
            </w:pPr>
            <w:r w:rsidRPr="00102D53">
              <w:rPr>
                <w:rFonts w:ascii="Garamond" w:eastAsia="Times New Roman" w:hAnsi="Garamond"/>
                <w:color w:val="000000"/>
                <w:lang w:bidi="ar-SA"/>
              </w:rPr>
              <w:t>Contacted, Uninformed, voted in ≤ 2 recent elections</w:t>
            </w:r>
          </w:p>
        </w:tc>
        <w:tc>
          <w:tcPr>
            <w:tcW w:w="0" w:type="auto"/>
            <w:tcBorders>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.022</w:t>
            </w:r>
          </w:p>
        </w:tc>
        <w:tc>
          <w:tcPr>
            <w:tcW w:w="0" w:type="auto"/>
            <w:tcBorders>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.033</w:t>
            </w:r>
          </w:p>
        </w:tc>
        <w:tc>
          <w:tcPr>
            <w:tcW w:w="0" w:type="auto"/>
            <w:tcBorders>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90</w:t>
            </w:r>
          </w:p>
        </w:tc>
        <w:tc>
          <w:tcPr>
            <w:tcW w:w="1221" w:type="dxa"/>
            <w:tcBorders>
              <w:bottom w:val="single" w:sz="12" w:space="0" w:color="auto"/>
            </w:tcBorders>
            <w:shd w:val="clear" w:color="auto" w:fill="auto"/>
            <w:noWrap/>
            <w:vAlign w:val="bottom"/>
            <w:hideMark/>
          </w:tcPr>
          <w:p w:rsidR="00121C30" w:rsidRPr="00102D53" w:rsidRDefault="00121C30" w:rsidP="00643A64">
            <w:pPr>
              <w:jc w:val="center"/>
              <w:rPr>
                <w:rFonts w:ascii="Garamond" w:eastAsia="Times New Roman" w:hAnsi="Garamond"/>
                <w:color w:val="000000"/>
                <w:lang w:bidi="ar-SA"/>
              </w:rPr>
            </w:pPr>
            <w:r w:rsidRPr="00102D53">
              <w:rPr>
                <w:rFonts w:ascii="Garamond" w:eastAsia="Times New Roman" w:hAnsi="Garamond"/>
                <w:color w:val="000000"/>
                <w:lang w:bidi="ar-SA"/>
              </w:rPr>
              <w:t>.652</w:t>
            </w:r>
          </w:p>
        </w:tc>
      </w:tr>
    </w:tbl>
    <w:p w:rsidR="00121C30" w:rsidRPr="00102D53" w:rsidRDefault="00121C30" w:rsidP="00121C30">
      <w:pPr>
        <w:autoSpaceDE w:val="0"/>
        <w:autoSpaceDN w:val="0"/>
        <w:adjustRightInd w:val="0"/>
        <w:rPr>
          <w:rFonts w:ascii="Garamond" w:eastAsia="Times New Roman" w:hAnsi="Garamond" w:cs="CMR12"/>
          <w:u w:val="single"/>
          <w:lang w:bidi="ar-SA"/>
        </w:rPr>
      </w:pPr>
    </w:p>
    <w:p w:rsidR="00121C30" w:rsidRPr="00102D53" w:rsidRDefault="00121C30" w:rsidP="00121C30">
      <w:pPr>
        <w:spacing w:after="200" w:line="276" w:lineRule="auto"/>
        <w:rPr>
          <w:rFonts w:ascii="Garamond" w:eastAsia="Times New Roman" w:hAnsi="Garamond" w:cs="CMR12"/>
          <w:u w:val="single"/>
          <w:lang w:bidi="ar-SA"/>
        </w:rPr>
      </w:pPr>
    </w:p>
    <w:p w:rsidR="00B54749" w:rsidRDefault="00B54749">
      <w:pPr>
        <w:suppressAutoHyphens w:val="0"/>
        <w:spacing w:after="200" w:line="276" w:lineRule="auto"/>
        <w:rPr>
          <w:rFonts w:ascii="Garamond" w:hAnsi="Garamond"/>
          <w:b/>
        </w:rPr>
      </w:pPr>
      <w:r>
        <w:rPr>
          <w:rFonts w:ascii="Garamond" w:hAnsi="Garamond"/>
          <w:b/>
        </w:rPr>
        <w:br w:type="page"/>
      </w:r>
    </w:p>
    <w:p w:rsidR="00121C30" w:rsidRDefault="00B54749" w:rsidP="00294CC6">
      <w:pPr>
        <w:spacing w:after="200" w:line="480" w:lineRule="auto"/>
        <w:contextualSpacing/>
        <w:jc w:val="both"/>
        <w:rPr>
          <w:rFonts w:ascii="Garamond" w:hAnsi="Garamond"/>
          <w:b/>
        </w:rPr>
      </w:pPr>
      <w:r>
        <w:rPr>
          <w:rFonts w:ascii="Garamond" w:hAnsi="Garamond"/>
          <w:b/>
        </w:rPr>
        <w:lastRenderedPageBreak/>
        <w:t>References</w:t>
      </w:r>
    </w:p>
    <w:p w:rsidR="005B172D" w:rsidRDefault="005B172D"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r w:rsidRPr="00102D53">
        <w:rPr>
          <w:rFonts w:ascii="Garamond" w:hAnsi="Garamond" w:cs="CMR12"/>
          <w:kern w:val="0"/>
          <w:lang w:eastAsia="en-US" w:bidi="ar-SA"/>
        </w:rPr>
        <w:t>Aldrich, John.</w:t>
      </w:r>
      <w:r w:rsidR="00C3741F">
        <w:rPr>
          <w:rFonts w:ascii="Garamond" w:hAnsi="Garamond" w:cs="CMR12"/>
          <w:kern w:val="0"/>
          <w:lang w:eastAsia="en-US" w:bidi="ar-SA"/>
        </w:rPr>
        <w:t xml:space="preserve"> </w:t>
      </w:r>
      <w:r w:rsidRPr="00102D53">
        <w:rPr>
          <w:rFonts w:ascii="Garamond" w:hAnsi="Garamond" w:cs="CMR12"/>
          <w:kern w:val="0"/>
          <w:lang w:eastAsia="en-US" w:bidi="ar-SA"/>
        </w:rPr>
        <w:t>1976.</w:t>
      </w:r>
      <w:r w:rsidR="00C3741F">
        <w:rPr>
          <w:rFonts w:ascii="Garamond" w:hAnsi="Garamond" w:cs="CMR12"/>
          <w:kern w:val="0"/>
          <w:lang w:eastAsia="en-US" w:bidi="ar-SA"/>
        </w:rPr>
        <w:t xml:space="preserve"> </w:t>
      </w:r>
      <w:r w:rsidRPr="00102D53">
        <w:rPr>
          <w:rFonts w:ascii="Garamond" w:hAnsi="Garamond" w:cs="CMR12"/>
          <w:kern w:val="0"/>
          <w:lang w:eastAsia="en-US" w:bidi="ar-SA"/>
        </w:rPr>
        <w:t>Some Problems in Testing Two Rational Models of Participation.</w:t>
      </w:r>
      <w:r w:rsidR="00C3741F">
        <w:rPr>
          <w:rFonts w:ascii="Garamond" w:hAnsi="Garamond" w:cs="CMR12"/>
          <w:kern w:val="0"/>
          <w:lang w:eastAsia="en-US" w:bidi="ar-SA"/>
        </w:rPr>
        <w:t xml:space="preserve"> </w:t>
      </w:r>
      <w:r w:rsidRPr="00102D53">
        <w:rPr>
          <w:rFonts w:ascii="Garamond" w:hAnsi="Garamond" w:cs="CMR12"/>
          <w:i/>
          <w:kern w:val="0"/>
          <w:lang w:eastAsia="en-US" w:bidi="ar-SA"/>
        </w:rPr>
        <w:t>American Journal of Political Science 20</w:t>
      </w:r>
      <w:r w:rsidR="00A23F6B">
        <w:rPr>
          <w:rFonts w:ascii="Garamond" w:hAnsi="Garamond" w:cs="CMR12"/>
          <w:kern w:val="0"/>
          <w:lang w:eastAsia="en-US" w:bidi="ar-SA"/>
        </w:rPr>
        <w:t>(4):713-733</w:t>
      </w:r>
      <w:r w:rsidR="00C002A6">
        <w:rPr>
          <w:rFonts w:ascii="Garamond" w:hAnsi="Garamond" w:cs="CMR12"/>
          <w:kern w:val="0"/>
          <w:lang w:eastAsia="en-US" w:bidi="ar-SA"/>
        </w:rPr>
        <w:t>.</w:t>
      </w:r>
    </w:p>
    <w:p w:rsidR="00C002A6" w:rsidRPr="00102D53"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Ansolabehere</w:t>
      </w:r>
      <w:proofErr w:type="spellEnd"/>
      <w:r w:rsidRPr="00102D53">
        <w:rPr>
          <w:rFonts w:ascii="Garamond" w:hAnsi="Garamond" w:cs="CMR12"/>
          <w:kern w:val="0"/>
          <w:lang w:eastAsia="en-US" w:bidi="ar-SA"/>
        </w:rPr>
        <w:t xml:space="preserve">, Stephen and </w:t>
      </w:r>
      <w:proofErr w:type="spellStart"/>
      <w:r w:rsidRPr="00102D53">
        <w:rPr>
          <w:rFonts w:ascii="Garamond" w:hAnsi="Garamond" w:cs="CMR12"/>
          <w:kern w:val="0"/>
          <w:lang w:eastAsia="en-US" w:bidi="ar-SA"/>
        </w:rPr>
        <w:t>Shanto</w:t>
      </w:r>
      <w:proofErr w:type="spellEnd"/>
      <w:r w:rsidRPr="00102D53">
        <w:rPr>
          <w:rFonts w:ascii="Garamond" w:hAnsi="Garamond" w:cs="CMR12"/>
          <w:kern w:val="0"/>
          <w:lang w:eastAsia="en-US" w:bidi="ar-SA"/>
        </w:rPr>
        <w:t xml:space="preserve"> </w:t>
      </w:r>
      <w:proofErr w:type="spellStart"/>
      <w:r w:rsidRPr="00102D53">
        <w:rPr>
          <w:rFonts w:ascii="Garamond" w:hAnsi="Garamond" w:cs="CMR12"/>
          <w:kern w:val="0"/>
          <w:lang w:eastAsia="en-US" w:bidi="ar-SA"/>
        </w:rPr>
        <w:t>Iyengar</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1994.</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Of</w:t>
      </w:r>
      <w:proofErr w:type="gramEnd"/>
      <w:r w:rsidRPr="00102D53">
        <w:rPr>
          <w:rFonts w:ascii="Garamond" w:hAnsi="Garamond" w:cs="CMR12"/>
          <w:kern w:val="0"/>
          <w:lang w:eastAsia="en-US" w:bidi="ar-SA"/>
        </w:rPr>
        <w:t xml:space="preserve"> Horseshoes and Horse Races: Experimental Studies of the Impact of Poll Results on Electoral Behavior.</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Political Communication </w:t>
      </w:r>
      <w:r w:rsidRPr="00102D53">
        <w:rPr>
          <w:rFonts w:ascii="Garamond" w:hAnsi="Garamond" w:cs="CMR12"/>
          <w:kern w:val="0"/>
          <w:lang w:eastAsia="en-US" w:bidi="ar-SA"/>
        </w:rPr>
        <w:t>11(4):413-430.</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Ansolabehere</w:t>
      </w:r>
      <w:proofErr w:type="spellEnd"/>
      <w:r w:rsidRPr="00102D53">
        <w:rPr>
          <w:rFonts w:ascii="Garamond" w:hAnsi="Garamond" w:cs="CMR12"/>
          <w:kern w:val="0"/>
          <w:lang w:eastAsia="en-US" w:bidi="ar-SA"/>
        </w:rPr>
        <w:t>, Stephen and James Snyder.</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2000.</w:t>
      </w:r>
      <w:r w:rsidR="00C3741F">
        <w:rPr>
          <w:rFonts w:ascii="Garamond" w:hAnsi="Garamond" w:cs="CMR12"/>
          <w:kern w:val="0"/>
          <w:lang w:eastAsia="en-US" w:bidi="ar-SA"/>
        </w:rPr>
        <w:t xml:space="preserve"> </w:t>
      </w:r>
      <w:r w:rsidRPr="00102D53">
        <w:rPr>
          <w:rFonts w:ascii="Garamond" w:hAnsi="Garamond" w:cs="CMR12"/>
          <w:kern w:val="0"/>
          <w:lang w:eastAsia="en-US" w:bidi="ar-SA"/>
        </w:rPr>
        <w:t>Soft Money, Hard Money, Strong Parties.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Columbia Law Review </w:t>
      </w:r>
      <w:r w:rsidRPr="00102D53">
        <w:rPr>
          <w:rFonts w:ascii="Garamond" w:hAnsi="Garamond" w:cs="CMR12"/>
          <w:kern w:val="0"/>
          <w:lang w:eastAsia="en-US" w:bidi="ar-SA"/>
        </w:rPr>
        <w:t>100(3):598-619.</w:t>
      </w:r>
    </w:p>
    <w:p w:rsidR="00A23F6B" w:rsidRDefault="00A23F6B"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r w:rsidRPr="00102D53">
        <w:rPr>
          <w:rFonts w:ascii="Garamond" w:hAnsi="Garamond" w:cs="CMR12"/>
          <w:kern w:val="0"/>
          <w:lang w:val="de-DE" w:eastAsia="en-US" w:bidi="ar-SA"/>
        </w:rPr>
        <w:t>Barzel, Yoram and Eugene Silberberg.</w:t>
      </w:r>
      <w:r w:rsidR="00C3741F">
        <w:rPr>
          <w:rFonts w:ascii="Garamond" w:hAnsi="Garamond" w:cs="CMR12"/>
          <w:kern w:val="0"/>
          <w:lang w:val="de-DE" w:eastAsia="en-US" w:bidi="ar-SA"/>
        </w:rPr>
        <w:t xml:space="preserve"> </w:t>
      </w:r>
      <w:r w:rsidRPr="00102D53">
        <w:rPr>
          <w:rFonts w:ascii="Garamond" w:hAnsi="Garamond" w:cs="CMR12"/>
          <w:kern w:val="0"/>
          <w:lang w:eastAsia="en-US" w:bidi="ar-SA"/>
        </w:rPr>
        <w:t>1973.</w:t>
      </w:r>
      <w:r w:rsidR="00C3741F">
        <w:rPr>
          <w:rFonts w:ascii="Garamond" w:hAnsi="Garamond" w:cs="CMR12"/>
          <w:kern w:val="0"/>
          <w:lang w:eastAsia="en-US" w:bidi="ar-SA"/>
        </w:rPr>
        <w:t xml:space="preserve"> </w:t>
      </w:r>
      <w:r w:rsidRPr="00102D53">
        <w:rPr>
          <w:rFonts w:ascii="Garamond" w:hAnsi="Garamond" w:cs="CMR12"/>
          <w:kern w:val="0"/>
          <w:lang w:eastAsia="en-US" w:bidi="ar-SA"/>
        </w:rPr>
        <w:t>Is the Act of Voting Rational?</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Public Choice </w:t>
      </w:r>
      <w:r w:rsidRPr="00102D53">
        <w:rPr>
          <w:rFonts w:ascii="Garamond" w:hAnsi="Garamond" w:cs="CMR12"/>
          <w:kern w:val="0"/>
          <w:lang w:eastAsia="en-US" w:bidi="ar-SA"/>
        </w:rPr>
        <w:t>16(1):51-58.</w:t>
      </w:r>
    </w:p>
    <w:p w:rsidR="00C600D0" w:rsidRDefault="00C600D0"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r w:rsidRPr="00102D53">
        <w:rPr>
          <w:rFonts w:ascii="Garamond" w:hAnsi="Garamond" w:cs="CMR12"/>
          <w:kern w:val="0"/>
          <w:lang w:eastAsia="en-US" w:bidi="ar-SA"/>
        </w:rPr>
        <w:t>Bennion</w:t>
      </w:r>
      <w:proofErr w:type="spellEnd"/>
      <w:r w:rsidRPr="00102D53">
        <w:rPr>
          <w:rFonts w:ascii="Garamond" w:hAnsi="Garamond" w:cs="CMR12"/>
          <w:kern w:val="0"/>
          <w:lang w:eastAsia="en-US" w:bidi="ar-SA"/>
        </w:rPr>
        <w:t>, Elizabeth.</w:t>
      </w:r>
      <w:r w:rsidR="00C3741F">
        <w:rPr>
          <w:rFonts w:ascii="Garamond" w:hAnsi="Garamond" w:cs="CMR12"/>
          <w:kern w:val="0"/>
          <w:lang w:eastAsia="en-US" w:bidi="ar-SA"/>
        </w:rPr>
        <w:t xml:space="preserve"> </w:t>
      </w:r>
      <w:r w:rsidRPr="00102D53">
        <w:rPr>
          <w:rFonts w:ascii="Garamond" w:hAnsi="Garamond" w:cs="CMR12"/>
          <w:kern w:val="0"/>
          <w:lang w:eastAsia="en-US" w:bidi="ar-SA"/>
        </w:rPr>
        <w:t>2005.</w:t>
      </w:r>
      <w:r w:rsidR="00C3741F">
        <w:rPr>
          <w:rFonts w:ascii="Garamond" w:hAnsi="Garamond" w:cs="CMR12"/>
          <w:kern w:val="0"/>
          <w:lang w:eastAsia="en-US" w:bidi="ar-SA"/>
        </w:rPr>
        <w:t xml:space="preserve"> </w:t>
      </w:r>
      <w:r w:rsidRPr="00102D53">
        <w:rPr>
          <w:rFonts w:ascii="Garamond" w:hAnsi="Garamond" w:cs="CMR12"/>
          <w:kern w:val="0"/>
          <w:lang w:eastAsia="en-US" w:bidi="ar-SA"/>
        </w:rPr>
        <w:t>Caught in the Ground Wars: Mobilizing Voters During a Competitive Congressional Campaign.</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Annals of the American Academy of Political and Social Research </w:t>
      </w:r>
      <w:r w:rsidRPr="00102D53">
        <w:rPr>
          <w:rFonts w:ascii="Garamond" w:hAnsi="Garamond" w:cs="CMR12"/>
          <w:kern w:val="0"/>
          <w:lang w:eastAsia="en-US" w:bidi="ar-SA"/>
        </w:rPr>
        <w:t>601:123-141.</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r w:rsidRPr="00102D53">
        <w:rPr>
          <w:rFonts w:ascii="Garamond" w:hAnsi="Garamond" w:cs="CMR12"/>
          <w:kern w:val="0"/>
          <w:lang w:eastAsia="en-US" w:bidi="ar-SA"/>
        </w:rPr>
        <w:t>Berch</w:t>
      </w:r>
      <w:proofErr w:type="spellEnd"/>
      <w:r w:rsidRPr="00102D53">
        <w:rPr>
          <w:rFonts w:ascii="Garamond" w:hAnsi="Garamond" w:cs="CMR12"/>
          <w:kern w:val="0"/>
          <w:lang w:eastAsia="en-US" w:bidi="ar-SA"/>
        </w:rPr>
        <w:t>, Neil.</w:t>
      </w:r>
      <w:r w:rsidR="00C3741F">
        <w:rPr>
          <w:rFonts w:ascii="Garamond" w:hAnsi="Garamond" w:cs="CMR12"/>
          <w:kern w:val="0"/>
          <w:lang w:eastAsia="en-US" w:bidi="ar-SA"/>
        </w:rPr>
        <w:t xml:space="preserve"> </w:t>
      </w:r>
      <w:r w:rsidRPr="00102D53">
        <w:rPr>
          <w:rFonts w:ascii="Garamond" w:hAnsi="Garamond" w:cs="CMR12"/>
          <w:kern w:val="0"/>
          <w:lang w:eastAsia="en-US" w:bidi="ar-SA"/>
        </w:rPr>
        <w:t>1993.</w:t>
      </w:r>
      <w:r w:rsidR="00C3741F">
        <w:rPr>
          <w:rFonts w:ascii="Garamond" w:hAnsi="Garamond" w:cs="CMR12"/>
          <w:kern w:val="0"/>
          <w:lang w:eastAsia="en-US" w:bidi="ar-SA"/>
        </w:rPr>
        <w:t xml:space="preserve"> </w:t>
      </w:r>
      <w:r w:rsidRPr="00102D53">
        <w:rPr>
          <w:rFonts w:ascii="Garamond" w:hAnsi="Garamond" w:cs="CMR12"/>
          <w:kern w:val="0"/>
          <w:lang w:eastAsia="en-US" w:bidi="ar-SA"/>
        </w:rPr>
        <w:t>Another Look at Closeness and Turnout: The Case of the 1979 and 1980 Canadian National Elections.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Political Research Quarterly </w:t>
      </w:r>
      <w:r w:rsidRPr="00102D53">
        <w:rPr>
          <w:rFonts w:ascii="Garamond" w:hAnsi="Garamond" w:cs="CMR12"/>
          <w:kern w:val="0"/>
          <w:lang w:eastAsia="en-US" w:bidi="ar-SA"/>
        </w:rPr>
        <w:t>46(2):421-432.</w:t>
      </w:r>
    </w:p>
    <w:p w:rsidR="000A0B26" w:rsidRDefault="000A0B2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Blais</w:t>
      </w:r>
      <w:proofErr w:type="spellEnd"/>
      <w:r w:rsidRPr="00102D53">
        <w:rPr>
          <w:rFonts w:ascii="Garamond" w:hAnsi="Garamond" w:cs="CMR12"/>
          <w:kern w:val="0"/>
          <w:lang w:eastAsia="en-US" w:bidi="ar-SA"/>
        </w:rPr>
        <w:t xml:space="preserve">, André, Jean-Benoit </w:t>
      </w:r>
      <w:proofErr w:type="spellStart"/>
      <w:r w:rsidRPr="00102D53">
        <w:rPr>
          <w:rFonts w:ascii="Garamond" w:hAnsi="Garamond" w:cs="CMR12"/>
          <w:kern w:val="0"/>
          <w:lang w:eastAsia="en-US" w:bidi="ar-SA"/>
        </w:rPr>
        <w:t>Pilet</w:t>
      </w:r>
      <w:proofErr w:type="spellEnd"/>
      <w:r w:rsidRPr="00102D53">
        <w:rPr>
          <w:rFonts w:ascii="Garamond" w:hAnsi="Garamond" w:cs="CMR12"/>
          <w:kern w:val="0"/>
          <w:lang w:eastAsia="en-US" w:bidi="ar-SA"/>
        </w:rPr>
        <w:t xml:space="preserve">, </w:t>
      </w:r>
      <w:proofErr w:type="spellStart"/>
      <w:r w:rsidRPr="00102D53">
        <w:rPr>
          <w:rFonts w:ascii="Garamond" w:hAnsi="Garamond" w:cs="CMR12"/>
          <w:kern w:val="0"/>
          <w:lang w:eastAsia="en-US" w:bidi="ar-SA"/>
        </w:rPr>
        <w:t>Karine</w:t>
      </w:r>
      <w:proofErr w:type="spellEnd"/>
      <w:r w:rsidRPr="00102D53">
        <w:rPr>
          <w:rFonts w:ascii="Garamond" w:hAnsi="Garamond" w:cs="CMR12"/>
          <w:kern w:val="0"/>
          <w:lang w:eastAsia="en-US" w:bidi="ar-SA"/>
        </w:rPr>
        <w:t xml:space="preserve"> van der </w:t>
      </w:r>
      <w:proofErr w:type="spellStart"/>
      <w:r w:rsidRPr="00102D53">
        <w:rPr>
          <w:rFonts w:ascii="Garamond" w:hAnsi="Garamond" w:cs="CMR12"/>
          <w:kern w:val="0"/>
          <w:lang w:eastAsia="en-US" w:bidi="ar-SA"/>
        </w:rPr>
        <w:t>Straeten</w:t>
      </w:r>
      <w:proofErr w:type="spellEnd"/>
      <w:r w:rsidRPr="00102D53">
        <w:rPr>
          <w:rFonts w:ascii="Garamond" w:hAnsi="Garamond" w:cs="CMR12"/>
          <w:kern w:val="0"/>
          <w:lang w:eastAsia="en-US" w:bidi="ar-SA"/>
        </w:rPr>
        <w:t xml:space="preserve">, Jean-François </w:t>
      </w:r>
      <w:proofErr w:type="spellStart"/>
      <w:r w:rsidRPr="00102D53">
        <w:rPr>
          <w:rFonts w:ascii="Garamond" w:hAnsi="Garamond" w:cs="CMR12"/>
          <w:kern w:val="0"/>
          <w:lang w:eastAsia="en-US" w:bidi="ar-SA"/>
        </w:rPr>
        <w:t>Laslier</w:t>
      </w:r>
      <w:proofErr w:type="spellEnd"/>
      <w:r w:rsidRPr="00102D53">
        <w:rPr>
          <w:rFonts w:ascii="Garamond" w:hAnsi="Garamond" w:cs="CMR12"/>
          <w:kern w:val="0"/>
          <w:lang w:eastAsia="en-US" w:bidi="ar-SA"/>
        </w:rPr>
        <w:t xml:space="preserve">, and </w:t>
      </w:r>
      <w:proofErr w:type="spellStart"/>
      <w:r w:rsidRPr="00102D53">
        <w:rPr>
          <w:rFonts w:ascii="Garamond" w:hAnsi="Garamond" w:cs="CMR12"/>
          <w:kern w:val="0"/>
          <w:lang w:eastAsia="en-US" w:bidi="ar-SA"/>
        </w:rPr>
        <w:t>Maxime</w:t>
      </w:r>
      <w:proofErr w:type="spellEnd"/>
      <w:r w:rsidRPr="00102D53">
        <w:rPr>
          <w:rFonts w:ascii="Garamond" w:hAnsi="Garamond" w:cs="CMR12"/>
          <w:kern w:val="0"/>
          <w:lang w:eastAsia="en-US" w:bidi="ar-SA"/>
        </w:rPr>
        <w:t xml:space="preserve"> </w:t>
      </w:r>
      <w:proofErr w:type="spellStart"/>
      <w:r>
        <w:rPr>
          <w:rFonts w:ascii="Garamond" w:hAnsi="Garamond" w:cs="CMR12"/>
          <w:kern w:val="0"/>
          <w:lang w:eastAsia="en-US" w:bidi="ar-SA"/>
        </w:rPr>
        <w:t>Héroux-Legault</w:t>
      </w:r>
      <w:proofErr w:type="spellEnd"/>
      <w:r>
        <w:rPr>
          <w:rFonts w:ascii="Garamond" w:hAnsi="Garamond" w:cs="CMR12"/>
          <w:kern w:val="0"/>
          <w:lang w:eastAsia="en-US" w:bidi="ar-SA"/>
        </w:rPr>
        <w:t>.</w:t>
      </w:r>
      <w:proofErr w:type="gramEnd"/>
      <w:r>
        <w:rPr>
          <w:rFonts w:ascii="Garamond" w:hAnsi="Garamond" w:cs="CMR12"/>
          <w:kern w:val="0"/>
          <w:lang w:eastAsia="en-US" w:bidi="ar-SA"/>
        </w:rPr>
        <w:t xml:space="preserve"> 2011.</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To</w:t>
      </w:r>
      <w:proofErr w:type="gramEnd"/>
      <w:r w:rsidRPr="00102D53">
        <w:rPr>
          <w:rFonts w:ascii="Garamond" w:hAnsi="Garamond" w:cs="CMR12"/>
          <w:kern w:val="0"/>
          <w:lang w:eastAsia="en-US" w:bidi="ar-SA"/>
        </w:rPr>
        <w:t xml:space="preserve"> Vote or To Abstain? An Experimental Study of First</w:t>
      </w:r>
      <w:r>
        <w:rPr>
          <w:rFonts w:ascii="Garamond" w:hAnsi="Garamond" w:cs="CMR12"/>
          <w:kern w:val="0"/>
          <w:lang w:eastAsia="en-US" w:bidi="ar-SA"/>
        </w:rPr>
        <w:t xml:space="preserve"> </w:t>
      </w:r>
      <w:proofErr w:type="gramStart"/>
      <w:r>
        <w:rPr>
          <w:rFonts w:ascii="Garamond" w:hAnsi="Garamond" w:cs="CMR12"/>
          <w:kern w:val="0"/>
          <w:lang w:eastAsia="en-US" w:bidi="ar-SA"/>
        </w:rPr>
        <w:t>Past</w:t>
      </w:r>
      <w:proofErr w:type="gramEnd"/>
      <w:r>
        <w:rPr>
          <w:rFonts w:ascii="Garamond" w:hAnsi="Garamond" w:cs="CMR12"/>
          <w:kern w:val="0"/>
          <w:lang w:eastAsia="en-US" w:bidi="ar-SA"/>
        </w:rPr>
        <w:t xml:space="preserve"> the Post and PR Elections</w:t>
      </w:r>
      <w:r w:rsidRPr="00102D53">
        <w:rPr>
          <w:rFonts w:ascii="Garamond" w:hAnsi="Garamond" w:cs="CMR12"/>
          <w:kern w:val="0"/>
          <w:lang w:eastAsia="en-US" w:bidi="ar-SA"/>
        </w:rPr>
        <w:t>.</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Working paper.</w:t>
      </w:r>
      <w:proofErr w:type="gramEnd"/>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Blais</w:t>
      </w:r>
      <w:proofErr w:type="spellEnd"/>
      <w:r w:rsidRPr="00102D53">
        <w:rPr>
          <w:rFonts w:ascii="Garamond" w:hAnsi="Garamond" w:cs="CMR12"/>
          <w:kern w:val="0"/>
          <w:lang w:eastAsia="en-US" w:bidi="ar-SA"/>
        </w:rPr>
        <w:t>, Andre, Robert Young, and Miriam Lapp.</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2000.</w:t>
      </w:r>
      <w:r w:rsidR="00C3741F">
        <w:rPr>
          <w:rFonts w:ascii="Garamond" w:hAnsi="Garamond" w:cs="CMR12"/>
          <w:kern w:val="0"/>
          <w:lang w:eastAsia="en-US" w:bidi="ar-SA"/>
        </w:rPr>
        <w:t xml:space="preserve"> </w:t>
      </w:r>
      <w:r w:rsidRPr="00102D53">
        <w:rPr>
          <w:rFonts w:ascii="Garamond" w:hAnsi="Garamond" w:cs="CMR12"/>
          <w:kern w:val="0"/>
          <w:lang w:eastAsia="en-US" w:bidi="ar-SA"/>
        </w:rPr>
        <w:t>The Calculus of Voting: An Empirical Test.</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European Journal of Political Research </w:t>
      </w:r>
      <w:r w:rsidRPr="00102D53">
        <w:rPr>
          <w:rFonts w:ascii="Garamond" w:hAnsi="Garamond" w:cs="CMR12"/>
          <w:kern w:val="0"/>
          <w:lang w:eastAsia="en-US" w:bidi="ar-SA"/>
        </w:rPr>
        <w:t>37(2):181-201.</w:t>
      </w:r>
    </w:p>
    <w:p w:rsidR="00E47135" w:rsidRDefault="00E47135"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Bowler, Shaun and Todd Donovan.</w:t>
      </w:r>
      <w:proofErr w:type="gramEnd"/>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Electoral Competition and the Voter.</w:t>
      </w:r>
      <w:proofErr w:type="gramEnd"/>
      <w:r w:rsidR="00C3741F">
        <w:rPr>
          <w:rFonts w:ascii="Garamond" w:hAnsi="Garamond" w:cs="CMR12"/>
          <w:kern w:val="0"/>
          <w:lang w:eastAsia="en-US" w:bidi="ar-SA"/>
        </w:rPr>
        <w:t xml:space="preserve"> </w:t>
      </w:r>
      <w:r w:rsidRPr="00102D53">
        <w:rPr>
          <w:rFonts w:ascii="Garamond" w:hAnsi="Garamond" w:cs="CMR12"/>
          <w:i/>
          <w:kern w:val="0"/>
          <w:lang w:eastAsia="en-US" w:bidi="ar-SA"/>
        </w:rPr>
        <w:t>Public Opinion Quarterly</w:t>
      </w:r>
      <w:r w:rsidRPr="00102D53">
        <w:rPr>
          <w:rFonts w:ascii="Garamond" w:hAnsi="Garamond" w:cs="CMR12"/>
          <w:kern w:val="0"/>
          <w:lang w:eastAsia="en-US" w:bidi="ar-SA"/>
        </w:rPr>
        <w:t xml:space="preserve"> 75(1):151-164.</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Clarke, Peter and Susan Evans.</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1983.</w:t>
      </w:r>
      <w:r w:rsidR="00C3741F">
        <w:rPr>
          <w:rFonts w:ascii="Garamond" w:hAnsi="Garamond" w:cs="CMR12"/>
          <w:kern w:val="0"/>
          <w:lang w:eastAsia="en-US" w:bidi="ar-SA"/>
        </w:rPr>
        <w:t xml:space="preserve"> </w:t>
      </w:r>
      <w:r w:rsidRPr="00102D53">
        <w:rPr>
          <w:rFonts w:ascii="Garamond" w:hAnsi="Garamond" w:cs="CMR12"/>
          <w:i/>
          <w:kern w:val="0"/>
          <w:lang w:eastAsia="en-US" w:bidi="ar-SA"/>
        </w:rPr>
        <w:t>Covering Campaigns: Journalism in Congressional Elections.</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Stanford University Press.</w:t>
      </w:r>
      <w:proofErr w:type="gramEnd"/>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lastRenderedPageBreak/>
        <w:t xml:space="preserve">Cox, Gary and Michael </w:t>
      </w:r>
      <w:proofErr w:type="spellStart"/>
      <w:r w:rsidRPr="00102D53">
        <w:rPr>
          <w:rFonts w:ascii="Garamond" w:hAnsi="Garamond" w:cs="CMR12"/>
          <w:kern w:val="0"/>
          <w:lang w:eastAsia="en-US" w:bidi="ar-SA"/>
        </w:rPr>
        <w:t>Munger</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1989.</w:t>
      </w:r>
      <w:r w:rsidR="00C3741F">
        <w:rPr>
          <w:rFonts w:ascii="Garamond" w:hAnsi="Garamond" w:cs="CMR12"/>
          <w:kern w:val="0"/>
          <w:lang w:eastAsia="en-US" w:bidi="ar-SA"/>
        </w:rPr>
        <w:t xml:space="preserve"> </w:t>
      </w:r>
      <w:r w:rsidRPr="00102D53">
        <w:rPr>
          <w:rFonts w:ascii="Garamond" w:hAnsi="Garamond" w:cs="CMR12"/>
          <w:kern w:val="0"/>
          <w:lang w:eastAsia="en-US" w:bidi="ar-SA"/>
        </w:rPr>
        <w:t>Closeness, Expenditures, and Turnout in the 1982 U.S. House Elections.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83(1):217-231.</w:t>
      </w:r>
    </w:p>
    <w:p w:rsidR="008F724E" w:rsidRDefault="008F724E"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Dale, Allison and Aaron Strauss.</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2009.</w:t>
      </w:r>
      <w:r w:rsidR="00C3741F">
        <w:rPr>
          <w:rFonts w:ascii="Garamond" w:hAnsi="Garamond" w:cs="CMR12"/>
          <w:kern w:val="0"/>
          <w:lang w:eastAsia="en-US" w:bidi="ar-SA"/>
        </w:rPr>
        <w:t xml:space="preserve"> </w:t>
      </w:r>
      <w:r w:rsidRPr="00102D53">
        <w:rPr>
          <w:rFonts w:ascii="Garamond" w:hAnsi="Garamond" w:cs="CMR12"/>
          <w:kern w:val="0"/>
          <w:lang w:eastAsia="en-US" w:bidi="ar-SA"/>
        </w:rPr>
        <w:t>Don’t Forget to Vote: Text Message Reminders as a Mobilization Tool.</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Journal of Political Science </w:t>
      </w:r>
      <w:r w:rsidRPr="00102D53">
        <w:rPr>
          <w:rFonts w:ascii="Garamond" w:hAnsi="Garamond" w:cs="CMR12"/>
          <w:kern w:val="0"/>
          <w:lang w:eastAsia="en-US" w:bidi="ar-SA"/>
        </w:rPr>
        <w:t>53(4):787-804.</w:t>
      </w:r>
    </w:p>
    <w:p w:rsidR="00E47135" w:rsidRPr="00102D53" w:rsidRDefault="00E47135"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 xml:space="preserve">Duffy, John and Margit </w:t>
      </w:r>
      <w:proofErr w:type="spellStart"/>
      <w:r w:rsidRPr="00102D53">
        <w:rPr>
          <w:rFonts w:ascii="Garamond" w:hAnsi="Garamond" w:cs="CMR12"/>
          <w:kern w:val="0"/>
          <w:lang w:eastAsia="en-US" w:bidi="ar-SA"/>
        </w:rPr>
        <w:t>Tavits</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2008.</w:t>
      </w:r>
      <w:r w:rsidR="00C3741F">
        <w:rPr>
          <w:rFonts w:ascii="Garamond" w:hAnsi="Garamond" w:cs="CMR12"/>
          <w:kern w:val="0"/>
          <w:lang w:eastAsia="en-US" w:bidi="ar-SA"/>
        </w:rPr>
        <w:t xml:space="preserve"> </w:t>
      </w:r>
      <w:r w:rsidRPr="00102D53">
        <w:rPr>
          <w:rFonts w:ascii="Garamond" w:hAnsi="Garamond" w:cs="CMR12"/>
          <w:kern w:val="0"/>
          <w:lang w:eastAsia="en-US" w:bidi="ar-SA"/>
        </w:rPr>
        <w:t>Beliefs and Voting Decisions: A Test of the Pivotal Voter Model.</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Journal of Political Science </w:t>
      </w:r>
      <w:r w:rsidRPr="00102D53">
        <w:rPr>
          <w:rFonts w:ascii="Garamond" w:hAnsi="Garamond" w:cs="CMR12"/>
          <w:kern w:val="0"/>
          <w:lang w:eastAsia="en-US" w:bidi="ar-SA"/>
        </w:rPr>
        <w:t>52(3):603-618.</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Erikson, Robert and Thomas Palfrey.</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2000.</w:t>
      </w:r>
      <w:r w:rsidR="00C3741F">
        <w:rPr>
          <w:rFonts w:ascii="Garamond" w:hAnsi="Garamond" w:cs="CMR12"/>
          <w:kern w:val="0"/>
          <w:lang w:eastAsia="en-US" w:bidi="ar-SA"/>
        </w:rPr>
        <w:t xml:space="preserve"> </w:t>
      </w:r>
      <w:r w:rsidRPr="00102D53">
        <w:rPr>
          <w:rFonts w:ascii="Garamond" w:hAnsi="Garamond" w:cs="CMR12"/>
          <w:kern w:val="0"/>
          <w:lang w:eastAsia="en-US" w:bidi="ar-SA"/>
        </w:rPr>
        <w:t>Equilibria in Campaign Spending Games: Theory and Data.</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94(3):595-609.</w:t>
      </w:r>
    </w:p>
    <w:p w:rsidR="00A23F6B" w:rsidRDefault="00A23F6B"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Ferejohn</w:t>
      </w:r>
      <w:proofErr w:type="spellEnd"/>
      <w:r w:rsidRPr="00102D53">
        <w:rPr>
          <w:rFonts w:ascii="Garamond" w:hAnsi="Garamond" w:cs="CMR12"/>
          <w:kern w:val="0"/>
          <w:lang w:eastAsia="en-US" w:bidi="ar-SA"/>
        </w:rPr>
        <w:t>, John and Morris Fiorina.</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1975.</w:t>
      </w:r>
      <w:r w:rsidR="00C3741F">
        <w:rPr>
          <w:rFonts w:ascii="Garamond" w:hAnsi="Garamond" w:cs="CMR12"/>
          <w:kern w:val="0"/>
          <w:lang w:eastAsia="en-US" w:bidi="ar-SA"/>
        </w:rPr>
        <w:t xml:space="preserve"> </w:t>
      </w:r>
      <w:r w:rsidRPr="00102D53">
        <w:rPr>
          <w:rFonts w:ascii="Garamond" w:hAnsi="Garamond" w:cs="CMR12"/>
          <w:kern w:val="0"/>
          <w:lang w:eastAsia="en-US" w:bidi="ar-SA"/>
        </w:rPr>
        <w:t>Closeness Counts Only in Horseshoes and Dancing.</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69(3):920-925.</w:t>
      </w:r>
    </w:p>
    <w:p w:rsidR="005B172D" w:rsidRDefault="005B172D"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r w:rsidRPr="00102D53">
        <w:rPr>
          <w:rFonts w:ascii="Garamond" w:hAnsi="Garamond" w:cs="CMR12"/>
          <w:kern w:val="0"/>
          <w:lang w:eastAsia="en-US" w:bidi="ar-SA"/>
        </w:rPr>
        <w:t>Festinger</w:t>
      </w:r>
      <w:proofErr w:type="spellEnd"/>
      <w:r w:rsidRPr="00102D53">
        <w:rPr>
          <w:rFonts w:ascii="Garamond" w:hAnsi="Garamond" w:cs="CMR12"/>
          <w:kern w:val="0"/>
          <w:lang w:eastAsia="en-US" w:bidi="ar-SA"/>
        </w:rPr>
        <w:t>, Leon.</w:t>
      </w:r>
      <w:r w:rsidR="00C3741F">
        <w:rPr>
          <w:rFonts w:ascii="Garamond" w:hAnsi="Garamond" w:cs="CMR12"/>
          <w:kern w:val="0"/>
          <w:lang w:eastAsia="en-US" w:bidi="ar-SA"/>
        </w:rPr>
        <w:t xml:space="preserve"> </w:t>
      </w:r>
      <w:r w:rsidRPr="00102D53">
        <w:rPr>
          <w:rFonts w:ascii="Garamond" w:hAnsi="Garamond" w:cs="CMR12"/>
          <w:kern w:val="0"/>
          <w:lang w:eastAsia="en-US" w:bidi="ar-SA"/>
        </w:rPr>
        <w:t xml:space="preserve">1957. </w:t>
      </w:r>
      <w:r w:rsidRPr="00102D53">
        <w:rPr>
          <w:rFonts w:ascii="Garamond" w:hAnsi="Garamond" w:cs="CMR12"/>
          <w:i/>
          <w:kern w:val="0"/>
          <w:lang w:eastAsia="en-US" w:bidi="ar-SA"/>
        </w:rPr>
        <w:t>A theory of cognitive dissonance</w:t>
      </w:r>
      <w:r w:rsidRPr="00102D53">
        <w:rPr>
          <w:rFonts w:ascii="Garamond" w:hAnsi="Garamond" w:cs="CMR12"/>
          <w:kern w:val="0"/>
          <w:lang w:eastAsia="en-US" w:bidi="ar-SA"/>
        </w:rPr>
        <w:t>.</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Stanford University Press.</w:t>
      </w:r>
      <w:proofErr w:type="gramEnd"/>
      <w:r w:rsidRPr="00102D53">
        <w:rPr>
          <w:rFonts w:ascii="Garamond" w:hAnsi="Garamond" w:cs="CMR12"/>
          <w:kern w:val="0"/>
          <w:lang w:eastAsia="en-US" w:bidi="ar-SA"/>
        </w:rPr>
        <w:t xml:space="preserve"> </w:t>
      </w:r>
    </w:p>
    <w:p w:rsidR="00243049" w:rsidRDefault="00243049"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 xml:space="preserve">Gerber, Alan, Gregory Huber, </w:t>
      </w:r>
      <w:proofErr w:type="spellStart"/>
      <w:r w:rsidRPr="00102D53">
        <w:rPr>
          <w:rFonts w:ascii="Garamond" w:hAnsi="Garamond" w:cs="CMR12"/>
          <w:kern w:val="0"/>
          <w:lang w:eastAsia="en-US" w:bidi="ar-SA"/>
        </w:rPr>
        <w:t>Conor</w:t>
      </w:r>
      <w:proofErr w:type="spellEnd"/>
      <w:r w:rsidRPr="00102D53">
        <w:rPr>
          <w:rFonts w:ascii="Garamond" w:hAnsi="Garamond" w:cs="CMR12"/>
          <w:kern w:val="0"/>
          <w:lang w:eastAsia="en-US" w:bidi="ar-SA"/>
        </w:rPr>
        <w:t xml:space="preserve"> Dowling, David Doherty, and Nicole Schwartzberg.</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2009.</w:t>
      </w:r>
      <w:r w:rsidR="00C3741F">
        <w:rPr>
          <w:rFonts w:ascii="Garamond" w:hAnsi="Garamond" w:cs="CMR12"/>
          <w:kern w:val="0"/>
          <w:lang w:eastAsia="en-US" w:bidi="ar-SA"/>
        </w:rPr>
        <w:t xml:space="preserve"> </w:t>
      </w:r>
      <w:r w:rsidRPr="00102D53">
        <w:rPr>
          <w:rFonts w:ascii="Garamond" w:hAnsi="Garamond" w:cs="CMR12"/>
          <w:kern w:val="0"/>
          <w:lang w:eastAsia="en-US" w:bidi="ar-SA"/>
        </w:rPr>
        <w:t>Using Battleground States as a Natural Experiment to Test Theories of Voting.</w:t>
      </w:r>
      <w:r w:rsidR="00C3741F">
        <w:rPr>
          <w:rFonts w:ascii="Garamond" w:hAnsi="Garamond" w:cs="CMR12"/>
          <w:kern w:val="0"/>
          <w:lang w:eastAsia="en-US" w:bidi="ar-SA"/>
        </w:rPr>
        <w:t xml:space="preserve"> </w:t>
      </w:r>
      <w:proofErr w:type="gramStart"/>
      <w:r w:rsidRPr="00102D53">
        <w:rPr>
          <w:rFonts w:ascii="Garamond" w:hAnsi="Garamond" w:cs="CMR12"/>
          <w:kern w:val="0"/>
          <w:lang w:eastAsia="en-US" w:bidi="ar-SA"/>
        </w:rPr>
        <w:t>APSA 2009 Toronto Meeting Paper.</w:t>
      </w:r>
      <w:proofErr w:type="gramEnd"/>
    </w:p>
    <w:p w:rsidR="00682920" w:rsidRDefault="00682920"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Gerber, Alan and Donald Green.</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2000.</w:t>
      </w:r>
      <w:r w:rsidR="00C3741F">
        <w:rPr>
          <w:rFonts w:ascii="Garamond" w:hAnsi="Garamond" w:cs="CMR12"/>
          <w:kern w:val="0"/>
          <w:lang w:eastAsia="en-US" w:bidi="ar-SA"/>
        </w:rPr>
        <w:t xml:space="preserve"> </w:t>
      </w:r>
      <w:r w:rsidRPr="00102D53">
        <w:rPr>
          <w:rFonts w:ascii="Garamond" w:hAnsi="Garamond" w:cs="CMR12"/>
          <w:kern w:val="0"/>
          <w:lang w:eastAsia="en-US" w:bidi="ar-SA"/>
        </w:rPr>
        <w:t>The Effects of Canvassing, Telephone Calls, and Direct Mail on Voter Turnout: A Field Experiment.</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94(3):653-663.</w:t>
      </w:r>
    </w:p>
    <w:p w:rsidR="00682920" w:rsidRDefault="00C3741F"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r>
        <w:rPr>
          <w:rFonts w:ascii="Garamond" w:hAnsi="Garamond" w:cs="CMR12"/>
          <w:kern w:val="0"/>
          <w:lang w:eastAsia="en-US" w:bidi="ar-SA"/>
        </w:rPr>
        <w:t>Gimpel</w:t>
      </w:r>
      <w:proofErr w:type="spellEnd"/>
      <w:r w:rsidR="004E3EA7" w:rsidRPr="00102D53">
        <w:rPr>
          <w:rFonts w:ascii="Garamond" w:hAnsi="Garamond" w:cs="CMR12"/>
          <w:kern w:val="0"/>
          <w:lang w:eastAsia="en-US" w:bidi="ar-SA"/>
        </w:rPr>
        <w:t>, James G., Karen M. Kaufmann, and Shanna Pearson-</w:t>
      </w:r>
      <w:proofErr w:type="spellStart"/>
      <w:r w:rsidR="004E3EA7" w:rsidRPr="00102D53">
        <w:rPr>
          <w:rFonts w:ascii="Garamond" w:hAnsi="Garamond" w:cs="CMR12"/>
          <w:kern w:val="0"/>
          <w:lang w:eastAsia="en-US" w:bidi="ar-SA"/>
        </w:rPr>
        <w:t>Merkowitz</w:t>
      </w:r>
      <w:proofErr w:type="spellEnd"/>
      <w:r w:rsidR="004E3EA7" w:rsidRPr="00102D53">
        <w:rPr>
          <w:rFonts w:ascii="Garamond" w:hAnsi="Garamond" w:cs="CMR12"/>
          <w:kern w:val="0"/>
          <w:lang w:eastAsia="en-US" w:bidi="ar-SA"/>
        </w:rPr>
        <w:t>. Battleground States versus Blackout States: The Behavioral Implications of Modern Presidential Campaigns.</w:t>
      </w:r>
      <w:r>
        <w:rPr>
          <w:rFonts w:ascii="Garamond" w:hAnsi="Garamond" w:cs="CMR12"/>
          <w:kern w:val="0"/>
          <w:lang w:eastAsia="en-US" w:bidi="ar-SA"/>
        </w:rPr>
        <w:t xml:space="preserve"> </w:t>
      </w:r>
      <w:r w:rsidR="004E3EA7" w:rsidRPr="00102D53">
        <w:rPr>
          <w:rFonts w:ascii="Garamond" w:hAnsi="Garamond" w:cs="CMR12"/>
          <w:i/>
          <w:kern w:val="0"/>
          <w:lang w:eastAsia="en-US" w:bidi="ar-SA"/>
        </w:rPr>
        <w:t xml:space="preserve">Journal of Politics </w:t>
      </w:r>
      <w:r w:rsidR="004E3EA7" w:rsidRPr="00102D53">
        <w:rPr>
          <w:rFonts w:ascii="Garamond" w:hAnsi="Garamond" w:cs="CMR12"/>
          <w:kern w:val="0"/>
          <w:lang w:eastAsia="en-US" w:bidi="ar-SA"/>
        </w:rPr>
        <w:t>69(3): 786-797.</w:t>
      </w:r>
    </w:p>
    <w:p w:rsidR="004E3EA7" w:rsidRDefault="004E3EA7"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Hill, David and Seth McKee.</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2005.</w:t>
      </w:r>
      <w:r w:rsidR="00C3741F">
        <w:rPr>
          <w:rFonts w:ascii="Garamond" w:hAnsi="Garamond" w:cs="CMR12"/>
          <w:kern w:val="0"/>
          <w:lang w:eastAsia="en-US" w:bidi="ar-SA"/>
        </w:rPr>
        <w:t xml:space="preserve"> </w:t>
      </w:r>
      <w:r w:rsidRPr="00102D53">
        <w:rPr>
          <w:rFonts w:ascii="Garamond" w:hAnsi="Garamond" w:cs="CMR12"/>
          <w:kern w:val="0"/>
          <w:lang w:eastAsia="en-US" w:bidi="ar-SA"/>
        </w:rPr>
        <w:t>The Electoral College, Mobilization, and Turnout in the 2000 Presidential Election.</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Politics Research </w:t>
      </w:r>
      <w:r w:rsidRPr="00102D53">
        <w:rPr>
          <w:rFonts w:ascii="Garamond" w:hAnsi="Garamond" w:cs="CMR12"/>
          <w:kern w:val="0"/>
          <w:lang w:eastAsia="en-US" w:bidi="ar-SA"/>
        </w:rPr>
        <w:t xml:space="preserve">33(5):700-725. </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r w:rsidRPr="00102D53">
        <w:rPr>
          <w:rFonts w:ascii="Garamond" w:hAnsi="Garamond" w:cs="CMR12"/>
          <w:kern w:val="0"/>
          <w:lang w:eastAsia="en-US" w:bidi="ar-SA"/>
        </w:rPr>
        <w:t>Jackson, Robert.</w:t>
      </w:r>
      <w:r w:rsidR="00C3741F">
        <w:rPr>
          <w:rFonts w:ascii="Garamond" w:hAnsi="Garamond" w:cs="CMR12"/>
          <w:kern w:val="0"/>
          <w:lang w:eastAsia="en-US" w:bidi="ar-SA"/>
        </w:rPr>
        <w:t xml:space="preserve"> </w:t>
      </w:r>
      <w:r w:rsidRPr="00102D53">
        <w:rPr>
          <w:rFonts w:ascii="Garamond" w:hAnsi="Garamond" w:cs="CMR12"/>
          <w:kern w:val="0"/>
          <w:lang w:eastAsia="en-US" w:bidi="ar-SA"/>
        </w:rPr>
        <w:t>1996.</w:t>
      </w:r>
      <w:r w:rsidR="00C3741F">
        <w:rPr>
          <w:rFonts w:ascii="Garamond" w:hAnsi="Garamond" w:cs="CMR12"/>
          <w:kern w:val="0"/>
          <w:lang w:eastAsia="en-US" w:bidi="ar-SA"/>
        </w:rPr>
        <w:t xml:space="preserve"> </w:t>
      </w:r>
      <w:r w:rsidRPr="00102D53">
        <w:rPr>
          <w:rFonts w:ascii="Garamond" w:hAnsi="Garamond" w:cs="CMR12"/>
          <w:kern w:val="0"/>
          <w:lang w:eastAsia="en-US" w:bidi="ar-SA"/>
        </w:rPr>
        <w:t>The Mobilization of Congressional Electorates.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Legislative Studies Quarterly </w:t>
      </w:r>
      <w:r w:rsidRPr="00102D53">
        <w:rPr>
          <w:rFonts w:ascii="Garamond" w:hAnsi="Garamond" w:cs="CMR12"/>
          <w:kern w:val="0"/>
          <w:lang w:eastAsia="en-US" w:bidi="ar-SA"/>
        </w:rPr>
        <w:t>21(3):425-445.</w:t>
      </w:r>
    </w:p>
    <w:p w:rsidR="00A23F6B" w:rsidRDefault="00A23F6B"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lastRenderedPageBreak/>
        <w:t xml:space="preserve">Kim, Jae-On, John </w:t>
      </w:r>
      <w:proofErr w:type="spellStart"/>
      <w:r w:rsidRPr="00102D53">
        <w:rPr>
          <w:rFonts w:ascii="Garamond" w:hAnsi="Garamond" w:cs="CMR12"/>
          <w:kern w:val="0"/>
          <w:lang w:eastAsia="en-US" w:bidi="ar-SA"/>
        </w:rPr>
        <w:t>Petrocik</w:t>
      </w:r>
      <w:proofErr w:type="spellEnd"/>
      <w:r w:rsidRPr="00102D53">
        <w:rPr>
          <w:rFonts w:ascii="Garamond" w:hAnsi="Garamond" w:cs="CMR12"/>
          <w:kern w:val="0"/>
          <w:lang w:eastAsia="en-US" w:bidi="ar-SA"/>
        </w:rPr>
        <w:t xml:space="preserve">, and Stephen </w:t>
      </w:r>
      <w:proofErr w:type="spellStart"/>
      <w:r w:rsidRPr="00102D53">
        <w:rPr>
          <w:rFonts w:ascii="Garamond" w:hAnsi="Garamond" w:cs="CMR12"/>
          <w:kern w:val="0"/>
          <w:lang w:eastAsia="en-US" w:bidi="ar-SA"/>
        </w:rPr>
        <w:t>Enokson</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1975.</w:t>
      </w:r>
      <w:r w:rsidR="00C3741F">
        <w:rPr>
          <w:rFonts w:ascii="Garamond" w:hAnsi="Garamond" w:cs="CMR12"/>
          <w:kern w:val="0"/>
          <w:lang w:eastAsia="en-US" w:bidi="ar-SA"/>
        </w:rPr>
        <w:t xml:space="preserve"> </w:t>
      </w:r>
      <w:r w:rsidRPr="00102D53">
        <w:rPr>
          <w:rFonts w:ascii="Garamond" w:hAnsi="Garamond" w:cs="CMR12"/>
          <w:kern w:val="0"/>
          <w:lang w:eastAsia="en-US" w:bidi="ar-SA"/>
        </w:rPr>
        <w:t>Voter Turnout among the American States: Systematic and Individual Components.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69(1):107-123.</w:t>
      </w:r>
    </w:p>
    <w:p w:rsidR="00E47135" w:rsidRDefault="00E47135"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Levine, David and Thomas Palfrey.</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2007.</w:t>
      </w:r>
      <w:r w:rsidR="00C3741F">
        <w:rPr>
          <w:rFonts w:ascii="Garamond" w:hAnsi="Garamond" w:cs="CMR12"/>
          <w:kern w:val="0"/>
          <w:lang w:eastAsia="en-US" w:bidi="ar-SA"/>
        </w:rPr>
        <w:t xml:space="preserve"> </w:t>
      </w:r>
      <w:r w:rsidRPr="00102D53">
        <w:rPr>
          <w:rFonts w:ascii="Garamond" w:hAnsi="Garamond" w:cs="CMR12"/>
          <w:kern w:val="0"/>
          <w:lang w:eastAsia="en-US" w:bidi="ar-SA"/>
        </w:rPr>
        <w:t xml:space="preserve">The Paradox of Voter Participation? </w:t>
      </w:r>
      <w:proofErr w:type="gramStart"/>
      <w:r w:rsidRPr="00102D53">
        <w:rPr>
          <w:rFonts w:ascii="Garamond" w:hAnsi="Garamond" w:cs="CMR12"/>
          <w:kern w:val="0"/>
          <w:lang w:eastAsia="en-US" w:bidi="ar-SA"/>
        </w:rPr>
        <w:t>A Laboratory Study.</w:t>
      </w:r>
      <w:proofErr w:type="gramEnd"/>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101(1):143-158.</w:t>
      </w:r>
    </w:p>
    <w:p w:rsidR="00C92DDF" w:rsidRDefault="00C92DDF"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r w:rsidRPr="00102D53">
        <w:rPr>
          <w:rFonts w:ascii="Garamond" w:hAnsi="Garamond" w:cs="CMR12"/>
          <w:kern w:val="0"/>
          <w:lang w:eastAsia="en-US" w:bidi="ar-SA"/>
        </w:rPr>
        <w:t>Matsusaka</w:t>
      </w:r>
      <w:proofErr w:type="spellEnd"/>
      <w:r w:rsidRPr="00102D53">
        <w:rPr>
          <w:rFonts w:ascii="Garamond" w:hAnsi="Garamond" w:cs="CMR12"/>
          <w:kern w:val="0"/>
          <w:lang w:eastAsia="en-US" w:bidi="ar-SA"/>
        </w:rPr>
        <w:t>, John.</w:t>
      </w:r>
      <w:r w:rsidR="00C3741F">
        <w:rPr>
          <w:rFonts w:ascii="Garamond" w:hAnsi="Garamond" w:cs="CMR12"/>
          <w:kern w:val="0"/>
          <w:lang w:eastAsia="en-US" w:bidi="ar-SA"/>
        </w:rPr>
        <w:t xml:space="preserve"> </w:t>
      </w:r>
      <w:r w:rsidRPr="00102D53">
        <w:rPr>
          <w:rFonts w:ascii="Garamond" w:hAnsi="Garamond" w:cs="CMR12"/>
          <w:kern w:val="0"/>
          <w:lang w:eastAsia="en-US" w:bidi="ar-SA"/>
        </w:rPr>
        <w:t>1993.</w:t>
      </w:r>
      <w:r w:rsidR="00C3741F">
        <w:rPr>
          <w:rFonts w:ascii="Garamond" w:hAnsi="Garamond" w:cs="CMR12"/>
          <w:kern w:val="0"/>
          <w:lang w:eastAsia="en-US" w:bidi="ar-SA"/>
        </w:rPr>
        <w:t xml:space="preserve"> </w:t>
      </w:r>
      <w:r w:rsidRPr="00102D53">
        <w:rPr>
          <w:rFonts w:ascii="Garamond" w:hAnsi="Garamond" w:cs="CMR12"/>
          <w:kern w:val="0"/>
          <w:lang w:eastAsia="en-US" w:bidi="ar-SA"/>
        </w:rPr>
        <w:t>Election Closeness and Voter Turnout: Evidence from California Ballot Propositions.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Public Choice </w:t>
      </w:r>
      <w:r w:rsidRPr="00102D53">
        <w:rPr>
          <w:rFonts w:ascii="Garamond" w:hAnsi="Garamond" w:cs="CMR12"/>
          <w:kern w:val="0"/>
          <w:lang w:eastAsia="en-US" w:bidi="ar-SA"/>
        </w:rPr>
        <w:t>76(4):313-334.</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Matsusaka</w:t>
      </w:r>
      <w:proofErr w:type="spellEnd"/>
      <w:r w:rsidRPr="00102D53">
        <w:rPr>
          <w:rFonts w:ascii="Garamond" w:hAnsi="Garamond" w:cs="CMR12"/>
          <w:kern w:val="0"/>
          <w:lang w:eastAsia="en-US" w:bidi="ar-SA"/>
        </w:rPr>
        <w:t xml:space="preserve">, John and Filip </w:t>
      </w:r>
      <w:proofErr w:type="spellStart"/>
      <w:r w:rsidRPr="00102D53">
        <w:rPr>
          <w:rFonts w:ascii="Garamond" w:hAnsi="Garamond" w:cs="CMR12"/>
          <w:kern w:val="0"/>
          <w:lang w:eastAsia="en-US" w:bidi="ar-SA"/>
        </w:rPr>
        <w:t>Palda</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1993.</w:t>
      </w:r>
      <w:r w:rsidR="00C3741F">
        <w:rPr>
          <w:rFonts w:ascii="Garamond" w:hAnsi="Garamond" w:cs="CMR12"/>
          <w:kern w:val="0"/>
          <w:lang w:eastAsia="en-US" w:bidi="ar-SA"/>
        </w:rPr>
        <w:t xml:space="preserve"> </w:t>
      </w:r>
      <w:r w:rsidRPr="00102D53">
        <w:rPr>
          <w:rFonts w:ascii="Garamond" w:hAnsi="Garamond" w:cs="CMR12"/>
          <w:kern w:val="0"/>
          <w:lang w:eastAsia="en-US" w:bidi="ar-SA"/>
        </w:rPr>
        <w:t xml:space="preserve">The </w:t>
      </w:r>
      <w:proofErr w:type="spellStart"/>
      <w:r w:rsidRPr="00102D53">
        <w:rPr>
          <w:rFonts w:ascii="Garamond" w:hAnsi="Garamond" w:cs="CMR12"/>
          <w:kern w:val="0"/>
          <w:lang w:eastAsia="en-US" w:bidi="ar-SA"/>
        </w:rPr>
        <w:t>Downsian</w:t>
      </w:r>
      <w:proofErr w:type="spellEnd"/>
      <w:r w:rsidRPr="00102D53">
        <w:rPr>
          <w:rFonts w:ascii="Garamond" w:hAnsi="Garamond" w:cs="CMR12"/>
          <w:kern w:val="0"/>
          <w:lang w:eastAsia="en-US" w:bidi="ar-SA"/>
        </w:rPr>
        <w:t xml:space="preserve"> Voter Meets the Ecological Fallacy.</w:t>
      </w:r>
      <w:r w:rsidR="00C3741F">
        <w:rPr>
          <w:rFonts w:ascii="Garamond" w:hAnsi="Garamond" w:cs="CMR12"/>
          <w:kern w:val="0"/>
          <w:lang w:eastAsia="en-US" w:bidi="ar-SA"/>
        </w:rPr>
        <w:t xml:space="preserve"> </w:t>
      </w:r>
      <w:r w:rsidRPr="00102D53">
        <w:rPr>
          <w:rFonts w:ascii="Garamond" w:hAnsi="Garamond" w:cs="CMR12"/>
          <w:i/>
          <w:kern w:val="0"/>
          <w:lang w:eastAsia="en-US" w:bidi="ar-SA"/>
        </w:rPr>
        <w:t>Public Choice</w:t>
      </w:r>
      <w:r w:rsidRPr="00102D53">
        <w:rPr>
          <w:rFonts w:ascii="Garamond" w:hAnsi="Garamond" w:cs="CMR12"/>
          <w:kern w:val="0"/>
          <w:lang w:eastAsia="en-US" w:bidi="ar-SA"/>
        </w:rPr>
        <w:t xml:space="preserve"> 77(4):855-878.</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Panagopoulos, Costas and Donald Green.</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2008.</w:t>
      </w:r>
      <w:r w:rsidR="00C3741F">
        <w:rPr>
          <w:rFonts w:ascii="Garamond" w:hAnsi="Garamond" w:cs="CMR12"/>
          <w:kern w:val="0"/>
          <w:lang w:eastAsia="en-US" w:bidi="ar-SA"/>
        </w:rPr>
        <w:t xml:space="preserve"> </w:t>
      </w:r>
      <w:r w:rsidRPr="00102D53">
        <w:rPr>
          <w:rFonts w:ascii="Garamond" w:hAnsi="Garamond" w:cs="CMR12"/>
          <w:kern w:val="0"/>
          <w:lang w:eastAsia="en-US" w:bidi="ar-SA"/>
        </w:rPr>
        <w:t>Field Experiments Testing the Impact of Radio Advertisements on Electoral Competition.</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Journal of Political Science </w:t>
      </w:r>
      <w:r w:rsidRPr="00102D53">
        <w:rPr>
          <w:rFonts w:ascii="Garamond" w:hAnsi="Garamond" w:cs="CMR12"/>
          <w:kern w:val="0"/>
          <w:lang w:eastAsia="en-US" w:bidi="ar-SA"/>
        </w:rPr>
        <w:t>52(1):156-168.</w:t>
      </w:r>
    </w:p>
    <w:p w:rsidR="00677A45" w:rsidRDefault="00677A45"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 xml:space="preserve">Patterson, Samuel and Gregory </w:t>
      </w:r>
      <w:proofErr w:type="spellStart"/>
      <w:r w:rsidRPr="00102D53">
        <w:rPr>
          <w:rFonts w:ascii="Garamond" w:hAnsi="Garamond" w:cs="CMR12"/>
          <w:kern w:val="0"/>
          <w:lang w:eastAsia="en-US" w:bidi="ar-SA"/>
        </w:rPr>
        <w:t>Caldiera</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1983.</w:t>
      </w:r>
      <w:r w:rsidR="00C3741F">
        <w:rPr>
          <w:rFonts w:ascii="Garamond" w:hAnsi="Garamond" w:cs="CMR12"/>
          <w:kern w:val="0"/>
          <w:lang w:eastAsia="en-US" w:bidi="ar-SA"/>
        </w:rPr>
        <w:t xml:space="preserve"> </w:t>
      </w:r>
      <w:r w:rsidRPr="00102D53">
        <w:rPr>
          <w:rFonts w:ascii="Garamond" w:hAnsi="Garamond" w:cs="CMR12"/>
          <w:kern w:val="0"/>
          <w:lang w:eastAsia="en-US" w:bidi="ar-SA"/>
        </w:rPr>
        <w:t>Getting Out the Vote: Participation in Gubernatorial Elections.</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77(3):675-689.</w:t>
      </w:r>
    </w:p>
    <w:p w:rsidR="005B172D" w:rsidRDefault="005B172D"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gramStart"/>
      <w:r w:rsidRPr="00102D53">
        <w:rPr>
          <w:rFonts w:ascii="Garamond" w:hAnsi="Garamond" w:cs="CMR12"/>
          <w:kern w:val="0"/>
          <w:lang w:eastAsia="en-US" w:bidi="ar-SA"/>
        </w:rPr>
        <w:t xml:space="preserve">Riker, William and Peter </w:t>
      </w:r>
      <w:proofErr w:type="spellStart"/>
      <w:r w:rsidRPr="00102D53">
        <w:rPr>
          <w:rFonts w:ascii="Garamond" w:hAnsi="Garamond" w:cs="CMR12"/>
          <w:kern w:val="0"/>
          <w:lang w:eastAsia="en-US" w:bidi="ar-SA"/>
        </w:rPr>
        <w:t>Ordeshook</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1968.</w:t>
      </w:r>
      <w:r w:rsidR="00C3741F">
        <w:rPr>
          <w:rFonts w:ascii="Garamond" w:hAnsi="Garamond" w:cs="CMR12"/>
          <w:kern w:val="0"/>
          <w:lang w:eastAsia="en-US" w:bidi="ar-SA"/>
        </w:rPr>
        <w:t xml:space="preserve"> </w:t>
      </w:r>
      <w:r w:rsidRPr="00102D53">
        <w:rPr>
          <w:rFonts w:ascii="Garamond" w:hAnsi="Garamond" w:cs="CMR12"/>
          <w:kern w:val="0"/>
          <w:lang w:eastAsia="en-US" w:bidi="ar-SA"/>
        </w:rPr>
        <w:t>A Theory of the Calculus of Voting.</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Political Science Review </w:t>
      </w:r>
      <w:r w:rsidRPr="00102D53">
        <w:rPr>
          <w:rFonts w:ascii="Garamond" w:hAnsi="Garamond" w:cs="CMR12"/>
          <w:kern w:val="0"/>
          <w:lang w:eastAsia="en-US" w:bidi="ar-SA"/>
        </w:rPr>
        <w:t>62(1):25-42.</w:t>
      </w:r>
    </w:p>
    <w:p w:rsidR="00C002A6" w:rsidRDefault="00C002A6"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Seidle</w:t>
      </w:r>
      <w:proofErr w:type="spellEnd"/>
      <w:r w:rsidRPr="00102D53">
        <w:rPr>
          <w:rFonts w:ascii="Garamond" w:hAnsi="Garamond" w:cs="CMR12"/>
          <w:kern w:val="0"/>
          <w:lang w:eastAsia="en-US" w:bidi="ar-SA"/>
        </w:rPr>
        <w:t>, Leslie and David Miller.</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1976.</w:t>
      </w:r>
      <w:r w:rsidR="00C3741F">
        <w:rPr>
          <w:rFonts w:ascii="Garamond" w:hAnsi="Garamond" w:cs="CMR12"/>
          <w:kern w:val="0"/>
          <w:lang w:eastAsia="en-US" w:bidi="ar-SA"/>
        </w:rPr>
        <w:t xml:space="preserve"> </w:t>
      </w:r>
      <w:r w:rsidRPr="00102D53">
        <w:rPr>
          <w:rFonts w:ascii="Garamond" w:hAnsi="Garamond" w:cs="CMR12"/>
          <w:kern w:val="0"/>
          <w:lang w:eastAsia="en-US" w:bidi="ar-SA"/>
        </w:rPr>
        <w:t>Turnout, Rational Abstention, and Campaign Effort.</w:t>
      </w:r>
      <w:r w:rsidR="00C3741F">
        <w:rPr>
          <w:rFonts w:ascii="Garamond" w:hAnsi="Garamond" w:cs="CMR12"/>
          <w:kern w:val="0"/>
          <w:lang w:eastAsia="en-US" w:bidi="ar-SA"/>
        </w:rPr>
        <w:t xml:space="preserve"> </w:t>
      </w:r>
      <w:r w:rsidRPr="00102D53">
        <w:rPr>
          <w:rFonts w:ascii="Garamond" w:hAnsi="Garamond" w:cs="CMR12"/>
          <w:i/>
          <w:kern w:val="0"/>
          <w:lang w:eastAsia="en-US" w:bidi="ar-SA"/>
        </w:rPr>
        <w:t>Public Choice 27</w:t>
      </w:r>
      <w:r w:rsidRPr="00102D53">
        <w:rPr>
          <w:rFonts w:ascii="Garamond" w:hAnsi="Garamond" w:cs="CMR12"/>
          <w:kern w:val="0"/>
          <w:lang w:eastAsia="en-US" w:bidi="ar-SA"/>
        </w:rPr>
        <w:t>(1):121-126.</w:t>
      </w:r>
    </w:p>
    <w:p w:rsidR="00677A45" w:rsidRDefault="00677A45" w:rsidP="00294CC6">
      <w:pPr>
        <w:suppressAutoHyphens w:val="0"/>
        <w:autoSpaceDE w:val="0"/>
        <w:autoSpaceDN w:val="0"/>
        <w:adjustRightInd w:val="0"/>
        <w:spacing w:line="480" w:lineRule="auto"/>
        <w:ind w:left="720" w:hanging="720"/>
        <w:contextualSpacing/>
        <w:jc w:val="both"/>
        <w:rPr>
          <w:rFonts w:ascii="Garamond" w:hAnsi="Garamond" w:cs="CMR12"/>
          <w:kern w:val="0"/>
          <w:lang w:eastAsia="en-US" w:bidi="ar-SA"/>
        </w:rPr>
      </w:pPr>
      <w:proofErr w:type="spellStart"/>
      <w:proofErr w:type="gramStart"/>
      <w:r w:rsidRPr="00102D53">
        <w:rPr>
          <w:rFonts w:ascii="Garamond" w:hAnsi="Garamond" w:cs="CMR12"/>
          <w:kern w:val="0"/>
          <w:lang w:eastAsia="en-US" w:bidi="ar-SA"/>
        </w:rPr>
        <w:t>Shachar</w:t>
      </w:r>
      <w:proofErr w:type="spellEnd"/>
      <w:r w:rsidRPr="00102D53">
        <w:rPr>
          <w:rFonts w:ascii="Garamond" w:hAnsi="Garamond" w:cs="CMR12"/>
          <w:kern w:val="0"/>
          <w:lang w:eastAsia="en-US" w:bidi="ar-SA"/>
        </w:rPr>
        <w:t xml:space="preserve">, Ron and Barry </w:t>
      </w:r>
      <w:proofErr w:type="spellStart"/>
      <w:r w:rsidRPr="00102D53">
        <w:rPr>
          <w:rFonts w:ascii="Garamond" w:hAnsi="Garamond" w:cs="CMR12"/>
          <w:kern w:val="0"/>
          <w:lang w:eastAsia="en-US" w:bidi="ar-SA"/>
        </w:rPr>
        <w:t>Nalebuff</w:t>
      </w:r>
      <w:proofErr w:type="spellEnd"/>
      <w:r w:rsidRPr="00102D53">
        <w:rPr>
          <w:rFonts w:ascii="Garamond" w:hAnsi="Garamond" w:cs="CMR12"/>
          <w:kern w:val="0"/>
          <w:lang w:eastAsia="en-US" w:bidi="ar-SA"/>
        </w:rPr>
        <w:t>.</w:t>
      </w:r>
      <w:proofErr w:type="gramEnd"/>
      <w:r w:rsidR="00C3741F">
        <w:rPr>
          <w:rFonts w:ascii="Garamond" w:hAnsi="Garamond" w:cs="CMR12"/>
          <w:kern w:val="0"/>
          <w:lang w:eastAsia="en-US" w:bidi="ar-SA"/>
        </w:rPr>
        <w:t xml:space="preserve"> </w:t>
      </w:r>
      <w:r w:rsidRPr="00102D53">
        <w:rPr>
          <w:rFonts w:ascii="Garamond" w:hAnsi="Garamond" w:cs="CMR12"/>
          <w:kern w:val="0"/>
          <w:lang w:eastAsia="en-US" w:bidi="ar-SA"/>
        </w:rPr>
        <w:t>1999.</w:t>
      </w:r>
      <w:r w:rsidR="00C3741F">
        <w:rPr>
          <w:rFonts w:ascii="Garamond" w:hAnsi="Garamond" w:cs="CMR12"/>
          <w:kern w:val="0"/>
          <w:lang w:eastAsia="en-US" w:bidi="ar-SA"/>
        </w:rPr>
        <w:t xml:space="preserve"> </w:t>
      </w:r>
      <w:r w:rsidRPr="00102D53">
        <w:rPr>
          <w:rFonts w:ascii="Garamond" w:hAnsi="Garamond" w:cs="CMR12"/>
          <w:kern w:val="0"/>
          <w:lang w:eastAsia="en-US" w:bidi="ar-SA"/>
        </w:rPr>
        <w:t>Follow the Leader: Theory and Evidence on Political Participation.</w:t>
      </w:r>
      <w:r w:rsidR="00C3741F">
        <w:rPr>
          <w:rFonts w:ascii="Garamond" w:hAnsi="Garamond" w:cs="CMR12"/>
          <w:kern w:val="0"/>
          <w:lang w:eastAsia="en-US" w:bidi="ar-SA"/>
        </w:rPr>
        <w:t xml:space="preserve"> </w:t>
      </w:r>
      <w:r w:rsidRPr="00102D53">
        <w:rPr>
          <w:rFonts w:ascii="Garamond" w:hAnsi="Garamond" w:cs="CMR12"/>
          <w:i/>
          <w:kern w:val="0"/>
          <w:lang w:eastAsia="en-US" w:bidi="ar-SA"/>
        </w:rPr>
        <w:t xml:space="preserve">American Economic Review </w:t>
      </w:r>
      <w:r w:rsidRPr="00102D53">
        <w:rPr>
          <w:rFonts w:ascii="Garamond" w:hAnsi="Garamond" w:cs="CMR12"/>
          <w:kern w:val="0"/>
          <w:lang w:eastAsia="en-US" w:bidi="ar-SA"/>
        </w:rPr>
        <w:t>89(3):525-547.</w:t>
      </w:r>
    </w:p>
    <w:p w:rsidR="00B54749" w:rsidRDefault="00C002A6" w:rsidP="00294CC6">
      <w:pPr>
        <w:suppressAutoHyphens w:val="0"/>
        <w:autoSpaceDE w:val="0"/>
        <w:autoSpaceDN w:val="0"/>
        <w:adjustRightInd w:val="0"/>
        <w:spacing w:line="480" w:lineRule="auto"/>
        <w:ind w:left="720" w:hanging="720"/>
        <w:contextualSpacing/>
        <w:jc w:val="both"/>
        <w:rPr>
          <w:rFonts w:ascii="Garamond" w:hAnsi="Garamond"/>
          <w:b/>
        </w:rPr>
      </w:pPr>
      <w:r w:rsidRPr="00102D53">
        <w:rPr>
          <w:rFonts w:ascii="Garamond" w:hAnsi="Garamond" w:cs="CMR12"/>
          <w:kern w:val="0"/>
          <w:lang w:eastAsia="en-US" w:bidi="ar-SA"/>
        </w:rPr>
        <w:t>Tucker, Harvey.</w:t>
      </w:r>
      <w:r w:rsidR="00C3741F">
        <w:rPr>
          <w:rFonts w:ascii="Garamond" w:hAnsi="Garamond" w:cs="CMR12"/>
          <w:kern w:val="0"/>
          <w:lang w:eastAsia="en-US" w:bidi="ar-SA"/>
        </w:rPr>
        <w:t xml:space="preserve"> </w:t>
      </w:r>
      <w:r w:rsidRPr="00102D53">
        <w:rPr>
          <w:rFonts w:ascii="Garamond" w:hAnsi="Garamond" w:cs="CMR12"/>
          <w:kern w:val="0"/>
          <w:lang w:eastAsia="en-US" w:bidi="ar-SA"/>
        </w:rPr>
        <w:t>1986.</w:t>
      </w:r>
      <w:r w:rsidR="00C3741F">
        <w:rPr>
          <w:rFonts w:ascii="Garamond" w:hAnsi="Garamond" w:cs="CMR12"/>
          <w:kern w:val="0"/>
          <w:lang w:eastAsia="en-US" w:bidi="ar-SA"/>
        </w:rPr>
        <w:t xml:space="preserve"> </w:t>
      </w:r>
      <w:r w:rsidRPr="00102D53">
        <w:rPr>
          <w:rFonts w:ascii="Garamond" w:hAnsi="Garamond" w:cs="CMR12"/>
          <w:kern w:val="0"/>
          <w:lang w:eastAsia="en-US" w:bidi="ar-SA"/>
        </w:rPr>
        <w:t>Contextual Models of Participation in U.S. State Legislative Elections.</w:t>
      </w:r>
      <w:r w:rsidR="00C3741F">
        <w:rPr>
          <w:rFonts w:ascii="Garamond" w:hAnsi="Garamond" w:cs="CMR12"/>
          <w:kern w:val="0"/>
          <w:lang w:eastAsia="en-US" w:bidi="ar-SA"/>
        </w:rPr>
        <w:t xml:space="preserve"> </w:t>
      </w:r>
      <w:r w:rsidRPr="00102D53">
        <w:rPr>
          <w:rFonts w:ascii="Garamond" w:hAnsi="Garamond" w:cs="CMR12"/>
          <w:i/>
          <w:kern w:val="0"/>
          <w:lang w:eastAsia="en-US" w:bidi="ar-SA"/>
        </w:rPr>
        <w:t>The Western Political Quarterly</w:t>
      </w:r>
      <w:r w:rsidRPr="00102D53">
        <w:rPr>
          <w:rFonts w:ascii="Garamond" w:hAnsi="Garamond" w:cs="CMR12"/>
          <w:kern w:val="0"/>
          <w:lang w:eastAsia="en-US" w:bidi="ar-SA"/>
        </w:rPr>
        <w:t xml:space="preserve"> 39(1):67-78.</w:t>
      </w:r>
    </w:p>
    <w:p w:rsidR="00121C30" w:rsidRPr="00102D53" w:rsidRDefault="00121C30" w:rsidP="005B172D">
      <w:pPr>
        <w:spacing w:line="480" w:lineRule="auto"/>
        <w:rPr>
          <w:rFonts w:ascii="Garamond" w:hAnsi="Garamond"/>
        </w:rPr>
      </w:pPr>
    </w:p>
    <w:p w:rsidR="00121C30" w:rsidRPr="00102D53" w:rsidRDefault="00121C30" w:rsidP="00121C30">
      <w:pPr>
        <w:autoSpaceDE w:val="0"/>
        <w:rPr>
          <w:rFonts w:ascii="Garamond" w:hAnsi="Garamond" w:cs="SFRM1200"/>
          <w:i/>
        </w:rPr>
      </w:pPr>
    </w:p>
    <w:p w:rsidR="00121C30" w:rsidRPr="00102D53" w:rsidRDefault="00121C30" w:rsidP="00121C30">
      <w:pPr>
        <w:autoSpaceDE w:val="0"/>
        <w:rPr>
          <w:rFonts w:ascii="Garamond" w:hAnsi="Garamond" w:cs="SFRM1200"/>
        </w:rPr>
      </w:pPr>
      <w:r w:rsidRPr="00102D53">
        <w:rPr>
          <w:rFonts w:ascii="Garamond" w:hAnsi="Garamond" w:cs="SFRM1200"/>
        </w:rPr>
        <w:tab/>
      </w:r>
      <w:r w:rsidRPr="00102D53">
        <w:rPr>
          <w:rFonts w:ascii="Garamond" w:hAnsi="Garamond" w:cs="SFRM1200"/>
        </w:rPr>
        <w:tab/>
      </w:r>
      <w:r w:rsidRPr="00102D53">
        <w:rPr>
          <w:rFonts w:ascii="Garamond" w:hAnsi="Garamond" w:cs="SFRM1200"/>
        </w:rPr>
        <w:tab/>
      </w:r>
      <w:r w:rsidRPr="00102D53">
        <w:rPr>
          <w:rFonts w:ascii="Garamond" w:hAnsi="Garamond" w:cs="SFRM1200"/>
        </w:rPr>
        <w:tab/>
      </w:r>
      <w:r w:rsidRPr="00102D53">
        <w:rPr>
          <w:rFonts w:ascii="Garamond" w:hAnsi="Garamond" w:cs="SFRM1200"/>
        </w:rPr>
        <w:tab/>
      </w:r>
    </w:p>
    <w:p w:rsidR="00121C30" w:rsidRPr="00102D53" w:rsidRDefault="00121C30" w:rsidP="00121C30">
      <w:pPr>
        <w:autoSpaceDE w:val="0"/>
        <w:rPr>
          <w:rFonts w:ascii="Garamond" w:hAnsi="Garamond" w:cs="SFRM1200"/>
        </w:rPr>
      </w:pPr>
    </w:p>
    <w:p w:rsidR="004C40E7" w:rsidRPr="00121C30" w:rsidRDefault="00594123">
      <w:pPr>
        <w:rPr>
          <w:rFonts w:ascii="Garamond" w:hAnsi="Garamond"/>
        </w:rPr>
      </w:pPr>
    </w:p>
    <w:sectPr w:rsidR="004C40E7" w:rsidRPr="00121C30" w:rsidSect="00A2038E">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23" w:rsidRDefault="00594123" w:rsidP="00121C30">
      <w:r>
        <w:separator/>
      </w:r>
    </w:p>
  </w:endnote>
  <w:endnote w:type="continuationSeparator" w:id="0">
    <w:p w:rsidR="00594123" w:rsidRDefault="00594123" w:rsidP="0012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FRM1200">
    <w:panose1 w:val="00000000000000000000"/>
    <w:charset w:val="00"/>
    <w:family w:val="auto"/>
    <w:notTrueType/>
    <w:pitch w:val="variable"/>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09" w:rsidRPr="00143FAA" w:rsidRDefault="007165C3" w:rsidP="00143FAA">
    <w:pPr>
      <w:pStyle w:val="Footer"/>
      <w:jc w:val="center"/>
      <w:rPr>
        <w:rFonts w:ascii="Garamond" w:hAnsi="Garamond"/>
      </w:rPr>
    </w:pPr>
    <w:r w:rsidRPr="00143FAA">
      <w:rPr>
        <w:rFonts w:ascii="Garamond" w:hAnsi="Garamond"/>
      </w:rPr>
      <w:fldChar w:fldCharType="begin"/>
    </w:r>
    <w:r w:rsidRPr="00143FAA">
      <w:rPr>
        <w:rFonts w:ascii="Garamond" w:hAnsi="Garamond"/>
      </w:rPr>
      <w:instrText xml:space="preserve"> PAGE </w:instrText>
    </w:r>
    <w:r w:rsidRPr="00143FAA">
      <w:rPr>
        <w:rFonts w:ascii="Garamond" w:hAnsi="Garamond"/>
      </w:rPr>
      <w:fldChar w:fldCharType="separate"/>
    </w:r>
    <w:r w:rsidR="002D734F">
      <w:rPr>
        <w:rFonts w:ascii="Garamond" w:hAnsi="Garamond"/>
        <w:noProof/>
      </w:rPr>
      <w:t>1</w:t>
    </w:r>
    <w:r w:rsidRPr="00143FAA">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23" w:rsidRDefault="00594123" w:rsidP="00121C30">
      <w:r>
        <w:separator/>
      </w:r>
    </w:p>
  </w:footnote>
  <w:footnote w:type="continuationSeparator" w:id="0">
    <w:p w:rsidR="00594123" w:rsidRDefault="00594123" w:rsidP="00121C30">
      <w:r>
        <w:continuationSeparator/>
      </w:r>
    </w:p>
  </w:footnote>
  <w:footnote w:id="1">
    <w:p w:rsidR="00A23F6B" w:rsidRPr="00112A37" w:rsidRDefault="00A23F6B" w:rsidP="00294CC6">
      <w:pPr>
        <w:pStyle w:val="FootnoteText"/>
        <w:ind w:left="0" w:firstLine="720"/>
        <w:jc w:val="both"/>
        <w:rPr>
          <w:rFonts w:ascii="Garamond" w:hAnsi="Garamond"/>
          <w:sz w:val="24"/>
          <w:szCs w:val="24"/>
        </w:rPr>
      </w:pPr>
      <w:r w:rsidRPr="00112A37">
        <w:rPr>
          <w:rStyle w:val="FootnoteReference"/>
          <w:rFonts w:ascii="Garamond" w:hAnsi="Garamond" w:cs="Calibri"/>
          <w:sz w:val="24"/>
          <w:szCs w:val="24"/>
        </w:rPr>
        <w:footnoteRef/>
      </w:r>
      <w:r w:rsidRPr="00112A37">
        <w:rPr>
          <w:rFonts w:ascii="Garamond" w:hAnsi="Garamond"/>
          <w:sz w:val="24"/>
          <w:szCs w:val="24"/>
        </w:rPr>
        <w:t xml:space="preserve"> </w:t>
      </w:r>
      <w:r>
        <w:rPr>
          <w:rFonts w:ascii="Garamond" w:hAnsi="Garamond"/>
          <w:sz w:val="24"/>
          <w:szCs w:val="24"/>
        </w:rPr>
        <w:t xml:space="preserve">Recent lab experiments by </w:t>
      </w:r>
      <w:proofErr w:type="spellStart"/>
      <w:r>
        <w:rPr>
          <w:rFonts w:ascii="Garamond" w:hAnsi="Garamond"/>
          <w:sz w:val="24"/>
          <w:szCs w:val="24"/>
        </w:rPr>
        <w:t>Blais</w:t>
      </w:r>
      <w:proofErr w:type="spellEnd"/>
      <w:r w:rsidRPr="00112A37">
        <w:rPr>
          <w:rFonts w:ascii="Garamond" w:hAnsi="Garamond"/>
          <w:sz w:val="24"/>
          <w:szCs w:val="24"/>
        </w:rPr>
        <w:t xml:space="preserve"> et al</w:t>
      </w:r>
      <w:r>
        <w:rPr>
          <w:rFonts w:ascii="Garamond" w:hAnsi="Garamond"/>
          <w:sz w:val="24"/>
          <w:szCs w:val="24"/>
        </w:rPr>
        <w:t>.</w:t>
      </w:r>
      <w:r w:rsidRPr="00112A37">
        <w:rPr>
          <w:rFonts w:ascii="Garamond" w:hAnsi="Garamond"/>
          <w:sz w:val="24"/>
          <w:szCs w:val="24"/>
        </w:rPr>
        <w:t xml:space="preserve"> (2011), which arguably are designed to better approximate voter decision made during actual elections, have shown that most subjects </w:t>
      </w:r>
      <w:r w:rsidRPr="00112A37">
        <w:rPr>
          <w:rFonts w:ascii="Garamond" w:hAnsi="Garamond"/>
          <w:i/>
          <w:sz w:val="24"/>
          <w:szCs w:val="24"/>
        </w:rPr>
        <w:t xml:space="preserve">do not </w:t>
      </w:r>
      <w:r w:rsidRPr="00112A37">
        <w:rPr>
          <w:rFonts w:ascii="Garamond" w:hAnsi="Garamond"/>
          <w:sz w:val="24"/>
          <w:szCs w:val="24"/>
        </w:rPr>
        <w:t>abstain when it is rational for them to do so.</w:t>
      </w:r>
    </w:p>
  </w:footnote>
  <w:footnote w:id="2">
    <w:p w:rsidR="00B54749" w:rsidRPr="00112A37" w:rsidRDefault="00B54749" w:rsidP="00294CC6">
      <w:pPr>
        <w:pStyle w:val="FootnoteText"/>
        <w:ind w:left="0" w:firstLine="720"/>
        <w:jc w:val="both"/>
        <w:rPr>
          <w:rFonts w:ascii="Garamond" w:hAnsi="Garamond"/>
          <w:sz w:val="24"/>
          <w:szCs w:val="24"/>
        </w:rPr>
      </w:pPr>
      <w:r w:rsidRPr="00112A37">
        <w:rPr>
          <w:rStyle w:val="FootnoteReference"/>
          <w:rFonts w:ascii="Garamond" w:hAnsi="Garamond"/>
          <w:sz w:val="24"/>
          <w:szCs w:val="24"/>
        </w:rPr>
        <w:footnoteRef/>
      </w:r>
      <w:r w:rsidRPr="00112A37">
        <w:rPr>
          <w:rFonts w:ascii="Garamond" w:hAnsi="Garamond"/>
          <w:sz w:val="24"/>
          <w:szCs w:val="24"/>
        </w:rPr>
        <w:t xml:space="preserve"> These results arise from 45 separate regressions which follow the same specification as those in table 3.</w:t>
      </w:r>
      <w:r w:rsidR="00C3741F">
        <w:rPr>
          <w:rFonts w:ascii="Garamond" w:hAnsi="Garamond"/>
          <w:sz w:val="24"/>
          <w:szCs w:val="24"/>
        </w:rPr>
        <w:t xml:space="preserve"> </w:t>
      </w:r>
      <w:r w:rsidRPr="00112A37">
        <w:rPr>
          <w:rFonts w:ascii="Garamond" w:hAnsi="Garamond"/>
          <w:sz w:val="24"/>
          <w:szCs w:val="24"/>
        </w:rPr>
        <w:t>The only exception is that the dependent variable is a pre-treatment variable, so we expect (and find) these coefficients to be close to zero.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30"/>
    <w:rsid w:val="000A0B26"/>
    <w:rsid w:val="00121C30"/>
    <w:rsid w:val="002236BB"/>
    <w:rsid w:val="00243049"/>
    <w:rsid w:val="00294CC6"/>
    <w:rsid w:val="002B4432"/>
    <w:rsid w:val="002D734F"/>
    <w:rsid w:val="002E5A32"/>
    <w:rsid w:val="003944BB"/>
    <w:rsid w:val="00401929"/>
    <w:rsid w:val="004028B5"/>
    <w:rsid w:val="00451CDD"/>
    <w:rsid w:val="004D2E3E"/>
    <w:rsid w:val="004E3EA7"/>
    <w:rsid w:val="00573B36"/>
    <w:rsid w:val="00593263"/>
    <w:rsid w:val="00594123"/>
    <w:rsid w:val="005B172D"/>
    <w:rsid w:val="0064622E"/>
    <w:rsid w:val="00677A45"/>
    <w:rsid w:val="00682920"/>
    <w:rsid w:val="006B05CD"/>
    <w:rsid w:val="007165C3"/>
    <w:rsid w:val="008D463D"/>
    <w:rsid w:val="008F5A1A"/>
    <w:rsid w:val="008F724E"/>
    <w:rsid w:val="0090315D"/>
    <w:rsid w:val="009B3069"/>
    <w:rsid w:val="009B631D"/>
    <w:rsid w:val="00A02F0C"/>
    <w:rsid w:val="00A2038E"/>
    <w:rsid w:val="00A23F6B"/>
    <w:rsid w:val="00A46F51"/>
    <w:rsid w:val="00B17CB3"/>
    <w:rsid w:val="00B54749"/>
    <w:rsid w:val="00B8037B"/>
    <w:rsid w:val="00BC5B0C"/>
    <w:rsid w:val="00C002A6"/>
    <w:rsid w:val="00C21C57"/>
    <w:rsid w:val="00C3741F"/>
    <w:rsid w:val="00C539EC"/>
    <w:rsid w:val="00C600D0"/>
    <w:rsid w:val="00C92DDF"/>
    <w:rsid w:val="00CA4307"/>
    <w:rsid w:val="00CD6CBF"/>
    <w:rsid w:val="00DE3532"/>
    <w:rsid w:val="00E0750B"/>
    <w:rsid w:val="00E47135"/>
    <w:rsid w:val="00E50C28"/>
    <w:rsid w:val="00E549C8"/>
    <w:rsid w:val="00E9564A"/>
    <w:rsid w:val="00EB2DFC"/>
    <w:rsid w:val="00EB6E79"/>
    <w:rsid w:val="00F15745"/>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30"/>
    <w:pPr>
      <w:suppressAutoHyphens/>
      <w:spacing w:after="0" w:line="240" w:lineRule="auto"/>
    </w:pPr>
    <w:rPr>
      <w:rFonts w:ascii="Calibri" w:eastAsia="SimSun" w:hAnsi="Calibri" w:cs="Calibr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1C30"/>
    <w:rPr>
      <w:rFonts w:cs="Times New Roman"/>
      <w:vertAlign w:val="superscript"/>
    </w:rPr>
  </w:style>
  <w:style w:type="paragraph" w:styleId="Footer">
    <w:name w:val="footer"/>
    <w:basedOn w:val="Normal"/>
    <w:link w:val="FooterChar1"/>
    <w:uiPriority w:val="99"/>
    <w:rsid w:val="00121C30"/>
    <w:pPr>
      <w:suppressLineNumbers/>
      <w:tabs>
        <w:tab w:val="center" w:pos="4680"/>
        <w:tab w:val="right" w:pos="9360"/>
      </w:tabs>
    </w:pPr>
    <w:rPr>
      <w:rFonts w:cs="Mangal"/>
      <w:sz w:val="21"/>
      <w:szCs w:val="21"/>
    </w:rPr>
  </w:style>
  <w:style w:type="character" w:customStyle="1" w:styleId="FooterChar">
    <w:name w:val="Footer Char"/>
    <w:basedOn w:val="DefaultParagraphFont"/>
    <w:uiPriority w:val="99"/>
    <w:semiHidden/>
    <w:rsid w:val="00121C30"/>
    <w:rPr>
      <w:rFonts w:ascii="Calibri" w:eastAsia="SimSun" w:hAnsi="Calibri" w:cs="Mangal"/>
      <w:kern w:val="1"/>
      <w:sz w:val="24"/>
      <w:szCs w:val="21"/>
      <w:lang w:eastAsia="hi-IN" w:bidi="hi-IN"/>
    </w:rPr>
  </w:style>
  <w:style w:type="character" w:customStyle="1" w:styleId="FooterChar1">
    <w:name w:val="Footer Char1"/>
    <w:link w:val="Footer"/>
    <w:uiPriority w:val="99"/>
    <w:locked/>
    <w:rsid w:val="00121C30"/>
    <w:rPr>
      <w:rFonts w:ascii="Calibri" w:eastAsia="SimSun" w:hAnsi="Calibri" w:cs="Mangal"/>
      <w:kern w:val="1"/>
      <w:sz w:val="21"/>
      <w:szCs w:val="21"/>
      <w:lang w:eastAsia="hi-IN" w:bidi="hi-IN"/>
    </w:rPr>
  </w:style>
  <w:style w:type="paragraph" w:styleId="FootnoteText">
    <w:name w:val="footnote text"/>
    <w:basedOn w:val="Normal"/>
    <w:link w:val="FootnoteTextChar1"/>
    <w:rsid w:val="00121C30"/>
    <w:pPr>
      <w:suppressLineNumbers/>
      <w:ind w:left="283" w:hanging="283"/>
    </w:pPr>
    <w:rPr>
      <w:rFonts w:cs="Mangal"/>
      <w:sz w:val="18"/>
      <w:szCs w:val="18"/>
    </w:rPr>
  </w:style>
  <w:style w:type="character" w:customStyle="1" w:styleId="FootnoteTextChar">
    <w:name w:val="Footnote Text Char"/>
    <w:basedOn w:val="DefaultParagraphFont"/>
    <w:uiPriority w:val="99"/>
    <w:semiHidden/>
    <w:rsid w:val="00121C30"/>
    <w:rPr>
      <w:rFonts w:ascii="Calibri" w:eastAsia="SimSun" w:hAnsi="Calibri" w:cs="Mangal"/>
      <w:kern w:val="1"/>
      <w:sz w:val="20"/>
      <w:szCs w:val="18"/>
      <w:lang w:eastAsia="hi-IN" w:bidi="hi-IN"/>
    </w:rPr>
  </w:style>
  <w:style w:type="character" w:customStyle="1" w:styleId="FootnoteTextChar1">
    <w:name w:val="Footnote Text Char1"/>
    <w:link w:val="FootnoteText"/>
    <w:locked/>
    <w:rsid w:val="00121C30"/>
    <w:rPr>
      <w:rFonts w:ascii="Calibri" w:eastAsia="SimSun" w:hAnsi="Calibri" w:cs="Mangal"/>
      <w:kern w:val="1"/>
      <w:sz w:val="18"/>
      <w:szCs w:val="18"/>
      <w:lang w:eastAsia="hi-IN" w:bidi="hi-IN"/>
    </w:rPr>
  </w:style>
  <w:style w:type="character" w:customStyle="1" w:styleId="FootnoteTextChar2">
    <w:name w:val="Footnote Text Char2"/>
    <w:uiPriority w:val="99"/>
    <w:semiHidden/>
    <w:locked/>
    <w:rsid w:val="00A23F6B"/>
    <w:rPr>
      <w:rFonts w:ascii="Calibri" w:eastAsia="SimSun" w:hAnsi="Calibri" w:cs="Mangal"/>
      <w:kern w:val="1"/>
      <w:sz w:val="18"/>
      <w:szCs w:val="18"/>
      <w:lang w:eastAsia="hi-IN" w:bidi="hi-IN"/>
    </w:rPr>
  </w:style>
  <w:style w:type="paragraph" w:styleId="BalloonText">
    <w:name w:val="Balloon Text"/>
    <w:basedOn w:val="Normal"/>
    <w:link w:val="BalloonTextChar"/>
    <w:uiPriority w:val="99"/>
    <w:semiHidden/>
    <w:unhideWhenUsed/>
    <w:rsid w:val="0090315D"/>
    <w:rPr>
      <w:rFonts w:ascii="Tahoma" w:hAnsi="Tahoma" w:cs="Mangal"/>
      <w:sz w:val="16"/>
      <w:szCs w:val="14"/>
    </w:rPr>
  </w:style>
  <w:style w:type="character" w:customStyle="1" w:styleId="BalloonTextChar">
    <w:name w:val="Balloon Text Char"/>
    <w:basedOn w:val="DefaultParagraphFont"/>
    <w:link w:val="BalloonText"/>
    <w:uiPriority w:val="99"/>
    <w:semiHidden/>
    <w:rsid w:val="0090315D"/>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2D734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D734F"/>
    <w:rPr>
      <w:rFonts w:ascii="Calibri" w:eastAsia="SimSun" w:hAnsi="Calibri"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30"/>
    <w:pPr>
      <w:suppressAutoHyphens/>
      <w:spacing w:after="0" w:line="240" w:lineRule="auto"/>
    </w:pPr>
    <w:rPr>
      <w:rFonts w:ascii="Calibri" w:eastAsia="SimSun" w:hAnsi="Calibri" w:cs="Calibr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1C30"/>
    <w:rPr>
      <w:rFonts w:cs="Times New Roman"/>
      <w:vertAlign w:val="superscript"/>
    </w:rPr>
  </w:style>
  <w:style w:type="paragraph" w:styleId="Footer">
    <w:name w:val="footer"/>
    <w:basedOn w:val="Normal"/>
    <w:link w:val="FooterChar1"/>
    <w:uiPriority w:val="99"/>
    <w:rsid w:val="00121C30"/>
    <w:pPr>
      <w:suppressLineNumbers/>
      <w:tabs>
        <w:tab w:val="center" w:pos="4680"/>
        <w:tab w:val="right" w:pos="9360"/>
      </w:tabs>
    </w:pPr>
    <w:rPr>
      <w:rFonts w:cs="Mangal"/>
      <w:sz w:val="21"/>
      <w:szCs w:val="21"/>
    </w:rPr>
  </w:style>
  <w:style w:type="character" w:customStyle="1" w:styleId="FooterChar">
    <w:name w:val="Footer Char"/>
    <w:basedOn w:val="DefaultParagraphFont"/>
    <w:uiPriority w:val="99"/>
    <w:semiHidden/>
    <w:rsid w:val="00121C30"/>
    <w:rPr>
      <w:rFonts w:ascii="Calibri" w:eastAsia="SimSun" w:hAnsi="Calibri" w:cs="Mangal"/>
      <w:kern w:val="1"/>
      <w:sz w:val="24"/>
      <w:szCs w:val="21"/>
      <w:lang w:eastAsia="hi-IN" w:bidi="hi-IN"/>
    </w:rPr>
  </w:style>
  <w:style w:type="character" w:customStyle="1" w:styleId="FooterChar1">
    <w:name w:val="Footer Char1"/>
    <w:link w:val="Footer"/>
    <w:uiPriority w:val="99"/>
    <w:locked/>
    <w:rsid w:val="00121C30"/>
    <w:rPr>
      <w:rFonts w:ascii="Calibri" w:eastAsia="SimSun" w:hAnsi="Calibri" w:cs="Mangal"/>
      <w:kern w:val="1"/>
      <w:sz w:val="21"/>
      <w:szCs w:val="21"/>
      <w:lang w:eastAsia="hi-IN" w:bidi="hi-IN"/>
    </w:rPr>
  </w:style>
  <w:style w:type="paragraph" w:styleId="FootnoteText">
    <w:name w:val="footnote text"/>
    <w:basedOn w:val="Normal"/>
    <w:link w:val="FootnoteTextChar1"/>
    <w:rsid w:val="00121C30"/>
    <w:pPr>
      <w:suppressLineNumbers/>
      <w:ind w:left="283" w:hanging="283"/>
    </w:pPr>
    <w:rPr>
      <w:rFonts w:cs="Mangal"/>
      <w:sz w:val="18"/>
      <w:szCs w:val="18"/>
    </w:rPr>
  </w:style>
  <w:style w:type="character" w:customStyle="1" w:styleId="FootnoteTextChar">
    <w:name w:val="Footnote Text Char"/>
    <w:basedOn w:val="DefaultParagraphFont"/>
    <w:uiPriority w:val="99"/>
    <w:semiHidden/>
    <w:rsid w:val="00121C30"/>
    <w:rPr>
      <w:rFonts w:ascii="Calibri" w:eastAsia="SimSun" w:hAnsi="Calibri" w:cs="Mangal"/>
      <w:kern w:val="1"/>
      <w:sz w:val="20"/>
      <w:szCs w:val="18"/>
      <w:lang w:eastAsia="hi-IN" w:bidi="hi-IN"/>
    </w:rPr>
  </w:style>
  <w:style w:type="character" w:customStyle="1" w:styleId="FootnoteTextChar1">
    <w:name w:val="Footnote Text Char1"/>
    <w:link w:val="FootnoteText"/>
    <w:locked/>
    <w:rsid w:val="00121C30"/>
    <w:rPr>
      <w:rFonts w:ascii="Calibri" w:eastAsia="SimSun" w:hAnsi="Calibri" w:cs="Mangal"/>
      <w:kern w:val="1"/>
      <w:sz w:val="18"/>
      <w:szCs w:val="18"/>
      <w:lang w:eastAsia="hi-IN" w:bidi="hi-IN"/>
    </w:rPr>
  </w:style>
  <w:style w:type="character" w:customStyle="1" w:styleId="FootnoteTextChar2">
    <w:name w:val="Footnote Text Char2"/>
    <w:uiPriority w:val="99"/>
    <w:semiHidden/>
    <w:locked/>
    <w:rsid w:val="00A23F6B"/>
    <w:rPr>
      <w:rFonts w:ascii="Calibri" w:eastAsia="SimSun" w:hAnsi="Calibri" w:cs="Mangal"/>
      <w:kern w:val="1"/>
      <w:sz w:val="18"/>
      <w:szCs w:val="18"/>
      <w:lang w:eastAsia="hi-IN" w:bidi="hi-IN"/>
    </w:rPr>
  </w:style>
  <w:style w:type="paragraph" w:styleId="BalloonText">
    <w:name w:val="Balloon Text"/>
    <w:basedOn w:val="Normal"/>
    <w:link w:val="BalloonTextChar"/>
    <w:uiPriority w:val="99"/>
    <w:semiHidden/>
    <w:unhideWhenUsed/>
    <w:rsid w:val="0090315D"/>
    <w:rPr>
      <w:rFonts w:ascii="Tahoma" w:hAnsi="Tahoma" w:cs="Mangal"/>
      <w:sz w:val="16"/>
      <w:szCs w:val="14"/>
    </w:rPr>
  </w:style>
  <w:style w:type="character" w:customStyle="1" w:styleId="BalloonTextChar">
    <w:name w:val="Balloon Text Char"/>
    <w:basedOn w:val="DefaultParagraphFont"/>
    <w:link w:val="BalloonText"/>
    <w:uiPriority w:val="99"/>
    <w:semiHidden/>
    <w:rsid w:val="0090315D"/>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2D734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D734F"/>
    <w:rPr>
      <w:rFonts w:ascii="Calibri" w:eastAsia="SimSun" w:hAnsi="Calibr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4057</Words>
  <Characters>22317</Characters>
  <Application>Microsoft Office Word</Application>
  <DocSecurity>0</DocSecurity>
  <Lines>333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Fowler</dc:creator>
  <cp:lastModifiedBy>Anthony Fowler</cp:lastModifiedBy>
  <cp:revision>40</cp:revision>
  <dcterms:created xsi:type="dcterms:W3CDTF">2013-10-04T23:18:00Z</dcterms:created>
  <dcterms:modified xsi:type="dcterms:W3CDTF">2013-12-18T22:17:00Z</dcterms:modified>
</cp:coreProperties>
</file>