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85504" w14:textId="3EC4F2F3" w:rsidR="00452BEA" w:rsidRDefault="00593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Online </w:t>
      </w:r>
      <w:r w:rsidR="00D54EC9" w:rsidRPr="006A7BCC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B069AA">
        <w:rPr>
          <w:rFonts w:ascii="Times New Roman" w:hAnsi="Times New Roman" w:cs="Times New Roman"/>
          <w:b/>
          <w:sz w:val="24"/>
          <w:szCs w:val="24"/>
        </w:rPr>
        <w:t>4</w:t>
      </w:r>
      <w:r w:rsidR="00D54EC9" w:rsidRPr="006A7BC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52BEA">
        <w:rPr>
          <w:rFonts w:ascii="Times New Roman" w:hAnsi="Times New Roman" w:cs="Times New Roman"/>
          <w:b/>
          <w:sz w:val="24"/>
          <w:szCs w:val="24"/>
        </w:rPr>
        <w:t xml:space="preserve">Post-Matching Multilevel </w:t>
      </w:r>
      <w:r w:rsidR="00B069AA">
        <w:rPr>
          <w:rFonts w:ascii="Times New Roman" w:hAnsi="Times New Roman" w:cs="Times New Roman"/>
          <w:b/>
          <w:sz w:val="24"/>
          <w:szCs w:val="24"/>
        </w:rPr>
        <w:t>Regression Adjustment</w:t>
      </w:r>
    </w:p>
    <w:p w14:paraId="4E6C3190" w14:textId="77777777" w:rsidR="00FB1FEC" w:rsidRDefault="00FB1FEC">
      <w:pPr>
        <w:rPr>
          <w:rFonts w:ascii="Times New Roman" w:hAnsi="Times New Roman" w:cs="Times New Roman"/>
          <w:b/>
          <w:sz w:val="24"/>
          <w:szCs w:val="24"/>
        </w:rPr>
      </w:pPr>
    </w:p>
    <w:p w14:paraId="24A93B3B" w14:textId="6301A031" w:rsidR="00A16659" w:rsidRPr="0099019B" w:rsidRDefault="00A16659" w:rsidP="00C41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19B">
        <w:rPr>
          <w:rFonts w:ascii="Times New Roman" w:hAnsi="Times New Roman" w:cs="Times New Roman"/>
          <w:sz w:val="24"/>
          <w:szCs w:val="24"/>
        </w:rPr>
        <w:t xml:space="preserve">Voters participating in the pilot were assigned to polling places with electronic or traditional voting </w:t>
      </w:r>
      <w:r w:rsidR="00F927D7">
        <w:rPr>
          <w:rFonts w:ascii="Times New Roman" w:hAnsi="Times New Roman" w:cs="Times New Roman"/>
          <w:sz w:val="24"/>
          <w:szCs w:val="24"/>
        </w:rPr>
        <w:t>systems</w:t>
      </w:r>
      <w:r w:rsidRPr="0099019B">
        <w:rPr>
          <w:rFonts w:ascii="Times New Roman" w:hAnsi="Times New Roman" w:cs="Times New Roman"/>
          <w:sz w:val="24"/>
          <w:szCs w:val="24"/>
        </w:rPr>
        <w:t>. As a supplementary analysis, we estimated multilevel logist</w:t>
      </w:r>
      <w:bookmarkStart w:id="0" w:name="_GoBack"/>
      <w:bookmarkEnd w:id="0"/>
      <w:r w:rsidRPr="0099019B">
        <w:rPr>
          <w:rFonts w:ascii="Times New Roman" w:hAnsi="Times New Roman" w:cs="Times New Roman"/>
          <w:sz w:val="24"/>
          <w:szCs w:val="24"/>
        </w:rPr>
        <w:t>ic regressions in the matched sample, in order to determine whether effects reported in Table 4 remained the same after taking into account the hierarchical structure of the data — that is, taking into account that voters where grouped by polling places with different voting technologies in place.</w:t>
      </w:r>
    </w:p>
    <w:p w14:paraId="171A26B6" w14:textId="49FF70FC" w:rsidR="00A16659" w:rsidRPr="0099019B" w:rsidRDefault="00A16659" w:rsidP="00C41A2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019B">
        <w:rPr>
          <w:rFonts w:ascii="Times New Roman" w:hAnsi="Times New Roman" w:cs="Times New Roman"/>
          <w:sz w:val="24"/>
          <w:szCs w:val="24"/>
        </w:rPr>
        <w:t xml:space="preserve">Specifically, for each outcome variable, we estimated </w:t>
      </w:r>
      <w:r w:rsidR="008A18F1">
        <w:rPr>
          <w:rFonts w:ascii="Times New Roman" w:hAnsi="Times New Roman" w:cs="Times New Roman"/>
          <w:sz w:val="24"/>
          <w:szCs w:val="24"/>
        </w:rPr>
        <w:t>a multilevel logistic regression</w:t>
      </w:r>
      <w:r w:rsidR="009B5271">
        <w:rPr>
          <w:rFonts w:ascii="Times New Roman" w:hAnsi="Times New Roman" w:cs="Times New Roman"/>
          <w:sz w:val="24"/>
          <w:szCs w:val="24"/>
        </w:rPr>
        <w:t xml:space="preserve"> such that:</w:t>
      </w:r>
    </w:p>
    <w:p w14:paraId="333D8381" w14:textId="1CD0C0E6" w:rsidR="00A16659" w:rsidRPr="009B5271" w:rsidRDefault="009B5271" w:rsidP="00C41A2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ik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sub>
                      </m:sSub>
                    </m:e>
                  </m:d>
                </m:sup>
              </m:sSup>
            </m:den>
          </m:f>
        </m:oMath>
      </m:oMathPara>
    </w:p>
    <w:p w14:paraId="63640783" w14:textId="6952C4BD" w:rsidR="009B5271" w:rsidRDefault="009B5271" w:rsidP="00C41A2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denotes a binary outcome variable for voter </w:t>
      </w:r>
      <w:proofErr w:type="spellStart"/>
      <w:r w:rsidRPr="009B5271">
        <w:rPr>
          <w:rFonts w:ascii="Times New Roman" w:eastAsiaTheme="minorEastAsia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 polling place </w:t>
      </w:r>
      <w:r w:rsidRPr="009B5271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8A18F1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denotes a vector of individual-level attributes</w:t>
      </w:r>
      <w:r w:rsidR="008A18F1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denotes a first-level intercept that varies by polling place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2C06" w:rsidRPr="00122C06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8A18F1">
        <w:rPr>
          <w:rFonts w:ascii="Times New Roman" w:eastAsiaTheme="minorEastAsia" w:hAnsi="Times New Roman" w:cs="Times New Roman"/>
          <w:sz w:val="24"/>
          <w:szCs w:val="24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denotes a vector </w:t>
      </w:r>
      <w:r w:rsidR="0008422F">
        <w:rPr>
          <w:rFonts w:ascii="Times New Roman" w:eastAsiaTheme="minorEastAsia" w:hAnsi="Times New Roman" w:cs="Times New Roman"/>
          <w:sz w:val="24"/>
          <w:szCs w:val="24"/>
        </w:rPr>
        <w:t xml:space="preserve">of first-level slopes 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="00122C06" w:rsidRPr="00122C06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 elements (one correspond</w:t>
      </w:r>
      <w:r w:rsidR="008A18F1">
        <w:rPr>
          <w:rFonts w:ascii="Times New Roman" w:eastAsiaTheme="minorEastAsia" w:hAnsi="Times New Roman" w:cs="Times New Roman"/>
          <w:sz w:val="24"/>
          <w:szCs w:val="24"/>
        </w:rPr>
        <w:t>ing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 to each individual attribute included in the model) </w:t>
      </w:r>
      <w:r>
        <w:rPr>
          <w:rFonts w:ascii="Times New Roman" w:eastAsiaTheme="minorEastAsia" w:hAnsi="Times New Roman" w:cs="Times New Roman"/>
          <w:sz w:val="24"/>
          <w:szCs w:val="24"/>
        </w:rPr>
        <w:t>that also var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>ies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polling place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2C06" w:rsidRPr="00122C06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F84F2AD" w14:textId="2A41D07D" w:rsidR="009B5271" w:rsidRDefault="009B5271" w:rsidP="00C41A2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We estimated the multilevel regression</w:t>
      </w:r>
      <w:r w:rsidR="00BD2E4F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using Bayesian methods, specifying the following priors</w:t>
      </w:r>
      <w:r w:rsidR="008B3CD7">
        <w:rPr>
          <w:rFonts w:ascii="Times New Roman" w:eastAsiaTheme="minorEastAsia" w:hAnsi="Times New Roman" w:cs="Times New Roman"/>
          <w:sz w:val="24"/>
          <w:szCs w:val="24"/>
        </w:rPr>
        <w:t xml:space="preserve"> for the first-level parameters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∼N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sub>
            </m:sSub>
          </m:e>
        </m:d>
      </m:oMath>
      <w:r w:rsidR="008B3CD7">
        <w:rPr>
          <w:rFonts w:ascii="Times New Roman" w:eastAsiaTheme="minorEastAsia" w:hAnsi="Times New Roman" w:cs="Times New Roman"/>
          <w:sz w:val="24"/>
          <w:szCs w:val="24"/>
        </w:rPr>
        <w:t xml:space="preserve">, with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8B3CD7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="008B3CD7">
        <w:rPr>
          <w:rFonts w:ascii="Times New Roman" w:eastAsiaTheme="minorEastAsia" w:hAnsi="Times New Roman" w:cs="Times New Roman"/>
          <w:sz w:val="24"/>
          <w:szCs w:val="24"/>
        </w:rPr>
        <w:t xml:space="preserve"> takes value </w:t>
      </w:r>
      <w:r w:rsidR="00672097">
        <w:rPr>
          <w:rFonts w:ascii="Times New Roman" w:eastAsiaTheme="minorEastAsia" w:hAnsi="Times New Roman" w:cs="Times New Roman"/>
          <w:sz w:val="24"/>
          <w:szCs w:val="24"/>
        </w:rPr>
        <w:t>one</w:t>
      </w:r>
      <w:r w:rsidR="008B3CD7">
        <w:rPr>
          <w:rFonts w:ascii="Times New Roman" w:eastAsiaTheme="minorEastAsia" w:hAnsi="Times New Roman" w:cs="Times New Roman"/>
          <w:sz w:val="24"/>
          <w:szCs w:val="24"/>
        </w:rPr>
        <w:t xml:space="preserve"> if e-voting was used in polling place </w:t>
      </w:r>
      <w:r w:rsidR="008B3CD7" w:rsidRPr="008A18F1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8B3CD7">
        <w:rPr>
          <w:rFonts w:ascii="Times New Roman" w:eastAsiaTheme="minorEastAsia" w:hAnsi="Times New Roman" w:cs="Times New Roman"/>
          <w:sz w:val="24"/>
          <w:szCs w:val="24"/>
        </w:rPr>
        <w:t xml:space="preserve">, and otherwise takes value </w:t>
      </w:r>
      <w:r w:rsidR="00672097">
        <w:rPr>
          <w:rFonts w:ascii="Times New Roman" w:eastAsiaTheme="minorEastAsia" w:hAnsi="Times New Roman" w:cs="Times New Roman"/>
          <w:sz w:val="24"/>
          <w:szCs w:val="24"/>
        </w:rPr>
        <w:t>zero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="00A72669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∼N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σ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sub>
                </m:sSub>
              </m:sub>
            </m:sSub>
          </m:e>
        </m:d>
      </m:oMath>
      <w:r w:rsidR="00A72669">
        <w:rPr>
          <w:rFonts w:ascii="Times New Roman" w:eastAsiaTheme="minorEastAsia" w:hAnsi="Times New Roman" w:cs="Times New Roman"/>
          <w:sz w:val="24"/>
          <w:szCs w:val="24"/>
        </w:rPr>
        <w:t xml:space="preserve"> for each 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individual attribute </w:t>
      </w:r>
      <w:r w:rsidR="00122C06" w:rsidRPr="00122C06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="00122C06" w:rsidRPr="00122C06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. We specified uninformative priors for </w:t>
      </w:r>
      <w:proofErr w:type="gramStart"/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parameters 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</m:oMath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sub>
        </m:sSub>
      </m:oMath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, as well as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</m:oMath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sub>
            </m:sSub>
          </m:sub>
        </m:sSub>
      </m:oMath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, for all </w:t>
      </w:r>
      <w:r w:rsidR="00122C06" w:rsidRPr="00122C06">
        <w:rPr>
          <w:rFonts w:ascii="Times New Roman" w:eastAsiaTheme="minorEastAsia" w:hAnsi="Times New Roman" w:cs="Times New Roman"/>
          <w:i/>
          <w:sz w:val="24"/>
          <w:szCs w:val="24"/>
        </w:rPr>
        <w:t>j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 xml:space="preserve"> individual attributes in</w:t>
      </w:r>
      <w:r w:rsidR="00122C06" w:rsidRPr="00122C06">
        <w:rPr>
          <w:rFonts w:ascii="Times New Roman" w:eastAsiaTheme="minorEastAsia" w:hAnsi="Times New Roman" w:cs="Times New Roman"/>
          <w:i/>
          <w:sz w:val="24"/>
          <w:szCs w:val="24"/>
        </w:rPr>
        <w:t xml:space="preserve"> J</w:t>
      </w:r>
      <w:r w:rsidR="00122C0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063B81D" w14:textId="09FD4D18" w:rsidR="00F35A86" w:rsidRDefault="00F35A86" w:rsidP="00C41A2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Figure A4 shows mean values and confidence intervals for parameters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— which capture the effect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e-voting</w:t>
      </w:r>
      <w:proofErr w:type="gramEnd"/>
      <w:r w:rsidR="00780337">
        <w:rPr>
          <w:rFonts w:ascii="Times New Roman" w:eastAsiaTheme="minorEastAsia" w:hAnsi="Times New Roman" w:cs="Times New Roman"/>
          <w:sz w:val="24"/>
          <w:szCs w:val="24"/>
        </w:rPr>
        <w:t xml:space="preserve"> — for each outcome variable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780337">
        <w:rPr>
          <w:rFonts w:ascii="Times New Roman" w:eastAsiaTheme="minorEastAsia" w:hAnsi="Times New Roman" w:cs="Times New Roman"/>
          <w:sz w:val="24"/>
          <w:szCs w:val="24"/>
        </w:rPr>
        <w:t>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direction of the impact is similar to that reported in Table 4. To ease the interpretation of results, we also computed simulated effects of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e-voting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for each </w:t>
      </w:r>
      <w:r w:rsidR="00672097">
        <w:rPr>
          <w:rFonts w:ascii="Times New Roman" w:eastAsiaTheme="minorEastAsia" w:hAnsi="Times New Roman" w:cs="Times New Roman"/>
          <w:sz w:val="24"/>
          <w:szCs w:val="24"/>
        </w:rPr>
        <w:t>outcome variable. Table A4 gives baseline probabilities that each outcome variable takes value 1, as well as the change in the probability caused by switching from tradition</w:t>
      </w:r>
      <w:r w:rsidR="00C22998">
        <w:rPr>
          <w:rFonts w:ascii="Times New Roman" w:eastAsiaTheme="minorEastAsia" w:hAnsi="Times New Roman" w:cs="Times New Roman"/>
          <w:sz w:val="24"/>
          <w:szCs w:val="24"/>
        </w:rPr>
        <w:t>al</w:t>
      </w:r>
      <w:r w:rsidR="00672097">
        <w:rPr>
          <w:rFonts w:ascii="Times New Roman" w:eastAsiaTheme="minorEastAsia" w:hAnsi="Times New Roman" w:cs="Times New Roman"/>
          <w:sz w:val="24"/>
          <w:szCs w:val="24"/>
        </w:rPr>
        <w:t xml:space="preserve"> voting to e-voting, for a </w:t>
      </w:r>
      <w:r w:rsidR="00A60899">
        <w:rPr>
          <w:rFonts w:ascii="Times New Roman" w:eastAsiaTheme="minorEastAsia" w:hAnsi="Times New Roman" w:cs="Times New Roman"/>
          <w:sz w:val="24"/>
          <w:szCs w:val="24"/>
        </w:rPr>
        <w:t xml:space="preserve">hypothetical </w:t>
      </w:r>
      <w:r w:rsidR="00672097">
        <w:rPr>
          <w:rFonts w:ascii="Times New Roman" w:eastAsiaTheme="minorEastAsia" w:hAnsi="Times New Roman" w:cs="Times New Roman"/>
          <w:sz w:val="24"/>
          <w:szCs w:val="24"/>
        </w:rPr>
        <w:t>polling place with mean parameter values.</w:t>
      </w:r>
      <w:r w:rsidR="009E13BF">
        <w:rPr>
          <w:rFonts w:ascii="Times New Roman" w:eastAsiaTheme="minorEastAsia" w:hAnsi="Times New Roman" w:cs="Times New Roman"/>
          <w:sz w:val="24"/>
          <w:szCs w:val="24"/>
        </w:rPr>
        <w:t xml:space="preserve"> We found that the sign and magnitude of the effects is very similar to that reported in Table 4. Also, even though standard deviations are larger, all effects remain significant — except for the effect of </w:t>
      </w:r>
      <w:proofErr w:type="gramStart"/>
      <w:r w:rsidR="009E13BF">
        <w:rPr>
          <w:rFonts w:ascii="Times New Roman" w:eastAsiaTheme="minorEastAsia" w:hAnsi="Times New Roman" w:cs="Times New Roman"/>
          <w:sz w:val="24"/>
          <w:szCs w:val="24"/>
        </w:rPr>
        <w:t>e-voting</w:t>
      </w:r>
      <w:proofErr w:type="gramEnd"/>
      <w:r w:rsidR="009E13BF">
        <w:rPr>
          <w:rFonts w:ascii="Times New Roman" w:eastAsiaTheme="minorEastAsia" w:hAnsi="Times New Roman" w:cs="Times New Roman"/>
          <w:sz w:val="24"/>
          <w:szCs w:val="24"/>
        </w:rPr>
        <w:t xml:space="preserve"> on the perceived speed of the voting process, which was already non-significant in the case of the logistic regressions reported in Table 4.</w:t>
      </w:r>
    </w:p>
    <w:p w14:paraId="06FBD080" w14:textId="46E344F0" w:rsidR="00672097" w:rsidRDefault="006720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17D88E2C" w14:textId="59D2A108" w:rsidR="00672097" w:rsidRDefault="00672097" w:rsidP="00672097">
      <w:pPr>
        <w:spacing w:line="48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Figure A4: E-voting Coefficients</w:t>
      </w:r>
    </w:p>
    <w:p w14:paraId="69D2DF6F" w14:textId="2AA55D6F" w:rsidR="00672097" w:rsidRDefault="00672097" w:rsidP="00C41A2A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4FE2313" wp14:editId="782EADC0">
            <wp:extent cx="5715000" cy="63084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_coef_multilev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30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6C056" w14:textId="77777777" w:rsidR="00F76494" w:rsidRDefault="00F76494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8068B15" w14:textId="31CCA446" w:rsidR="00672097" w:rsidRDefault="006720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14:paraId="12C6DF49" w14:textId="652E088B" w:rsidR="00F76494" w:rsidRDefault="006720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Table A4: Effect of E-voting</w:t>
      </w:r>
    </w:p>
    <w:p w14:paraId="108145A1" w14:textId="77777777" w:rsidR="003047FF" w:rsidRDefault="003047FF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3240"/>
        <w:gridCol w:w="1300"/>
        <w:gridCol w:w="1300"/>
        <w:gridCol w:w="1300"/>
        <w:gridCol w:w="1300"/>
      </w:tblGrid>
      <w:tr w:rsidR="003047FF" w:rsidRPr="003047FF" w14:paraId="7C579D66" w14:textId="77777777" w:rsidTr="009E5EDB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66BD2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32E0E" w14:textId="49B2EC17" w:rsidR="003047FF" w:rsidRPr="003047FF" w:rsidRDefault="00F8206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M</w:t>
            </w:r>
            <w:r w:rsidR="003047FF"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AB5F6" w14:textId="6A3D06AE" w:rsidR="003047FF" w:rsidRPr="003047FF" w:rsidRDefault="00F8206F" w:rsidP="00F820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Standard Deviation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C00CC" w14:textId="7A9AB1C3" w:rsidR="003047FF" w:rsidRPr="003047FF" w:rsidRDefault="003047FF" w:rsidP="00F8206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</w:t>
            </w:r>
            <w:r w:rsidR="00F8206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osterior Interval                         (</w:t>
            </w:r>
            <w:r w:rsidR="00F8206F"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5%</w:t>
            </w:r>
            <w:r w:rsidR="00F8206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— 95%)</w:t>
            </w:r>
          </w:p>
        </w:tc>
      </w:tr>
      <w:tr w:rsidR="003047FF" w:rsidRPr="003047FF" w14:paraId="31D78332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45AB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Select candidates electronically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9574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29.58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EEF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2EB8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ECA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37.46</w:t>
            </w:r>
          </w:p>
        </w:tc>
      </w:tr>
      <w:tr w:rsidR="003047FF" w:rsidRPr="003047FF" w14:paraId="15D02565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D9B9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Evaluation voting experience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6FC3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78B6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B51B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C898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34.16</w:t>
            </w:r>
          </w:p>
        </w:tc>
      </w:tr>
      <w:tr w:rsidR="003047FF" w:rsidRPr="003047FF" w14:paraId="084ECB49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53AE" w14:textId="5CECC716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Agree </w:t>
            </w:r>
            <w:r w:rsidR="009E5EDB"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substitute</w:t>
            </w: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 xml:space="preserve"> TV by EV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18B1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4074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93F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7E30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28.36</w:t>
            </w:r>
          </w:p>
        </w:tc>
      </w:tr>
      <w:tr w:rsidR="003047FF" w:rsidRPr="003047FF" w14:paraId="5CF61BD3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6CCF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Difficulty voting experience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315F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B9C4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6D26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11.62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EF39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32.32</w:t>
            </w:r>
          </w:p>
        </w:tc>
      </w:tr>
      <w:tr w:rsidR="003047FF" w:rsidRPr="003047FF" w14:paraId="3ABF2E39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42E2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Elections in Salta are clean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B65C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17.44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D498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97A5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7946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23.84</w:t>
            </w:r>
          </w:p>
        </w:tc>
      </w:tr>
      <w:tr w:rsidR="003047FF" w:rsidRPr="003047FF" w14:paraId="26D18D0C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899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Qualification of poll workers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1E5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13.22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FFA3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FB10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6F67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22.52</w:t>
            </w:r>
          </w:p>
        </w:tc>
      </w:tr>
      <w:tr w:rsidR="003047FF" w:rsidRPr="003047FF" w14:paraId="605CF53A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DBE7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Sure vote was counted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FEE3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3FBB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6C0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E7F8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14.56</w:t>
            </w:r>
          </w:p>
        </w:tc>
      </w:tr>
      <w:tr w:rsidR="003047FF" w:rsidRPr="003047FF" w14:paraId="10029A90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8DA1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Speed of voting process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5858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F4E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3D1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069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19.32</w:t>
            </w:r>
          </w:p>
        </w:tc>
      </w:tr>
      <w:tr w:rsidR="003047FF" w:rsidRPr="003047FF" w14:paraId="30C1A91B" w14:textId="77777777" w:rsidTr="003047FF">
        <w:trPr>
          <w:trHeight w:val="2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0458D" w14:textId="77777777" w:rsidR="003047FF" w:rsidRPr="003047FF" w:rsidRDefault="003047FF" w:rsidP="003047FF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Confident ballot secret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917BF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FF4F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F5C88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-16.00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9749" w14:textId="77777777" w:rsidR="003047FF" w:rsidRPr="003047FF" w:rsidRDefault="003047FF" w:rsidP="003047FF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3047FF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-3.21</w:t>
            </w:r>
          </w:p>
        </w:tc>
      </w:tr>
    </w:tbl>
    <w:p w14:paraId="72709C6D" w14:textId="77777777" w:rsidR="00672097" w:rsidRPr="008B3CD7" w:rsidRDefault="00672097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F21FE42" w14:textId="77777777" w:rsidR="00A16659" w:rsidRDefault="00A16659">
      <w:pPr>
        <w:rPr>
          <w:rFonts w:ascii="Times New Roman" w:hAnsi="Times New Roman" w:cs="Times New Roman"/>
          <w:b/>
          <w:sz w:val="24"/>
          <w:szCs w:val="24"/>
        </w:rPr>
      </w:pPr>
    </w:p>
    <w:p w14:paraId="687270FD" w14:textId="77777777" w:rsidR="00452BEA" w:rsidRPr="006A7BCC" w:rsidRDefault="00452BEA">
      <w:pPr>
        <w:rPr>
          <w:rFonts w:ascii="Times New Roman" w:hAnsi="Times New Roman" w:cs="Times New Roman"/>
          <w:b/>
          <w:sz w:val="24"/>
          <w:szCs w:val="24"/>
        </w:rPr>
      </w:pPr>
    </w:p>
    <w:p w14:paraId="6619447C" w14:textId="77777777" w:rsidR="006A7BCC" w:rsidRPr="006A7BCC" w:rsidRDefault="006A7BCC">
      <w:pPr>
        <w:rPr>
          <w:rFonts w:ascii="Times New Roman" w:hAnsi="Times New Roman" w:cs="Times New Roman"/>
          <w:b/>
          <w:sz w:val="24"/>
          <w:szCs w:val="24"/>
        </w:rPr>
      </w:pPr>
    </w:p>
    <w:p w14:paraId="7265286E" w14:textId="77777777" w:rsidR="00BF31A1" w:rsidRDefault="00BF31A1" w:rsidP="00BF31A1">
      <w:pPr>
        <w:rPr>
          <w:rFonts w:ascii="Times New Roman" w:hAnsi="Times New Roman" w:cs="Times New Roman"/>
        </w:rPr>
      </w:pPr>
    </w:p>
    <w:p w14:paraId="2DCCE691" w14:textId="77777777" w:rsidR="00012715" w:rsidRPr="00BF31A1" w:rsidRDefault="00BF31A1" w:rsidP="00BF31A1">
      <w:pPr>
        <w:tabs>
          <w:tab w:val="left" w:pos="52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12715" w:rsidRPr="00BF31A1" w:rsidSect="0098770A">
      <w:footerReference w:type="default" r:id="rId9"/>
      <w:pgSz w:w="12240" w:h="15840"/>
      <w:pgMar w:top="1440" w:right="1440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4BB7" w14:textId="77777777" w:rsidR="009E5EDB" w:rsidRDefault="009E5EDB" w:rsidP="003E2CA0">
      <w:pPr>
        <w:spacing w:after="0" w:line="240" w:lineRule="auto"/>
      </w:pPr>
      <w:r>
        <w:separator/>
      </w:r>
    </w:p>
  </w:endnote>
  <w:endnote w:type="continuationSeparator" w:id="0">
    <w:p w14:paraId="6126FA6D" w14:textId="77777777" w:rsidR="009E5EDB" w:rsidRDefault="009E5EDB" w:rsidP="003E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912050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2104D" w14:textId="77777777" w:rsidR="009E5EDB" w:rsidRPr="00272ABA" w:rsidRDefault="009E5EDB">
        <w:pPr>
          <w:pStyle w:val="Footer"/>
          <w:jc w:val="center"/>
          <w:rPr>
            <w:rFonts w:ascii="Times New Roman" w:hAnsi="Times New Roman" w:cs="Times New Roman"/>
          </w:rPr>
        </w:pPr>
        <w:r w:rsidRPr="00272ABA">
          <w:rPr>
            <w:rFonts w:ascii="Times New Roman" w:hAnsi="Times New Roman" w:cs="Times New Roman"/>
          </w:rPr>
          <w:fldChar w:fldCharType="begin"/>
        </w:r>
        <w:r w:rsidRPr="00272ABA">
          <w:rPr>
            <w:rFonts w:ascii="Times New Roman" w:hAnsi="Times New Roman" w:cs="Times New Roman"/>
          </w:rPr>
          <w:instrText xml:space="preserve"> PAGE   \* MERGEFORMAT </w:instrText>
        </w:r>
        <w:r w:rsidRPr="00272ABA">
          <w:rPr>
            <w:rFonts w:ascii="Times New Roman" w:hAnsi="Times New Roman" w:cs="Times New Roman"/>
          </w:rPr>
          <w:fldChar w:fldCharType="separate"/>
        </w:r>
        <w:r w:rsidR="00BB4204">
          <w:rPr>
            <w:rFonts w:ascii="Times New Roman" w:hAnsi="Times New Roman" w:cs="Times New Roman"/>
            <w:noProof/>
          </w:rPr>
          <w:t>18</w:t>
        </w:r>
        <w:r w:rsidRPr="00272AB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E7848CB" w14:textId="77777777" w:rsidR="009E5EDB" w:rsidRDefault="009E5E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62404" w14:textId="77777777" w:rsidR="009E5EDB" w:rsidRDefault="009E5EDB" w:rsidP="003E2CA0">
      <w:pPr>
        <w:spacing w:after="0" w:line="240" w:lineRule="auto"/>
      </w:pPr>
      <w:r>
        <w:separator/>
      </w:r>
    </w:p>
  </w:footnote>
  <w:footnote w:type="continuationSeparator" w:id="0">
    <w:p w14:paraId="364D6054" w14:textId="77777777" w:rsidR="009E5EDB" w:rsidRDefault="009E5EDB" w:rsidP="003E2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B4"/>
    <w:rsid w:val="00012715"/>
    <w:rsid w:val="0004400C"/>
    <w:rsid w:val="00080648"/>
    <w:rsid w:val="0008422F"/>
    <w:rsid w:val="000A12AA"/>
    <w:rsid w:val="0011322D"/>
    <w:rsid w:val="00122C06"/>
    <w:rsid w:val="00176401"/>
    <w:rsid w:val="00242FBB"/>
    <w:rsid w:val="0025233B"/>
    <w:rsid w:val="002641A0"/>
    <w:rsid w:val="00272ABA"/>
    <w:rsid w:val="002C3F73"/>
    <w:rsid w:val="002E0C4D"/>
    <w:rsid w:val="003047FF"/>
    <w:rsid w:val="00350765"/>
    <w:rsid w:val="003E2087"/>
    <w:rsid w:val="003E2CA0"/>
    <w:rsid w:val="004327DC"/>
    <w:rsid w:val="00452BEA"/>
    <w:rsid w:val="00480B40"/>
    <w:rsid w:val="005371CC"/>
    <w:rsid w:val="00582D75"/>
    <w:rsid w:val="00593D22"/>
    <w:rsid w:val="005B291D"/>
    <w:rsid w:val="005C03B1"/>
    <w:rsid w:val="006200EE"/>
    <w:rsid w:val="00672097"/>
    <w:rsid w:val="006A7BCC"/>
    <w:rsid w:val="00741119"/>
    <w:rsid w:val="00780337"/>
    <w:rsid w:val="00822C96"/>
    <w:rsid w:val="00873139"/>
    <w:rsid w:val="008746B7"/>
    <w:rsid w:val="008A18F1"/>
    <w:rsid w:val="008B3CD7"/>
    <w:rsid w:val="00920718"/>
    <w:rsid w:val="00957EB4"/>
    <w:rsid w:val="0098770A"/>
    <w:rsid w:val="0099019B"/>
    <w:rsid w:val="009B5271"/>
    <w:rsid w:val="009C723D"/>
    <w:rsid w:val="009E13BF"/>
    <w:rsid w:val="009E3492"/>
    <w:rsid w:val="009E5EDB"/>
    <w:rsid w:val="009F5ACC"/>
    <w:rsid w:val="00A16659"/>
    <w:rsid w:val="00A60899"/>
    <w:rsid w:val="00A72669"/>
    <w:rsid w:val="00AC522F"/>
    <w:rsid w:val="00AD7309"/>
    <w:rsid w:val="00AE5BB4"/>
    <w:rsid w:val="00B069AA"/>
    <w:rsid w:val="00BB4204"/>
    <w:rsid w:val="00BD2E4F"/>
    <w:rsid w:val="00BE5643"/>
    <w:rsid w:val="00BF31A1"/>
    <w:rsid w:val="00C22998"/>
    <w:rsid w:val="00C41A2A"/>
    <w:rsid w:val="00C45842"/>
    <w:rsid w:val="00C75CD1"/>
    <w:rsid w:val="00C85AFD"/>
    <w:rsid w:val="00C9287E"/>
    <w:rsid w:val="00CB66F9"/>
    <w:rsid w:val="00CF44EE"/>
    <w:rsid w:val="00D07D0E"/>
    <w:rsid w:val="00D23E66"/>
    <w:rsid w:val="00D51FE5"/>
    <w:rsid w:val="00D54EC9"/>
    <w:rsid w:val="00D579EE"/>
    <w:rsid w:val="00D67A86"/>
    <w:rsid w:val="00D82382"/>
    <w:rsid w:val="00DD303B"/>
    <w:rsid w:val="00F07C63"/>
    <w:rsid w:val="00F2286A"/>
    <w:rsid w:val="00F35A86"/>
    <w:rsid w:val="00F70F29"/>
    <w:rsid w:val="00F76494"/>
    <w:rsid w:val="00F8206F"/>
    <w:rsid w:val="00F82D31"/>
    <w:rsid w:val="00F90976"/>
    <w:rsid w:val="00F927D7"/>
    <w:rsid w:val="00FB1FEC"/>
    <w:rsid w:val="00FC0930"/>
    <w:rsid w:val="00FC0F8A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9D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C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2F"/>
  </w:style>
  <w:style w:type="paragraph" w:styleId="Footer">
    <w:name w:val="footer"/>
    <w:basedOn w:val="Normal"/>
    <w:link w:val="FooterChar"/>
    <w:uiPriority w:val="99"/>
    <w:unhideWhenUsed/>
    <w:rsid w:val="00A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2F"/>
  </w:style>
  <w:style w:type="character" w:styleId="PlaceholderText">
    <w:name w:val="Placeholder Text"/>
    <w:basedOn w:val="DefaultParagraphFont"/>
    <w:uiPriority w:val="99"/>
    <w:semiHidden/>
    <w:rsid w:val="009B527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C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C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C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2F"/>
  </w:style>
  <w:style w:type="paragraph" w:styleId="Footer">
    <w:name w:val="footer"/>
    <w:basedOn w:val="Normal"/>
    <w:link w:val="FooterChar"/>
    <w:uiPriority w:val="99"/>
    <w:unhideWhenUsed/>
    <w:rsid w:val="00AC5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2F"/>
  </w:style>
  <w:style w:type="character" w:styleId="PlaceholderText">
    <w:name w:val="Placeholder Text"/>
    <w:basedOn w:val="DefaultParagraphFont"/>
    <w:uiPriority w:val="99"/>
    <w:semiHidden/>
    <w:rsid w:val="009B5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EEDA-D612-4640-819D-27288DA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 levin</cp:lastModifiedBy>
  <cp:revision>4</cp:revision>
  <dcterms:created xsi:type="dcterms:W3CDTF">2012-12-15T00:25:00Z</dcterms:created>
  <dcterms:modified xsi:type="dcterms:W3CDTF">2012-12-17T21:36:00Z</dcterms:modified>
</cp:coreProperties>
</file>