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944" w:rsidRPr="00EC7F11" w:rsidRDefault="00451E38">
      <w:pPr>
        <w:rPr>
          <w:b/>
        </w:rPr>
      </w:pPr>
      <w:r>
        <w:rPr>
          <w:b/>
        </w:rPr>
        <w:t xml:space="preserve">Supplementary Material 2: </w:t>
      </w:r>
      <w:r w:rsidR="00AF78C8" w:rsidRPr="00EC7F11">
        <w:rPr>
          <w:b/>
        </w:rPr>
        <w:t xml:space="preserve">SRQR </w:t>
      </w:r>
      <w:r w:rsidR="00D04944" w:rsidRPr="00EC7F11">
        <w:rPr>
          <w:b/>
        </w:rPr>
        <w:t>criteria for reporting qualitative research</w:t>
      </w:r>
    </w:p>
    <w:tbl>
      <w:tblPr>
        <w:tblStyle w:val="TableGrid"/>
        <w:tblW w:w="9493" w:type="dxa"/>
        <w:tblLook w:val="04A0" w:firstRow="1" w:lastRow="0" w:firstColumn="1" w:lastColumn="0" w:noHBand="0" w:noVBand="1"/>
      </w:tblPr>
      <w:tblGrid>
        <w:gridCol w:w="1049"/>
        <w:gridCol w:w="1666"/>
        <w:gridCol w:w="6778"/>
      </w:tblGrid>
      <w:tr w:rsidR="00D04944" w:rsidRPr="00EC7F11" w:rsidTr="00997C38">
        <w:tc>
          <w:tcPr>
            <w:tcW w:w="1053" w:type="dxa"/>
          </w:tcPr>
          <w:p w:rsidR="00D04944" w:rsidRPr="00EC7F11" w:rsidRDefault="00D04944" w:rsidP="00EA40AB">
            <w:pPr>
              <w:rPr>
                <w:rFonts w:ascii="Calibri" w:hAnsi="Calibri" w:cs="Calibri"/>
                <w:b/>
              </w:rPr>
            </w:pPr>
            <w:r w:rsidRPr="00EC7F11">
              <w:rPr>
                <w:rFonts w:ascii="Calibri" w:hAnsi="Calibri" w:cs="Calibri"/>
                <w:b/>
              </w:rPr>
              <w:t>No</w:t>
            </w:r>
          </w:p>
        </w:tc>
        <w:tc>
          <w:tcPr>
            <w:tcW w:w="1629" w:type="dxa"/>
          </w:tcPr>
          <w:p w:rsidR="00D04944" w:rsidRPr="00EC7F11" w:rsidRDefault="00D04944" w:rsidP="00EA40AB">
            <w:pPr>
              <w:rPr>
                <w:rFonts w:ascii="Calibri" w:hAnsi="Calibri" w:cs="Calibri"/>
                <w:b/>
              </w:rPr>
            </w:pPr>
            <w:r w:rsidRPr="00EC7F11">
              <w:rPr>
                <w:rFonts w:ascii="Calibri" w:hAnsi="Calibri" w:cs="Calibri"/>
                <w:b/>
              </w:rPr>
              <w:t>Topic</w:t>
            </w:r>
          </w:p>
        </w:tc>
        <w:tc>
          <w:tcPr>
            <w:tcW w:w="6811" w:type="dxa"/>
          </w:tcPr>
          <w:p w:rsidR="00D04944" w:rsidRPr="00EC7F11" w:rsidRDefault="00D04944" w:rsidP="00EA40AB">
            <w:pPr>
              <w:rPr>
                <w:rFonts w:ascii="Calibri" w:hAnsi="Calibri" w:cs="Calibri"/>
              </w:rPr>
            </w:pPr>
            <w:r w:rsidRPr="00EC7F11">
              <w:rPr>
                <w:rFonts w:ascii="Calibri" w:hAnsi="Calibri" w:cs="Calibri"/>
              </w:rPr>
              <w:t>Item</w:t>
            </w:r>
          </w:p>
        </w:tc>
      </w:tr>
      <w:tr w:rsidR="00D04944" w:rsidRPr="00EC7F11" w:rsidTr="00997C38">
        <w:tc>
          <w:tcPr>
            <w:tcW w:w="9493" w:type="dxa"/>
            <w:gridSpan w:val="3"/>
          </w:tcPr>
          <w:p w:rsidR="00D04944" w:rsidRPr="00EC7F11" w:rsidRDefault="00D04944" w:rsidP="00EA40AB">
            <w:pPr>
              <w:rPr>
                <w:rFonts w:ascii="Calibri" w:hAnsi="Calibri" w:cs="Calibri"/>
                <w:b/>
              </w:rPr>
            </w:pPr>
            <w:r w:rsidRPr="00EC7F11">
              <w:rPr>
                <w:rFonts w:ascii="Calibri" w:hAnsi="Calibri" w:cs="Calibri"/>
                <w:b/>
              </w:rPr>
              <w:t>Title and abstract</w:t>
            </w:r>
          </w:p>
        </w:tc>
      </w:tr>
      <w:tr w:rsidR="00D04944" w:rsidRPr="00EC7F11" w:rsidTr="00997C38">
        <w:tc>
          <w:tcPr>
            <w:tcW w:w="1053" w:type="dxa"/>
          </w:tcPr>
          <w:p w:rsidR="00D04944" w:rsidRPr="00EC7F11" w:rsidRDefault="00D04944" w:rsidP="00EA40AB">
            <w:pPr>
              <w:rPr>
                <w:rFonts w:ascii="Calibri" w:hAnsi="Calibri" w:cs="Calibri"/>
                <w:b/>
              </w:rPr>
            </w:pPr>
            <w:r w:rsidRPr="00EC7F11">
              <w:rPr>
                <w:rFonts w:ascii="Calibri" w:hAnsi="Calibri" w:cs="Calibri"/>
                <w:b/>
              </w:rPr>
              <w:t>S1</w:t>
            </w:r>
          </w:p>
        </w:tc>
        <w:tc>
          <w:tcPr>
            <w:tcW w:w="1629" w:type="dxa"/>
          </w:tcPr>
          <w:p w:rsidR="00D04944" w:rsidRPr="00EC7F11" w:rsidRDefault="00D04944" w:rsidP="00EA40AB">
            <w:pPr>
              <w:rPr>
                <w:rFonts w:ascii="Calibri" w:hAnsi="Calibri" w:cs="Calibri"/>
                <w:b/>
              </w:rPr>
            </w:pPr>
            <w:r w:rsidRPr="00EC7F11">
              <w:rPr>
                <w:rFonts w:ascii="Calibri" w:hAnsi="Calibri" w:cs="Calibri"/>
                <w:b/>
              </w:rPr>
              <w:t>Title</w:t>
            </w:r>
          </w:p>
        </w:tc>
        <w:tc>
          <w:tcPr>
            <w:tcW w:w="6811" w:type="dxa"/>
          </w:tcPr>
          <w:p w:rsidR="00D04944" w:rsidRPr="00EC7F11" w:rsidRDefault="00E66597" w:rsidP="00EA40AB">
            <w:pPr>
              <w:rPr>
                <w:rFonts w:ascii="Calibri" w:hAnsi="Calibri" w:cs="Calibri"/>
              </w:rPr>
            </w:pPr>
            <w:r w:rsidRPr="00EC7F11">
              <w:rPr>
                <w:rFonts w:ascii="Calibri" w:hAnsi="Calibri" w:cs="Calibri"/>
              </w:rPr>
              <w:t xml:space="preserve">Determinants of lifestyle and body weight status among breast cancer survivors with overweight/obesity and perspectives towards the development of weight loss interventions: A </w:t>
            </w:r>
            <w:r w:rsidRPr="00EC7F11">
              <w:rPr>
                <w:rFonts w:ascii="Calibri" w:hAnsi="Calibri" w:cs="Calibri"/>
                <w:b/>
              </w:rPr>
              <w:t>qualitative study</w:t>
            </w:r>
            <w:r w:rsidR="00AF78C8" w:rsidRPr="00EC7F11">
              <w:rPr>
                <w:rFonts w:ascii="Calibri" w:hAnsi="Calibri" w:cs="Calibri"/>
              </w:rPr>
              <w:t xml:space="preserve"> with health professionals (pg. 1)</w:t>
            </w:r>
          </w:p>
        </w:tc>
      </w:tr>
      <w:tr w:rsidR="00D04944" w:rsidRPr="00EC7F11" w:rsidTr="00997C38">
        <w:tc>
          <w:tcPr>
            <w:tcW w:w="1053" w:type="dxa"/>
          </w:tcPr>
          <w:p w:rsidR="00D04944" w:rsidRPr="00EC7F11" w:rsidRDefault="00D04944" w:rsidP="00EA40AB">
            <w:pPr>
              <w:rPr>
                <w:rFonts w:ascii="Calibri" w:hAnsi="Calibri" w:cs="Calibri"/>
                <w:b/>
              </w:rPr>
            </w:pPr>
            <w:r w:rsidRPr="00EC7F11">
              <w:rPr>
                <w:rFonts w:ascii="Calibri" w:hAnsi="Calibri" w:cs="Calibri"/>
                <w:b/>
              </w:rPr>
              <w:t>S2</w:t>
            </w:r>
          </w:p>
        </w:tc>
        <w:tc>
          <w:tcPr>
            <w:tcW w:w="1629" w:type="dxa"/>
          </w:tcPr>
          <w:p w:rsidR="00D04944" w:rsidRPr="00EC7F11" w:rsidRDefault="00D04944" w:rsidP="00EA40AB">
            <w:pPr>
              <w:rPr>
                <w:rFonts w:ascii="Calibri" w:hAnsi="Calibri" w:cs="Calibri"/>
                <w:b/>
              </w:rPr>
            </w:pPr>
            <w:r w:rsidRPr="00EC7F11">
              <w:rPr>
                <w:rFonts w:ascii="Calibri" w:hAnsi="Calibri" w:cs="Calibri"/>
                <w:b/>
              </w:rPr>
              <w:t>Abstract</w:t>
            </w:r>
          </w:p>
        </w:tc>
        <w:tc>
          <w:tcPr>
            <w:tcW w:w="6811" w:type="dxa"/>
          </w:tcPr>
          <w:p w:rsidR="00E66597" w:rsidRPr="00EC7F11" w:rsidRDefault="00E66597" w:rsidP="00E66597">
            <w:pPr>
              <w:rPr>
                <w:rFonts w:ascii="Calibri" w:hAnsi="Calibri" w:cs="Calibri"/>
              </w:rPr>
            </w:pPr>
            <w:r w:rsidRPr="00EC7F11">
              <w:rPr>
                <w:rFonts w:ascii="Calibri" w:hAnsi="Calibri" w:cs="Calibri"/>
              </w:rPr>
              <w:t>Aim: To assess the views and attitudes of HPs regarding factors associated with energy balance related health behaviours and weight management in BCS with overweight and obesity.</w:t>
            </w:r>
          </w:p>
          <w:p w:rsidR="00E66597" w:rsidRPr="00EC7F11" w:rsidRDefault="00E66597" w:rsidP="00E66597">
            <w:pPr>
              <w:rPr>
                <w:rFonts w:ascii="Calibri" w:hAnsi="Calibri" w:cs="Calibri"/>
              </w:rPr>
            </w:pPr>
            <w:r w:rsidRPr="00EC7F11">
              <w:rPr>
                <w:rFonts w:ascii="Calibri" w:hAnsi="Calibri" w:cs="Calibri"/>
              </w:rPr>
              <w:t>Methods: Semi-structured online interviews were conducted with 21 HPs (oncologists, dietitians- nutritionists, physical education instructors, mental health professionals and nurses) from Attica and Thessaly. Thematic analysis was used to analyse and present the data.</w:t>
            </w:r>
          </w:p>
          <w:p w:rsidR="00E66597" w:rsidRPr="00EC7F11" w:rsidRDefault="00E66597" w:rsidP="00E66597">
            <w:pPr>
              <w:rPr>
                <w:rFonts w:ascii="Calibri" w:hAnsi="Calibri" w:cs="Calibri"/>
              </w:rPr>
            </w:pPr>
            <w:r w:rsidRPr="00EC7F11">
              <w:rPr>
                <w:rFonts w:ascii="Calibri" w:hAnsi="Calibri" w:cs="Calibri"/>
              </w:rPr>
              <w:t xml:space="preserve">Results: Four main themes arose from the data: “The patients’ mental health wellbeing”, “Survivors’ interest in diet and exercise”, “Interdisciplinary collaboration in patient’s care” and “Maintaining normality”. HPs agreed that weight loss in BCS with overweight and obesity is important, but negative mental health wellbeing is a main barrier to behaviour change. For many BCS their cancer diagnosis is a “teachable” moment for weight management, especially for women of younger age, who are more keen to discuss weight management issues. Essential characteristics that determine / facilitate behavioural change include education, commitment for regular communication, personalised intervention and interdisciplinary collaboration. </w:t>
            </w:r>
          </w:p>
          <w:p w:rsidR="00D04944" w:rsidRPr="00EC7F11" w:rsidRDefault="00E66597" w:rsidP="00E66597">
            <w:pPr>
              <w:rPr>
                <w:rFonts w:ascii="Calibri" w:hAnsi="Calibri" w:cs="Calibri"/>
              </w:rPr>
            </w:pPr>
            <w:r w:rsidRPr="00EC7F11">
              <w:rPr>
                <w:rFonts w:ascii="Calibri" w:hAnsi="Calibri" w:cs="Calibri"/>
              </w:rPr>
              <w:t>Conclusions: According to HPs, future weight loss interventions should take into account BCS’s mental health wellbeing and level of motivation and should provide regular support and education.</w:t>
            </w:r>
            <w:r w:rsidR="0064324D">
              <w:rPr>
                <w:rFonts w:ascii="Calibri" w:hAnsi="Calibri" w:cs="Calibri"/>
              </w:rPr>
              <w:t xml:space="preserve"> (pg. 3</w:t>
            </w:r>
            <w:r w:rsidR="00AF78C8" w:rsidRPr="00EC7F11">
              <w:rPr>
                <w:rFonts w:ascii="Calibri" w:hAnsi="Calibri" w:cs="Calibri"/>
              </w:rPr>
              <w:t>)</w:t>
            </w:r>
          </w:p>
        </w:tc>
      </w:tr>
      <w:tr w:rsidR="00D04944" w:rsidRPr="00EC7F11" w:rsidTr="00997C38">
        <w:tc>
          <w:tcPr>
            <w:tcW w:w="9493" w:type="dxa"/>
            <w:gridSpan w:val="3"/>
          </w:tcPr>
          <w:p w:rsidR="00D04944" w:rsidRPr="00EC7F11" w:rsidRDefault="00D04944" w:rsidP="00EA40AB">
            <w:pPr>
              <w:rPr>
                <w:rFonts w:ascii="Calibri" w:hAnsi="Calibri" w:cs="Calibri"/>
                <w:b/>
              </w:rPr>
            </w:pPr>
            <w:r w:rsidRPr="00EC7F11">
              <w:rPr>
                <w:rFonts w:ascii="Calibri" w:hAnsi="Calibri" w:cs="Calibri"/>
                <w:b/>
              </w:rPr>
              <w:t>Introduction</w:t>
            </w:r>
          </w:p>
        </w:tc>
      </w:tr>
      <w:tr w:rsidR="00D04944" w:rsidRPr="00EC7F11" w:rsidTr="00997C38">
        <w:tc>
          <w:tcPr>
            <w:tcW w:w="1053" w:type="dxa"/>
          </w:tcPr>
          <w:p w:rsidR="00D04944" w:rsidRPr="00EC7F11" w:rsidRDefault="00D04944" w:rsidP="00EA40AB">
            <w:pPr>
              <w:rPr>
                <w:rFonts w:ascii="Calibri" w:hAnsi="Calibri" w:cs="Calibri"/>
                <w:b/>
              </w:rPr>
            </w:pPr>
            <w:r w:rsidRPr="00EC7F11">
              <w:rPr>
                <w:rFonts w:ascii="Calibri" w:hAnsi="Calibri" w:cs="Calibri"/>
                <w:b/>
              </w:rPr>
              <w:t>S3</w:t>
            </w:r>
          </w:p>
        </w:tc>
        <w:tc>
          <w:tcPr>
            <w:tcW w:w="1629" w:type="dxa"/>
          </w:tcPr>
          <w:p w:rsidR="00D04944" w:rsidRPr="00EC7F11" w:rsidRDefault="00D04944" w:rsidP="00EA40AB">
            <w:pPr>
              <w:rPr>
                <w:rFonts w:ascii="Calibri" w:hAnsi="Calibri" w:cs="Calibri"/>
                <w:b/>
              </w:rPr>
            </w:pPr>
            <w:r w:rsidRPr="00EC7F11">
              <w:rPr>
                <w:rFonts w:ascii="Calibri" w:hAnsi="Calibri" w:cs="Calibri"/>
                <w:b/>
              </w:rPr>
              <w:t>Problem formulation</w:t>
            </w:r>
          </w:p>
        </w:tc>
        <w:tc>
          <w:tcPr>
            <w:tcW w:w="6811" w:type="dxa"/>
          </w:tcPr>
          <w:p w:rsidR="00D04944" w:rsidRPr="00EC7F11" w:rsidRDefault="00997C38" w:rsidP="00EA40AB">
            <w:pPr>
              <w:rPr>
                <w:rFonts w:ascii="Calibri" w:hAnsi="Calibri" w:cs="Calibri"/>
              </w:rPr>
            </w:pPr>
            <w:r w:rsidRPr="00EC7F11">
              <w:rPr>
                <w:rFonts w:ascii="Calibri" w:hAnsi="Calibri" w:cs="Calibri"/>
              </w:rPr>
              <w:t>Detailed in introduction</w:t>
            </w:r>
            <w:r w:rsidR="00086F55" w:rsidRPr="00EC7F11">
              <w:rPr>
                <w:rFonts w:ascii="Calibri" w:hAnsi="Calibri" w:cs="Calibri"/>
              </w:rPr>
              <w:t xml:space="preserve"> (pg. </w:t>
            </w:r>
            <w:r w:rsidR="0064324D">
              <w:rPr>
                <w:rFonts w:ascii="Calibri" w:hAnsi="Calibri" w:cs="Calibri"/>
              </w:rPr>
              <w:t>4-5</w:t>
            </w:r>
            <w:r w:rsidR="00AF78C8" w:rsidRPr="00EC7F11">
              <w:rPr>
                <w:rFonts w:ascii="Calibri" w:hAnsi="Calibri" w:cs="Calibri"/>
              </w:rPr>
              <w:t>)</w:t>
            </w:r>
          </w:p>
        </w:tc>
      </w:tr>
      <w:tr w:rsidR="00D04944" w:rsidRPr="00EC7F11" w:rsidTr="00997C38">
        <w:tc>
          <w:tcPr>
            <w:tcW w:w="1053" w:type="dxa"/>
          </w:tcPr>
          <w:p w:rsidR="00D04944" w:rsidRPr="00EC7F11" w:rsidRDefault="00D04944" w:rsidP="00EA40AB">
            <w:pPr>
              <w:rPr>
                <w:rFonts w:ascii="Calibri" w:hAnsi="Calibri" w:cs="Calibri"/>
                <w:b/>
              </w:rPr>
            </w:pPr>
            <w:r w:rsidRPr="00EC7F11">
              <w:rPr>
                <w:rFonts w:ascii="Calibri" w:hAnsi="Calibri" w:cs="Calibri"/>
                <w:b/>
              </w:rPr>
              <w:t>S4</w:t>
            </w:r>
          </w:p>
        </w:tc>
        <w:tc>
          <w:tcPr>
            <w:tcW w:w="1629" w:type="dxa"/>
          </w:tcPr>
          <w:p w:rsidR="00D04944" w:rsidRPr="00EC7F11" w:rsidRDefault="00D04944" w:rsidP="00EA40AB">
            <w:pPr>
              <w:rPr>
                <w:rFonts w:ascii="Calibri" w:hAnsi="Calibri" w:cs="Calibri"/>
                <w:b/>
              </w:rPr>
            </w:pPr>
            <w:r w:rsidRPr="00EC7F11">
              <w:rPr>
                <w:rFonts w:ascii="Calibri" w:hAnsi="Calibri" w:cs="Calibri"/>
                <w:b/>
              </w:rPr>
              <w:t>Purpose or research question</w:t>
            </w:r>
          </w:p>
        </w:tc>
        <w:tc>
          <w:tcPr>
            <w:tcW w:w="6811" w:type="dxa"/>
          </w:tcPr>
          <w:p w:rsidR="00D04944" w:rsidRPr="00EC7F11" w:rsidRDefault="00E66597" w:rsidP="0064324D">
            <w:pPr>
              <w:rPr>
                <w:rFonts w:ascii="Calibri" w:hAnsi="Calibri" w:cs="Calibri"/>
              </w:rPr>
            </w:pPr>
            <w:r w:rsidRPr="00EC7F11">
              <w:rPr>
                <w:rFonts w:ascii="Calibri" w:hAnsi="Calibri" w:cs="Calibri"/>
              </w:rPr>
              <w:t>For the preparation of successful weight management interventions in BCS, it is essential to explore the views of both BCS and HPs involved in their care after diagnosis. The aim of this study was to assess the views and perspectives of HPs in relation to factors that affect lifestyle and weight management in BCS and the acceptability of a lifestyle intervention for weight loss.</w:t>
            </w:r>
            <w:r w:rsidR="00AF78C8" w:rsidRPr="00EC7F11">
              <w:rPr>
                <w:rFonts w:ascii="Calibri" w:hAnsi="Calibri" w:cs="Calibri"/>
              </w:rPr>
              <w:t xml:space="preserve"> (pg. </w:t>
            </w:r>
            <w:r w:rsidR="0064324D">
              <w:rPr>
                <w:rFonts w:ascii="Calibri" w:hAnsi="Calibri" w:cs="Calibri"/>
              </w:rPr>
              <w:t>5</w:t>
            </w:r>
            <w:r w:rsidR="00AF78C8" w:rsidRPr="00EC7F11">
              <w:rPr>
                <w:rFonts w:ascii="Calibri" w:hAnsi="Calibri" w:cs="Calibri"/>
              </w:rPr>
              <w:t>)</w:t>
            </w:r>
          </w:p>
        </w:tc>
      </w:tr>
      <w:tr w:rsidR="00D04944" w:rsidRPr="00EC7F11" w:rsidTr="00997C38">
        <w:tc>
          <w:tcPr>
            <w:tcW w:w="9493" w:type="dxa"/>
            <w:gridSpan w:val="3"/>
          </w:tcPr>
          <w:p w:rsidR="00D04944" w:rsidRPr="00EC7F11" w:rsidRDefault="00D04944" w:rsidP="00EA40AB">
            <w:pPr>
              <w:rPr>
                <w:rFonts w:ascii="Calibri" w:hAnsi="Calibri" w:cs="Calibri"/>
                <w:b/>
              </w:rPr>
            </w:pPr>
            <w:r w:rsidRPr="00EC7F11">
              <w:rPr>
                <w:rFonts w:ascii="Calibri" w:hAnsi="Calibri" w:cs="Calibri"/>
                <w:b/>
              </w:rPr>
              <w:t>Methods</w:t>
            </w:r>
          </w:p>
        </w:tc>
      </w:tr>
      <w:tr w:rsidR="00D04944" w:rsidRPr="00EC7F11" w:rsidTr="00997C38">
        <w:tc>
          <w:tcPr>
            <w:tcW w:w="1053" w:type="dxa"/>
          </w:tcPr>
          <w:p w:rsidR="00D04944" w:rsidRPr="00EC7F11" w:rsidRDefault="00D04944" w:rsidP="00EA40AB">
            <w:pPr>
              <w:rPr>
                <w:rFonts w:ascii="Calibri" w:hAnsi="Calibri" w:cs="Calibri"/>
                <w:b/>
              </w:rPr>
            </w:pPr>
            <w:r w:rsidRPr="00EC7F11">
              <w:rPr>
                <w:rFonts w:ascii="Calibri" w:hAnsi="Calibri" w:cs="Calibri"/>
                <w:b/>
              </w:rPr>
              <w:t>S5</w:t>
            </w:r>
          </w:p>
        </w:tc>
        <w:tc>
          <w:tcPr>
            <w:tcW w:w="1629" w:type="dxa"/>
          </w:tcPr>
          <w:p w:rsidR="00D04944" w:rsidRPr="00EC7F11" w:rsidRDefault="00D04944" w:rsidP="00EA40AB">
            <w:pPr>
              <w:rPr>
                <w:rFonts w:ascii="Calibri" w:hAnsi="Calibri" w:cs="Calibri"/>
                <w:b/>
              </w:rPr>
            </w:pPr>
            <w:r w:rsidRPr="00EC7F11">
              <w:rPr>
                <w:rFonts w:ascii="Calibri" w:hAnsi="Calibri" w:cs="Calibri"/>
                <w:b/>
              </w:rPr>
              <w:t>Qualitative approach and research paradigm</w:t>
            </w:r>
          </w:p>
        </w:tc>
        <w:tc>
          <w:tcPr>
            <w:tcW w:w="6811" w:type="dxa"/>
          </w:tcPr>
          <w:p w:rsidR="00D04944" w:rsidRPr="00EC7F11" w:rsidRDefault="00086F55" w:rsidP="00086F55">
            <w:pPr>
              <w:rPr>
                <w:rFonts w:ascii="Calibri" w:hAnsi="Calibri" w:cs="Calibri"/>
                <w:lang w:val="en-US"/>
              </w:rPr>
            </w:pPr>
            <w:r w:rsidRPr="00EC7F11">
              <w:rPr>
                <w:rFonts w:ascii="Calibri" w:hAnsi="Calibri" w:cs="Calibri"/>
              </w:rPr>
              <w:t>Not applicable</w:t>
            </w:r>
            <w:r w:rsidR="00E66597" w:rsidRPr="00EC7F11">
              <w:rPr>
                <w:rFonts w:ascii="Calibri" w:hAnsi="Calibri" w:cs="Calibri"/>
              </w:rPr>
              <w:t xml:space="preserve"> </w:t>
            </w:r>
          </w:p>
        </w:tc>
      </w:tr>
      <w:tr w:rsidR="00D04944" w:rsidRPr="00EC7F11" w:rsidTr="00997C38">
        <w:tc>
          <w:tcPr>
            <w:tcW w:w="1053" w:type="dxa"/>
          </w:tcPr>
          <w:p w:rsidR="00D04944" w:rsidRPr="00EC7F11" w:rsidRDefault="00D04944" w:rsidP="00EA40AB">
            <w:pPr>
              <w:rPr>
                <w:rFonts w:ascii="Calibri" w:hAnsi="Calibri" w:cs="Calibri"/>
                <w:b/>
              </w:rPr>
            </w:pPr>
            <w:r w:rsidRPr="00EC7F11">
              <w:rPr>
                <w:rFonts w:ascii="Calibri" w:hAnsi="Calibri" w:cs="Calibri"/>
                <w:b/>
              </w:rPr>
              <w:t>S6</w:t>
            </w:r>
          </w:p>
        </w:tc>
        <w:tc>
          <w:tcPr>
            <w:tcW w:w="1629" w:type="dxa"/>
          </w:tcPr>
          <w:p w:rsidR="00D04944" w:rsidRPr="00EC7F11" w:rsidRDefault="00D04944" w:rsidP="00EA40AB">
            <w:pPr>
              <w:rPr>
                <w:rFonts w:ascii="Calibri" w:hAnsi="Calibri" w:cs="Calibri"/>
                <w:b/>
              </w:rPr>
            </w:pPr>
            <w:r w:rsidRPr="00EC7F11">
              <w:rPr>
                <w:rFonts w:ascii="Calibri" w:hAnsi="Calibri" w:cs="Calibri"/>
                <w:b/>
              </w:rPr>
              <w:t>Researcher characteristics and reflexivity</w:t>
            </w:r>
          </w:p>
        </w:tc>
        <w:tc>
          <w:tcPr>
            <w:tcW w:w="6811" w:type="dxa"/>
          </w:tcPr>
          <w:p w:rsidR="00D04944" w:rsidRPr="00EC7F11" w:rsidRDefault="0090104F" w:rsidP="0064324D">
            <w:pPr>
              <w:rPr>
                <w:rFonts w:ascii="Calibri" w:hAnsi="Calibri" w:cs="Calibri"/>
              </w:rPr>
            </w:pPr>
            <w:r w:rsidRPr="00EC7F11">
              <w:rPr>
                <w:rFonts w:ascii="Calibri" w:hAnsi="Calibri" w:cs="Calibri"/>
              </w:rPr>
              <w:t>Use of a reflection diary to ensure that researchers’  own positions and attitudes would not affect the interpretation of the content of the interviews</w:t>
            </w:r>
            <w:r w:rsidR="00AF78C8" w:rsidRPr="00EC7F11">
              <w:rPr>
                <w:rFonts w:ascii="Calibri" w:hAnsi="Calibri" w:cs="Calibri"/>
              </w:rPr>
              <w:t xml:space="preserve"> (pg.</w:t>
            </w:r>
            <w:r w:rsidR="0064324D">
              <w:rPr>
                <w:rFonts w:ascii="Calibri" w:hAnsi="Calibri" w:cs="Calibri"/>
              </w:rPr>
              <w:t>6</w:t>
            </w:r>
            <w:r w:rsidR="00AF78C8" w:rsidRPr="00EC7F11">
              <w:rPr>
                <w:rFonts w:ascii="Calibri" w:hAnsi="Calibri" w:cs="Calibri"/>
              </w:rPr>
              <w:t>)</w:t>
            </w:r>
          </w:p>
        </w:tc>
      </w:tr>
      <w:tr w:rsidR="00D04944" w:rsidRPr="00EC7F11" w:rsidTr="00997C38">
        <w:tc>
          <w:tcPr>
            <w:tcW w:w="1053" w:type="dxa"/>
          </w:tcPr>
          <w:p w:rsidR="00D04944" w:rsidRPr="00EC7F11" w:rsidRDefault="00D04944" w:rsidP="00EA40AB">
            <w:pPr>
              <w:rPr>
                <w:rFonts w:ascii="Calibri" w:hAnsi="Calibri" w:cs="Calibri"/>
                <w:b/>
              </w:rPr>
            </w:pPr>
            <w:r w:rsidRPr="00EC7F11">
              <w:rPr>
                <w:rFonts w:ascii="Calibri" w:hAnsi="Calibri" w:cs="Calibri"/>
                <w:b/>
              </w:rPr>
              <w:t>S7</w:t>
            </w:r>
          </w:p>
        </w:tc>
        <w:tc>
          <w:tcPr>
            <w:tcW w:w="1629" w:type="dxa"/>
          </w:tcPr>
          <w:p w:rsidR="00D04944" w:rsidRPr="00EC7F11" w:rsidRDefault="00D04944" w:rsidP="00EA40AB">
            <w:pPr>
              <w:rPr>
                <w:rFonts w:ascii="Calibri" w:hAnsi="Calibri" w:cs="Calibri"/>
                <w:b/>
              </w:rPr>
            </w:pPr>
            <w:r w:rsidRPr="00EC7F11">
              <w:rPr>
                <w:rFonts w:ascii="Calibri" w:hAnsi="Calibri" w:cs="Calibri"/>
                <w:b/>
              </w:rPr>
              <w:t>Context</w:t>
            </w:r>
          </w:p>
        </w:tc>
        <w:tc>
          <w:tcPr>
            <w:tcW w:w="6811" w:type="dxa"/>
          </w:tcPr>
          <w:p w:rsidR="00D04944" w:rsidRPr="00EC7F11" w:rsidRDefault="0090104F" w:rsidP="00EA40AB">
            <w:pPr>
              <w:rPr>
                <w:rFonts w:ascii="Calibri" w:hAnsi="Calibri" w:cs="Calibri"/>
              </w:rPr>
            </w:pPr>
            <w:r w:rsidRPr="00EC7F11">
              <w:rPr>
                <w:rFonts w:ascii="Calibri" w:hAnsi="Calibri" w:cs="Calibri"/>
              </w:rPr>
              <w:t>Online interviews; Virtual interviews have shown to be as efficient as in-person interviews, less costly and less time-consuming</w:t>
            </w:r>
            <w:r w:rsidR="00643F0F">
              <w:rPr>
                <w:rFonts w:ascii="Calibri" w:hAnsi="Calibri" w:cs="Calibri"/>
              </w:rPr>
              <w:t xml:space="preserve"> (pg. 6</w:t>
            </w:r>
            <w:r w:rsidR="00AF78C8" w:rsidRPr="00EC7F11">
              <w:rPr>
                <w:rFonts w:ascii="Calibri" w:hAnsi="Calibri" w:cs="Calibri"/>
              </w:rPr>
              <w:t>)</w:t>
            </w:r>
          </w:p>
        </w:tc>
      </w:tr>
      <w:tr w:rsidR="00D04944" w:rsidRPr="00EC7F11" w:rsidTr="00997C38">
        <w:tc>
          <w:tcPr>
            <w:tcW w:w="1053" w:type="dxa"/>
          </w:tcPr>
          <w:p w:rsidR="00D04944" w:rsidRPr="00EC7F11" w:rsidRDefault="00D04944" w:rsidP="00EA40AB">
            <w:pPr>
              <w:rPr>
                <w:rFonts w:ascii="Calibri" w:hAnsi="Calibri" w:cs="Calibri"/>
                <w:b/>
              </w:rPr>
            </w:pPr>
            <w:r w:rsidRPr="00EC7F11">
              <w:rPr>
                <w:rFonts w:ascii="Calibri" w:hAnsi="Calibri" w:cs="Calibri"/>
                <w:b/>
              </w:rPr>
              <w:t>S8</w:t>
            </w:r>
          </w:p>
        </w:tc>
        <w:tc>
          <w:tcPr>
            <w:tcW w:w="1629" w:type="dxa"/>
          </w:tcPr>
          <w:p w:rsidR="00D04944" w:rsidRPr="00EC7F11" w:rsidRDefault="00D04944" w:rsidP="00EA40AB">
            <w:pPr>
              <w:rPr>
                <w:rFonts w:ascii="Calibri" w:hAnsi="Calibri" w:cs="Calibri"/>
                <w:b/>
              </w:rPr>
            </w:pPr>
            <w:r w:rsidRPr="00EC7F11">
              <w:rPr>
                <w:rFonts w:ascii="Calibri" w:hAnsi="Calibri" w:cs="Calibri"/>
                <w:b/>
              </w:rPr>
              <w:t>Sampling strategy</w:t>
            </w:r>
          </w:p>
        </w:tc>
        <w:tc>
          <w:tcPr>
            <w:tcW w:w="6811" w:type="dxa"/>
          </w:tcPr>
          <w:p w:rsidR="00D04944" w:rsidRPr="00EC7F11" w:rsidRDefault="0090104F" w:rsidP="00EA40AB">
            <w:pPr>
              <w:rPr>
                <w:rFonts w:ascii="Calibri" w:hAnsi="Calibri" w:cs="Calibri"/>
              </w:rPr>
            </w:pPr>
            <w:r w:rsidRPr="00EC7F11">
              <w:rPr>
                <w:rFonts w:ascii="Calibri" w:hAnsi="Calibri" w:cs="Calibri"/>
              </w:rPr>
              <w:t>Purposive sampling was used; a variety of health professionals was invited to participate in order to obtain views and attitudes from all medical team members in touch with this population</w:t>
            </w:r>
            <w:r w:rsidR="00643F0F">
              <w:rPr>
                <w:rFonts w:ascii="Calibri" w:hAnsi="Calibri" w:cs="Calibri"/>
              </w:rPr>
              <w:t xml:space="preserve"> (pg. 5</w:t>
            </w:r>
            <w:r w:rsidR="00AF78C8" w:rsidRPr="00EC7F11">
              <w:rPr>
                <w:rFonts w:ascii="Calibri" w:hAnsi="Calibri" w:cs="Calibri"/>
              </w:rPr>
              <w:t>)</w:t>
            </w:r>
          </w:p>
          <w:p w:rsidR="0090104F" w:rsidRPr="00EC7F11" w:rsidRDefault="0090104F" w:rsidP="00EA40AB">
            <w:pPr>
              <w:rPr>
                <w:rFonts w:ascii="Calibri" w:hAnsi="Calibri" w:cs="Calibri"/>
              </w:rPr>
            </w:pPr>
            <w:r w:rsidRPr="00EC7F11">
              <w:rPr>
                <w:rFonts w:ascii="Calibri" w:hAnsi="Calibri" w:cs="Calibri"/>
              </w:rPr>
              <w:lastRenderedPageBreak/>
              <w:t>The concept of “data saturation”, frequently used in qualitative research, along with the concept of capturing views from different specialties, was used to determine adequate sample size; information from the reflexive diary also determined the end of recruitment.</w:t>
            </w:r>
            <w:r w:rsidR="00643F0F">
              <w:rPr>
                <w:rFonts w:ascii="Calibri" w:hAnsi="Calibri" w:cs="Calibri"/>
              </w:rPr>
              <w:t xml:space="preserve"> (pg.6</w:t>
            </w:r>
            <w:r w:rsidR="00AF78C8" w:rsidRPr="00EC7F11">
              <w:rPr>
                <w:rFonts w:ascii="Calibri" w:hAnsi="Calibri" w:cs="Calibri"/>
              </w:rPr>
              <w:t>)</w:t>
            </w:r>
          </w:p>
        </w:tc>
      </w:tr>
      <w:tr w:rsidR="00D04944" w:rsidRPr="00EC7F11" w:rsidTr="00997C38">
        <w:tc>
          <w:tcPr>
            <w:tcW w:w="1053" w:type="dxa"/>
          </w:tcPr>
          <w:p w:rsidR="00D04944" w:rsidRPr="00EC7F11" w:rsidRDefault="00D04944" w:rsidP="00EA40AB">
            <w:pPr>
              <w:rPr>
                <w:rFonts w:ascii="Calibri" w:hAnsi="Calibri" w:cs="Calibri"/>
                <w:b/>
              </w:rPr>
            </w:pPr>
            <w:r w:rsidRPr="00EC7F11">
              <w:rPr>
                <w:rFonts w:ascii="Calibri" w:hAnsi="Calibri" w:cs="Calibri"/>
                <w:b/>
              </w:rPr>
              <w:lastRenderedPageBreak/>
              <w:t>S9</w:t>
            </w:r>
          </w:p>
        </w:tc>
        <w:tc>
          <w:tcPr>
            <w:tcW w:w="1629" w:type="dxa"/>
          </w:tcPr>
          <w:p w:rsidR="00D04944" w:rsidRPr="00EC7F11" w:rsidRDefault="00D04944" w:rsidP="00EA40AB">
            <w:pPr>
              <w:rPr>
                <w:rFonts w:ascii="Calibri" w:hAnsi="Calibri" w:cs="Calibri"/>
                <w:b/>
              </w:rPr>
            </w:pPr>
            <w:r w:rsidRPr="00EC7F11">
              <w:rPr>
                <w:rFonts w:ascii="Calibri" w:hAnsi="Calibri" w:cs="Calibri"/>
                <w:b/>
              </w:rPr>
              <w:t>Ethical issues pertaining to human subjects</w:t>
            </w:r>
          </w:p>
        </w:tc>
        <w:tc>
          <w:tcPr>
            <w:tcW w:w="6811" w:type="dxa"/>
          </w:tcPr>
          <w:p w:rsidR="00D04944" w:rsidRPr="00EC7F11" w:rsidRDefault="0090104F" w:rsidP="00EA40AB">
            <w:pPr>
              <w:rPr>
                <w:rFonts w:ascii="Calibri" w:hAnsi="Calibri" w:cs="Calibri"/>
              </w:rPr>
            </w:pPr>
            <w:r w:rsidRPr="00EC7F11">
              <w:rPr>
                <w:rFonts w:ascii="Calibri" w:hAnsi="Calibri" w:cs="Calibri"/>
              </w:rPr>
              <w:t>Participants provided written consent prior to participation.</w:t>
            </w:r>
            <w:r w:rsidR="00643F0F">
              <w:rPr>
                <w:rFonts w:ascii="Calibri" w:hAnsi="Calibri" w:cs="Calibri"/>
              </w:rPr>
              <w:t xml:space="preserve"> (pg. 5</w:t>
            </w:r>
            <w:r w:rsidR="00AF78C8" w:rsidRPr="00EC7F11">
              <w:rPr>
                <w:rFonts w:ascii="Calibri" w:hAnsi="Calibri" w:cs="Calibri"/>
              </w:rPr>
              <w:t>)</w:t>
            </w:r>
          </w:p>
        </w:tc>
      </w:tr>
      <w:tr w:rsidR="00D04944" w:rsidRPr="00EC7F11" w:rsidTr="00997C38">
        <w:tc>
          <w:tcPr>
            <w:tcW w:w="1053" w:type="dxa"/>
          </w:tcPr>
          <w:p w:rsidR="00D04944" w:rsidRPr="00EC7F11" w:rsidRDefault="00D04944" w:rsidP="00EA40AB">
            <w:pPr>
              <w:rPr>
                <w:rFonts w:ascii="Calibri" w:hAnsi="Calibri" w:cs="Calibri"/>
                <w:b/>
              </w:rPr>
            </w:pPr>
            <w:r w:rsidRPr="00EC7F11">
              <w:rPr>
                <w:rFonts w:ascii="Calibri" w:hAnsi="Calibri" w:cs="Calibri"/>
                <w:b/>
              </w:rPr>
              <w:t>S10</w:t>
            </w:r>
          </w:p>
        </w:tc>
        <w:tc>
          <w:tcPr>
            <w:tcW w:w="1629" w:type="dxa"/>
          </w:tcPr>
          <w:p w:rsidR="00D04944" w:rsidRPr="00EC7F11" w:rsidRDefault="00D04944" w:rsidP="00EA40AB">
            <w:pPr>
              <w:rPr>
                <w:rFonts w:ascii="Calibri" w:hAnsi="Calibri" w:cs="Calibri"/>
                <w:b/>
              </w:rPr>
            </w:pPr>
            <w:r w:rsidRPr="00EC7F11">
              <w:rPr>
                <w:rFonts w:ascii="Calibri" w:hAnsi="Calibri" w:cs="Calibri"/>
                <w:b/>
              </w:rPr>
              <w:t>Data collection methods</w:t>
            </w:r>
          </w:p>
        </w:tc>
        <w:tc>
          <w:tcPr>
            <w:tcW w:w="6811" w:type="dxa"/>
          </w:tcPr>
          <w:p w:rsidR="00D04944" w:rsidRPr="00EC7F11" w:rsidRDefault="0090104F" w:rsidP="00EA40AB">
            <w:pPr>
              <w:rPr>
                <w:rFonts w:ascii="Calibri" w:hAnsi="Calibri" w:cs="Calibri"/>
              </w:rPr>
            </w:pPr>
            <w:r w:rsidRPr="00EC7F11">
              <w:rPr>
                <w:rFonts w:ascii="Calibri" w:hAnsi="Calibri" w:cs="Calibri"/>
              </w:rPr>
              <w:t>The study incorporated semi-structured interviews</w:t>
            </w:r>
            <w:r w:rsidR="00643F0F">
              <w:rPr>
                <w:rFonts w:ascii="Calibri" w:hAnsi="Calibri" w:cs="Calibri"/>
              </w:rPr>
              <w:t xml:space="preserve"> (pg. 5</w:t>
            </w:r>
            <w:r w:rsidR="00AF78C8" w:rsidRPr="00EC7F11">
              <w:rPr>
                <w:rFonts w:ascii="Calibri" w:hAnsi="Calibri" w:cs="Calibri"/>
              </w:rPr>
              <w:t>)</w:t>
            </w:r>
            <w:r w:rsidRPr="00EC7F11">
              <w:rPr>
                <w:rFonts w:ascii="Calibri" w:hAnsi="Calibri" w:cs="Calibri"/>
              </w:rPr>
              <w:t>. The topic guide is</w:t>
            </w:r>
            <w:r w:rsidR="00643F0F">
              <w:rPr>
                <w:rFonts w:ascii="Calibri" w:hAnsi="Calibri" w:cs="Calibri"/>
              </w:rPr>
              <w:t xml:space="preserve"> available in the paper (Supplementary material</w:t>
            </w:r>
            <w:r w:rsidRPr="00EC7F11">
              <w:rPr>
                <w:rFonts w:ascii="Calibri" w:hAnsi="Calibri" w:cs="Calibri"/>
              </w:rPr>
              <w:t>)</w:t>
            </w:r>
          </w:p>
        </w:tc>
      </w:tr>
      <w:tr w:rsidR="00D04944" w:rsidRPr="00EC7F11" w:rsidTr="00997C38">
        <w:tc>
          <w:tcPr>
            <w:tcW w:w="1053" w:type="dxa"/>
          </w:tcPr>
          <w:p w:rsidR="00D04944" w:rsidRPr="00EC7F11" w:rsidRDefault="00D04944" w:rsidP="00EA40AB">
            <w:pPr>
              <w:rPr>
                <w:rFonts w:ascii="Calibri" w:hAnsi="Calibri" w:cs="Calibri"/>
                <w:b/>
              </w:rPr>
            </w:pPr>
            <w:r w:rsidRPr="00EC7F11">
              <w:rPr>
                <w:rFonts w:ascii="Calibri" w:hAnsi="Calibri" w:cs="Calibri"/>
                <w:b/>
              </w:rPr>
              <w:t>S11</w:t>
            </w:r>
          </w:p>
        </w:tc>
        <w:tc>
          <w:tcPr>
            <w:tcW w:w="1629" w:type="dxa"/>
          </w:tcPr>
          <w:p w:rsidR="00D04944" w:rsidRPr="00EC7F11" w:rsidRDefault="00D04944" w:rsidP="00EA40AB">
            <w:pPr>
              <w:rPr>
                <w:rFonts w:ascii="Calibri" w:hAnsi="Calibri" w:cs="Calibri"/>
                <w:b/>
              </w:rPr>
            </w:pPr>
            <w:r w:rsidRPr="00EC7F11">
              <w:rPr>
                <w:rFonts w:ascii="Calibri" w:hAnsi="Calibri" w:cs="Calibri"/>
                <w:b/>
              </w:rPr>
              <w:t>Data collection instruments and technologies</w:t>
            </w:r>
          </w:p>
        </w:tc>
        <w:tc>
          <w:tcPr>
            <w:tcW w:w="6811" w:type="dxa"/>
          </w:tcPr>
          <w:p w:rsidR="00D04944" w:rsidRPr="00EC7F11" w:rsidRDefault="0090104F" w:rsidP="00EA40AB">
            <w:pPr>
              <w:rPr>
                <w:rFonts w:ascii="Calibri" w:hAnsi="Calibri" w:cs="Calibri"/>
              </w:rPr>
            </w:pPr>
            <w:r w:rsidRPr="00EC7F11">
              <w:rPr>
                <w:rFonts w:ascii="Calibri" w:hAnsi="Calibri" w:cs="Calibri"/>
              </w:rPr>
              <w:t>An interview topic guide was developed. The first interview was used as a pilot to test the content of the questions and ensure adequate flow of the interview. No major changes were made and the first interview was included in the analysis.</w:t>
            </w:r>
            <w:r w:rsidR="00643F0F">
              <w:rPr>
                <w:rFonts w:ascii="Calibri" w:hAnsi="Calibri" w:cs="Calibri"/>
              </w:rPr>
              <w:t xml:space="preserve"> (pg. 6</w:t>
            </w:r>
            <w:r w:rsidR="00AF78C8" w:rsidRPr="00EC7F11">
              <w:rPr>
                <w:rFonts w:ascii="Calibri" w:hAnsi="Calibri" w:cs="Calibri"/>
              </w:rPr>
              <w:t>)</w:t>
            </w:r>
          </w:p>
        </w:tc>
      </w:tr>
      <w:tr w:rsidR="00D04944" w:rsidRPr="00EC7F11" w:rsidTr="00997C38">
        <w:tc>
          <w:tcPr>
            <w:tcW w:w="1053" w:type="dxa"/>
          </w:tcPr>
          <w:p w:rsidR="00D04944" w:rsidRPr="00EC7F11" w:rsidRDefault="00D04944" w:rsidP="00EA40AB">
            <w:pPr>
              <w:rPr>
                <w:rFonts w:ascii="Calibri" w:hAnsi="Calibri" w:cs="Calibri"/>
                <w:b/>
              </w:rPr>
            </w:pPr>
            <w:r w:rsidRPr="00EC7F11">
              <w:rPr>
                <w:rFonts w:ascii="Calibri" w:hAnsi="Calibri" w:cs="Calibri"/>
                <w:b/>
              </w:rPr>
              <w:t>S12</w:t>
            </w:r>
          </w:p>
        </w:tc>
        <w:tc>
          <w:tcPr>
            <w:tcW w:w="1629" w:type="dxa"/>
          </w:tcPr>
          <w:p w:rsidR="00D04944" w:rsidRPr="00EC7F11" w:rsidRDefault="00D04944" w:rsidP="00EA40AB">
            <w:pPr>
              <w:rPr>
                <w:rFonts w:ascii="Calibri" w:hAnsi="Calibri" w:cs="Calibri"/>
                <w:b/>
              </w:rPr>
            </w:pPr>
            <w:r w:rsidRPr="00EC7F11">
              <w:rPr>
                <w:rFonts w:ascii="Calibri" w:hAnsi="Calibri" w:cs="Calibri"/>
                <w:b/>
              </w:rPr>
              <w:t>Units of study</w:t>
            </w:r>
          </w:p>
        </w:tc>
        <w:tc>
          <w:tcPr>
            <w:tcW w:w="6811" w:type="dxa"/>
          </w:tcPr>
          <w:p w:rsidR="00D04944" w:rsidRPr="00EC7F11" w:rsidRDefault="0090104F" w:rsidP="00EA40AB">
            <w:pPr>
              <w:rPr>
                <w:rFonts w:ascii="Calibri" w:hAnsi="Calibri" w:cs="Calibri"/>
              </w:rPr>
            </w:pPr>
            <w:r w:rsidRPr="00EC7F11">
              <w:rPr>
                <w:rFonts w:ascii="Calibri" w:hAnsi="Calibri" w:cs="Calibri"/>
              </w:rPr>
              <w:t>47% participation rate (results section); 21 participants were interviewed</w:t>
            </w:r>
            <w:r w:rsidR="00643F0F">
              <w:rPr>
                <w:rFonts w:ascii="Calibri" w:hAnsi="Calibri" w:cs="Calibri"/>
              </w:rPr>
              <w:t xml:space="preserve"> (pg. 7</w:t>
            </w:r>
            <w:r w:rsidR="00AF78C8" w:rsidRPr="00EC7F11">
              <w:rPr>
                <w:rFonts w:ascii="Calibri" w:hAnsi="Calibri" w:cs="Calibri"/>
              </w:rPr>
              <w:t>)</w:t>
            </w:r>
          </w:p>
        </w:tc>
      </w:tr>
      <w:tr w:rsidR="00D04944" w:rsidRPr="00EC7F11" w:rsidTr="00997C38">
        <w:tc>
          <w:tcPr>
            <w:tcW w:w="1053" w:type="dxa"/>
          </w:tcPr>
          <w:p w:rsidR="00D04944" w:rsidRPr="00EC7F11" w:rsidRDefault="00D04944" w:rsidP="00EA40AB">
            <w:pPr>
              <w:rPr>
                <w:rFonts w:ascii="Calibri" w:hAnsi="Calibri" w:cs="Calibri"/>
                <w:b/>
              </w:rPr>
            </w:pPr>
            <w:r w:rsidRPr="00EC7F11">
              <w:rPr>
                <w:rFonts w:ascii="Calibri" w:hAnsi="Calibri" w:cs="Calibri"/>
                <w:b/>
              </w:rPr>
              <w:t>S13</w:t>
            </w:r>
          </w:p>
        </w:tc>
        <w:tc>
          <w:tcPr>
            <w:tcW w:w="1629" w:type="dxa"/>
          </w:tcPr>
          <w:p w:rsidR="00D04944" w:rsidRPr="00EC7F11" w:rsidRDefault="00D04944" w:rsidP="00EA40AB">
            <w:pPr>
              <w:rPr>
                <w:rFonts w:ascii="Calibri" w:hAnsi="Calibri" w:cs="Calibri"/>
                <w:b/>
              </w:rPr>
            </w:pPr>
            <w:r w:rsidRPr="00EC7F11">
              <w:rPr>
                <w:rFonts w:ascii="Calibri" w:hAnsi="Calibri" w:cs="Calibri"/>
                <w:b/>
              </w:rPr>
              <w:t>Data processing</w:t>
            </w:r>
          </w:p>
        </w:tc>
        <w:tc>
          <w:tcPr>
            <w:tcW w:w="6811" w:type="dxa"/>
          </w:tcPr>
          <w:p w:rsidR="00D04944" w:rsidRPr="00EC7F11" w:rsidRDefault="00DC7607" w:rsidP="00DC7607">
            <w:pPr>
              <w:rPr>
                <w:rFonts w:ascii="Calibri" w:hAnsi="Calibri" w:cs="Calibri"/>
              </w:rPr>
            </w:pPr>
            <w:r w:rsidRPr="00EC7F11">
              <w:rPr>
                <w:rFonts w:ascii="Calibri" w:hAnsi="Calibri" w:cs="Calibri"/>
              </w:rPr>
              <w:t>Interviews were video recorded and transcribed verbatim. All interviews were de-identified during transcription. Electronic files and transcripts are held in password-protected computers in the Laboratory of Nutrition and Clinical Dietetics at the University of Thessaly.</w:t>
            </w:r>
            <w:r w:rsidR="00643F0F">
              <w:rPr>
                <w:rFonts w:ascii="Calibri" w:hAnsi="Calibri" w:cs="Calibri"/>
              </w:rPr>
              <w:t xml:space="preserve"> (pg. </w:t>
            </w:r>
            <w:r w:rsidR="00AF78C8" w:rsidRPr="00EC7F11">
              <w:rPr>
                <w:rFonts w:ascii="Calibri" w:hAnsi="Calibri" w:cs="Calibri"/>
              </w:rPr>
              <w:t>6)</w:t>
            </w:r>
          </w:p>
        </w:tc>
      </w:tr>
      <w:tr w:rsidR="00D04944" w:rsidRPr="00EC7F11" w:rsidTr="00997C38">
        <w:tc>
          <w:tcPr>
            <w:tcW w:w="1053" w:type="dxa"/>
          </w:tcPr>
          <w:p w:rsidR="00D04944" w:rsidRPr="00EC7F11" w:rsidRDefault="00D04944" w:rsidP="00EA40AB">
            <w:pPr>
              <w:rPr>
                <w:rFonts w:ascii="Calibri" w:hAnsi="Calibri" w:cs="Calibri"/>
                <w:b/>
              </w:rPr>
            </w:pPr>
            <w:r w:rsidRPr="00EC7F11">
              <w:rPr>
                <w:rFonts w:ascii="Calibri" w:hAnsi="Calibri" w:cs="Calibri"/>
                <w:b/>
              </w:rPr>
              <w:t>S14</w:t>
            </w:r>
          </w:p>
        </w:tc>
        <w:tc>
          <w:tcPr>
            <w:tcW w:w="1629" w:type="dxa"/>
          </w:tcPr>
          <w:p w:rsidR="00D04944" w:rsidRPr="00EC7F11" w:rsidRDefault="00D04944" w:rsidP="00EA40AB">
            <w:pPr>
              <w:rPr>
                <w:rFonts w:ascii="Calibri" w:hAnsi="Calibri" w:cs="Calibri"/>
                <w:b/>
              </w:rPr>
            </w:pPr>
            <w:r w:rsidRPr="00EC7F11">
              <w:rPr>
                <w:rFonts w:ascii="Calibri" w:hAnsi="Calibri" w:cs="Calibri"/>
                <w:b/>
              </w:rPr>
              <w:t>Data analysis</w:t>
            </w:r>
          </w:p>
        </w:tc>
        <w:tc>
          <w:tcPr>
            <w:tcW w:w="6811" w:type="dxa"/>
          </w:tcPr>
          <w:p w:rsidR="00D04944" w:rsidRPr="00EC7F11" w:rsidRDefault="00DC7607" w:rsidP="00EA40AB">
            <w:pPr>
              <w:rPr>
                <w:rFonts w:ascii="Calibri" w:hAnsi="Calibri" w:cs="Calibri"/>
              </w:rPr>
            </w:pPr>
            <w:r w:rsidRPr="00EC7F11">
              <w:rPr>
                <w:rFonts w:ascii="Calibri" w:hAnsi="Calibri" w:cs="Calibri"/>
              </w:rPr>
              <w:t>Thematic analysis</w:t>
            </w:r>
            <w:r w:rsidR="00643F0F">
              <w:rPr>
                <w:rFonts w:ascii="Calibri" w:hAnsi="Calibri" w:cs="Calibri"/>
              </w:rPr>
              <w:t xml:space="preserve"> guided by Braun &amp; Clarke (pg. 6</w:t>
            </w:r>
            <w:r w:rsidR="00AF78C8" w:rsidRPr="00EC7F11">
              <w:rPr>
                <w:rFonts w:ascii="Calibri" w:hAnsi="Calibri" w:cs="Calibri"/>
              </w:rPr>
              <w:t>)</w:t>
            </w:r>
          </w:p>
        </w:tc>
      </w:tr>
      <w:tr w:rsidR="00D04944" w:rsidRPr="00EC7F11" w:rsidTr="00997C38">
        <w:tc>
          <w:tcPr>
            <w:tcW w:w="1053" w:type="dxa"/>
          </w:tcPr>
          <w:p w:rsidR="00D04944" w:rsidRPr="00EC7F11" w:rsidRDefault="00D04944" w:rsidP="00EA40AB">
            <w:pPr>
              <w:rPr>
                <w:rFonts w:ascii="Calibri" w:hAnsi="Calibri" w:cs="Calibri"/>
                <w:b/>
              </w:rPr>
            </w:pPr>
            <w:r w:rsidRPr="00EC7F11">
              <w:rPr>
                <w:rFonts w:ascii="Calibri" w:hAnsi="Calibri" w:cs="Calibri"/>
                <w:b/>
              </w:rPr>
              <w:t>S15</w:t>
            </w:r>
          </w:p>
        </w:tc>
        <w:tc>
          <w:tcPr>
            <w:tcW w:w="1629" w:type="dxa"/>
          </w:tcPr>
          <w:p w:rsidR="00D04944" w:rsidRPr="00EC7F11" w:rsidRDefault="00D04944" w:rsidP="00EA40AB">
            <w:pPr>
              <w:rPr>
                <w:rFonts w:ascii="Calibri" w:hAnsi="Calibri" w:cs="Calibri"/>
                <w:b/>
              </w:rPr>
            </w:pPr>
            <w:r w:rsidRPr="00EC7F11">
              <w:rPr>
                <w:rFonts w:ascii="Calibri" w:hAnsi="Calibri" w:cs="Calibri"/>
                <w:b/>
              </w:rPr>
              <w:t>Techniques to enhance trustworthiness</w:t>
            </w:r>
          </w:p>
        </w:tc>
        <w:tc>
          <w:tcPr>
            <w:tcW w:w="6811" w:type="dxa"/>
          </w:tcPr>
          <w:p w:rsidR="00D04944" w:rsidRPr="00EC7F11" w:rsidRDefault="00DC7607" w:rsidP="00643F0F">
            <w:pPr>
              <w:rPr>
                <w:rFonts w:ascii="Calibri" w:hAnsi="Calibri" w:cs="Calibri"/>
              </w:rPr>
            </w:pPr>
            <w:r w:rsidRPr="00EC7F11">
              <w:rPr>
                <w:rFonts w:ascii="Calibri" w:hAnsi="Calibri" w:cs="Calibri"/>
              </w:rPr>
              <w:t xml:space="preserve">Transcripts were read by two researchers and an initial coding framework was developed after the line-by-line coding of five transcripts. Codes were then applied to the remaining interviews resulting in further changes. Codes were organised in themes and subthemes and were agreed with the whole research team. </w:t>
            </w:r>
            <w:r w:rsidR="00643F0F">
              <w:rPr>
                <w:rFonts w:ascii="Calibri" w:hAnsi="Calibri" w:cs="Calibri"/>
              </w:rPr>
              <w:t xml:space="preserve"> (pg. 7</w:t>
            </w:r>
            <w:r w:rsidR="00AF78C8" w:rsidRPr="00EC7F11">
              <w:rPr>
                <w:rFonts w:ascii="Calibri" w:hAnsi="Calibri" w:cs="Calibri"/>
              </w:rPr>
              <w:t>)</w:t>
            </w:r>
          </w:p>
        </w:tc>
      </w:tr>
      <w:tr w:rsidR="00D04944" w:rsidRPr="00EC7F11" w:rsidTr="00997C38">
        <w:tc>
          <w:tcPr>
            <w:tcW w:w="9493" w:type="dxa"/>
            <w:gridSpan w:val="3"/>
          </w:tcPr>
          <w:p w:rsidR="00D04944" w:rsidRPr="00EC7F11" w:rsidRDefault="00D04944" w:rsidP="00EA40AB">
            <w:pPr>
              <w:rPr>
                <w:rFonts w:ascii="Calibri" w:hAnsi="Calibri" w:cs="Calibri"/>
                <w:b/>
              </w:rPr>
            </w:pPr>
            <w:r w:rsidRPr="00EC7F11">
              <w:rPr>
                <w:rFonts w:ascii="Calibri" w:hAnsi="Calibri" w:cs="Calibri"/>
                <w:b/>
              </w:rPr>
              <w:t>Results/findings</w:t>
            </w:r>
          </w:p>
        </w:tc>
      </w:tr>
      <w:tr w:rsidR="00D04944" w:rsidRPr="00EC7F11" w:rsidTr="00997C38">
        <w:tc>
          <w:tcPr>
            <w:tcW w:w="1053" w:type="dxa"/>
          </w:tcPr>
          <w:p w:rsidR="00D04944" w:rsidRPr="00EC7F11" w:rsidRDefault="00D04944" w:rsidP="00EA40AB">
            <w:pPr>
              <w:rPr>
                <w:rFonts w:ascii="Calibri" w:hAnsi="Calibri" w:cs="Calibri"/>
                <w:b/>
              </w:rPr>
            </w:pPr>
            <w:r w:rsidRPr="00EC7F11">
              <w:rPr>
                <w:rFonts w:ascii="Calibri" w:hAnsi="Calibri" w:cs="Calibri"/>
                <w:b/>
              </w:rPr>
              <w:t>S16</w:t>
            </w:r>
          </w:p>
        </w:tc>
        <w:tc>
          <w:tcPr>
            <w:tcW w:w="1629" w:type="dxa"/>
          </w:tcPr>
          <w:p w:rsidR="00D04944" w:rsidRPr="00EC7F11" w:rsidRDefault="00D04944" w:rsidP="00EA40AB">
            <w:pPr>
              <w:rPr>
                <w:rFonts w:ascii="Calibri" w:hAnsi="Calibri" w:cs="Calibri"/>
                <w:b/>
              </w:rPr>
            </w:pPr>
            <w:r w:rsidRPr="00EC7F11">
              <w:rPr>
                <w:rFonts w:ascii="Calibri" w:hAnsi="Calibri" w:cs="Calibri"/>
                <w:b/>
              </w:rPr>
              <w:t>Synthesis and interpretation</w:t>
            </w:r>
          </w:p>
        </w:tc>
        <w:tc>
          <w:tcPr>
            <w:tcW w:w="6811" w:type="dxa"/>
          </w:tcPr>
          <w:p w:rsidR="00D04944" w:rsidRPr="00EC7F11" w:rsidRDefault="00DC7607" w:rsidP="00EA40AB">
            <w:pPr>
              <w:rPr>
                <w:rFonts w:ascii="Calibri" w:hAnsi="Calibri" w:cs="Calibri"/>
              </w:rPr>
            </w:pPr>
            <w:r w:rsidRPr="00EC7F11">
              <w:rPr>
                <w:rFonts w:ascii="Calibri" w:hAnsi="Calibri" w:cs="Calibri"/>
              </w:rPr>
              <w:t>4 themes: “The patient’s mental health wellbeing”, “Survivors’ interest in diet and exercise”, “Interdisciplinary collaboration in patient’s care” and “Maintaining normality”; 13 subthemes</w:t>
            </w:r>
            <w:r w:rsidR="00643F0F">
              <w:rPr>
                <w:rFonts w:ascii="Calibri" w:hAnsi="Calibri" w:cs="Calibri"/>
              </w:rPr>
              <w:t xml:space="preserve"> (pg. 6 / methods; pg. 8-18</w:t>
            </w:r>
            <w:r w:rsidR="00AF78C8" w:rsidRPr="00EC7F11">
              <w:rPr>
                <w:rFonts w:ascii="Calibri" w:hAnsi="Calibri" w:cs="Calibri"/>
              </w:rPr>
              <w:t>)</w:t>
            </w:r>
          </w:p>
        </w:tc>
      </w:tr>
      <w:tr w:rsidR="00D04944" w:rsidRPr="00EC7F11" w:rsidTr="00997C38">
        <w:tc>
          <w:tcPr>
            <w:tcW w:w="1053" w:type="dxa"/>
          </w:tcPr>
          <w:p w:rsidR="00D04944" w:rsidRPr="00EC7F11" w:rsidRDefault="00D04944" w:rsidP="00EA40AB">
            <w:pPr>
              <w:rPr>
                <w:rFonts w:ascii="Calibri" w:hAnsi="Calibri" w:cs="Calibri"/>
                <w:b/>
              </w:rPr>
            </w:pPr>
            <w:r w:rsidRPr="00EC7F11">
              <w:rPr>
                <w:rFonts w:ascii="Calibri" w:hAnsi="Calibri" w:cs="Calibri"/>
                <w:b/>
              </w:rPr>
              <w:t>S17</w:t>
            </w:r>
          </w:p>
        </w:tc>
        <w:tc>
          <w:tcPr>
            <w:tcW w:w="1629" w:type="dxa"/>
          </w:tcPr>
          <w:p w:rsidR="00D04944" w:rsidRPr="00EC7F11" w:rsidRDefault="00D04944" w:rsidP="00EA40AB">
            <w:pPr>
              <w:rPr>
                <w:rFonts w:ascii="Calibri" w:hAnsi="Calibri" w:cs="Calibri"/>
                <w:b/>
              </w:rPr>
            </w:pPr>
            <w:r w:rsidRPr="00EC7F11">
              <w:rPr>
                <w:rFonts w:ascii="Calibri" w:hAnsi="Calibri" w:cs="Calibri"/>
                <w:b/>
              </w:rPr>
              <w:t>Links to empirical data</w:t>
            </w:r>
          </w:p>
        </w:tc>
        <w:tc>
          <w:tcPr>
            <w:tcW w:w="6811" w:type="dxa"/>
          </w:tcPr>
          <w:p w:rsidR="00D04944" w:rsidRPr="00EC7F11" w:rsidRDefault="00DC7607" w:rsidP="00EA40AB">
            <w:pPr>
              <w:rPr>
                <w:rFonts w:ascii="Calibri" w:hAnsi="Calibri" w:cs="Calibri"/>
              </w:rPr>
            </w:pPr>
            <w:r w:rsidRPr="00EC7F11">
              <w:rPr>
                <w:rFonts w:ascii="Calibri" w:hAnsi="Calibri" w:cs="Calibri"/>
              </w:rPr>
              <w:t>1-2 Quotes per subtheme</w:t>
            </w:r>
            <w:r w:rsidR="00643F0F">
              <w:rPr>
                <w:rFonts w:ascii="Calibri" w:hAnsi="Calibri" w:cs="Calibri"/>
              </w:rPr>
              <w:t xml:space="preserve"> (pg. 8-18</w:t>
            </w:r>
            <w:r w:rsidR="00AF78C8" w:rsidRPr="00EC7F11">
              <w:rPr>
                <w:rFonts w:ascii="Calibri" w:hAnsi="Calibri" w:cs="Calibri"/>
              </w:rPr>
              <w:t>)</w:t>
            </w:r>
          </w:p>
        </w:tc>
      </w:tr>
      <w:tr w:rsidR="00D04944" w:rsidRPr="00EC7F11" w:rsidTr="00997C38">
        <w:tc>
          <w:tcPr>
            <w:tcW w:w="9493" w:type="dxa"/>
            <w:gridSpan w:val="3"/>
          </w:tcPr>
          <w:p w:rsidR="00D04944" w:rsidRPr="00EC7F11" w:rsidRDefault="00D04944" w:rsidP="00EA40AB">
            <w:pPr>
              <w:rPr>
                <w:rFonts w:ascii="Calibri" w:hAnsi="Calibri" w:cs="Calibri"/>
                <w:b/>
              </w:rPr>
            </w:pPr>
            <w:r w:rsidRPr="00EC7F11">
              <w:rPr>
                <w:rFonts w:ascii="Calibri" w:hAnsi="Calibri" w:cs="Calibri"/>
                <w:b/>
              </w:rPr>
              <w:t>Discussion</w:t>
            </w:r>
          </w:p>
        </w:tc>
      </w:tr>
      <w:tr w:rsidR="00D04944" w:rsidRPr="00EC7F11" w:rsidTr="00997C38">
        <w:tc>
          <w:tcPr>
            <w:tcW w:w="1053" w:type="dxa"/>
          </w:tcPr>
          <w:p w:rsidR="00D04944" w:rsidRPr="00EC7F11" w:rsidRDefault="00D04944" w:rsidP="00EA40AB">
            <w:pPr>
              <w:rPr>
                <w:rFonts w:ascii="Calibri" w:hAnsi="Calibri" w:cs="Calibri"/>
                <w:b/>
              </w:rPr>
            </w:pPr>
            <w:r w:rsidRPr="00EC7F11">
              <w:rPr>
                <w:rFonts w:ascii="Calibri" w:hAnsi="Calibri" w:cs="Calibri"/>
                <w:b/>
              </w:rPr>
              <w:t>S18</w:t>
            </w:r>
          </w:p>
        </w:tc>
        <w:tc>
          <w:tcPr>
            <w:tcW w:w="1629" w:type="dxa"/>
          </w:tcPr>
          <w:p w:rsidR="00D04944" w:rsidRPr="00EC7F11" w:rsidRDefault="00D04944" w:rsidP="00EA40AB">
            <w:pPr>
              <w:rPr>
                <w:rFonts w:ascii="Calibri" w:hAnsi="Calibri" w:cs="Calibri"/>
                <w:b/>
              </w:rPr>
            </w:pPr>
            <w:r w:rsidRPr="00EC7F11">
              <w:rPr>
                <w:rFonts w:ascii="Calibri" w:hAnsi="Calibri" w:cs="Calibri"/>
                <w:b/>
              </w:rPr>
              <w:t>Integration with prior work, implications, transferability, and contribution(s) to the field</w:t>
            </w:r>
          </w:p>
        </w:tc>
        <w:tc>
          <w:tcPr>
            <w:tcW w:w="6811" w:type="dxa"/>
          </w:tcPr>
          <w:p w:rsidR="00D04944" w:rsidRPr="00EC7F11" w:rsidRDefault="00643F0F" w:rsidP="00EA40AB">
            <w:pPr>
              <w:rPr>
                <w:rFonts w:ascii="Calibri" w:hAnsi="Calibri" w:cs="Calibri"/>
              </w:rPr>
            </w:pPr>
            <w:r>
              <w:rPr>
                <w:rFonts w:ascii="Calibri" w:hAnsi="Calibri" w:cs="Calibri"/>
              </w:rPr>
              <w:t>Pg. 18-22</w:t>
            </w:r>
          </w:p>
        </w:tc>
      </w:tr>
      <w:tr w:rsidR="00D04944" w:rsidRPr="00EC7F11" w:rsidTr="00997C38">
        <w:tc>
          <w:tcPr>
            <w:tcW w:w="1053" w:type="dxa"/>
          </w:tcPr>
          <w:p w:rsidR="00D04944" w:rsidRPr="00EC7F11" w:rsidRDefault="00D04944" w:rsidP="00EA40AB">
            <w:pPr>
              <w:rPr>
                <w:rFonts w:ascii="Calibri" w:hAnsi="Calibri" w:cs="Calibri"/>
                <w:b/>
              </w:rPr>
            </w:pPr>
            <w:r w:rsidRPr="00EC7F11">
              <w:rPr>
                <w:rFonts w:ascii="Calibri" w:hAnsi="Calibri" w:cs="Calibri"/>
                <w:b/>
              </w:rPr>
              <w:t>S19</w:t>
            </w:r>
          </w:p>
        </w:tc>
        <w:tc>
          <w:tcPr>
            <w:tcW w:w="1629" w:type="dxa"/>
          </w:tcPr>
          <w:p w:rsidR="00D04944" w:rsidRPr="00EC7F11" w:rsidRDefault="00D04944" w:rsidP="00EA40AB">
            <w:pPr>
              <w:rPr>
                <w:rFonts w:ascii="Calibri" w:hAnsi="Calibri" w:cs="Calibri"/>
                <w:b/>
              </w:rPr>
            </w:pPr>
            <w:r w:rsidRPr="00EC7F11">
              <w:rPr>
                <w:rFonts w:ascii="Calibri" w:hAnsi="Calibri" w:cs="Calibri"/>
                <w:b/>
              </w:rPr>
              <w:t>Limitations</w:t>
            </w:r>
          </w:p>
        </w:tc>
        <w:tc>
          <w:tcPr>
            <w:tcW w:w="6811" w:type="dxa"/>
          </w:tcPr>
          <w:p w:rsidR="00D04944" w:rsidRPr="00EC7F11" w:rsidRDefault="00DC7607" w:rsidP="00EA40AB">
            <w:pPr>
              <w:rPr>
                <w:rFonts w:ascii="Calibri" w:hAnsi="Calibri" w:cs="Calibri"/>
              </w:rPr>
            </w:pPr>
            <w:r w:rsidRPr="00EC7F11">
              <w:rPr>
                <w:rFonts w:ascii="Calibri" w:hAnsi="Calibri" w:cs="Calibri"/>
              </w:rPr>
              <w:t xml:space="preserve">First of all, subjects were recruited through local networks, hospitals specialised in cancer care, cancer charities and forums, which may have led to sampling and selection bias. HPs who participated may have been more interested in issues around lifestyle in cancer survivorship. Interviews were conducted with the use of an online platform and it is acknowledged that this method may lead to obtaining less contextual information, compared to face-to-face interviews. </w:t>
            </w:r>
            <w:r w:rsidR="00997C38" w:rsidRPr="00EC7F11">
              <w:rPr>
                <w:rFonts w:ascii="Calibri" w:hAnsi="Calibri" w:cs="Calibri"/>
              </w:rPr>
              <w:t xml:space="preserve">However, there is literature to support the use of virtual interviews for flexibility and low costs without loss of significant information. </w:t>
            </w:r>
            <w:r w:rsidRPr="00EC7F11">
              <w:rPr>
                <w:rFonts w:ascii="Calibri" w:hAnsi="Calibri" w:cs="Calibri"/>
              </w:rPr>
              <w:t xml:space="preserve">Finally, researcher bias may have occurred, due to the researchers’ educational background </w:t>
            </w:r>
            <w:r w:rsidRPr="00EC7F11">
              <w:rPr>
                <w:rFonts w:ascii="Calibri" w:hAnsi="Calibri" w:cs="Calibri"/>
              </w:rPr>
              <w:lastRenderedPageBreak/>
              <w:t>(nutrition-dietetics) and the absence of a qualitative data analysis software, despite close monitoring by two researchers.</w:t>
            </w:r>
            <w:r w:rsidR="00643F0F">
              <w:rPr>
                <w:rFonts w:ascii="Calibri" w:hAnsi="Calibri" w:cs="Calibri"/>
              </w:rPr>
              <w:t xml:space="preserve"> (pg. 22</w:t>
            </w:r>
            <w:r w:rsidR="00AF78C8" w:rsidRPr="00EC7F11">
              <w:rPr>
                <w:rFonts w:ascii="Calibri" w:hAnsi="Calibri" w:cs="Calibri"/>
              </w:rPr>
              <w:t>)</w:t>
            </w:r>
          </w:p>
        </w:tc>
      </w:tr>
      <w:tr w:rsidR="00D04944" w:rsidRPr="00EC7F11" w:rsidTr="00997C38">
        <w:tc>
          <w:tcPr>
            <w:tcW w:w="9493" w:type="dxa"/>
            <w:gridSpan w:val="3"/>
          </w:tcPr>
          <w:p w:rsidR="00D04944" w:rsidRPr="00EC7F11" w:rsidRDefault="00D04944" w:rsidP="00EA40AB">
            <w:pPr>
              <w:rPr>
                <w:rFonts w:ascii="Calibri" w:hAnsi="Calibri" w:cs="Calibri"/>
                <w:b/>
              </w:rPr>
            </w:pPr>
            <w:r w:rsidRPr="00EC7F11">
              <w:rPr>
                <w:rFonts w:ascii="Calibri" w:hAnsi="Calibri" w:cs="Calibri"/>
                <w:b/>
              </w:rPr>
              <w:lastRenderedPageBreak/>
              <w:t>Other</w:t>
            </w:r>
          </w:p>
        </w:tc>
      </w:tr>
      <w:tr w:rsidR="00D04944" w:rsidRPr="00EC7F11" w:rsidTr="00997C38">
        <w:tc>
          <w:tcPr>
            <w:tcW w:w="1053" w:type="dxa"/>
          </w:tcPr>
          <w:p w:rsidR="00D04944" w:rsidRPr="00EC7F11" w:rsidRDefault="00D04944" w:rsidP="00EA40AB">
            <w:pPr>
              <w:rPr>
                <w:rFonts w:ascii="Calibri" w:hAnsi="Calibri" w:cs="Calibri"/>
                <w:b/>
              </w:rPr>
            </w:pPr>
            <w:r w:rsidRPr="00EC7F11">
              <w:rPr>
                <w:rFonts w:ascii="Calibri" w:hAnsi="Calibri" w:cs="Calibri"/>
                <w:b/>
              </w:rPr>
              <w:t>S20</w:t>
            </w:r>
          </w:p>
        </w:tc>
        <w:tc>
          <w:tcPr>
            <w:tcW w:w="1629" w:type="dxa"/>
          </w:tcPr>
          <w:p w:rsidR="00D04944" w:rsidRPr="00EC7F11" w:rsidRDefault="00D04944" w:rsidP="00EA40AB">
            <w:pPr>
              <w:rPr>
                <w:rFonts w:ascii="Calibri" w:hAnsi="Calibri" w:cs="Calibri"/>
                <w:b/>
              </w:rPr>
            </w:pPr>
            <w:r w:rsidRPr="00EC7F11">
              <w:rPr>
                <w:rFonts w:ascii="Calibri" w:hAnsi="Calibri" w:cs="Calibri"/>
                <w:b/>
              </w:rPr>
              <w:t>Conflicts of interest</w:t>
            </w:r>
          </w:p>
        </w:tc>
        <w:tc>
          <w:tcPr>
            <w:tcW w:w="6811" w:type="dxa"/>
          </w:tcPr>
          <w:p w:rsidR="00D04944" w:rsidRPr="00EC7F11" w:rsidRDefault="00997C38" w:rsidP="00EA40AB">
            <w:pPr>
              <w:rPr>
                <w:rFonts w:ascii="Calibri" w:hAnsi="Calibri" w:cs="Calibri"/>
              </w:rPr>
            </w:pPr>
            <w:r w:rsidRPr="00EC7F11">
              <w:rPr>
                <w:rFonts w:ascii="Calibri" w:hAnsi="Calibri" w:cs="Calibri"/>
              </w:rPr>
              <w:t>None</w:t>
            </w:r>
            <w:r w:rsidR="00643F0F">
              <w:rPr>
                <w:rFonts w:ascii="Calibri" w:hAnsi="Calibri" w:cs="Calibri"/>
              </w:rPr>
              <w:t xml:space="preserve"> (</w:t>
            </w:r>
            <w:proofErr w:type="spellStart"/>
            <w:r w:rsidR="00643F0F">
              <w:rPr>
                <w:rFonts w:ascii="Calibri" w:hAnsi="Calibri" w:cs="Calibri"/>
              </w:rPr>
              <w:t>pg</w:t>
            </w:r>
            <w:proofErr w:type="spellEnd"/>
            <w:r w:rsidR="00643F0F">
              <w:rPr>
                <w:rFonts w:ascii="Calibri" w:hAnsi="Calibri" w:cs="Calibri"/>
              </w:rPr>
              <w:t xml:space="preserve"> 23)</w:t>
            </w:r>
            <w:bookmarkStart w:id="0" w:name="_GoBack"/>
            <w:bookmarkEnd w:id="0"/>
          </w:p>
        </w:tc>
      </w:tr>
      <w:tr w:rsidR="00D04944" w:rsidRPr="00EC7F11" w:rsidTr="00997C38">
        <w:tc>
          <w:tcPr>
            <w:tcW w:w="1053" w:type="dxa"/>
          </w:tcPr>
          <w:p w:rsidR="00D04944" w:rsidRPr="00EC7F11" w:rsidRDefault="00D04944" w:rsidP="00EA40AB">
            <w:pPr>
              <w:rPr>
                <w:rFonts w:ascii="Calibri" w:hAnsi="Calibri" w:cs="Calibri"/>
                <w:b/>
              </w:rPr>
            </w:pPr>
            <w:r w:rsidRPr="00EC7F11">
              <w:rPr>
                <w:rFonts w:ascii="Calibri" w:hAnsi="Calibri" w:cs="Calibri"/>
                <w:b/>
              </w:rPr>
              <w:t>S21</w:t>
            </w:r>
          </w:p>
        </w:tc>
        <w:tc>
          <w:tcPr>
            <w:tcW w:w="1629" w:type="dxa"/>
          </w:tcPr>
          <w:p w:rsidR="00D04944" w:rsidRPr="00EC7F11" w:rsidRDefault="00D04944" w:rsidP="00EA40AB">
            <w:pPr>
              <w:rPr>
                <w:rFonts w:ascii="Calibri" w:hAnsi="Calibri" w:cs="Calibri"/>
                <w:b/>
              </w:rPr>
            </w:pPr>
            <w:r w:rsidRPr="00EC7F11">
              <w:rPr>
                <w:rFonts w:ascii="Calibri" w:hAnsi="Calibri" w:cs="Calibri"/>
                <w:b/>
              </w:rPr>
              <w:t>Funding</w:t>
            </w:r>
          </w:p>
        </w:tc>
        <w:tc>
          <w:tcPr>
            <w:tcW w:w="6811" w:type="dxa"/>
          </w:tcPr>
          <w:p w:rsidR="00D04944" w:rsidRPr="00EC7F11" w:rsidRDefault="00997C38" w:rsidP="00EA40AB">
            <w:pPr>
              <w:rPr>
                <w:rFonts w:ascii="Calibri" w:hAnsi="Calibri" w:cs="Calibri"/>
              </w:rPr>
            </w:pPr>
            <w:r w:rsidRPr="00EC7F11">
              <w:rPr>
                <w:rFonts w:ascii="Calibri" w:hAnsi="Calibri" w:cs="Calibri"/>
              </w:rPr>
              <w:t xml:space="preserve">None </w:t>
            </w:r>
            <w:r w:rsidR="00643F0F">
              <w:rPr>
                <w:rFonts w:ascii="Calibri" w:hAnsi="Calibri" w:cs="Calibri"/>
              </w:rPr>
              <w:t>(</w:t>
            </w:r>
            <w:proofErr w:type="spellStart"/>
            <w:r w:rsidR="00643F0F">
              <w:rPr>
                <w:rFonts w:ascii="Calibri" w:hAnsi="Calibri" w:cs="Calibri"/>
              </w:rPr>
              <w:t>pg</w:t>
            </w:r>
            <w:proofErr w:type="spellEnd"/>
            <w:r w:rsidR="00643F0F">
              <w:rPr>
                <w:rFonts w:ascii="Calibri" w:hAnsi="Calibri" w:cs="Calibri"/>
              </w:rPr>
              <w:t xml:space="preserve"> 23)</w:t>
            </w:r>
          </w:p>
        </w:tc>
      </w:tr>
    </w:tbl>
    <w:p w:rsidR="00D04944" w:rsidRDefault="00D04944"/>
    <w:sectPr w:rsidR="00D049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944"/>
    <w:rsid w:val="00021F8B"/>
    <w:rsid w:val="000355FC"/>
    <w:rsid w:val="00086F55"/>
    <w:rsid w:val="00116954"/>
    <w:rsid w:val="001B363B"/>
    <w:rsid w:val="003C5BD1"/>
    <w:rsid w:val="00451E38"/>
    <w:rsid w:val="00560FBF"/>
    <w:rsid w:val="0064324D"/>
    <w:rsid w:val="00643F0F"/>
    <w:rsid w:val="0084718F"/>
    <w:rsid w:val="0090104F"/>
    <w:rsid w:val="00997C38"/>
    <w:rsid w:val="009B7284"/>
    <w:rsid w:val="00A90256"/>
    <w:rsid w:val="00AE6051"/>
    <w:rsid w:val="00AF3EAE"/>
    <w:rsid w:val="00AF78C8"/>
    <w:rsid w:val="00D04944"/>
    <w:rsid w:val="00DC7607"/>
    <w:rsid w:val="00E66597"/>
    <w:rsid w:val="00EC7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246FA"/>
  <w15:chartTrackingRefBased/>
  <w15:docId w15:val="{9D58A085-4404-4229-A237-77794253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4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3</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George</cp:lastModifiedBy>
  <cp:revision>11</cp:revision>
  <dcterms:created xsi:type="dcterms:W3CDTF">2023-07-24T11:36:00Z</dcterms:created>
  <dcterms:modified xsi:type="dcterms:W3CDTF">2023-08-28T10:25:00Z</dcterms:modified>
</cp:coreProperties>
</file>