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F1E48" w14:textId="77777777" w:rsidR="005B1C36" w:rsidRPr="0049736F" w:rsidRDefault="005B1C36" w:rsidP="005B1C36">
      <w:pPr>
        <w:spacing w:line="360" w:lineRule="auto"/>
        <w:jc w:val="center"/>
        <w:rPr>
          <w:rFonts w:asciiTheme="majorBidi" w:eastAsia="+mn-ea" w:hAnsiTheme="majorBidi" w:cstheme="majorBidi"/>
          <w:b/>
          <w:sz w:val="24"/>
        </w:rPr>
      </w:pPr>
      <w:bookmarkStart w:id="0" w:name="_GoBack"/>
      <w:bookmarkEnd w:id="0"/>
      <w:r w:rsidRPr="0049736F">
        <w:rPr>
          <w:rFonts w:asciiTheme="majorBidi" w:eastAsia="+mn-ea" w:hAnsiTheme="majorBidi" w:cstheme="majorBidi"/>
          <w:b/>
          <w:sz w:val="24"/>
        </w:rPr>
        <w:t>Supplementary Table 1.</w:t>
      </w:r>
    </w:p>
    <w:p w14:paraId="75397683" w14:textId="77777777" w:rsidR="005B1C36" w:rsidRPr="0049736F" w:rsidRDefault="005B1C36" w:rsidP="005B1C36">
      <w:pPr>
        <w:spacing w:line="360" w:lineRule="auto"/>
        <w:jc w:val="both"/>
        <w:rPr>
          <w:rFonts w:asciiTheme="majorBidi" w:eastAsia="+mn-ea" w:hAnsiTheme="majorBidi" w:cstheme="majorBidi"/>
          <w:b/>
          <w:sz w:val="24"/>
        </w:rPr>
      </w:pPr>
      <w:r w:rsidRPr="0049736F">
        <w:rPr>
          <w:rFonts w:asciiTheme="majorBidi" w:eastAsia="+mn-ea" w:hAnsiTheme="majorBidi" w:cstheme="majorBidi"/>
          <w:b/>
          <w:sz w:val="24"/>
        </w:rPr>
        <w:t xml:space="preserve">Differences in Educational Attainment (Grade Point Average, GPA) Between Individuals </w:t>
      </w:r>
      <w:proofErr w:type="gramStart"/>
      <w:r w:rsidRPr="0049736F">
        <w:rPr>
          <w:rFonts w:asciiTheme="majorBidi" w:eastAsia="+mn-ea" w:hAnsiTheme="majorBidi" w:cstheme="majorBidi"/>
          <w:b/>
          <w:sz w:val="24"/>
        </w:rPr>
        <w:t>With</w:t>
      </w:r>
      <w:proofErr w:type="gramEnd"/>
      <w:r w:rsidRPr="0049736F">
        <w:rPr>
          <w:rFonts w:asciiTheme="majorBidi" w:eastAsia="+mn-ea" w:hAnsiTheme="majorBidi" w:cstheme="majorBidi"/>
          <w:b/>
          <w:sz w:val="24"/>
        </w:rPr>
        <w:t xml:space="preserve"> High Body Fatness vs Those With Lower Body Fatness</w:t>
      </w:r>
    </w:p>
    <w:p w14:paraId="38846EEF" w14:textId="77777777" w:rsidR="005B1C36" w:rsidRPr="0049736F" w:rsidRDefault="005B1C36" w:rsidP="005B1C36">
      <w:pPr>
        <w:spacing w:line="360" w:lineRule="auto"/>
        <w:jc w:val="both"/>
        <w:rPr>
          <w:rFonts w:asciiTheme="majorBidi" w:eastAsia="+mn-ea" w:hAnsiTheme="majorBidi" w:cstheme="majorBidi"/>
          <w:b/>
          <w:sz w:val="24"/>
        </w:rPr>
      </w:pPr>
    </w:p>
    <w:p w14:paraId="4BA09DAA" w14:textId="77777777" w:rsidR="005B1C36" w:rsidRPr="0049736F" w:rsidRDefault="005B1C36" w:rsidP="005B1C36">
      <w:pPr>
        <w:spacing w:line="360" w:lineRule="auto"/>
        <w:jc w:val="both"/>
        <w:rPr>
          <w:rFonts w:asciiTheme="majorBidi" w:eastAsia="+mn-ea" w:hAnsiTheme="majorBidi" w:cstheme="majorBidi"/>
          <w:sz w:val="24"/>
        </w:rPr>
      </w:pPr>
      <w:r w:rsidRPr="0049736F">
        <w:rPr>
          <w:rFonts w:asciiTheme="majorBidi" w:eastAsia="+mn-ea" w:hAnsiTheme="majorBidi" w:cstheme="majorBidi"/>
          <w:sz w:val="24"/>
        </w:rPr>
        <w:t xml:space="preserve">High body fatness was defined as a body fat % of </w:t>
      </w:r>
      <w:r w:rsidRPr="0049736F">
        <w:rPr>
          <w:rFonts w:asciiTheme="majorBidi" w:eastAsia="+mn-ea" w:hAnsiTheme="majorBidi" w:cstheme="majorBidi"/>
          <w:sz w:val="24"/>
          <w:u w:val="single"/>
        </w:rPr>
        <w:t>&gt;</w:t>
      </w:r>
      <w:r w:rsidRPr="0049736F">
        <w:rPr>
          <w:rFonts w:asciiTheme="majorBidi" w:eastAsia="+mn-ea" w:hAnsiTheme="majorBidi" w:cstheme="majorBidi"/>
          <w:sz w:val="24"/>
        </w:rPr>
        <w:t>30.0 derived from bio-electrical impedance</w:t>
      </w:r>
      <w:r w:rsidRPr="0049736F">
        <w:rPr>
          <w:rFonts w:asciiTheme="majorBidi" w:eastAsia="+mn-ea" w:hAnsiTheme="majorBidi" w:cstheme="majorBidi"/>
          <w:sz w:val="24"/>
          <w:vertAlign w:val="superscript"/>
        </w:rPr>
        <w:t>21</w:t>
      </w:r>
      <w:r w:rsidRPr="0049736F">
        <w:rPr>
          <w:rFonts w:asciiTheme="majorBidi" w:eastAsia="+mn-ea" w:hAnsiTheme="majorBidi" w:cstheme="majorBidi"/>
          <w:sz w:val="24"/>
        </w:rPr>
        <w:t>.</w:t>
      </w:r>
    </w:p>
    <w:p w14:paraId="6BCD709A" w14:textId="77777777" w:rsidR="005B1C36" w:rsidRPr="0049736F" w:rsidRDefault="005B1C36" w:rsidP="005B1C36">
      <w:pPr>
        <w:spacing w:line="360" w:lineRule="auto"/>
        <w:jc w:val="both"/>
        <w:rPr>
          <w:rFonts w:asciiTheme="majorBidi" w:eastAsia="+mn-ea" w:hAnsiTheme="majorBidi" w:cstheme="majorBidi"/>
          <w:b/>
          <w:sz w:val="24"/>
        </w:rPr>
      </w:pPr>
    </w:p>
    <w:p w14:paraId="4365A8B9" w14:textId="77777777" w:rsidR="005B1C36" w:rsidRPr="0049736F" w:rsidRDefault="005B1C36" w:rsidP="005B1C36">
      <w:pPr>
        <w:spacing w:line="360" w:lineRule="auto"/>
        <w:jc w:val="both"/>
        <w:rPr>
          <w:rFonts w:asciiTheme="majorBidi" w:hAnsiTheme="majorBidi" w:cstheme="majorBidi"/>
          <w:sz w:val="24"/>
        </w:rPr>
      </w:pPr>
      <w:r w:rsidRPr="0049736F">
        <w:rPr>
          <w:rFonts w:asciiTheme="majorBidi" w:hAnsiTheme="majorBidi" w:cstheme="majorBidi"/>
          <w:sz w:val="24"/>
        </w:rPr>
        <w:t>Mean GPA in the sample with high body fatness (n= 247) was 2.59 (SD 0.59; 95% CI 2.52-2.67)   and in participants defined as not having high body fatness (n=153) was 2.81 (SD 0.64; 95% CI 2.70-2.91). This difference was statistically significant (P&lt;0.001; 95% CI for difference in means = 0.08 to 0.33).</w:t>
      </w:r>
    </w:p>
    <w:p w14:paraId="2E06A6E3" w14:textId="77777777" w:rsidR="005B1C36" w:rsidRPr="0049736F" w:rsidRDefault="005B1C36" w:rsidP="005B1C36">
      <w:pPr>
        <w:spacing w:line="360" w:lineRule="auto"/>
        <w:jc w:val="both"/>
        <w:rPr>
          <w:rFonts w:asciiTheme="majorBidi" w:hAnsiTheme="majorBidi" w:cstheme="majorBidi"/>
          <w:sz w:val="24"/>
        </w:rPr>
      </w:pPr>
    </w:p>
    <w:p w14:paraId="503D1899" w14:textId="77777777" w:rsidR="005B1C36" w:rsidRPr="0049736F" w:rsidRDefault="005B1C36" w:rsidP="005B1C36">
      <w:pPr>
        <w:spacing w:line="360" w:lineRule="auto"/>
        <w:jc w:val="both"/>
        <w:rPr>
          <w:rFonts w:asciiTheme="majorBidi" w:hAnsiTheme="majorBidi" w:cstheme="majorBidi"/>
          <w:sz w:val="24"/>
        </w:rPr>
      </w:pPr>
      <w:r w:rsidRPr="0049736F">
        <w:rPr>
          <w:rFonts w:asciiTheme="majorBidi" w:hAnsiTheme="majorBidi" w:cstheme="majorBidi"/>
          <w:sz w:val="24"/>
        </w:rPr>
        <w:t>A chi-squared test on the distribution of GPA quartiles by high fatness versus non-high fatness was statistically significant (P&lt;0</w:t>
      </w:r>
      <w:r w:rsidRPr="0049736F">
        <w:rPr>
          <w:rFonts w:asciiTheme="majorBidi" w:hAnsiTheme="majorBidi" w:cstheme="majorBidi"/>
          <w:b/>
          <w:sz w:val="24"/>
        </w:rPr>
        <w:t>.</w:t>
      </w:r>
      <w:r w:rsidRPr="0049736F">
        <w:rPr>
          <w:rFonts w:asciiTheme="majorBidi" w:hAnsiTheme="majorBidi" w:cstheme="majorBidi"/>
          <w:sz w:val="24"/>
        </w:rPr>
        <w:t>001)</w:t>
      </w:r>
      <w:r w:rsidRPr="0049736F">
        <w:rPr>
          <w:rFonts w:asciiTheme="majorBidi" w:hAnsiTheme="majorBidi" w:cstheme="majorBidi"/>
          <w:b/>
          <w:sz w:val="24"/>
        </w:rPr>
        <w:t>.</w:t>
      </w:r>
      <w:r w:rsidRPr="0049736F">
        <w:rPr>
          <w:rFonts w:asciiTheme="majorBidi" w:hAnsiTheme="majorBidi" w:cstheme="majorBidi"/>
          <w:sz w:val="24"/>
        </w:rPr>
        <w:t xml:space="preserve"> The odds ratio, unadjusted, for risk of being in the lowest quartile of GPA in the individuals with high fatness according, was </w:t>
      </w:r>
      <w:proofErr w:type="gramStart"/>
      <w:r w:rsidRPr="0049736F">
        <w:rPr>
          <w:rFonts w:asciiTheme="majorBidi" w:hAnsiTheme="majorBidi" w:cstheme="majorBidi"/>
          <w:sz w:val="24"/>
        </w:rPr>
        <w:t>2.39  (</w:t>
      </w:r>
      <w:proofErr w:type="gramEnd"/>
      <w:r w:rsidRPr="0049736F">
        <w:rPr>
          <w:rFonts w:asciiTheme="majorBidi" w:hAnsiTheme="majorBidi" w:cstheme="majorBidi"/>
          <w:sz w:val="24"/>
        </w:rPr>
        <w:t xml:space="preserve">95% CI 1.43-3.99 ; P&lt;0.001). Student age and parental educational attainment were not associated with the exposure and outcome values, and did not </w:t>
      </w:r>
      <w:proofErr w:type="spellStart"/>
      <w:r w:rsidRPr="0049736F">
        <w:rPr>
          <w:rFonts w:asciiTheme="majorBidi" w:hAnsiTheme="majorBidi" w:cstheme="majorBidi"/>
          <w:sz w:val="24"/>
        </w:rPr>
        <w:t>counfound</w:t>
      </w:r>
      <w:proofErr w:type="spellEnd"/>
      <w:r w:rsidRPr="0049736F">
        <w:rPr>
          <w:rFonts w:asciiTheme="majorBidi" w:hAnsiTheme="majorBidi" w:cstheme="majorBidi"/>
          <w:sz w:val="24"/>
        </w:rPr>
        <w:t xml:space="preserve"> the relationship between body fatness and GPA.</w:t>
      </w:r>
    </w:p>
    <w:p w14:paraId="52E58005" w14:textId="77777777" w:rsidR="005B1C36" w:rsidRPr="00CA7008" w:rsidRDefault="005B1C36" w:rsidP="005B1C36">
      <w:pPr>
        <w:rPr>
          <w:color w:val="FF0000"/>
        </w:rPr>
      </w:pPr>
    </w:p>
    <w:p w14:paraId="496D22DF" w14:textId="77777777" w:rsidR="005B1C36" w:rsidRPr="00CA7008" w:rsidRDefault="005B1C36" w:rsidP="005B1C36">
      <w:pPr>
        <w:spacing w:after="160"/>
        <w:rPr>
          <w:rFonts w:ascii="Times New Roman" w:hAnsi="Times New Roman"/>
          <w:color w:val="FF0000"/>
          <w:sz w:val="24"/>
        </w:rPr>
      </w:pPr>
    </w:p>
    <w:p w14:paraId="7ADFA3CB" w14:textId="77777777" w:rsidR="005B1C36" w:rsidRPr="005B58FC" w:rsidRDefault="005B1C36" w:rsidP="005B1C36">
      <w:pPr>
        <w:spacing w:after="160"/>
        <w:rPr>
          <w:rFonts w:ascii="Times New Roman" w:hAnsi="Times New Roman"/>
          <w:sz w:val="24"/>
        </w:rPr>
      </w:pPr>
    </w:p>
    <w:p w14:paraId="709B9A54" w14:textId="77777777" w:rsidR="00171997" w:rsidRDefault="00171997"/>
    <w:sectPr w:rsidR="00171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36"/>
    <w:rsid w:val="00171997"/>
    <w:rsid w:val="0049736F"/>
    <w:rsid w:val="005B1C36"/>
    <w:rsid w:val="00C1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91AE6"/>
  <w15:chartTrackingRefBased/>
  <w15:docId w15:val="{A2F44222-7227-4DB4-9466-5DCCA055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C36"/>
    <w:pPr>
      <w:spacing w:after="0" w:line="48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733EC8-F72C-463C-891A-F3996610F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0FEC9-3AC6-4BA3-AC34-1AD866235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883EF-CB36-4FF6-AA73-864BB1A3626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424a7236-42d0-4b59-9a8f-b62230abed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Reilly</dc:creator>
  <cp:keywords/>
  <dc:description/>
  <cp:lastModifiedBy>Alice Gooch</cp:lastModifiedBy>
  <cp:revision>2</cp:revision>
  <dcterms:created xsi:type="dcterms:W3CDTF">2020-07-01T06:36:00Z</dcterms:created>
  <dcterms:modified xsi:type="dcterms:W3CDTF">2020-07-01T06:36:00Z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