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B934" w14:textId="42DFD3D9" w:rsidR="002F1846" w:rsidRPr="00BD0A19" w:rsidRDefault="002F1846" w:rsidP="002F18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0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Supplementary </w:t>
      </w:r>
      <w:r w:rsidR="00BD0A19" w:rsidRPr="00BD0A19">
        <w:rPr>
          <w:rFonts w:ascii="Times New Roman" w:hAnsi="Times New Roman" w:cs="Times New Roman"/>
          <w:b/>
          <w:sz w:val="28"/>
          <w:szCs w:val="28"/>
          <w:lang w:val="en-US"/>
        </w:rPr>
        <w:t>material</w:t>
      </w:r>
    </w:p>
    <w:p w14:paraId="6ED5AD98" w14:textId="77777777" w:rsidR="002F1846" w:rsidRDefault="00C36B91" w:rsidP="002F18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6B91">
        <w:rPr>
          <w:rFonts w:ascii="Times New Roman" w:hAnsi="Times New Roman" w:cs="Times New Roman"/>
          <w:b/>
          <w:sz w:val="28"/>
          <w:szCs w:val="28"/>
          <w:lang w:val="en-US"/>
        </w:rPr>
        <w:t>Time and age trends in morning and evening protein intakes of German children and adolescents</w:t>
      </w:r>
    </w:p>
    <w:p w14:paraId="167198C8" w14:textId="77777777" w:rsidR="002F1846" w:rsidRPr="009E5D93" w:rsidRDefault="00C36B91" w:rsidP="002F184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Journal of Nutritional Science</w:t>
      </w:r>
    </w:p>
    <w:p w14:paraId="1EFEEE2D" w14:textId="77777777" w:rsidR="002F1846" w:rsidRPr="00495A6A" w:rsidRDefault="002F1846" w:rsidP="002F1846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495A6A">
        <w:rPr>
          <w:rFonts w:ascii="Times New Roman" w:hAnsi="Times New Roman" w:cs="Times New Roman"/>
          <w:sz w:val="24"/>
          <w:szCs w:val="24"/>
          <w:lang w:val="en-US"/>
        </w:rPr>
        <w:t xml:space="preserve">Sarah </w:t>
      </w:r>
      <w:proofErr w:type="spellStart"/>
      <w:r w:rsidRPr="00495A6A">
        <w:rPr>
          <w:rFonts w:ascii="Times New Roman" w:hAnsi="Times New Roman" w:cs="Times New Roman"/>
          <w:sz w:val="24"/>
          <w:szCs w:val="24"/>
          <w:lang w:val="en-US"/>
        </w:rPr>
        <w:t>Roßbach</w:t>
      </w:r>
      <w:proofErr w:type="spellEnd"/>
      <w:r w:rsidRPr="00495A6A">
        <w:rPr>
          <w:rFonts w:ascii="Times New Roman" w:hAnsi="Times New Roman" w:cs="Times New Roman"/>
          <w:sz w:val="24"/>
          <w:szCs w:val="24"/>
          <w:lang w:val="en-US"/>
        </w:rPr>
        <w:t xml:space="preserve">, Tanja </w:t>
      </w:r>
      <w:proofErr w:type="spellStart"/>
      <w:r w:rsidRPr="00495A6A">
        <w:rPr>
          <w:rFonts w:ascii="Times New Roman" w:hAnsi="Times New Roman" w:cs="Times New Roman"/>
          <w:sz w:val="24"/>
          <w:szCs w:val="24"/>
          <w:lang w:val="en-US"/>
        </w:rPr>
        <w:t>Diederichs</w:t>
      </w:r>
      <w:proofErr w:type="spellEnd"/>
      <w:r w:rsidRPr="00495A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36B91">
        <w:rPr>
          <w:rFonts w:ascii="Times New Roman" w:hAnsi="Times New Roman" w:cs="Times New Roman"/>
          <w:sz w:val="24"/>
          <w:szCs w:val="24"/>
          <w:lang w:val="en-US"/>
        </w:rPr>
        <w:t>Christian Herder</w:t>
      </w:r>
      <w:r w:rsidRPr="00495A6A">
        <w:rPr>
          <w:rFonts w:ascii="Times New Roman" w:hAnsi="Times New Roman" w:cs="Times New Roman"/>
          <w:sz w:val="24"/>
          <w:szCs w:val="24"/>
          <w:lang w:val="en-US"/>
        </w:rPr>
        <w:t xml:space="preserve">, Anette E. </w:t>
      </w:r>
      <w:proofErr w:type="spellStart"/>
      <w:r w:rsidRPr="00495A6A">
        <w:rPr>
          <w:rFonts w:ascii="Times New Roman" w:hAnsi="Times New Roman" w:cs="Times New Roman"/>
          <w:sz w:val="24"/>
          <w:szCs w:val="24"/>
          <w:lang w:val="en-US"/>
        </w:rPr>
        <w:t>Buyken</w:t>
      </w:r>
      <w:proofErr w:type="spellEnd"/>
      <w:r w:rsidRPr="00495A6A">
        <w:rPr>
          <w:rFonts w:ascii="Times New Roman" w:hAnsi="Times New Roman" w:cs="Times New Roman"/>
          <w:sz w:val="24"/>
          <w:szCs w:val="24"/>
          <w:lang w:val="en-US"/>
        </w:rPr>
        <w:t xml:space="preserve">, Ute </w:t>
      </w:r>
      <w:proofErr w:type="spellStart"/>
      <w:r w:rsidRPr="00495A6A">
        <w:rPr>
          <w:rFonts w:ascii="Times New Roman" w:hAnsi="Times New Roman" w:cs="Times New Roman"/>
          <w:sz w:val="24"/>
          <w:szCs w:val="24"/>
          <w:lang w:val="en-US"/>
        </w:rPr>
        <w:t>Alexy</w:t>
      </w:r>
      <w:proofErr w:type="spellEnd"/>
      <w:r w:rsidRPr="00495A6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</w:p>
    <w:p w14:paraId="3503ECB2" w14:textId="77777777" w:rsidR="002F1846" w:rsidRPr="005B69B5" w:rsidRDefault="002F1846" w:rsidP="002F18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69B5">
        <w:rPr>
          <w:rFonts w:ascii="Times New Roman" w:hAnsi="Times New Roman" w:cs="Times New Roman"/>
          <w:sz w:val="24"/>
          <w:szCs w:val="24"/>
          <w:lang w:val="en-US"/>
        </w:rPr>
        <w:t>*Corresponding author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B69B5">
        <w:rPr>
          <w:rFonts w:ascii="Times New Roman" w:hAnsi="Times New Roman" w:cs="Times New Roman"/>
          <w:sz w:val="24"/>
          <w:szCs w:val="24"/>
          <w:lang w:val="en-US"/>
        </w:rPr>
        <w:t xml:space="preserve"> IEL-Nutritional Epidemiology, DONALD Study, University of Bonn,</w:t>
      </w:r>
      <w:r w:rsidRPr="008626F8">
        <w:rPr>
          <w:rFonts w:cs="Times New Roman"/>
          <w:szCs w:val="24"/>
          <w:lang w:val="en-US"/>
        </w:rPr>
        <w:t xml:space="preserve"> </w:t>
      </w:r>
      <w:proofErr w:type="spellStart"/>
      <w:r w:rsidRPr="005B69B5">
        <w:rPr>
          <w:rFonts w:ascii="Times New Roman" w:hAnsi="Times New Roman" w:cs="Times New Roman"/>
          <w:sz w:val="24"/>
          <w:szCs w:val="24"/>
          <w:lang w:val="en-US"/>
        </w:rPr>
        <w:t>Heinstueck</w:t>
      </w:r>
      <w:proofErr w:type="spellEnd"/>
      <w:r w:rsidRPr="005B69B5">
        <w:rPr>
          <w:rFonts w:ascii="Times New Roman" w:hAnsi="Times New Roman" w:cs="Times New Roman"/>
          <w:sz w:val="24"/>
          <w:szCs w:val="24"/>
          <w:lang w:val="en-US"/>
        </w:rPr>
        <w:t xml:space="preserve"> 11, 44225 Dortmund, Germany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E-mail address: </w:t>
      </w:r>
      <w:r w:rsidRPr="005B69B5">
        <w:rPr>
          <w:rFonts w:ascii="Times New Roman" w:hAnsi="Times New Roman" w:cs="Times New Roman"/>
          <w:sz w:val="24"/>
          <w:szCs w:val="24"/>
          <w:lang w:val="en-US"/>
        </w:rPr>
        <w:t>alexy@uni-bonn.de</w:t>
      </w:r>
    </w:p>
    <w:p w14:paraId="729C32EA" w14:textId="77777777" w:rsidR="002F1846" w:rsidRPr="005B69B5" w:rsidRDefault="002F1846" w:rsidP="002F184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14:paraId="6D5A3B6F" w14:textId="77777777" w:rsidR="002F1846" w:rsidRPr="00813E47" w:rsidRDefault="002F1846" w:rsidP="002F1846">
      <w:pPr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</w:pPr>
    </w:p>
    <w:p w14:paraId="39A6F80D" w14:textId="77777777" w:rsidR="002F1846" w:rsidRPr="002F1846" w:rsidRDefault="002F1846">
      <w:pPr>
        <w:rPr>
          <w:rFonts w:ascii="Times New Roman" w:hAnsi="Times New Roman" w:cs="Times New Roman"/>
          <w:sz w:val="24"/>
          <w:szCs w:val="24"/>
          <w:lang w:val="en-US"/>
        </w:rPr>
        <w:sectPr w:rsidR="002F1846" w:rsidRPr="002F18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586E5C2" w14:textId="39B6A66A" w:rsidR="002F1846" w:rsidRPr="00BD0A19" w:rsidRDefault="00BD0A19" w:rsidP="002F1846">
      <w:pPr>
        <w:keepNext/>
        <w:spacing w:line="24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 xml:space="preserve">Supplementary </w:t>
      </w:r>
      <w:r w:rsidR="002F1846" w:rsidRPr="002F1846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S</w:t>
      </w:r>
      <w:r w:rsidR="002F1846" w:rsidRPr="002F1846">
        <w:rPr>
          <w:rFonts w:ascii="Times New Roman" w:hAnsi="Times New Roman" w:cs="Times New Roman"/>
          <w:b/>
          <w:bCs/>
          <w:sz w:val="18"/>
          <w:szCs w:val="18"/>
        </w:rPr>
        <w:fldChar w:fldCharType="begin"/>
      </w:r>
      <w:r w:rsidR="002F1846" w:rsidRPr="002F1846">
        <w:rPr>
          <w:rFonts w:ascii="Times New Roman" w:hAnsi="Times New Roman" w:cs="Times New Roman"/>
          <w:b/>
          <w:bCs/>
          <w:sz w:val="18"/>
          <w:szCs w:val="18"/>
          <w:lang w:val="en-US"/>
        </w:rPr>
        <w:instrText xml:space="preserve"> SEQ Table \* ARABIC </w:instrText>
      </w:r>
      <w:r w:rsidR="002F1846" w:rsidRPr="002F1846"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="002F1846" w:rsidRPr="002F1846">
        <w:rPr>
          <w:rFonts w:ascii="Times New Roman" w:hAnsi="Times New Roman" w:cs="Times New Roman"/>
          <w:b/>
          <w:bCs/>
          <w:noProof/>
          <w:sz w:val="18"/>
          <w:szCs w:val="18"/>
          <w:lang w:val="en-US"/>
        </w:rPr>
        <w:t>1</w:t>
      </w:r>
      <w:r w:rsidR="002F1846" w:rsidRPr="002F1846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.</w:t>
      </w:r>
      <w:r w:rsidR="002F1846" w:rsidRPr="00BD0A19">
        <w:rPr>
          <w:rFonts w:ascii="TimesNewRomanPSMT" w:hAnsi="TimesNewRomanPSMT"/>
          <w:bCs/>
          <w:sz w:val="18"/>
          <w:szCs w:val="18"/>
          <w:lang w:val="en-US"/>
        </w:rPr>
        <w:t xml:space="preserve"> Time and age trends in mornin</w:t>
      </w:r>
      <w:bookmarkStart w:id="0" w:name="_GoBack"/>
      <w:bookmarkEnd w:id="0"/>
      <w:r w:rsidR="002F1846" w:rsidRPr="00BD0A19">
        <w:rPr>
          <w:rFonts w:ascii="TimesNewRomanPSMT" w:hAnsi="TimesNewRomanPSMT"/>
          <w:bCs/>
          <w:sz w:val="18"/>
          <w:szCs w:val="18"/>
          <w:lang w:val="en-US"/>
        </w:rPr>
        <w:t xml:space="preserve">g and evening protein intake, ‘dairy’ protein, ‘starchy foods’ protein and ‘meat, fish &amp; eggs’ protein predicted from 7,703 dietary records of 523 male and 490 female DONALD study participants (3-18 years) between 1985 and 2014 with additional adjustment for the number of smoking adults in the </w:t>
      </w:r>
      <w:proofErr w:type="spellStart"/>
      <w:r w:rsidR="002F1846" w:rsidRPr="00BD0A19">
        <w:rPr>
          <w:rFonts w:ascii="TimesNewRomanPSMT" w:hAnsi="TimesNewRomanPSMT"/>
          <w:bCs/>
          <w:sz w:val="18"/>
          <w:szCs w:val="18"/>
          <w:lang w:val="en-US"/>
        </w:rPr>
        <w:t>household</w:t>
      </w:r>
      <w:r w:rsidR="002F1846" w:rsidRPr="00BD0A19">
        <w:rPr>
          <w:rFonts w:ascii="TimesNewRomanPSMT" w:hAnsi="TimesNewRomanPSMT"/>
          <w:bCs/>
          <w:sz w:val="18"/>
          <w:szCs w:val="18"/>
          <w:vertAlign w:val="superscript"/>
          <w:lang w:val="en-US"/>
        </w:rPr>
        <w:t>a</w:t>
      </w:r>
      <w:proofErr w:type="spellEnd"/>
    </w:p>
    <w:tbl>
      <w:tblPr>
        <w:tblStyle w:val="TableGrid"/>
        <w:tblW w:w="12029" w:type="dxa"/>
        <w:tblLook w:val="04A0" w:firstRow="1" w:lastRow="0" w:firstColumn="1" w:lastColumn="0" w:noHBand="0" w:noVBand="1"/>
      </w:tblPr>
      <w:tblGrid>
        <w:gridCol w:w="2478"/>
        <w:gridCol w:w="838"/>
        <w:gridCol w:w="761"/>
        <w:gridCol w:w="836"/>
        <w:gridCol w:w="761"/>
        <w:gridCol w:w="836"/>
        <w:gridCol w:w="761"/>
        <w:gridCol w:w="839"/>
        <w:gridCol w:w="747"/>
        <w:gridCol w:w="839"/>
        <w:gridCol w:w="747"/>
        <w:gridCol w:w="839"/>
        <w:gridCol w:w="747"/>
      </w:tblGrid>
      <w:tr w:rsidR="002F1846" w:rsidRPr="002F1846" w14:paraId="4FD05CEE" w14:textId="77777777" w:rsidTr="003C65ED">
        <w:tc>
          <w:tcPr>
            <w:tcW w:w="247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32937EB" w14:textId="77777777" w:rsidR="002F1846" w:rsidRPr="002F1846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3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14:paraId="4F52F030" w14:textId="77777777" w:rsidR="002F1846" w:rsidRPr="002F1846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2F184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Time trend per study year</w:t>
            </w:r>
          </w:p>
          <w:p w14:paraId="3BD535A8" w14:textId="77777777" w:rsidR="002F1846" w:rsidRPr="002F1846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(1985-2014)</w:t>
            </w:r>
          </w:p>
        </w:tc>
        <w:tc>
          <w:tcPr>
            <w:tcW w:w="4758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14:paraId="7D784E29" w14:textId="77777777" w:rsidR="002F1846" w:rsidRPr="002F1846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2F184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 xml:space="preserve">Age trend per year of age </w:t>
            </w:r>
          </w:p>
          <w:p w14:paraId="0B5B7CD3" w14:textId="77777777" w:rsidR="002F1846" w:rsidRPr="002F1846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(3-18 years)</w:t>
            </w:r>
          </w:p>
        </w:tc>
      </w:tr>
      <w:tr w:rsidR="002F1846" w:rsidRPr="002F1846" w14:paraId="222C726A" w14:textId="77777777" w:rsidTr="003C65ED">
        <w:tc>
          <w:tcPr>
            <w:tcW w:w="2478" w:type="dxa"/>
            <w:vMerge/>
            <w:tcBorders>
              <w:left w:val="nil"/>
              <w:right w:val="nil"/>
            </w:tcBorders>
            <w:vAlign w:val="center"/>
          </w:tcPr>
          <w:p w14:paraId="0789EBBC" w14:textId="77777777" w:rsidR="002F1846" w:rsidRPr="002F1846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1253388" w14:textId="77777777" w:rsidR="002F1846" w:rsidRPr="002F1846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</w:t>
            </w:r>
          </w:p>
        </w:tc>
        <w:tc>
          <w:tcPr>
            <w:tcW w:w="159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B36D701" w14:textId="77777777" w:rsidR="002F1846" w:rsidRPr="002F1846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</w:t>
            </w:r>
            <w:r w:rsidR="0097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*Time</w:t>
            </w:r>
          </w:p>
        </w:tc>
        <w:tc>
          <w:tcPr>
            <w:tcW w:w="159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1E2F8BD" w14:textId="77777777" w:rsidR="002F1846" w:rsidRPr="009729A2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</w:t>
            </w:r>
            <w:r w:rsidR="0097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*Time*Time</w:t>
            </w:r>
          </w:p>
        </w:tc>
        <w:tc>
          <w:tcPr>
            <w:tcW w:w="15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B6D270E" w14:textId="77777777" w:rsidR="002F1846" w:rsidRPr="002F1846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</w:t>
            </w:r>
          </w:p>
        </w:tc>
        <w:tc>
          <w:tcPr>
            <w:tcW w:w="15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58006FF" w14:textId="77777777" w:rsidR="002F1846" w:rsidRPr="009729A2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</w:t>
            </w:r>
            <w:r w:rsidR="0097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*Age</w:t>
            </w:r>
          </w:p>
        </w:tc>
        <w:tc>
          <w:tcPr>
            <w:tcW w:w="15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B994658" w14:textId="77777777" w:rsidR="002F1846" w:rsidRPr="009729A2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</w:t>
            </w:r>
            <w:r w:rsidR="0097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*Age*Age</w:t>
            </w:r>
          </w:p>
        </w:tc>
      </w:tr>
      <w:tr w:rsidR="002F1846" w:rsidRPr="002F1846" w14:paraId="23832486" w14:textId="77777777" w:rsidTr="00986085">
        <w:tc>
          <w:tcPr>
            <w:tcW w:w="24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2E1B2F" w14:textId="77777777" w:rsidR="002F1846" w:rsidRPr="002F1846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D5A945" w14:textId="77777777" w:rsidR="002F1846" w:rsidRPr="002F1846" w:rsidRDefault="002F1846" w:rsidP="009729A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CBBC0B" w14:textId="77777777" w:rsidR="002F1846" w:rsidRPr="002F1846" w:rsidRDefault="009729A2" w:rsidP="009729A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9D520" w14:textId="77777777" w:rsidR="002F1846" w:rsidRPr="002F1846" w:rsidRDefault="002F1846" w:rsidP="0008106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721261" w14:textId="77777777" w:rsidR="002F1846" w:rsidRPr="002F1846" w:rsidRDefault="00081066" w:rsidP="0008106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7E057" w14:textId="77777777" w:rsidR="002F1846" w:rsidRPr="002F1846" w:rsidRDefault="002F1846" w:rsidP="0008106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63FEC" w14:textId="77777777" w:rsidR="002F1846" w:rsidRPr="002F1846" w:rsidRDefault="00081066" w:rsidP="0008106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EF242A" w14:textId="77777777" w:rsidR="002F1846" w:rsidRPr="002F1846" w:rsidRDefault="002F1846" w:rsidP="00673A7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B3A85" w14:textId="77777777" w:rsidR="002F1846" w:rsidRPr="002F1846" w:rsidRDefault="00986085" w:rsidP="009860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0E34C" w14:textId="77777777" w:rsidR="002F1846" w:rsidRPr="002F1846" w:rsidRDefault="002F1846" w:rsidP="009860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CB26D" w14:textId="77777777" w:rsidR="002F1846" w:rsidRPr="002F1846" w:rsidRDefault="00986085" w:rsidP="009860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85D4F0" w14:textId="77777777" w:rsidR="002F1846" w:rsidRPr="002F1846" w:rsidRDefault="002F1846" w:rsidP="009860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6F71F" w14:textId="77777777" w:rsidR="002F1846" w:rsidRPr="002F1846" w:rsidRDefault="00986085" w:rsidP="009860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</w:t>
            </w:r>
          </w:p>
        </w:tc>
      </w:tr>
      <w:tr w:rsidR="002F1846" w:rsidRPr="002F1846" w14:paraId="44274A45" w14:textId="77777777" w:rsidTr="003C65ED">
        <w:trPr>
          <w:trHeight w:val="180"/>
        </w:trPr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1CEE5C" w14:textId="77777777" w:rsidR="002F1846" w:rsidRPr="002F1846" w:rsidRDefault="002F1846" w:rsidP="002F184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Morning intake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13CC6" w14:textId="77777777" w:rsidR="002F1846" w:rsidRPr="002F1846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B573C9" w14:textId="77777777" w:rsidR="002F1846" w:rsidRPr="002F1846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27C986" w14:textId="77777777" w:rsidR="002F1846" w:rsidRPr="002F1846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6AFBE9" w14:textId="77777777" w:rsidR="002F1846" w:rsidRPr="002F1846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4EF881" w14:textId="77777777" w:rsidR="002F1846" w:rsidRPr="002F1846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0450F" w14:textId="77777777" w:rsidR="002F1846" w:rsidRPr="002F1846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5FBE9" w14:textId="77777777" w:rsidR="002F1846" w:rsidRPr="002F1846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1DDA9B" w14:textId="77777777" w:rsidR="002F1846" w:rsidRPr="002F1846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5858A8" w14:textId="77777777" w:rsidR="002F1846" w:rsidRPr="002F1846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DF1B0" w14:textId="77777777" w:rsidR="002F1846" w:rsidRPr="002F1846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3D9972" w14:textId="77777777" w:rsidR="002F1846" w:rsidRPr="002F1846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348035" w14:textId="77777777" w:rsidR="002F1846" w:rsidRPr="002F1846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F1846" w:rsidRPr="002F1846" w14:paraId="60BE2CD1" w14:textId="77777777" w:rsidTr="003C65ED">
        <w:trPr>
          <w:trHeight w:val="195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90AD0" w14:textId="77777777" w:rsidR="002F1846" w:rsidRPr="003C65ED" w:rsidRDefault="002F1846" w:rsidP="002F184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</w:rPr>
              <w:t>Protein intake (%E)</w:t>
            </w:r>
            <w:r w:rsidR="003C65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65E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 c</w:t>
            </w:r>
          </w:p>
          <w:p w14:paraId="1D00ADEC" w14:textId="77777777" w:rsidR="002F1846" w:rsidRPr="003C65ED" w:rsidRDefault="002F1846" w:rsidP="002F1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00D7" w14:textId="77777777" w:rsidR="002F1846" w:rsidRPr="00EC120A" w:rsidRDefault="002F1846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0.0255</w:t>
            </w:r>
            <w:r w:rsidR="009729A2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6043B" w14:textId="77777777" w:rsidR="002F1846" w:rsidRPr="00EC120A" w:rsidRDefault="009729A2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D3A40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09BF8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C3017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C8A2" w14:textId="77777777" w:rsidR="002F1846" w:rsidRPr="00EC120A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C65F" w14:textId="77777777" w:rsidR="002F1846" w:rsidRPr="00EC120A" w:rsidRDefault="002F184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-0.2388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4E3FC" w14:textId="77777777" w:rsidR="002F1846" w:rsidRPr="00EC120A" w:rsidRDefault="0008106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AFA3C" w14:textId="77777777" w:rsidR="002F1846" w:rsidRPr="00EC120A" w:rsidRDefault="002F184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0.0102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B8C6" w14:textId="77777777" w:rsidR="002F1846" w:rsidRPr="00EC120A" w:rsidRDefault="0008106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49C2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1A2C4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F1846" w:rsidRPr="002F1846" w14:paraId="3841BE7B" w14:textId="77777777" w:rsidTr="003C65ED">
        <w:trPr>
          <w:trHeight w:val="195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A322D" w14:textId="77777777" w:rsidR="002F1846" w:rsidRPr="002F1846" w:rsidRDefault="002F1846" w:rsidP="002F184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‘Dairy’ protein (%) </w:t>
            </w:r>
            <w:r w:rsidR="003C65E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d, e</w:t>
            </w:r>
          </w:p>
          <w:p w14:paraId="39F3E9E6" w14:textId="77777777" w:rsidR="002F1846" w:rsidRPr="002F1846" w:rsidRDefault="002F1846" w:rsidP="002F18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F8A4" w14:textId="77777777" w:rsidR="002F1846" w:rsidRPr="00EC120A" w:rsidRDefault="0008476A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0.5912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F8E7B" w14:textId="77777777" w:rsidR="002F1846" w:rsidRPr="00EC120A" w:rsidRDefault="0008476A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0.3678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FBE4" w14:textId="77777777" w:rsidR="002F1846" w:rsidRPr="00EC120A" w:rsidRDefault="0008476A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-0.0583</w:t>
            </w:r>
            <w:r w:rsidR="009729A2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59BC" w14:textId="77777777" w:rsidR="002F1846" w:rsidRPr="00EC120A" w:rsidRDefault="009729A2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C372C" w14:textId="77777777" w:rsidR="002F1846" w:rsidRPr="00EC120A" w:rsidRDefault="002F184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5D77" w14:textId="77777777" w:rsidR="002F1846" w:rsidRPr="00EC120A" w:rsidRDefault="0008106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66D5" w14:textId="77777777" w:rsidR="002F1846" w:rsidRPr="00EC120A" w:rsidRDefault="0008476A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-0.1833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0F9F5" w14:textId="77777777" w:rsidR="002F1846" w:rsidRPr="00EC120A" w:rsidRDefault="0008476A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0.7791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FA28" w14:textId="77777777" w:rsidR="002F1846" w:rsidRPr="00EC120A" w:rsidRDefault="0008476A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-0.1263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69551" w14:textId="77777777" w:rsidR="002F1846" w:rsidRPr="00EC120A" w:rsidRDefault="0008476A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B1487" w14:textId="77777777" w:rsidR="002F1846" w:rsidRPr="00EC120A" w:rsidRDefault="0008476A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0.0059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392F" w14:textId="77777777" w:rsidR="002F1846" w:rsidRPr="00EC120A" w:rsidRDefault="0008476A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0.0027</w:t>
            </w:r>
          </w:p>
        </w:tc>
      </w:tr>
      <w:tr w:rsidR="002F1846" w:rsidRPr="002F1846" w14:paraId="57469DAF" w14:textId="77777777" w:rsidTr="003C65ED">
        <w:trPr>
          <w:trHeight w:val="21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538A5" w14:textId="77777777" w:rsidR="002F1846" w:rsidRPr="002F1846" w:rsidRDefault="002F1846" w:rsidP="002F184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‘Starchy foods’ protein (%) </w:t>
            </w:r>
            <w:r w:rsidR="003C65E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d, f</w:t>
            </w:r>
          </w:p>
          <w:p w14:paraId="0DCAE21E" w14:textId="77777777" w:rsidR="002F1846" w:rsidRPr="002F1846" w:rsidRDefault="002F1846" w:rsidP="002F18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5A03" w14:textId="77777777" w:rsidR="002F1846" w:rsidRPr="00EC120A" w:rsidRDefault="002F1846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0.3344</w:t>
            </w:r>
            <w:r w:rsidR="009729A2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6F903" w14:textId="77777777" w:rsidR="002F1846" w:rsidRPr="00EC120A" w:rsidRDefault="009729A2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BAC5A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FBE61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7663B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9BADA" w14:textId="77777777" w:rsidR="002F1846" w:rsidRPr="00EC120A" w:rsidRDefault="002F1846" w:rsidP="002F184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219BC" w14:textId="77777777" w:rsidR="002F1846" w:rsidRPr="00EC120A" w:rsidRDefault="002F184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1.8671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0149" w14:textId="77777777" w:rsidR="002F1846" w:rsidRPr="00EC120A" w:rsidRDefault="0008106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82C01" w14:textId="77777777" w:rsidR="002F1846" w:rsidRPr="00EC120A" w:rsidRDefault="002F184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-0.0612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CFE13" w14:textId="77777777" w:rsidR="002F1846" w:rsidRPr="00EC120A" w:rsidRDefault="0008106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C0555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4CF7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F1846" w:rsidRPr="002F1846" w14:paraId="72579F10" w14:textId="77777777" w:rsidTr="003C65ED">
        <w:trPr>
          <w:trHeight w:val="270"/>
        </w:trPr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1C2960" w14:textId="77777777" w:rsidR="002F1846" w:rsidRPr="002F1846" w:rsidRDefault="002F1846" w:rsidP="002F184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‘Meat, fish &amp; eggs’ protein (%) </w:t>
            </w:r>
            <w:r w:rsidR="003C65E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d, g</w:t>
            </w:r>
          </w:p>
          <w:p w14:paraId="126C29CF" w14:textId="77777777" w:rsidR="002F1846" w:rsidRPr="002F1846" w:rsidRDefault="002F1846" w:rsidP="002F18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8CAD2F" w14:textId="77777777" w:rsidR="002F1846" w:rsidRPr="00EC120A" w:rsidRDefault="00484C9F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-0.7160</w:t>
            </w:r>
            <w:r w:rsidR="009729A2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CCCBF" w14:textId="77777777" w:rsidR="002F1846" w:rsidRPr="00EC120A" w:rsidRDefault="009729A2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0.2235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A7B212" w14:textId="77777777" w:rsidR="002F1846" w:rsidRPr="00EC120A" w:rsidRDefault="00484C9F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0.0431</w:t>
            </w:r>
            <w:r w:rsidR="009729A2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6751F4" w14:textId="77777777" w:rsidR="002F1846" w:rsidRPr="00EC120A" w:rsidRDefault="00484C9F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BFC965" w14:textId="77777777" w:rsidR="002F1846" w:rsidRPr="00EC120A" w:rsidRDefault="002F184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-0.0008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9DF3AC" w14:textId="77777777" w:rsidR="002F1846" w:rsidRPr="00EC120A" w:rsidRDefault="0008106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99C800" w14:textId="77777777" w:rsidR="002F1846" w:rsidRPr="00EC120A" w:rsidRDefault="00484C9F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-1.6399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AA2E1" w14:textId="77777777" w:rsidR="002F1846" w:rsidRPr="00EC120A" w:rsidRDefault="00484C9F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0.4879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78DC0" w14:textId="77777777" w:rsidR="002F1846" w:rsidRPr="00EC120A" w:rsidRDefault="00484C9F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0.1700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5A38A" w14:textId="77777777" w:rsidR="002F1846" w:rsidRPr="00EC120A" w:rsidRDefault="00484C9F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FC616" w14:textId="77777777" w:rsidR="002F1846" w:rsidRPr="00EC120A" w:rsidRDefault="002F184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-0.0049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F3BD8" w14:textId="77777777" w:rsidR="002F1846" w:rsidRPr="00EC120A" w:rsidRDefault="0008106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0.0017</w:t>
            </w:r>
          </w:p>
        </w:tc>
      </w:tr>
      <w:tr w:rsidR="002F1846" w:rsidRPr="002F1846" w14:paraId="490FFAE6" w14:textId="77777777" w:rsidTr="003C65ED">
        <w:trPr>
          <w:trHeight w:val="210"/>
        </w:trPr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E2199" w14:textId="77777777" w:rsidR="002F1846" w:rsidRPr="002F1846" w:rsidRDefault="002F1846" w:rsidP="002F184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F184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Evening intake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DBBCED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BC1D7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8249A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211D6F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72FDF9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5FA58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1E75A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7511F4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3EA890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D57DDE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4A9AAB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1C770C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F1846" w:rsidRPr="002F1846" w14:paraId="47E5615E" w14:textId="77777777" w:rsidTr="003C65ED">
        <w:trPr>
          <w:trHeight w:val="171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26FF" w14:textId="77777777" w:rsidR="002F1846" w:rsidRPr="003C65ED" w:rsidRDefault="002F1846" w:rsidP="002F184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Protein intake (%E)</w:t>
            </w:r>
            <w:r w:rsidR="003C65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C65E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9A528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1C2EC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FDE4F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38DE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27104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69487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CABFF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F553D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5EBE3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73E80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5A8F0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E35E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F1846" w:rsidRPr="002F1846" w14:paraId="466DB9E6" w14:textId="77777777" w:rsidTr="003C65ED">
        <w:trPr>
          <w:trHeight w:val="21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3348" w14:textId="77777777" w:rsidR="002F1846" w:rsidRPr="002F1846" w:rsidRDefault="002F1846" w:rsidP="002F1846">
            <w:pPr>
              <w:ind w:left="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Boys</w:t>
            </w:r>
            <w:r w:rsidR="003C65E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h</w:t>
            </w:r>
          </w:p>
          <w:p w14:paraId="1F1D2CB9" w14:textId="77777777" w:rsidR="002F1846" w:rsidRPr="002F1846" w:rsidRDefault="002F1846" w:rsidP="002F1846">
            <w:pPr>
              <w:ind w:left="2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96756" w14:textId="77777777" w:rsidR="002F1846" w:rsidRPr="00EC120A" w:rsidRDefault="002F1846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-0.0148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E1593" w14:textId="77777777" w:rsidR="002F1846" w:rsidRPr="00EC120A" w:rsidRDefault="009729A2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E7F3E" w14:textId="77777777" w:rsidR="002F1846" w:rsidRPr="00EC120A" w:rsidRDefault="002F1846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45B5F" w14:textId="77777777" w:rsidR="002F1846" w:rsidRPr="00EC120A" w:rsidRDefault="009729A2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20A14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6E72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EC256" w14:textId="77777777" w:rsidR="002F1846" w:rsidRPr="00EC120A" w:rsidRDefault="002F184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-0.0396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23C8E" w14:textId="77777777" w:rsidR="002F1846" w:rsidRPr="00EC120A" w:rsidRDefault="0008106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9DFDD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DF7AE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3923E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E5207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F1846" w:rsidRPr="002F1846" w14:paraId="7EE5CED0" w14:textId="77777777" w:rsidTr="003C65ED">
        <w:trPr>
          <w:trHeight w:val="21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80D9" w14:textId="77777777" w:rsidR="002F1846" w:rsidRPr="003C65ED" w:rsidRDefault="002F1846" w:rsidP="002F1846">
            <w:pPr>
              <w:ind w:left="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Girls</w:t>
            </w:r>
            <w:r w:rsidR="003C65E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="003C65E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i</w:t>
            </w:r>
            <w:proofErr w:type="spellEnd"/>
          </w:p>
          <w:p w14:paraId="5538EBEF" w14:textId="77777777" w:rsidR="002F1846" w:rsidRPr="002F1846" w:rsidRDefault="002F1846" w:rsidP="002F1846">
            <w:pPr>
              <w:ind w:left="2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00745" w14:textId="77777777" w:rsidR="002F1846" w:rsidRPr="00EC120A" w:rsidRDefault="002F1846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0.0534</w:t>
            </w:r>
            <w:r w:rsidR="009729A2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39491" w14:textId="77777777" w:rsidR="002F1846" w:rsidRPr="00EC120A" w:rsidRDefault="009729A2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768D9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E3581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78C8D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CC45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4651C" w14:textId="77777777" w:rsidR="002F1846" w:rsidRPr="00EC120A" w:rsidRDefault="002F184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-0.1130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7A855" w14:textId="77777777" w:rsidR="002F1846" w:rsidRPr="00EC120A" w:rsidRDefault="0008106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9176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60167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0CCB2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9ACC5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F1846" w:rsidRPr="002F1846" w14:paraId="71C03135" w14:textId="77777777" w:rsidTr="003C65ED">
        <w:trPr>
          <w:trHeight w:val="21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C0C2E" w14:textId="77777777" w:rsidR="002F1846" w:rsidRPr="002F1846" w:rsidRDefault="002F1846" w:rsidP="002F184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‘Dairy’ protein (%) </w:t>
            </w:r>
            <w:r w:rsidR="003C65E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d, j</w:t>
            </w:r>
          </w:p>
          <w:p w14:paraId="07AC1C0D" w14:textId="77777777" w:rsidR="002F1846" w:rsidRPr="002F1846" w:rsidRDefault="002F1846" w:rsidP="002F18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E24E" w14:textId="77777777" w:rsidR="002F1846" w:rsidRPr="00EC120A" w:rsidRDefault="0044681D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0.9340</w:t>
            </w:r>
            <w:r w:rsidR="009729A2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2C466" w14:textId="77777777" w:rsidR="002F1846" w:rsidRPr="00EC120A" w:rsidRDefault="00484C9F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0.3425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52C7C" w14:textId="77777777" w:rsidR="002F1846" w:rsidRPr="00EC120A" w:rsidRDefault="0044681D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-0.0649</w:t>
            </w:r>
            <w:r w:rsidR="009729A2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6A0F" w14:textId="77777777" w:rsidR="002F1846" w:rsidRPr="00EC120A" w:rsidRDefault="00484C9F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9B98F" w14:textId="77777777" w:rsidR="002F1846" w:rsidRPr="00EC120A" w:rsidRDefault="002F1846" w:rsidP="00484C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08363" w14:textId="77777777" w:rsidR="002F1846" w:rsidRPr="00EC120A" w:rsidRDefault="0008106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D17AC" w14:textId="77777777" w:rsidR="002F1846" w:rsidRPr="00EC120A" w:rsidRDefault="0044681D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-5.6292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20FDA" w14:textId="77777777" w:rsidR="002F1846" w:rsidRPr="00EC120A" w:rsidRDefault="00484C9F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0.7697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70D63" w14:textId="77777777" w:rsidR="002F1846" w:rsidRPr="00EC120A" w:rsidRDefault="0044681D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0.5146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97E15" w14:textId="77777777" w:rsidR="002F1846" w:rsidRPr="00EC120A" w:rsidRDefault="0008106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6D3C7" w14:textId="77777777" w:rsidR="002F1846" w:rsidRPr="00EC120A" w:rsidRDefault="002F184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-0.0151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6591" w14:textId="77777777" w:rsidR="0044681D" w:rsidRPr="00EC120A" w:rsidRDefault="00081066" w:rsidP="004468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0.0026</w:t>
            </w:r>
          </w:p>
        </w:tc>
      </w:tr>
      <w:tr w:rsidR="002F1846" w:rsidRPr="002F1846" w14:paraId="375F29B6" w14:textId="77777777" w:rsidTr="003C65ED">
        <w:trPr>
          <w:trHeight w:val="15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ADAB" w14:textId="77777777" w:rsidR="002F1846" w:rsidRPr="002F1846" w:rsidRDefault="002F1846" w:rsidP="002F184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‘Starchy foods’ protein (%) </w:t>
            </w:r>
            <w:r w:rsidR="003C65E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d, k</w:t>
            </w:r>
          </w:p>
          <w:p w14:paraId="4E0F7D38" w14:textId="77777777" w:rsidR="002F1846" w:rsidRPr="002F1846" w:rsidRDefault="002F1846" w:rsidP="002F18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3B02D" w14:textId="77777777" w:rsidR="002F1846" w:rsidRPr="00EC120A" w:rsidRDefault="002F1846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0.1459</w:t>
            </w:r>
            <w:r w:rsidR="009729A2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A783B" w14:textId="77777777" w:rsidR="002F1846" w:rsidRPr="00EC120A" w:rsidRDefault="009729A2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326A7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ECFDB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8A959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59C4A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99E5F" w14:textId="77777777" w:rsidR="002F1846" w:rsidRPr="00EC120A" w:rsidRDefault="002F184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3.3121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D740A" w14:textId="77777777" w:rsidR="002F1846" w:rsidRPr="00EC120A" w:rsidRDefault="0008106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0.5599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48BA" w14:textId="77777777" w:rsidR="002F1846" w:rsidRPr="00EC120A" w:rsidRDefault="002F184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-0.3109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B7AE" w14:textId="77777777" w:rsidR="002F1846" w:rsidRPr="00EC120A" w:rsidRDefault="0008106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E32D9" w14:textId="77777777" w:rsidR="002F1846" w:rsidRPr="00EC120A" w:rsidRDefault="002F184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0.0081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1A838" w14:textId="77777777" w:rsidR="002F1846" w:rsidRPr="00EC120A" w:rsidRDefault="0008106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0.0019</w:t>
            </w:r>
          </w:p>
        </w:tc>
      </w:tr>
      <w:tr w:rsidR="002F1846" w:rsidRPr="002F1846" w14:paraId="1F0163B3" w14:textId="77777777" w:rsidTr="003C65ED">
        <w:trPr>
          <w:trHeight w:val="315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FFBE4" w14:textId="77777777" w:rsidR="002F1846" w:rsidRPr="002F1846" w:rsidRDefault="002F1846" w:rsidP="002F184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‘Meat, fish &amp; eggs’ protein (%) </w:t>
            </w:r>
            <w:r w:rsidR="003C65E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d</w:t>
            </w:r>
          </w:p>
          <w:p w14:paraId="3DFF2C53" w14:textId="77777777" w:rsidR="002F1846" w:rsidRPr="002F1846" w:rsidRDefault="002F1846" w:rsidP="002F18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4579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9D3DA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12212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4E3A5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DFDAC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62F6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6490B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EC68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4193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7E8B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961AD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5191D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F1846" w:rsidRPr="002F1846" w14:paraId="6FA9E059" w14:textId="77777777" w:rsidTr="003C65ED">
        <w:trPr>
          <w:trHeight w:val="315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A8EBD" w14:textId="77777777" w:rsidR="002F1846" w:rsidRPr="003C65ED" w:rsidRDefault="002F1846" w:rsidP="003C65ED">
            <w:pPr>
              <w:ind w:left="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Boys </w:t>
            </w:r>
            <w:r w:rsidR="003C65E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2B1CB" w14:textId="77777777" w:rsidR="002F1846" w:rsidRPr="00EC120A" w:rsidRDefault="00484C9F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-0.2421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B7704" w14:textId="77777777" w:rsidR="002F1846" w:rsidRPr="00EC120A" w:rsidRDefault="00484C9F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85C1" w14:textId="77777777" w:rsidR="002F1846" w:rsidRPr="00EC120A" w:rsidRDefault="00484C9F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0.0093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2AE2" w14:textId="77777777" w:rsidR="002F1846" w:rsidRPr="00EC120A" w:rsidRDefault="009729A2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AFDE9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BBD5F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CA44D" w14:textId="77777777" w:rsidR="002F1846" w:rsidRPr="00EC120A" w:rsidRDefault="00484C9F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0.2629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8000E" w14:textId="77777777" w:rsidR="002F1846" w:rsidRPr="00EC120A" w:rsidRDefault="00484C9F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0.0966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6EA02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C2F29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08F7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DA1A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F1846" w:rsidRPr="002F1846" w14:paraId="06BE363E" w14:textId="77777777" w:rsidTr="003C65ED">
        <w:trPr>
          <w:trHeight w:val="315"/>
        </w:trPr>
        <w:tc>
          <w:tcPr>
            <w:tcW w:w="24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10AC6B" w14:textId="77777777" w:rsidR="002F1846" w:rsidRPr="003C65ED" w:rsidRDefault="002F1846" w:rsidP="003C65ED">
            <w:pPr>
              <w:ind w:left="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2F18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Girls</w:t>
            </w:r>
            <w:r w:rsidR="003C65E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B368E7" w14:textId="77777777" w:rsidR="002F1846" w:rsidRPr="00EC120A" w:rsidRDefault="00484C9F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-1.7468</w:t>
            </w:r>
            <w:r w:rsidR="009729A2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CC2C34" w14:textId="77777777" w:rsidR="002F1846" w:rsidRPr="00EC120A" w:rsidRDefault="00484C9F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0.4577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C888E6" w14:textId="77777777" w:rsidR="002F1846" w:rsidRPr="00EC120A" w:rsidRDefault="00484C9F" w:rsidP="00972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0.1134</w:t>
            </w:r>
            <w:r w:rsidR="009729A2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38E0BC" w14:textId="77777777" w:rsidR="002F1846" w:rsidRPr="00EC120A" w:rsidRDefault="00484C9F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124579" w14:textId="77777777" w:rsidR="002F1846" w:rsidRPr="00EC120A" w:rsidRDefault="002F184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-0.0021</w:t>
            </w:r>
            <w:r w:rsidR="00081066"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FFD6C7" w14:textId="77777777" w:rsidR="002F1846" w:rsidRPr="00EC120A" w:rsidRDefault="00081066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DF3D06" w14:textId="77777777" w:rsidR="002F1846" w:rsidRPr="00EC120A" w:rsidRDefault="00484C9F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-0.1311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34F9E2" w14:textId="77777777" w:rsidR="002F1846" w:rsidRPr="00EC120A" w:rsidRDefault="00484C9F" w:rsidP="000810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0.0946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62F964" w14:textId="77777777" w:rsidR="002F1846" w:rsidRPr="00EC120A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064434" w14:textId="77777777" w:rsidR="002F1846" w:rsidRPr="002F1846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732E53" w14:textId="77777777" w:rsidR="002F1846" w:rsidRPr="002F1846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C4D8CE" w14:textId="77777777" w:rsidR="002F1846" w:rsidRPr="002F1846" w:rsidRDefault="002F1846" w:rsidP="002F18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339CE6" w14:textId="77777777" w:rsidR="00391C2D" w:rsidRPr="00391C2D" w:rsidRDefault="00391C2D" w:rsidP="00391C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91C2D">
        <w:rPr>
          <w:rFonts w:ascii="Times New Roman" w:hAnsi="Times New Roman" w:cs="Times New Roman"/>
          <w:sz w:val="16"/>
          <w:szCs w:val="16"/>
          <w:lang w:val="en-US"/>
        </w:rPr>
        <w:t>β, regression coefficient; SE, standard error; %E, percentage of morning/evening energy intake.</w:t>
      </w:r>
    </w:p>
    <w:p w14:paraId="3916FC1F" w14:textId="77777777" w:rsidR="00391C2D" w:rsidRPr="00391C2D" w:rsidRDefault="00391C2D" w:rsidP="00391C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91C2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 xml:space="preserve"> Values presented are regression coefficients with standard errors resulting from polynomial mixed-effects regression models analyzing linear, quadratic (time*time) and cubic (time*time*time) time trends as well as linear, quadratic (age*age) and cubic (age*age*age) age trends.</w:t>
      </w:r>
    </w:p>
    <w:p w14:paraId="41D2FF90" w14:textId="77777777" w:rsidR="00391C2D" w:rsidRPr="00391C2D" w:rsidRDefault="00391C2D" w:rsidP="00391C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C65E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b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 xml:space="preserve"> Percentage of morning/evening energy intake.</w:t>
      </w:r>
    </w:p>
    <w:p w14:paraId="56A30A08" w14:textId="77777777" w:rsidR="00391C2D" w:rsidRPr="00391C2D" w:rsidRDefault="00391C2D" w:rsidP="00391C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C65E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c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 xml:space="preserve"> Adjusted for number of days with no dietary intake in the morning per record (0/1/2/3), ratio between total daily energy intake and estimated basal metabolic rate, body weight status (under-/normal-/overweight/adiposity), number of weekdays per record (1/2/3)</w:t>
      </w:r>
      <w:r w:rsidR="003C65ED">
        <w:rPr>
          <w:rFonts w:ascii="Times New Roman" w:hAnsi="Times New Roman" w:cs="Times New Roman"/>
          <w:sz w:val="16"/>
          <w:szCs w:val="16"/>
          <w:lang w:val="en-US"/>
        </w:rPr>
        <w:t>, number of smoking adults in the household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47C4C320" w14:textId="77777777" w:rsidR="00391C2D" w:rsidRPr="00391C2D" w:rsidRDefault="00391C2D" w:rsidP="00391C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C65E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d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 xml:space="preserve"> Percentage of morning/evening protein intake.</w:t>
      </w:r>
    </w:p>
    <w:p w14:paraId="627E83E1" w14:textId="77777777" w:rsidR="00391C2D" w:rsidRPr="00391C2D" w:rsidRDefault="00391C2D" w:rsidP="00391C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C65E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e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 xml:space="preserve"> Adjusted for number of days with no dietary intake in the morning per record (0/1/2/3), number of weekdays per record (1/2/3), ratio between total daily energy intake and estimated basal metabolic rate</w:t>
      </w:r>
      <w:r w:rsidR="003C65ED">
        <w:rPr>
          <w:rFonts w:ascii="Times New Roman" w:hAnsi="Times New Roman" w:cs="Times New Roman"/>
          <w:sz w:val="16"/>
          <w:szCs w:val="16"/>
          <w:lang w:val="en-US"/>
        </w:rPr>
        <w:t>, number of smoking adults in the household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A96461A" w14:textId="77777777" w:rsidR="00391C2D" w:rsidRPr="00391C2D" w:rsidRDefault="00391C2D" w:rsidP="00391C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C65E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f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 xml:space="preserve"> Adjusted for number of days with no dietary intake in the morning per record (0/1/2/3), high maternal educational status (yes/no), maternal overweight (yes/no)</w:t>
      </w:r>
      <w:r w:rsidR="003C65ED">
        <w:rPr>
          <w:rFonts w:ascii="Times New Roman" w:hAnsi="Times New Roman" w:cs="Times New Roman"/>
          <w:sz w:val="16"/>
          <w:szCs w:val="16"/>
          <w:lang w:val="en-US"/>
        </w:rPr>
        <w:t>, number of smoking adults in the household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620C147B" w14:textId="77777777" w:rsidR="00391C2D" w:rsidRPr="00391C2D" w:rsidRDefault="00391C2D" w:rsidP="00391C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C65E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g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 xml:space="preserve"> Adjusted for number of days with no dietary intake in the morning per record (0/1/2/3), number of weekdays per record (1/2/3), maternal overweight (yes/no), body weight status (under-/normal-/overweight/adiposity)</w:t>
      </w:r>
      <w:r w:rsidR="003C65ED">
        <w:rPr>
          <w:rFonts w:ascii="Times New Roman" w:hAnsi="Times New Roman" w:cs="Times New Roman"/>
          <w:sz w:val="16"/>
          <w:szCs w:val="16"/>
          <w:lang w:val="en-US"/>
        </w:rPr>
        <w:t>, number of smoking adults in the household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47AA601" w14:textId="77777777" w:rsidR="00391C2D" w:rsidRPr="00391C2D" w:rsidRDefault="00391C2D" w:rsidP="00391C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C65E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lastRenderedPageBreak/>
        <w:t>h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 xml:space="preserve"> Adjusted for number of days with no dietary intake in the evening per record (0/1/2/3), ratio between total daily energy intake and estimated basal metabolic rate, number of weekdays per record (1/2/3), high maternal educational status (yes/no), body weight status (under-/normal-/overweight/adiposity)</w:t>
      </w:r>
      <w:r w:rsidR="003C65ED">
        <w:rPr>
          <w:rFonts w:ascii="Times New Roman" w:hAnsi="Times New Roman" w:cs="Times New Roman"/>
          <w:sz w:val="16"/>
          <w:szCs w:val="16"/>
          <w:lang w:val="en-US"/>
        </w:rPr>
        <w:t>, number of smoking adults in the household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3C65E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C65ED" w:rsidRPr="002F1846">
        <w:rPr>
          <w:rFonts w:ascii="Times New Roman" w:hAnsi="Times New Roman" w:cs="Times New Roman"/>
          <w:sz w:val="16"/>
          <w:szCs w:val="16"/>
          <w:lang w:val="en-US"/>
        </w:rPr>
        <w:t>With the reduced sample size, the quadratic time trend was not relevant anymore. When excluding the quadratic trend, the linear trend was significant again (ß=0.04386, p=0.0005) confirming the secular increase in evening protein intake among boys.</w:t>
      </w:r>
    </w:p>
    <w:p w14:paraId="703F1661" w14:textId="77777777" w:rsidR="00391C2D" w:rsidRPr="00391C2D" w:rsidRDefault="00391C2D" w:rsidP="00391C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3C65E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i</w:t>
      </w:r>
      <w:proofErr w:type="spellEnd"/>
      <w:r w:rsidRPr="003C65E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 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>Adjusted for number of days with no dietary intake in the evening per record (0/1/2/3), ratio between total daily energy intake and estimated basal metabolic rate, body weight status (under-/normal-/overweight/adiposity)</w:t>
      </w:r>
      <w:r w:rsidR="003C65ED">
        <w:rPr>
          <w:rFonts w:ascii="Times New Roman" w:hAnsi="Times New Roman" w:cs="Times New Roman"/>
          <w:sz w:val="16"/>
          <w:szCs w:val="16"/>
          <w:lang w:val="en-US"/>
        </w:rPr>
        <w:t>, number of smoking adults in the household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3F4A72E9" w14:textId="77777777" w:rsidR="00391C2D" w:rsidRPr="00391C2D" w:rsidRDefault="00391C2D" w:rsidP="00391C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C65E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j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 xml:space="preserve"> Adjusted for number of days with no dietary intake in the evening per record (0/1/2/3), number of weekdays per record (1/2/3), ratio between total daily energy intake and estimated basal metabolic rate, maternal overweight (yes/no), high maternal educational status (yes/no)</w:t>
      </w:r>
      <w:r w:rsidR="003C65ED">
        <w:rPr>
          <w:rFonts w:ascii="Times New Roman" w:hAnsi="Times New Roman" w:cs="Times New Roman"/>
          <w:sz w:val="16"/>
          <w:szCs w:val="16"/>
          <w:lang w:val="en-US"/>
        </w:rPr>
        <w:t>, number of smoking adults in the household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6272F3C" w14:textId="77777777" w:rsidR="00391C2D" w:rsidRPr="00391C2D" w:rsidRDefault="00391C2D" w:rsidP="00391C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C65E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k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 xml:space="preserve"> Adjusted for number of days with no dietary intake in the evening per record (0/1/2/3), number of weekdays per record (1/2/3), maternal employment (yes/no)</w:t>
      </w:r>
      <w:r w:rsidR="003C65ED">
        <w:rPr>
          <w:rFonts w:ascii="Times New Roman" w:hAnsi="Times New Roman" w:cs="Times New Roman"/>
          <w:sz w:val="16"/>
          <w:szCs w:val="16"/>
          <w:lang w:val="en-US"/>
        </w:rPr>
        <w:t>, number of smoking adults in the household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484BDB6D" w14:textId="77777777" w:rsidR="00484C9F" w:rsidRDefault="00391C2D" w:rsidP="00391C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C65E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l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 xml:space="preserve"> Adjusted for number of days with no dietary intake in the evening per record (0/1/2/3), number of weekdays per record (1/2/3), high maternal educational status (yes/no), maternal overweight (yes/no)</w:t>
      </w:r>
      <w:r w:rsidR="003C65ED">
        <w:rPr>
          <w:rFonts w:ascii="Times New Roman" w:hAnsi="Times New Roman" w:cs="Times New Roman"/>
          <w:sz w:val="16"/>
          <w:szCs w:val="16"/>
          <w:lang w:val="en-US"/>
        </w:rPr>
        <w:t>, number of smoking adults in the household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12DBB24" w14:textId="77777777" w:rsidR="00391C2D" w:rsidRDefault="00391C2D" w:rsidP="00391C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C65E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m</w:t>
      </w:r>
      <w:r w:rsidRPr="00391C2D">
        <w:rPr>
          <w:rFonts w:ascii="Times New Roman" w:hAnsi="Times New Roman" w:cs="Times New Roman"/>
          <w:sz w:val="16"/>
          <w:szCs w:val="16"/>
          <w:lang w:val="en-US"/>
        </w:rPr>
        <w:t xml:space="preserve"> Adjusted for number of days with no dietary intake in the evening per record (0/1/2/3), ratio between total daily energy intake and estimated basal metabolic rate, number of weekdays per record (1/2/3), high maternal educational status (yes/no)</w:t>
      </w:r>
      <w:r w:rsidR="003C65ED">
        <w:rPr>
          <w:rFonts w:ascii="Times New Roman" w:hAnsi="Times New Roman" w:cs="Times New Roman"/>
          <w:sz w:val="16"/>
          <w:szCs w:val="16"/>
          <w:lang w:val="en-US"/>
        </w:rPr>
        <w:t>, number of smoking adults in the household.</w:t>
      </w:r>
    </w:p>
    <w:p w14:paraId="7271260C" w14:textId="77777777" w:rsidR="009729A2" w:rsidRPr="009729A2" w:rsidRDefault="009729A2" w:rsidP="009729A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729A2">
        <w:rPr>
          <w:rFonts w:ascii="Times New Roman" w:hAnsi="Times New Roman" w:cs="Times New Roman"/>
          <w:sz w:val="16"/>
          <w:szCs w:val="16"/>
          <w:lang w:val="en-US"/>
        </w:rPr>
        <w:t>* P&lt;0.05</w:t>
      </w:r>
    </w:p>
    <w:p w14:paraId="79CD8F9E" w14:textId="77777777" w:rsidR="009729A2" w:rsidRPr="009729A2" w:rsidRDefault="009729A2" w:rsidP="009729A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729A2">
        <w:rPr>
          <w:rFonts w:ascii="Times New Roman" w:hAnsi="Times New Roman" w:cs="Times New Roman"/>
          <w:sz w:val="16"/>
          <w:szCs w:val="16"/>
          <w:lang w:val="en-US"/>
        </w:rPr>
        <w:t>† P&lt;0.01</w:t>
      </w:r>
    </w:p>
    <w:p w14:paraId="5E0BAAF0" w14:textId="77777777" w:rsidR="009729A2" w:rsidRPr="002F1846" w:rsidRDefault="009729A2" w:rsidP="009729A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729A2">
        <w:rPr>
          <w:rFonts w:ascii="Times New Roman" w:hAnsi="Times New Roman" w:cs="Times New Roman"/>
          <w:sz w:val="16"/>
          <w:szCs w:val="16"/>
          <w:lang w:val="en-US"/>
        </w:rPr>
        <w:t>‡ P&lt;0.0001</w:t>
      </w:r>
    </w:p>
    <w:sectPr w:rsidR="009729A2" w:rsidRPr="002F1846" w:rsidSect="002F184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C818C" w14:textId="77777777" w:rsidR="00A608D8" w:rsidRDefault="00A608D8" w:rsidP="006C506C">
      <w:pPr>
        <w:spacing w:after="0" w:line="240" w:lineRule="auto"/>
      </w:pPr>
      <w:r>
        <w:separator/>
      </w:r>
    </w:p>
  </w:endnote>
  <w:endnote w:type="continuationSeparator" w:id="0">
    <w:p w14:paraId="227884C9" w14:textId="77777777" w:rsidR="00A608D8" w:rsidRDefault="00A608D8" w:rsidP="006C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FE49" w14:textId="77777777" w:rsidR="006C506C" w:rsidRDefault="006C5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726669"/>
      <w:docPartObj>
        <w:docPartGallery w:val="Page Numbers (Bottom of Page)"/>
        <w:docPartUnique/>
      </w:docPartObj>
    </w:sdtPr>
    <w:sdtEndPr/>
    <w:sdtContent>
      <w:p w14:paraId="38FDE882" w14:textId="6124D8B5" w:rsidR="006C506C" w:rsidRDefault="006C506C">
        <w:pPr>
          <w:pStyle w:val="Footer"/>
          <w:jc w:val="right"/>
        </w:pPr>
        <w:r w:rsidRPr="006C506C">
          <w:rPr>
            <w:rFonts w:ascii="Times New Roman" w:hAnsi="Times New Roman" w:cs="Times New Roman"/>
          </w:rPr>
          <w:fldChar w:fldCharType="begin"/>
        </w:r>
        <w:r w:rsidRPr="006C506C">
          <w:rPr>
            <w:rFonts w:ascii="Times New Roman" w:hAnsi="Times New Roman" w:cs="Times New Roman"/>
          </w:rPr>
          <w:instrText>PAGE   \* MERGEFORMAT</w:instrText>
        </w:r>
        <w:r w:rsidRPr="006C506C">
          <w:rPr>
            <w:rFonts w:ascii="Times New Roman" w:hAnsi="Times New Roman" w:cs="Times New Roman"/>
          </w:rPr>
          <w:fldChar w:fldCharType="separate"/>
        </w:r>
        <w:r w:rsidR="00BD0A19">
          <w:rPr>
            <w:rFonts w:ascii="Times New Roman" w:hAnsi="Times New Roman" w:cs="Times New Roman"/>
            <w:noProof/>
          </w:rPr>
          <w:t>3</w:t>
        </w:r>
        <w:r w:rsidRPr="006C506C">
          <w:rPr>
            <w:rFonts w:ascii="Times New Roman" w:hAnsi="Times New Roman" w:cs="Times New Roman"/>
          </w:rPr>
          <w:fldChar w:fldCharType="end"/>
        </w:r>
      </w:p>
    </w:sdtContent>
  </w:sdt>
  <w:p w14:paraId="7FCD96EB" w14:textId="77777777" w:rsidR="006C506C" w:rsidRDefault="006C5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6451" w14:textId="77777777" w:rsidR="006C506C" w:rsidRDefault="006C5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AE75A" w14:textId="77777777" w:rsidR="00A608D8" w:rsidRDefault="00A608D8" w:rsidP="006C506C">
      <w:pPr>
        <w:spacing w:after="0" w:line="240" w:lineRule="auto"/>
      </w:pPr>
      <w:r>
        <w:separator/>
      </w:r>
    </w:p>
  </w:footnote>
  <w:footnote w:type="continuationSeparator" w:id="0">
    <w:p w14:paraId="7AEAA583" w14:textId="77777777" w:rsidR="00A608D8" w:rsidRDefault="00A608D8" w:rsidP="006C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E5B8" w14:textId="77777777" w:rsidR="006C506C" w:rsidRDefault="006C5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1A75" w14:textId="77777777" w:rsidR="006C506C" w:rsidRDefault="006C5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8130" w14:textId="77777777" w:rsidR="006C506C" w:rsidRDefault="006C5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846"/>
    <w:rsid w:val="00081066"/>
    <w:rsid w:val="0008476A"/>
    <w:rsid w:val="002F1846"/>
    <w:rsid w:val="00391C2D"/>
    <w:rsid w:val="003C65ED"/>
    <w:rsid w:val="004026F8"/>
    <w:rsid w:val="0044681D"/>
    <w:rsid w:val="00484C9F"/>
    <w:rsid w:val="00603882"/>
    <w:rsid w:val="00625E25"/>
    <w:rsid w:val="00673A70"/>
    <w:rsid w:val="006C506C"/>
    <w:rsid w:val="007D2BF7"/>
    <w:rsid w:val="009729A2"/>
    <w:rsid w:val="00986085"/>
    <w:rsid w:val="00A608D8"/>
    <w:rsid w:val="00B5432C"/>
    <w:rsid w:val="00BD0A19"/>
    <w:rsid w:val="00C36B91"/>
    <w:rsid w:val="00C86D46"/>
    <w:rsid w:val="00D549C3"/>
    <w:rsid w:val="00E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48D8"/>
  <w15:docId w15:val="{917CDA58-1599-45CA-8D09-6DEAA9C4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6C"/>
  </w:style>
  <w:style w:type="paragraph" w:styleId="Footer">
    <w:name w:val="footer"/>
    <w:basedOn w:val="Normal"/>
    <w:link w:val="FooterChar"/>
    <w:uiPriority w:val="99"/>
    <w:unhideWhenUsed/>
    <w:rsid w:val="006C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Rossbach</dc:creator>
  <cp:lastModifiedBy>Chris Diana Bedford</cp:lastModifiedBy>
  <cp:revision>3</cp:revision>
  <dcterms:created xsi:type="dcterms:W3CDTF">2017-12-20T12:39:00Z</dcterms:created>
  <dcterms:modified xsi:type="dcterms:W3CDTF">2018-02-28T18:16:00Z</dcterms:modified>
</cp:coreProperties>
</file>