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07" w:rsidRPr="00D05947" w:rsidRDefault="007C51A5" w:rsidP="001A7C4F">
      <w:pPr>
        <w:spacing w:after="0" w:line="240" w:lineRule="auto"/>
        <w:rPr>
          <w:rFonts w:ascii="Times New Roman" w:hAnsi="Times New Roman" w:cs="Times New Roman"/>
          <w:color w:val="000000" w:themeColor="text1"/>
        </w:rPr>
      </w:pPr>
      <w:r w:rsidRPr="00D05947">
        <w:rPr>
          <w:rFonts w:ascii="Times New Roman" w:hAnsi="Times New Roman" w:cs="Times New Roman"/>
          <w:color w:val="000000" w:themeColor="text1"/>
        </w:rPr>
        <w:t>Supplementary Table</w:t>
      </w:r>
      <w:r w:rsidR="00AE7D07" w:rsidRPr="00D05947">
        <w:rPr>
          <w:rFonts w:ascii="Times New Roman" w:hAnsi="Times New Roman" w:cs="Times New Roman"/>
          <w:color w:val="000000" w:themeColor="text1"/>
        </w:rPr>
        <w:t xml:space="preserve"> 1: Underlying analyses into the multivariate regression findings for serum zinc</w:t>
      </w:r>
    </w:p>
    <w:tbl>
      <w:tblPr>
        <w:tblStyle w:val="TableGrid"/>
        <w:tblW w:w="0" w:type="auto"/>
        <w:tblLayout w:type="fixed"/>
        <w:tblLook w:val="04A0"/>
      </w:tblPr>
      <w:tblGrid>
        <w:gridCol w:w="1754"/>
        <w:gridCol w:w="604"/>
        <w:gridCol w:w="939"/>
        <w:gridCol w:w="1684"/>
        <w:gridCol w:w="684"/>
        <w:gridCol w:w="788"/>
        <w:gridCol w:w="225"/>
        <w:gridCol w:w="1430"/>
        <w:gridCol w:w="1468"/>
      </w:tblGrid>
      <w:tr w:rsidR="00AE7D07" w:rsidRPr="00D05947" w:rsidTr="001A7C4F">
        <w:tc>
          <w:tcPr>
            <w:tcW w:w="9576" w:type="dxa"/>
            <w:gridSpan w:val="9"/>
            <w:tcBorders>
              <w:left w:val="nil"/>
              <w:bottom w:val="single" w:sz="4" w:space="0" w:color="000000" w:themeColor="text1"/>
              <w:right w:val="nil"/>
            </w:tcBorders>
          </w:tcPr>
          <w:p w:rsidR="00AE7D07" w:rsidRPr="00D05947" w:rsidRDefault="008D14A4" w:rsidP="00A9228D">
            <w:pP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 xml:space="preserve">Regression finding: </w:t>
            </w:r>
            <w:r w:rsidR="00AE7D07" w:rsidRPr="00D05947">
              <w:rPr>
                <w:rFonts w:ascii="Times New Roman" w:hAnsi="Times New Roman" w:cs="Times New Roman"/>
                <w:color w:val="000000" w:themeColor="text1"/>
                <w:sz w:val="18"/>
                <w:szCs w:val="18"/>
              </w:rPr>
              <w:t>Household expense was associated with hig</w:t>
            </w:r>
            <w:r w:rsidR="006633F4" w:rsidRPr="00D05947">
              <w:rPr>
                <w:rFonts w:ascii="Times New Roman" w:hAnsi="Times New Roman" w:cs="Times New Roman"/>
                <w:color w:val="000000" w:themeColor="text1"/>
                <w:sz w:val="18"/>
                <w:szCs w:val="18"/>
              </w:rPr>
              <w:t>her level of serum zinc in NPNLW</w:t>
            </w:r>
          </w:p>
        </w:tc>
      </w:tr>
      <w:tr w:rsidR="00AE7D07" w:rsidRPr="00D05947" w:rsidTr="001A7C4F">
        <w:tc>
          <w:tcPr>
            <w:tcW w:w="2358" w:type="dxa"/>
            <w:gridSpan w:val="2"/>
            <w:tcBorders>
              <w:left w:val="nil"/>
              <w:bottom w:val="single" w:sz="4" w:space="0" w:color="000000" w:themeColor="text1"/>
              <w:right w:val="nil"/>
            </w:tcBorders>
          </w:tcPr>
          <w:p w:rsidR="00AE7D07" w:rsidRPr="00D05947" w:rsidRDefault="00AE7D07" w:rsidP="00A9228D">
            <w:pPr>
              <w:rPr>
                <w:rFonts w:ascii="Times New Roman" w:hAnsi="Times New Roman" w:cs="Times New Roman"/>
                <w:color w:val="000000" w:themeColor="text1"/>
                <w:sz w:val="18"/>
                <w:szCs w:val="18"/>
              </w:rPr>
            </w:pPr>
          </w:p>
        </w:tc>
        <w:tc>
          <w:tcPr>
            <w:tcW w:w="2623" w:type="dxa"/>
            <w:gridSpan w:val="2"/>
            <w:tcBorders>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Household spending (&lt;median)</w:t>
            </w:r>
          </w:p>
        </w:tc>
        <w:tc>
          <w:tcPr>
            <w:tcW w:w="1472" w:type="dxa"/>
            <w:gridSpan w:val="2"/>
            <w:tcBorders>
              <w:left w:val="nil"/>
              <w:bottom w:val="single" w:sz="4" w:space="0" w:color="000000" w:themeColor="text1"/>
              <w:right w:val="nil"/>
            </w:tcBorders>
          </w:tcPr>
          <w:p w:rsidR="00AE7D07" w:rsidRPr="00D05947" w:rsidRDefault="00AE7D07" w:rsidP="00A9228D">
            <w:pPr>
              <w:rPr>
                <w:rFonts w:ascii="Times New Roman" w:hAnsi="Times New Roman" w:cs="Times New Roman"/>
                <w:color w:val="000000" w:themeColor="text1"/>
                <w:sz w:val="18"/>
                <w:szCs w:val="18"/>
              </w:rPr>
            </w:pPr>
          </w:p>
        </w:tc>
        <w:tc>
          <w:tcPr>
            <w:tcW w:w="3123" w:type="dxa"/>
            <w:gridSpan w:val="3"/>
            <w:tcBorders>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Household spending (&lt;median)</w:t>
            </w:r>
          </w:p>
        </w:tc>
      </w:tr>
      <w:tr w:rsidR="00AE7D07" w:rsidRPr="00D05947" w:rsidTr="001A7C4F">
        <w:tc>
          <w:tcPr>
            <w:tcW w:w="2358" w:type="dxa"/>
            <w:gridSpan w:val="2"/>
            <w:tcBorders>
              <w:left w:val="nil"/>
              <w:bottom w:val="single" w:sz="4" w:space="0" w:color="000000" w:themeColor="text1"/>
              <w:right w:val="nil"/>
            </w:tcBorders>
          </w:tcPr>
          <w:p w:rsidR="00AE7D07" w:rsidRPr="00D05947" w:rsidRDefault="006633F4" w:rsidP="00A9228D">
            <w:pP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NPNLW</w:t>
            </w:r>
          </w:p>
        </w:tc>
        <w:tc>
          <w:tcPr>
            <w:tcW w:w="939" w:type="dxa"/>
            <w:tcBorders>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Mean</w:t>
            </w:r>
          </w:p>
        </w:tc>
        <w:tc>
          <w:tcPr>
            <w:tcW w:w="1684" w:type="dxa"/>
            <w:tcBorders>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SD</w:t>
            </w:r>
          </w:p>
        </w:tc>
        <w:tc>
          <w:tcPr>
            <w:tcW w:w="1472" w:type="dxa"/>
            <w:gridSpan w:val="2"/>
            <w:tcBorders>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rPr>
            </w:pPr>
          </w:p>
        </w:tc>
        <w:tc>
          <w:tcPr>
            <w:tcW w:w="1655" w:type="dxa"/>
            <w:gridSpan w:val="2"/>
            <w:tcBorders>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Mean</w:t>
            </w:r>
          </w:p>
        </w:tc>
        <w:tc>
          <w:tcPr>
            <w:tcW w:w="1468" w:type="dxa"/>
            <w:tcBorders>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SD</w:t>
            </w:r>
          </w:p>
        </w:tc>
      </w:tr>
      <w:tr w:rsidR="00AE7D07" w:rsidRPr="00D05947" w:rsidTr="001A7C4F">
        <w:tc>
          <w:tcPr>
            <w:tcW w:w="2358" w:type="dxa"/>
            <w:gridSpan w:val="2"/>
            <w:tcBorders>
              <w:left w:val="nil"/>
              <w:bottom w:val="nil"/>
              <w:right w:val="nil"/>
            </w:tcBorders>
          </w:tcPr>
          <w:p w:rsidR="00AE7D07" w:rsidRPr="00D05947" w:rsidRDefault="00AE7D07" w:rsidP="00A9228D">
            <w:pP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 xml:space="preserve">Intake </w:t>
            </w:r>
            <w:r w:rsidR="001A7C4F" w:rsidRPr="00D05947">
              <w:rPr>
                <w:rFonts w:ascii="Times New Roman" w:hAnsi="Times New Roman" w:cs="Times New Roman"/>
                <w:color w:val="000000" w:themeColor="text1"/>
                <w:sz w:val="18"/>
                <w:szCs w:val="18"/>
              </w:rPr>
              <w:t xml:space="preserve">of </w:t>
            </w:r>
            <w:r w:rsidRPr="00D05947">
              <w:rPr>
                <w:rFonts w:ascii="Times New Roman" w:hAnsi="Times New Roman" w:cs="Times New Roman"/>
                <w:color w:val="000000" w:themeColor="text1"/>
                <w:sz w:val="18"/>
                <w:szCs w:val="18"/>
              </w:rPr>
              <w:t>total zinc (mg/d)</w:t>
            </w:r>
          </w:p>
        </w:tc>
        <w:tc>
          <w:tcPr>
            <w:tcW w:w="939" w:type="dxa"/>
            <w:tcBorders>
              <w:left w:val="nil"/>
              <w:bottom w:val="nil"/>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3.8</w:t>
            </w:r>
          </w:p>
        </w:tc>
        <w:tc>
          <w:tcPr>
            <w:tcW w:w="1684" w:type="dxa"/>
            <w:tcBorders>
              <w:left w:val="nil"/>
              <w:bottom w:val="nil"/>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2.2</w:t>
            </w:r>
          </w:p>
        </w:tc>
        <w:tc>
          <w:tcPr>
            <w:tcW w:w="1472" w:type="dxa"/>
            <w:gridSpan w:val="2"/>
            <w:tcBorders>
              <w:left w:val="nil"/>
              <w:bottom w:val="nil"/>
              <w:right w:val="nil"/>
            </w:tcBorders>
          </w:tcPr>
          <w:p w:rsidR="00AE7D07" w:rsidRPr="00D05947" w:rsidRDefault="00AE7D07" w:rsidP="00A9228D">
            <w:pPr>
              <w:jc w:val="center"/>
              <w:rPr>
                <w:rFonts w:ascii="Times New Roman" w:hAnsi="Times New Roman" w:cs="Times New Roman"/>
                <w:color w:val="000000" w:themeColor="text1"/>
                <w:sz w:val="18"/>
                <w:szCs w:val="18"/>
              </w:rPr>
            </w:pPr>
          </w:p>
        </w:tc>
        <w:tc>
          <w:tcPr>
            <w:tcW w:w="1655" w:type="dxa"/>
            <w:gridSpan w:val="2"/>
            <w:tcBorders>
              <w:left w:val="nil"/>
              <w:bottom w:val="nil"/>
              <w:right w:val="nil"/>
            </w:tcBorders>
          </w:tcPr>
          <w:p w:rsidR="00AE7D07" w:rsidRPr="00D05947" w:rsidRDefault="00AE7D07" w:rsidP="00A9228D">
            <w:pPr>
              <w:jc w:val="center"/>
              <w:rPr>
                <w:rFonts w:ascii="Times New Roman" w:hAnsi="Times New Roman" w:cs="Times New Roman"/>
                <w:color w:val="000000" w:themeColor="text1"/>
                <w:sz w:val="18"/>
                <w:szCs w:val="18"/>
                <w:vertAlign w:val="superscript"/>
              </w:rPr>
            </w:pPr>
            <w:r w:rsidRPr="00D05947">
              <w:rPr>
                <w:rFonts w:ascii="Times New Roman" w:hAnsi="Times New Roman" w:cs="Times New Roman"/>
                <w:color w:val="000000" w:themeColor="text1"/>
                <w:sz w:val="18"/>
                <w:szCs w:val="18"/>
              </w:rPr>
              <w:t>4.74</w:t>
            </w:r>
            <w:r w:rsidRPr="00D05947">
              <w:rPr>
                <w:rFonts w:ascii="Times New Roman" w:hAnsi="Times New Roman" w:cs="Times New Roman"/>
                <w:color w:val="000000" w:themeColor="text1"/>
                <w:sz w:val="18"/>
                <w:szCs w:val="18"/>
                <w:vertAlign w:val="superscript"/>
              </w:rPr>
              <w:t>**</w:t>
            </w:r>
          </w:p>
        </w:tc>
        <w:tc>
          <w:tcPr>
            <w:tcW w:w="1468" w:type="dxa"/>
            <w:tcBorders>
              <w:left w:val="nil"/>
              <w:bottom w:val="nil"/>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2.2</w:t>
            </w:r>
          </w:p>
        </w:tc>
      </w:tr>
      <w:tr w:rsidR="00AE7D07" w:rsidRPr="00D05947" w:rsidTr="001A7C4F">
        <w:tc>
          <w:tcPr>
            <w:tcW w:w="2358" w:type="dxa"/>
            <w:gridSpan w:val="2"/>
            <w:tcBorders>
              <w:top w:val="nil"/>
              <w:left w:val="nil"/>
              <w:bottom w:val="single" w:sz="4" w:space="0" w:color="000000" w:themeColor="text1"/>
              <w:right w:val="nil"/>
            </w:tcBorders>
          </w:tcPr>
          <w:p w:rsidR="00AE7D07" w:rsidRPr="00D05947" w:rsidRDefault="00AE7D07" w:rsidP="00A9228D">
            <w:pP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 xml:space="preserve">Intake </w:t>
            </w:r>
            <w:r w:rsidR="001A7C4F" w:rsidRPr="00D05947">
              <w:rPr>
                <w:rFonts w:ascii="Times New Roman" w:hAnsi="Times New Roman" w:cs="Times New Roman"/>
                <w:color w:val="000000" w:themeColor="text1"/>
                <w:sz w:val="18"/>
                <w:szCs w:val="18"/>
              </w:rPr>
              <w:t xml:space="preserve">of </w:t>
            </w:r>
            <w:r w:rsidRPr="00D05947">
              <w:rPr>
                <w:rFonts w:ascii="Times New Roman" w:hAnsi="Times New Roman" w:cs="Times New Roman"/>
                <w:color w:val="000000" w:themeColor="text1"/>
                <w:sz w:val="18"/>
                <w:szCs w:val="18"/>
              </w:rPr>
              <w:t>animal zinc (mg/d)</w:t>
            </w:r>
          </w:p>
        </w:tc>
        <w:tc>
          <w:tcPr>
            <w:tcW w:w="939" w:type="dxa"/>
            <w:tcBorders>
              <w:top w:val="nil"/>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1.03</w:t>
            </w:r>
          </w:p>
        </w:tc>
        <w:tc>
          <w:tcPr>
            <w:tcW w:w="1684" w:type="dxa"/>
            <w:tcBorders>
              <w:top w:val="nil"/>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0.8</w:t>
            </w:r>
          </w:p>
        </w:tc>
        <w:tc>
          <w:tcPr>
            <w:tcW w:w="1472" w:type="dxa"/>
            <w:gridSpan w:val="2"/>
            <w:tcBorders>
              <w:top w:val="nil"/>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rPr>
            </w:pPr>
          </w:p>
        </w:tc>
        <w:tc>
          <w:tcPr>
            <w:tcW w:w="1655" w:type="dxa"/>
            <w:gridSpan w:val="2"/>
            <w:tcBorders>
              <w:top w:val="nil"/>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vertAlign w:val="superscript"/>
              </w:rPr>
            </w:pPr>
            <w:r w:rsidRPr="00D05947">
              <w:rPr>
                <w:rFonts w:ascii="Times New Roman" w:hAnsi="Times New Roman" w:cs="Times New Roman"/>
                <w:color w:val="000000" w:themeColor="text1"/>
                <w:sz w:val="18"/>
                <w:szCs w:val="18"/>
              </w:rPr>
              <w:t>1.59</w:t>
            </w:r>
            <w:r w:rsidRPr="00D05947">
              <w:rPr>
                <w:rFonts w:ascii="Times New Roman" w:hAnsi="Times New Roman" w:cs="Times New Roman"/>
                <w:color w:val="000000" w:themeColor="text1"/>
                <w:sz w:val="18"/>
                <w:szCs w:val="18"/>
                <w:vertAlign w:val="superscript"/>
              </w:rPr>
              <w:t>**</w:t>
            </w:r>
          </w:p>
        </w:tc>
        <w:tc>
          <w:tcPr>
            <w:tcW w:w="1468" w:type="dxa"/>
            <w:tcBorders>
              <w:top w:val="nil"/>
              <w:left w:val="nil"/>
              <w:bottom w:val="single" w:sz="4" w:space="0" w:color="000000" w:themeColor="text1"/>
              <w:right w:val="nil"/>
            </w:tcBorders>
          </w:tcPr>
          <w:p w:rsidR="00AE7D07" w:rsidRPr="00D05947" w:rsidRDefault="00AE7D07"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1.1</w:t>
            </w:r>
          </w:p>
        </w:tc>
      </w:tr>
      <w:tr w:rsidR="00C7756A" w:rsidRPr="00D05947" w:rsidTr="008D14A4">
        <w:tc>
          <w:tcPr>
            <w:tcW w:w="6678" w:type="dxa"/>
            <w:gridSpan w:val="7"/>
            <w:tcBorders>
              <w:left w:val="nil"/>
              <w:bottom w:val="single" w:sz="4" w:space="0" w:color="000000" w:themeColor="text1"/>
              <w:right w:val="nil"/>
            </w:tcBorders>
          </w:tcPr>
          <w:p w:rsidR="00C7756A" w:rsidRPr="00D05947" w:rsidRDefault="008D14A4" w:rsidP="00A9228D">
            <w:pP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 xml:space="preserve">Regression finding: </w:t>
            </w:r>
            <w:r w:rsidR="00C7756A" w:rsidRPr="00D05947">
              <w:rPr>
                <w:rFonts w:ascii="Times New Roman" w:hAnsi="Times New Roman" w:cs="Times New Roman"/>
                <w:color w:val="000000" w:themeColor="text1"/>
                <w:sz w:val="18"/>
                <w:szCs w:val="18"/>
              </w:rPr>
              <w:t>Haemoglobin was  positively associated with serum zinc in women</w:t>
            </w:r>
          </w:p>
        </w:tc>
        <w:tc>
          <w:tcPr>
            <w:tcW w:w="2898" w:type="dxa"/>
            <w:gridSpan w:val="2"/>
            <w:tcBorders>
              <w:left w:val="nil"/>
              <w:bottom w:val="single" w:sz="4" w:space="0" w:color="000000" w:themeColor="text1"/>
              <w:right w:val="nil"/>
            </w:tcBorders>
          </w:tcPr>
          <w:p w:rsidR="00C7756A" w:rsidRPr="00D05947" w:rsidRDefault="00C7756A" w:rsidP="00C7756A">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Zinc deficiency (%)</w:t>
            </w:r>
          </w:p>
        </w:tc>
      </w:tr>
      <w:tr w:rsidR="00B667F9" w:rsidRPr="00D05947" w:rsidTr="00336253">
        <w:tc>
          <w:tcPr>
            <w:tcW w:w="1754" w:type="dxa"/>
            <w:tcBorders>
              <w:left w:val="nil"/>
              <w:bottom w:val="nil"/>
              <w:right w:val="nil"/>
            </w:tcBorders>
          </w:tcPr>
          <w:p w:rsidR="00B667F9" w:rsidRPr="00D05947" w:rsidRDefault="00B667F9" w:rsidP="00A9228D">
            <w:pP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Anaemic</w:t>
            </w:r>
            <w:r w:rsidRPr="00D05947">
              <w:rPr>
                <w:rFonts w:ascii="Times New Roman" w:eastAsia="Times New Roman" w:hAnsi="Times New Roman" w:cs="Times New Roman"/>
                <w:color w:val="000000" w:themeColor="text1"/>
                <w:sz w:val="24"/>
                <w:szCs w:val="24"/>
                <w:vertAlign w:val="superscript"/>
              </w:rPr>
              <w:t>†</w:t>
            </w:r>
            <w:r w:rsidRPr="00D05947">
              <w:rPr>
                <w:rFonts w:ascii="Times New Roman" w:hAnsi="Times New Roman" w:cs="Times New Roman"/>
                <w:color w:val="000000" w:themeColor="text1"/>
                <w:sz w:val="18"/>
                <w:szCs w:val="18"/>
              </w:rPr>
              <w:t xml:space="preserve"> (%)</w:t>
            </w:r>
          </w:p>
        </w:tc>
        <w:tc>
          <w:tcPr>
            <w:tcW w:w="3911" w:type="dxa"/>
            <w:gridSpan w:val="4"/>
            <w:tcBorders>
              <w:left w:val="nil"/>
              <w:bottom w:val="nil"/>
              <w:right w:val="nil"/>
            </w:tcBorders>
          </w:tcPr>
          <w:p w:rsidR="00B667F9" w:rsidRPr="00D05947" w:rsidRDefault="00B667F9" w:rsidP="00B667F9">
            <w:pPr>
              <w:jc w:val="right"/>
              <w:rPr>
                <w:rFonts w:ascii="Times New Roman" w:hAnsi="Times New Roman" w:cs="Times New Roman"/>
                <w:color w:val="000000" w:themeColor="text1"/>
                <w:sz w:val="18"/>
                <w:szCs w:val="18"/>
              </w:rPr>
            </w:pPr>
          </w:p>
        </w:tc>
        <w:tc>
          <w:tcPr>
            <w:tcW w:w="3911" w:type="dxa"/>
            <w:gridSpan w:val="4"/>
            <w:tcBorders>
              <w:left w:val="nil"/>
              <w:bottom w:val="nil"/>
              <w:right w:val="nil"/>
            </w:tcBorders>
          </w:tcPr>
          <w:p w:rsidR="00B667F9" w:rsidRPr="00D05947" w:rsidRDefault="00B667F9" w:rsidP="00B667F9">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69</w:t>
            </w:r>
            <w:r w:rsidRPr="00D05947">
              <w:rPr>
                <w:rFonts w:ascii="Times New Roman" w:hAnsi="Times New Roman" w:cs="Times New Roman"/>
                <w:color w:val="000000" w:themeColor="text1"/>
                <w:sz w:val="18"/>
                <w:szCs w:val="18"/>
                <w:vertAlign w:val="superscript"/>
              </w:rPr>
              <w:t>*</w:t>
            </w:r>
          </w:p>
        </w:tc>
      </w:tr>
      <w:tr w:rsidR="00C7756A" w:rsidRPr="00D05947" w:rsidTr="001A7C4F">
        <w:tc>
          <w:tcPr>
            <w:tcW w:w="1754" w:type="dxa"/>
            <w:tcBorders>
              <w:top w:val="nil"/>
              <w:left w:val="nil"/>
              <w:bottom w:val="single" w:sz="4" w:space="0" w:color="000000" w:themeColor="text1"/>
              <w:right w:val="nil"/>
            </w:tcBorders>
          </w:tcPr>
          <w:p w:rsidR="00C7756A" w:rsidRPr="00D05947" w:rsidRDefault="00C7756A" w:rsidP="00A9228D">
            <w:pP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Non-</w:t>
            </w:r>
            <w:proofErr w:type="gramStart"/>
            <w:r w:rsidRPr="00D05947">
              <w:rPr>
                <w:rFonts w:ascii="Times New Roman" w:hAnsi="Times New Roman" w:cs="Times New Roman"/>
                <w:color w:val="000000" w:themeColor="text1"/>
                <w:sz w:val="18"/>
                <w:szCs w:val="18"/>
              </w:rPr>
              <w:t>anaemic(</w:t>
            </w:r>
            <w:proofErr w:type="gramEnd"/>
            <w:r w:rsidRPr="00D05947">
              <w:rPr>
                <w:rFonts w:ascii="Times New Roman" w:hAnsi="Times New Roman" w:cs="Times New Roman"/>
                <w:color w:val="000000" w:themeColor="text1"/>
                <w:sz w:val="18"/>
                <w:szCs w:val="18"/>
              </w:rPr>
              <w:t>%)</w:t>
            </w:r>
          </w:p>
        </w:tc>
        <w:tc>
          <w:tcPr>
            <w:tcW w:w="1543" w:type="dxa"/>
            <w:gridSpan w:val="2"/>
            <w:tcBorders>
              <w:top w:val="nil"/>
              <w:left w:val="nil"/>
              <w:bottom w:val="single" w:sz="4" w:space="0" w:color="000000" w:themeColor="text1"/>
              <w:right w:val="nil"/>
            </w:tcBorders>
          </w:tcPr>
          <w:p w:rsidR="00C7756A" w:rsidRPr="00D05947" w:rsidRDefault="00C7756A" w:rsidP="00A9228D">
            <w:pPr>
              <w:rPr>
                <w:rFonts w:ascii="Times New Roman" w:hAnsi="Times New Roman" w:cs="Times New Roman"/>
                <w:color w:val="000000" w:themeColor="text1"/>
                <w:sz w:val="18"/>
                <w:szCs w:val="18"/>
              </w:rPr>
            </w:pPr>
          </w:p>
        </w:tc>
        <w:tc>
          <w:tcPr>
            <w:tcW w:w="1684" w:type="dxa"/>
            <w:tcBorders>
              <w:top w:val="nil"/>
              <w:left w:val="nil"/>
              <w:bottom w:val="single" w:sz="4" w:space="0" w:color="000000" w:themeColor="text1"/>
              <w:right w:val="nil"/>
            </w:tcBorders>
          </w:tcPr>
          <w:p w:rsidR="00C7756A" w:rsidRPr="00D05947" w:rsidRDefault="00C7756A" w:rsidP="00A9228D">
            <w:pPr>
              <w:rPr>
                <w:rFonts w:ascii="Times New Roman" w:hAnsi="Times New Roman" w:cs="Times New Roman"/>
                <w:color w:val="000000" w:themeColor="text1"/>
                <w:sz w:val="18"/>
                <w:szCs w:val="18"/>
              </w:rPr>
            </w:pPr>
          </w:p>
        </w:tc>
        <w:tc>
          <w:tcPr>
            <w:tcW w:w="4595" w:type="dxa"/>
            <w:gridSpan w:val="5"/>
            <w:tcBorders>
              <w:top w:val="nil"/>
              <w:left w:val="nil"/>
              <w:bottom w:val="single" w:sz="4" w:space="0" w:color="000000" w:themeColor="text1"/>
              <w:right w:val="nil"/>
            </w:tcBorders>
          </w:tcPr>
          <w:p w:rsidR="00C7756A" w:rsidRPr="00D05947" w:rsidRDefault="00B667F9" w:rsidP="00B667F9">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 xml:space="preserve">             </w:t>
            </w:r>
            <w:r w:rsidR="00C7756A" w:rsidRPr="00D05947">
              <w:rPr>
                <w:rFonts w:ascii="Times New Roman" w:hAnsi="Times New Roman" w:cs="Times New Roman"/>
                <w:color w:val="000000" w:themeColor="text1"/>
                <w:sz w:val="18"/>
                <w:szCs w:val="18"/>
              </w:rPr>
              <w:t>54</w:t>
            </w:r>
          </w:p>
        </w:tc>
      </w:tr>
    </w:tbl>
    <w:p w:rsidR="00310382" w:rsidRPr="00D05947" w:rsidRDefault="00310382" w:rsidP="00310382">
      <w:pPr>
        <w:spacing w:after="0" w:line="240" w:lineRule="auto"/>
        <w:rPr>
          <w:rFonts w:ascii="Times New Roman" w:hAnsi="Times New Roman" w:cs="Times New Roman"/>
          <w:color w:val="000000" w:themeColor="text1"/>
          <w:sz w:val="18"/>
          <w:szCs w:val="18"/>
        </w:rPr>
      </w:pPr>
      <w:r w:rsidRPr="00D05947">
        <w:rPr>
          <w:rFonts w:ascii="Times New Roman" w:eastAsia="Times New Roman" w:hAnsi="Times New Roman" w:cs="Times New Roman"/>
          <w:color w:val="000000" w:themeColor="text1"/>
          <w:sz w:val="24"/>
          <w:szCs w:val="24"/>
          <w:vertAlign w:val="superscript"/>
        </w:rPr>
        <w:t>†</w:t>
      </w:r>
      <w:r w:rsidRPr="00D05947">
        <w:rPr>
          <w:rFonts w:ascii="Times New Roman" w:hAnsi="Times New Roman" w:cs="Times New Roman"/>
          <w:color w:val="000000" w:themeColor="text1"/>
          <w:sz w:val="18"/>
          <w:szCs w:val="18"/>
        </w:rPr>
        <w:t xml:space="preserve"> Anaemia is defined as haemoglobin&lt;12 gm/dl</w:t>
      </w:r>
    </w:p>
    <w:p w:rsidR="00310382" w:rsidRPr="00D05947" w:rsidRDefault="00310382" w:rsidP="00310382">
      <w:pPr>
        <w:spacing w:after="0" w:line="240" w:lineRule="auto"/>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vertAlign w:val="superscript"/>
        </w:rPr>
        <w:t>*</w:t>
      </w:r>
      <w:r w:rsidRPr="00D05947">
        <w:rPr>
          <w:rFonts w:ascii="Times New Roman" w:hAnsi="Times New Roman" w:cs="Times New Roman"/>
          <w:color w:val="000000" w:themeColor="text1"/>
          <w:sz w:val="18"/>
          <w:szCs w:val="18"/>
        </w:rPr>
        <w:t xml:space="preserve">p=0.02; </w:t>
      </w:r>
      <w:r w:rsidRPr="00D05947">
        <w:rPr>
          <w:rFonts w:ascii="Times New Roman" w:hAnsi="Times New Roman" w:cs="Times New Roman"/>
          <w:color w:val="000000" w:themeColor="text1"/>
          <w:sz w:val="18"/>
          <w:szCs w:val="18"/>
          <w:vertAlign w:val="superscript"/>
        </w:rPr>
        <w:t>**</w:t>
      </w:r>
      <w:r w:rsidRPr="00D05947">
        <w:rPr>
          <w:rFonts w:ascii="Times New Roman" w:hAnsi="Times New Roman" w:cs="Times New Roman"/>
          <w:color w:val="000000" w:themeColor="text1"/>
          <w:sz w:val="18"/>
          <w:szCs w:val="18"/>
        </w:rPr>
        <w:t>p=0.001</w:t>
      </w:r>
    </w:p>
    <w:p w:rsidR="00310382" w:rsidRPr="00D05947" w:rsidRDefault="00310382" w:rsidP="00FD7B63">
      <w:pPr>
        <w:rPr>
          <w:rFonts w:ascii="Times New Roman" w:hAnsi="Times New Roman" w:cs="Times New Roman"/>
          <w:color w:val="000000" w:themeColor="text1"/>
        </w:rPr>
      </w:pPr>
    </w:p>
    <w:p w:rsidR="00081AE0" w:rsidRPr="00D05947" w:rsidRDefault="00081AE0" w:rsidP="00081AE0">
      <w:pPr>
        <w:spacing w:after="0"/>
        <w:rPr>
          <w:rFonts w:ascii="Times New Roman" w:hAnsi="Times New Roman" w:cs="Times New Roman"/>
          <w:color w:val="000000" w:themeColor="text1"/>
        </w:rPr>
      </w:pPr>
      <w:r w:rsidRPr="00D05947">
        <w:rPr>
          <w:rFonts w:ascii="Times New Roman" w:hAnsi="Times New Roman" w:cs="Times New Roman"/>
          <w:color w:val="000000" w:themeColor="text1"/>
        </w:rPr>
        <w:t>Supplementary Table 2: comparative intake of zinc, phytate and P-Z molar ratio between two contemporary studies of Bangladesh</w:t>
      </w:r>
    </w:p>
    <w:tbl>
      <w:tblPr>
        <w:tblStyle w:val="TableGrid"/>
        <w:tblW w:w="0" w:type="auto"/>
        <w:tblLook w:val="04A0"/>
      </w:tblPr>
      <w:tblGrid>
        <w:gridCol w:w="1728"/>
        <w:gridCol w:w="1710"/>
        <w:gridCol w:w="1927"/>
        <w:gridCol w:w="2104"/>
        <w:gridCol w:w="2107"/>
      </w:tblGrid>
      <w:tr w:rsidR="00081AE0" w:rsidRPr="00D05947" w:rsidTr="00945AC6">
        <w:tc>
          <w:tcPr>
            <w:tcW w:w="1728" w:type="dxa"/>
            <w:tcBorders>
              <w:left w:val="nil"/>
              <w:bottom w:val="single" w:sz="4" w:space="0" w:color="000000" w:themeColor="text1"/>
              <w:right w:val="nil"/>
            </w:tcBorders>
          </w:tcPr>
          <w:p w:rsidR="00081AE0" w:rsidRPr="00D05947" w:rsidRDefault="00081AE0" w:rsidP="00945AC6">
            <w:pPr>
              <w:pStyle w:val="PlainText"/>
              <w:rPr>
                <w:rFonts w:ascii="Times New Roman" w:hAnsi="Times New Roman" w:cs="Times New Roman"/>
                <w:color w:val="000000" w:themeColor="text1"/>
                <w:sz w:val="18"/>
                <w:szCs w:val="18"/>
              </w:rPr>
            </w:pPr>
          </w:p>
        </w:tc>
        <w:tc>
          <w:tcPr>
            <w:tcW w:w="3637" w:type="dxa"/>
            <w:gridSpan w:val="2"/>
            <w:tcBorders>
              <w:left w:val="nil"/>
              <w:bottom w:val="single" w:sz="4" w:space="0" w:color="000000" w:themeColor="text1"/>
              <w:right w:val="nil"/>
            </w:tcBorders>
          </w:tcPr>
          <w:p w:rsidR="00081AE0" w:rsidRPr="00D05947" w:rsidRDefault="00081AE0" w:rsidP="00945AC6">
            <w:pPr>
              <w:pStyle w:val="PlainText"/>
              <w:jc w:val="center"/>
              <w:rPr>
                <w:rFonts w:ascii="Times New Roman" w:hAnsi="Times New Roman" w:cs="Times New Roman"/>
                <w:color w:val="000000" w:themeColor="text1"/>
                <w:sz w:val="18"/>
                <w:szCs w:val="18"/>
                <w:vertAlign w:val="superscript"/>
              </w:rPr>
            </w:pPr>
            <w:r w:rsidRPr="00D05947">
              <w:rPr>
                <w:rFonts w:ascii="Times New Roman" w:hAnsi="Times New Roman" w:cs="Times New Roman"/>
                <w:color w:val="000000" w:themeColor="text1"/>
                <w:sz w:val="18"/>
                <w:szCs w:val="18"/>
              </w:rPr>
              <w:t>NMS 2011-12</w:t>
            </w:r>
            <w:r w:rsidR="00E12435" w:rsidRPr="00D05947">
              <w:rPr>
                <w:rFonts w:ascii="Times New Roman" w:hAnsi="Times New Roman" w:cs="Times New Roman"/>
                <w:color w:val="000000" w:themeColor="text1"/>
                <w:sz w:val="18"/>
                <w:szCs w:val="18"/>
                <w:vertAlign w:val="superscript"/>
              </w:rPr>
              <w:t>(1)</w:t>
            </w:r>
          </w:p>
        </w:tc>
        <w:tc>
          <w:tcPr>
            <w:tcW w:w="4211" w:type="dxa"/>
            <w:gridSpan w:val="2"/>
            <w:tcBorders>
              <w:left w:val="nil"/>
              <w:bottom w:val="single" w:sz="4" w:space="0" w:color="000000" w:themeColor="text1"/>
              <w:right w:val="nil"/>
            </w:tcBorders>
          </w:tcPr>
          <w:p w:rsidR="00081AE0" w:rsidRPr="00D05947" w:rsidRDefault="00081AE0" w:rsidP="00945AC6">
            <w:pPr>
              <w:pStyle w:val="PlainText"/>
              <w:jc w:val="center"/>
              <w:rPr>
                <w:rFonts w:ascii="Times New Roman" w:hAnsi="Times New Roman" w:cs="Times New Roman"/>
                <w:color w:val="000000" w:themeColor="text1"/>
                <w:sz w:val="18"/>
                <w:szCs w:val="18"/>
                <w:vertAlign w:val="superscript"/>
              </w:rPr>
            </w:pPr>
            <w:r w:rsidRPr="00D05947">
              <w:rPr>
                <w:rFonts w:ascii="Times New Roman" w:hAnsi="Times New Roman" w:cs="Times New Roman"/>
                <w:color w:val="000000" w:themeColor="text1"/>
                <w:sz w:val="18"/>
                <w:szCs w:val="18"/>
              </w:rPr>
              <w:t>Arsenault et al 2010</w:t>
            </w:r>
            <w:r w:rsidR="00E12435" w:rsidRPr="00D05947">
              <w:rPr>
                <w:rFonts w:ascii="Times New Roman" w:hAnsi="Times New Roman" w:cs="Times New Roman"/>
                <w:color w:val="000000" w:themeColor="text1"/>
                <w:sz w:val="18"/>
                <w:szCs w:val="18"/>
                <w:vertAlign w:val="superscript"/>
              </w:rPr>
              <w:t>(2</w:t>
            </w:r>
            <w:r w:rsidR="008211E2" w:rsidRPr="00D05947">
              <w:rPr>
                <w:rFonts w:ascii="Times New Roman" w:hAnsi="Times New Roman" w:cs="Times New Roman"/>
                <w:color w:val="000000" w:themeColor="text1"/>
                <w:sz w:val="18"/>
                <w:szCs w:val="18"/>
                <w:vertAlign w:val="superscript"/>
              </w:rPr>
              <w:t>)</w:t>
            </w:r>
          </w:p>
        </w:tc>
      </w:tr>
      <w:tr w:rsidR="00081AE0" w:rsidRPr="00D05947" w:rsidTr="00945AC6">
        <w:tc>
          <w:tcPr>
            <w:tcW w:w="1728" w:type="dxa"/>
            <w:tcBorders>
              <w:left w:val="nil"/>
              <w:bottom w:val="single" w:sz="4" w:space="0" w:color="000000" w:themeColor="text1"/>
              <w:right w:val="nil"/>
            </w:tcBorders>
          </w:tcPr>
          <w:p w:rsidR="00081AE0" w:rsidRPr="00D05947" w:rsidRDefault="00081AE0" w:rsidP="00945AC6">
            <w:pPr>
              <w:pStyle w:val="PlainText"/>
              <w:rPr>
                <w:rFonts w:ascii="Times New Roman" w:hAnsi="Times New Roman" w:cs="Times New Roman"/>
                <w:color w:val="000000" w:themeColor="text1"/>
                <w:sz w:val="18"/>
                <w:szCs w:val="18"/>
              </w:rPr>
            </w:pPr>
          </w:p>
        </w:tc>
        <w:tc>
          <w:tcPr>
            <w:tcW w:w="1710" w:type="dxa"/>
            <w:tcBorders>
              <w:left w:val="nil"/>
              <w:bottom w:val="single" w:sz="4" w:space="0" w:color="000000" w:themeColor="text1"/>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PSAC (2-&lt;5 y)</w:t>
            </w:r>
          </w:p>
        </w:tc>
        <w:tc>
          <w:tcPr>
            <w:tcW w:w="1927" w:type="dxa"/>
            <w:tcBorders>
              <w:left w:val="nil"/>
              <w:bottom w:val="single" w:sz="4" w:space="0" w:color="000000" w:themeColor="text1"/>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NPNLW (15-49)</w:t>
            </w:r>
          </w:p>
        </w:tc>
        <w:tc>
          <w:tcPr>
            <w:tcW w:w="2104" w:type="dxa"/>
            <w:tcBorders>
              <w:left w:val="nil"/>
              <w:bottom w:val="single" w:sz="4" w:space="0" w:color="000000" w:themeColor="text1"/>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Children 2-4 y</w:t>
            </w:r>
          </w:p>
        </w:tc>
        <w:tc>
          <w:tcPr>
            <w:tcW w:w="2107" w:type="dxa"/>
            <w:tcBorders>
              <w:left w:val="nil"/>
              <w:bottom w:val="single" w:sz="4" w:space="0" w:color="000000" w:themeColor="text1"/>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Female caregiver</w:t>
            </w:r>
          </w:p>
        </w:tc>
      </w:tr>
      <w:tr w:rsidR="00081AE0" w:rsidRPr="00D05947" w:rsidTr="00945AC6">
        <w:tc>
          <w:tcPr>
            <w:tcW w:w="1728" w:type="dxa"/>
            <w:tcBorders>
              <w:left w:val="nil"/>
              <w:bottom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Zinc(mg/d)</w:t>
            </w:r>
          </w:p>
        </w:tc>
        <w:tc>
          <w:tcPr>
            <w:tcW w:w="1710" w:type="dxa"/>
            <w:tcBorders>
              <w:left w:val="nil"/>
              <w:bottom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3.1</w:t>
            </w:r>
          </w:p>
        </w:tc>
        <w:tc>
          <w:tcPr>
            <w:tcW w:w="1927" w:type="dxa"/>
            <w:tcBorders>
              <w:left w:val="nil"/>
              <w:bottom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4.3</w:t>
            </w:r>
          </w:p>
        </w:tc>
        <w:tc>
          <w:tcPr>
            <w:tcW w:w="2104" w:type="dxa"/>
            <w:tcBorders>
              <w:left w:val="nil"/>
              <w:bottom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2.5</w:t>
            </w:r>
          </w:p>
        </w:tc>
        <w:tc>
          <w:tcPr>
            <w:tcW w:w="2107" w:type="dxa"/>
            <w:tcBorders>
              <w:left w:val="nil"/>
              <w:bottom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5.5</w:t>
            </w:r>
          </w:p>
        </w:tc>
      </w:tr>
      <w:tr w:rsidR="00081AE0" w:rsidRPr="00D05947" w:rsidTr="00945AC6">
        <w:tc>
          <w:tcPr>
            <w:tcW w:w="1728" w:type="dxa"/>
            <w:tcBorders>
              <w:top w:val="nil"/>
              <w:left w:val="nil"/>
              <w:bottom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Phytate(mg/d)</w:t>
            </w:r>
          </w:p>
        </w:tc>
        <w:tc>
          <w:tcPr>
            <w:tcW w:w="1710" w:type="dxa"/>
            <w:tcBorders>
              <w:top w:val="nil"/>
              <w:left w:val="nil"/>
              <w:bottom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234.1</w:t>
            </w:r>
          </w:p>
        </w:tc>
        <w:tc>
          <w:tcPr>
            <w:tcW w:w="1927" w:type="dxa"/>
            <w:tcBorders>
              <w:top w:val="nil"/>
              <w:left w:val="nil"/>
              <w:bottom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498.1</w:t>
            </w:r>
          </w:p>
        </w:tc>
        <w:tc>
          <w:tcPr>
            <w:tcW w:w="2104" w:type="dxa"/>
            <w:tcBorders>
              <w:top w:val="nil"/>
              <w:left w:val="nil"/>
              <w:bottom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260</w:t>
            </w:r>
          </w:p>
        </w:tc>
        <w:tc>
          <w:tcPr>
            <w:tcW w:w="2107" w:type="dxa"/>
            <w:tcBorders>
              <w:top w:val="nil"/>
              <w:left w:val="nil"/>
              <w:bottom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586</w:t>
            </w:r>
          </w:p>
        </w:tc>
      </w:tr>
      <w:tr w:rsidR="00081AE0" w:rsidRPr="00D05947" w:rsidTr="00945AC6">
        <w:tc>
          <w:tcPr>
            <w:tcW w:w="1728" w:type="dxa"/>
            <w:tcBorders>
              <w:top w:val="nil"/>
              <w:left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P-Z molar ratio</w:t>
            </w:r>
          </w:p>
        </w:tc>
        <w:tc>
          <w:tcPr>
            <w:tcW w:w="1710" w:type="dxa"/>
            <w:tcBorders>
              <w:top w:val="nil"/>
              <w:left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9.0</w:t>
            </w:r>
          </w:p>
        </w:tc>
        <w:tc>
          <w:tcPr>
            <w:tcW w:w="1927" w:type="dxa"/>
            <w:tcBorders>
              <w:top w:val="nil"/>
              <w:left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12.0</w:t>
            </w:r>
          </w:p>
        </w:tc>
        <w:tc>
          <w:tcPr>
            <w:tcW w:w="2104" w:type="dxa"/>
            <w:tcBorders>
              <w:top w:val="nil"/>
              <w:left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10.6</w:t>
            </w:r>
          </w:p>
        </w:tc>
        <w:tc>
          <w:tcPr>
            <w:tcW w:w="2107" w:type="dxa"/>
            <w:tcBorders>
              <w:top w:val="nil"/>
              <w:left w:val="nil"/>
              <w:right w:val="nil"/>
            </w:tcBorders>
          </w:tcPr>
          <w:p w:rsidR="00081AE0" w:rsidRPr="00D05947" w:rsidRDefault="00081AE0" w:rsidP="00945AC6">
            <w:pPr>
              <w:pStyle w:val="PlainText"/>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10.8</w:t>
            </w:r>
          </w:p>
        </w:tc>
      </w:tr>
    </w:tbl>
    <w:p w:rsidR="00081AE0" w:rsidRPr="00D05947" w:rsidRDefault="00081AE0" w:rsidP="00FD7B63">
      <w:pPr>
        <w:rPr>
          <w:rFonts w:ascii="Times New Roman" w:hAnsi="Times New Roman" w:cs="Times New Roman"/>
          <w:color w:val="000000" w:themeColor="text1"/>
        </w:rPr>
      </w:pPr>
    </w:p>
    <w:p w:rsidR="00FD7B63" w:rsidRPr="00D05947" w:rsidRDefault="007C51A5" w:rsidP="004A29B8">
      <w:pPr>
        <w:spacing w:after="0" w:line="240" w:lineRule="auto"/>
        <w:rPr>
          <w:rFonts w:ascii="Times New Roman" w:hAnsi="Times New Roman" w:cs="Times New Roman"/>
          <w:color w:val="000000" w:themeColor="text1"/>
        </w:rPr>
      </w:pPr>
      <w:r w:rsidRPr="00D05947">
        <w:rPr>
          <w:rFonts w:ascii="Times New Roman" w:hAnsi="Times New Roman" w:cs="Times New Roman"/>
          <w:color w:val="000000" w:themeColor="text1"/>
        </w:rPr>
        <w:t>Supplementary Table</w:t>
      </w:r>
      <w:r w:rsidR="00FA4DB9" w:rsidRPr="00D05947">
        <w:rPr>
          <w:rFonts w:ascii="Times New Roman" w:hAnsi="Times New Roman" w:cs="Times New Roman"/>
          <w:color w:val="000000" w:themeColor="text1"/>
        </w:rPr>
        <w:t xml:space="preserve"> 3</w:t>
      </w:r>
      <w:r w:rsidR="00FD7B63" w:rsidRPr="00D05947">
        <w:rPr>
          <w:rFonts w:ascii="Times New Roman" w:hAnsi="Times New Roman" w:cs="Times New Roman"/>
          <w:color w:val="000000" w:themeColor="text1"/>
        </w:rPr>
        <w:t>: Sample size for estimation of zinc deficiency in the national micronutrient survey</w:t>
      </w:r>
    </w:p>
    <w:tbl>
      <w:tblPr>
        <w:tblStyle w:val="TableGrid"/>
        <w:tblW w:w="0" w:type="auto"/>
        <w:tblLook w:val="04A0"/>
      </w:tblPr>
      <w:tblGrid>
        <w:gridCol w:w="1101"/>
        <w:gridCol w:w="664"/>
        <w:gridCol w:w="623"/>
        <w:gridCol w:w="623"/>
        <w:gridCol w:w="990"/>
        <w:gridCol w:w="1389"/>
        <w:gridCol w:w="1076"/>
        <w:gridCol w:w="981"/>
        <w:gridCol w:w="921"/>
        <w:gridCol w:w="1208"/>
      </w:tblGrid>
      <w:tr w:rsidR="00FD7B63" w:rsidRPr="00D05947" w:rsidTr="00CC10FD">
        <w:tc>
          <w:tcPr>
            <w:tcW w:w="1101" w:type="dxa"/>
            <w:tcBorders>
              <w:left w:val="nil"/>
              <w:bottom w:val="single" w:sz="4" w:space="0" w:color="000000" w:themeColor="text1"/>
              <w:right w:val="nil"/>
            </w:tcBorders>
          </w:tcPr>
          <w:p w:rsidR="00FD7B63" w:rsidRPr="00D05947" w:rsidRDefault="00FD7B63" w:rsidP="00A9228D">
            <w:pP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Population</w:t>
            </w:r>
          </w:p>
        </w:tc>
        <w:tc>
          <w:tcPr>
            <w:tcW w:w="664" w:type="dxa"/>
            <w:tcBorders>
              <w:left w:val="nil"/>
              <w:bottom w:val="single" w:sz="4" w:space="0" w:color="000000" w:themeColor="text1"/>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p</w:t>
            </w:r>
          </w:p>
        </w:tc>
        <w:tc>
          <w:tcPr>
            <w:tcW w:w="623" w:type="dxa"/>
            <w:tcBorders>
              <w:left w:val="nil"/>
              <w:bottom w:val="single" w:sz="4" w:space="0" w:color="000000" w:themeColor="text1"/>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z</w:t>
            </w:r>
          </w:p>
        </w:tc>
        <w:tc>
          <w:tcPr>
            <w:tcW w:w="623" w:type="dxa"/>
            <w:tcBorders>
              <w:left w:val="nil"/>
              <w:bottom w:val="single" w:sz="4" w:space="0" w:color="000000" w:themeColor="text1"/>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d</w:t>
            </w:r>
          </w:p>
        </w:tc>
        <w:tc>
          <w:tcPr>
            <w:tcW w:w="990" w:type="dxa"/>
            <w:tcBorders>
              <w:left w:val="nil"/>
              <w:bottom w:val="single" w:sz="4" w:space="0" w:color="000000" w:themeColor="text1"/>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Design effect</w:t>
            </w:r>
          </w:p>
        </w:tc>
        <w:tc>
          <w:tcPr>
            <w:tcW w:w="1389" w:type="dxa"/>
            <w:tcBorders>
              <w:left w:val="nil"/>
              <w:bottom w:val="single" w:sz="4" w:space="0" w:color="000000" w:themeColor="text1"/>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Adjustment for non response</w:t>
            </w:r>
          </w:p>
        </w:tc>
        <w:tc>
          <w:tcPr>
            <w:tcW w:w="1076" w:type="dxa"/>
            <w:tcBorders>
              <w:left w:val="nil"/>
              <w:bottom w:val="single" w:sz="4" w:space="0" w:color="000000" w:themeColor="text1"/>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 in population</w:t>
            </w:r>
          </w:p>
        </w:tc>
        <w:tc>
          <w:tcPr>
            <w:tcW w:w="981" w:type="dxa"/>
            <w:tcBorders>
              <w:left w:val="nil"/>
              <w:bottom w:val="single" w:sz="4" w:space="0" w:color="000000" w:themeColor="text1"/>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Sample size in 1 stratum</w:t>
            </w:r>
          </w:p>
        </w:tc>
        <w:tc>
          <w:tcPr>
            <w:tcW w:w="921" w:type="dxa"/>
            <w:tcBorders>
              <w:left w:val="nil"/>
              <w:bottom w:val="single" w:sz="4" w:space="0" w:color="000000" w:themeColor="text1"/>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Sample size in 3 strata</w:t>
            </w:r>
          </w:p>
        </w:tc>
        <w:tc>
          <w:tcPr>
            <w:tcW w:w="1208" w:type="dxa"/>
            <w:tcBorders>
              <w:left w:val="nil"/>
              <w:bottom w:val="single" w:sz="4" w:space="0" w:color="000000" w:themeColor="text1"/>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Adjusted sample size in 3 strata</w:t>
            </w:r>
          </w:p>
        </w:tc>
      </w:tr>
      <w:tr w:rsidR="00FD7B63" w:rsidRPr="00D05947" w:rsidTr="00CC10FD">
        <w:tc>
          <w:tcPr>
            <w:tcW w:w="1101" w:type="dxa"/>
            <w:tcBorders>
              <w:left w:val="nil"/>
              <w:bottom w:val="nil"/>
              <w:right w:val="nil"/>
            </w:tcBorders>
          </w:tcPr>
          <w:p w:rsidR="00FD7B63" w:rsidRPr="00D05947" w:rsidRDefault="00FD7B63" w:rsidP="00A9228D">
            <w:pP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PSAC</w:t>
            </w:r>
          </w:p>
        </w:tc>
        <w:tc>
          <w:tcPr>
            <w:tcW w:w="664" w:type="dxa"/>
            <w:tcBorders>
              <w:left w:val="nil"/>
              <w:bottom w:val="nil"/>
              <w:right w:val="nil"/>
            </w:tcBorders>
          </w:tcPr>
          <w:p w:rsidR="00FD7B63" w:rsidRPr="00D05947" w:rsidRDefault="00FD7B63" w:rsidP="00A9228D">
            <w:pPr>
              <w:jc w:val="center"/>
              <w:rPr>
                <w:rFonts w:ascii="Times New Roman" w:hAnsi="Times New Roman" w:cs="Times New Roman"/>
                <w:color w:val="000000" w:themeColor="text1"/>
                <w:sz w:val="18"/>
                <w:szCs w:val="18"/>
                <w:vertAlign w:val="superscript"/>
              </w:rPr>
            </w:pPr>
            <w:r w:rsidRPr="00D05947">
              <w:rPr>
                <w:rFonts w:ascii="Times New Roman" w:hAnsi="Times New Roman" w:cs="Times New Roman"/>
                <w:color w:val="000000" w:themeColor="text1"/>
                <w:sz w:val="18"/>
                <w:szCs w:val="18"/>
              </w:rPr>
              <w:t>0.2</w:t>
            </w:r>
            <w:r w:rsidR="00CC10FD" w:rsidRPr="00D05947">
              <w:rPr>
                <w:rFonts w:ascii="Times New Roman" w:hAnsi="Times New Roman" w:cs="Times New Roman"/>
                <w:color w:val="000000" w:themeColor="text1"/>
                <w:sz w:val="18"/>
                <w:szCs w:val="18"/>
              </w:rPr>
              <w:t>4</w:t>
            </w:r>
            <w:r w:rsidR="00CC10FD" w:rsidRPr="00D05947">
              <w:rPr>
                <w:rFonts w:ascii="Times New Roman" w:eastAsia="Times New Roman" w:hAnsi="Times New Roman" w:cs="Times New Roman"/>
                <w:color w:val="000000" w:themeColor="text1"/>
                <w:sz w:val="24"/>
                <w:szCs w:val="24"/>
                <w:vertAlign w:val="superscript"/>
              </w:rPr>
              <w:t>†</w:t>
            </w:r>
          </w:p>
        </w:tc>
        <w:tc>
          <w:tcPr>
            <w:tcW w:w="623" w:type="dxa"/>
            <w:tcBorders>
              <w:left w:val="nil"/>
              <w:bottom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1.96</w:t>
            </w:r>
          </w:p>
        </w:tc>
        <w:tc>
          <w:tcPr>
            <w:tcW w:w="623" w:type="dxa"/>
            <w:tcBorders>
              <w:left w:val="nil"/>
              <w:bottom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0.07</w:t>
            </w:r>
          </w:p>
        </w:tc>
        <w:tc>
          <w:tcPr>
            <w:tcW w:w="990" w:type="dxa"/>
            <w:tcBorders>
              <w:left w:val="nil"/>
              <w:bottom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2</w:t>
            </w:r>
          </w:p>
        </w:tc>
        <w:tc>
          <w:tcPr>
            <w:tcW w:w="1389" w:type="dxa"/>
            <w:tcBorders>
              <w:left w:val="nil"/>
              <w:bottom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1.2</w:t>
            </w:r>
          </w:p>
        </w:tc>
        <w:tc>
          <w:tcPr>
            <w:tcW w:w="1076" w:type="dxa"/>
            <w:tcBorders>
              <w:left w:val="nil"/>
              <w:bottom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0.1</w:t>
            </w:r>
          </w:p>
        </w:tc>
        <w:tc>
          <w:tcPr>
            <w:tcW w:w="981" w:type="dxa"/>
            <w:tcBorders>
              <w:left w:val="nil"/>
              <w:bottom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323</w:t>
            </w:r>
          </w:p>
        </w:tc>
        <w:tc>
          <w:tcPr>
            <w:tcW w:w="921" w:type="dxa"/>
            <w:tcBorders>
              <w:left w:val="nil"/>
              <w:bottom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969</w:t>
            </w:r>
          </w:p>
        </w:tc>
        <w:tc>
          <w:tcPr>
            <w:tcW w:w="1208" w:type="dxa"/>
            <w:tcBorders>
              <w:left w:val="nil"/>
              <w:bottom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1050</w:t>
            </w:r>
          </w:p>
        </w:tc>
      </w:tr>
      <w:tr w:rsidR="00FD7B63" w:rsidRPr="00D05947" w:rsidTr="00CC10FD">
        <w:tc>
          <w:tcPr>
            <w:tcW w:w="1101" w:type="dxa"/>
            <w:tcBorders>
              <w:top w:val="nil"/>
              <w:left w:val="nil"/>
              <w:right w:val="nil"/>
            </w:tcBorders>
          </w:tcPr>
          <w:p w:rsidR="00FD7B63" w:rsidRPr="00D05947" w:rsidRDefault="00FD7B63" w:rsidP="00A9228D">
            <w:pP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NPNLW</w:t>
            </w:r>
          </w:p>
        </w:tc>
        <w:tc>
          <w:tcPr>
            <w:tcW w:w="664" w:type="dxa"/>
            <w:tcBorders>
              <w:top w:val="nil"/>
              <w:left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0.73</w:t>
            </w:r>
          </w:p>
        </w:tc>
        <w:tc>
          <w:tcPr>
            <w:tcW w:w="623" w:type="dxa"/>
            <w:tcBorders>
              <w:top w:val="nil"/>
              <w:left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1.96</w:t>
            </w:r>
          </w:p>
        </w:tc>
        <w:tc>
          <w:tcPr>
            <w:tcW w:w="623" w:type="dxa"/>
            <w:tcBorders>
              <w:top w:val="nil"/>
              <w:left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0.06</w:t>
            </w:r>
          </w:p>
        </w:tc>
        <w:tc>
          <w:tcPr>
            <w:tcW w:w="990" w:type="dxa"/>
            <w:tcBorders>
              <w:top w:val="nil"/>
              <w:left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2</w:t>
            </w:r>
          </w:p>
        </w:tc>
        <w:tc>
          <w:tcPr>
            <w:tcW w:w="1389" w:type="dxa"/>
            <w:tcBorders>
              <w:top w:val="nil"/>
              <w:left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1.2</w:t>
            </w:r>
          </w:p>
        </w:tc>
        <w:tc>
          <w:tcPr>
            <w:tcW w:w="1076" w:type="dxa"/>
            <w:tcBorders>
              <w:top w:val="nil"/>
              <w:left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0.25</w:t>
            </w:r>
          </w:p>
        </w:tc>
        <w:tc>
          <w:tcPr>
            <w:tcW w:w="981" w:type="dxa"/>
            <w:tcBorders>
              <w:top w:val="nil"/>
              <w:left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505</w:t>
            </w:r>
          </w:p>
        </w:tc>
        <w:tc>
          <w:tcPr>
            <w:tcW w:w="921" w:type="dxa"/>
            <w:tcBorders>
              <w:top w:val="nil"/>
              <w:left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1515</w:t>
            </w:r>
          </w:p>
        </w:tc>
        <w:tc>
          <w:tcPr>
            <w:tcW w:w="1208" w:type="dxa"/>
            <w:tcBorders>
              <w:top w:val="nil"/>
              <w:left w:val="nil"/>
              <w:right w:val="nil"/>
            </w:tcBorders>
          </w:tcPr>
          <w:p w:rsidR="00FD7B63" w:rsidRPr="00D05947" w:rsidRDefault="00FD7B63" w:rsidP="00A9228D">
            <w:pPr>
              <w:jc w:val="center"/>
              <w:rPr>
                <w:rFonts w:ascii="Times New Roman" w:hAnsi="Times New Roman" w:cs="Times New Roman"/>
                <w:color w:val="000000" w:themeColor="text1"/>
                <w:sz w:val="18"/>
                <w:szCs w:val="18"/>
              </w:rPr>
            </w:pPr>
            <w:r w:rsidRPr="00D05947">
              <w:rPr>
                <w:rFonts w:ascii="Times New Roman" w:hAnsi="Times New Roman" w:cs="Times New Roman"/>
                <w:color w:val="000000" w:themeColor="text1"/>
                <w:sz w:val="18"/>
                <w:szCs w:val="18"/>
              </w:rPr>
              <w:t>1500</w:t>
            </w:r>
          </w:p>
        </w:tc>
      </w:tr>
    </w:tbl>
    <w:p w:rsidR="00FD7B63" w:rsidRPr="00D05947" w:rsidRDefault="00CC10FD" w:rsidP="00FD7B63">
      <w:pPr>
        <w:jc w:val="both"/>
        <w:rPr>
          <w:rFonts w:ascii="Times New Roman" w:hAnsi="Times New Roman" w:cs="Times New Roman"/>
          <w:color w:val="000000" w:themeColor="text1"/>
          <w:vertAlign w:val="superscript"/>
        </w:rPr>
      </w:pPr>
      <w:r w:rsidRPr="00D05947">
        <w:rPr>
          <w:rFonts w:ascii="Times New Roman" w:eastAsia="Times New Roman" w:hAnsi="Times New Roman" w:cs="Times New Roman"/>
          <w:color w:val="000000" w:themeColor="text1"/>
          <w:sz w:val="24"/>
          <w:szCs w:val="24"/>
          <w:vertAlign w:val="superscript"/>
        </w:rPr>
        <w:t>†</w:t>
      </w:r>
      <w:r w:rsidRPr="00D05947">
        <w:rPr>
          <w:rFonts w:ascii="Times New Roman" w:hAnsi="Times New Roman" w:cs="Times New Roman"/>
          <w:color w:val="000000" w:themeColor="text1"/>
        </w:rPr>
        <w:t xml:space="preserve">Based on prevalence of low serum zinc observed in a contemporary </w:t>
      </w:r>
      <w:r w:rsidR="002A0CB1" w:rsidRPr="00D05947">
        <w:rPr>
          <w:rFonts w:ascii="Times New Roman" w:hAnsi="Times New Roman" w:cs="Times New Roman"/>
          <w:color w:val="000000" w:themeColor="text1"/>
        </w:rPr>
        <w:t>study</w:t>
      </w:r>
      <w:r w:rsidR="00FA4DB9" w:rsidRPr="00D05947">
        <w:rPr>
          <w:rFonts w:ascii="Times New Roman" w:hAnsi="Times New Roman" w:cs="Times New Roman"/>
          <w:color w:val="000000" w:themeColor="text1"/>
          <w:vertAlign w:val="superscript"/>
        </w:rPr>
        <w:t xml:space="preserve"> </w:t>
      </w:r>
      <w:r w:rsidR="00E12435" w:rsidRPr="00D05947">
        <w:rPr>
          <w:rFonts w:ascii="Times New Roman" w:hAnsi="Times New Roman" w:cs="Times New Roman"/>
          <w:color w:val="000000" w:themeColor="text1"/>
          <w:vertAlign w:val="superscript"/>
        </w:rPr>
        <w:t>(2</w:t>
      </w:r>
      <w:r w:rsidR="002A0CB1" w:rsidRPr="00D05947">
        <w:rPr>
          <w:rFonts w:ascii="Times New Roman" w:hAnsi="Times New Roman" w:cs="Times New Roman"/>
          <w:color w:val="000000" w:themeColor="text1"/>
          <w:vertAlign w:val="superscript"/>
        </w:rPr>
        <w:t>)</w:t>
      </w:r>
    </w:p>
    <w:p w:rsidR="00BE5725" w:rsidRPr="00D05947" w:rsidRDefault="00945013">
      <w:pPr>
        <w:rPr>
          <w:rFonts w:ascii="Times New Roman" w:hAnsi="Times New Roman" w:cs="Times New Roman"/>
          <w:color w:val="000000" w:themeColor="text1"/>
          <w:sz w:val="24"/>
          <w:szCs w:val="24"/>
        </w:rPr>
      </w:pPr>
      <w:r w:rsidRPr="00D05947">
        <w:rPr>
          <w:rFonts w:ascii="Times New Roman" w:hAnsi="Times New Roman" w:cs="Times New Roman"/>
          <w:color w:val="000000" w:themeColor="text1"/>
          <w:sz w:val="24"/>
          <w:szCs w:val="24"/>
        </w:rPr>
        <w:t>Reference</w:t>
      </w:r>
    </w:p>
    <w:p w:rsidR="00E12435" w:rsidRPr="00D05947" w:rsidRDefault="00945013" w:rsidP="00E12435">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D05947">
        <w:rPr>
          <w:rFonts w:ascii="Times New Roman" w:hAnsi="Times New Roman" w:cs="Times New Roman"/>
          <w:color w:val="000000" w:themeColor="text1"/>
          <w:sz w:val="24"/>
          <w:szCs w:val="24"/>
        </w:rPr>
        <w:t xml:space="preserve">National Micronutrient Survey 2011-12, Final Report. Dhaka, Bangladesh: Institute of Public Health Nutrition, United Nation Children’s Fund (UNICEF), </w:t>
      </w:r>
      <w:r w:rsidR="006F337F" w:rsidRPr="00D05947">
        <w:rPr>
          <w:rFonts w:ascii="Times New Roman" w:hAnsi="Times New Roman" w:cs="Times New Roman"/>
          <w:color w:val="000000" w:themeColor="text1"/>
          <w:sz w:val="24"/>
          <w:szCs w:val="24"/>
        </w:rPr>
        <w:t>icddr,b and Global Allia</w:t>
      </w:r>
      <w:r w:rsidRPr="00D05947">
        <w:rPr>
          <w:rFonts w:ascii="Times New Roman" w:hAnsi="Times New Roman" w:cs="Times New Roman"/>
          <w:color w:val="000000" w:themeColor="text1"/>
          <w:sz w:val="24"/>
          <w:szCs w:val="24"/>
        </w:rPr>
        <w:t>nce for Improved Nutrition(GAIN)</w:t>
      </w:r>
    </w:p>
    <w:p w:rsidR="00945013" w:rsidRPr="00D05947" w:rsidRDefault="00945013" w:rsidP="00E12435">
      <w:pPr>
        <w:rPr>
          <w:rFonts w:ascii="Times New Roman" w:hAnsi="Times New Roman" w:cs="Times New Roman"/>
          <w:color w:val="000000" w:themeColor="text1"/>
          <w:sz w:val="24"/>
          <w:szCs w:val="24"/>
        </w:rPr>
      </w:pPr>
    </w:p>
    <w:p w:rsidR="00E12435" w:rsidRPr="00D05947" w:rsidRDefault="00E12435" w:rsidP="00E12435">
      <w:pPr>
        <w:pStyle w:val="ListParagraph"/>
        <w:numPr>
          <w:ilvl w:val="0"/>
          <w:numId w:val="1"/>
        </w:numPr>
        <w:rPr>
          <w:rFonts w:ascii="Times New Roman" w:hAnsi="Times New Roman" w:cs="Times New Roman"/>
          <w:color w:val="000000" w:themeColor="text1"/>
          <w:sz w:val="24"/>
          <w:szCs w:val="24"/>
        </w:rPr>
      </w:pPr>
      <w:r w:rsidRPr="00D05947">
        <w:rPr>
          <w:rFonts w:ascii="Times New Roman" w:hAnsi="Times New Roman" w:cs="Times New Roman"/>
          <w:color w:val="000000" w:themeColor="text1"/>
          <w:sz w:val="24"/>
          <w:szCs w:val="24"/>
        </w:rPr>
        <w:t xml:space="preserve">Arsenault JE, Yakes EA, Hossain MB et al (2010). The Current High Prevalence of Dietary Zinc Inadequacy among Children and Women in Rural Bangladesh Could Be Substantially Ameliorated by Zinc Biofortification of Rice; </w:t>
      </w:r>
      <w:r w:rsidRPr="00D05947">
        <w:rPr>
          <w:rFonts w:ascii="Times New Roman" w:hAnsi="Times New Roman" w:cs="Times New Roman"/>
          <w:i/>
          <w:color w:val="000000" w:themeColor="text1"/>
          <w:sz w:val="24"/>
          <w:szCs w:val="24"/>
        </w:rPr>
        <w:t>J. Nutr.</w:t>
      </w:r>
      <w:r w:rsidRPr="00D05947">
        <w:rPr>
          <w:rFonts w:ascii="Times New Roman" w:hAnsi="Times New Roman" w:cs="Times New Roman"/>
          <w:color w:val="000000" w:themeColor="text1"/>
          <w:sz w:val="24"/>
          <w:szCs w:val="24"/>
        </w:rPr>
        <w:t xml:space="preserve"> </w:t>
      </w:r>
      <w:r w:rsidRPr="00D05947">
        <w:rPr>
          <w:rFonts w:ascii="Times New Roman" w:hAnsi="Times New Roman" w:cs="Times New Roman"/>
          <w:b/>
          <w:color w:val="000000" w:themeColor="text1"/>
          <w:sz w:val="24"/>
          <w:szCs w:val="24"/>
        </w:rPr>
        <w:t>140:</w:t>
      </w:r>
      <w:r w:rsidRPr="00D05947">
        <w:rPr>
          <w:rFonts w:ascii="Times New Roman" w:hAnsi="Times New Roman" w:cs="Times New Roman"/>
          <w:color w:val="000000" w:themeColor="text1"/>
          <w:sz w:val="24"/>
          <w:szCs w:val="24"/>
        </w:rPr>
        <w:t xml:space="preserve"> 1683–1690</w:t>
      </w:r>
    </w:p>
    <w:sectPr w:rsidR="00E12435" w:rsidRPr="00D05947" w:rsidSect="00BE5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87550"/>
    <w:multiLevelType w:val="hybridMultilevel"/>
    <w:tmpl w:val="0564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useFELayout/>
  </w:compat>
  <w:rsids>
    <w:rsidRoot w:val="00AE7D07"/>
    <w:rsid w:val="00081AE0"/>
    <w:rsid w:val="00097CB3"/>
    <w:rsid w:val="000D1906"/>
    <w:rsid w:val="000E1C2E"/>
    <w:rsid w:val="0011016D"/>
    <w:rsid w:val="001871C9"/>
    <w:rsid w:val="001A7C4F"/>
    <w:rsid w:val="001C4B09"/>
    <w:rsid w:val="002A0CB1"/>
    <w:rsid w:val="00310382"/>
    <w:rsid w:val="00450E3E"/>
    <w:rsid w:val="004A29B8"/>
    <w:rsid w:val="005B0C7F"/>
    <w:rsid w:val="00621543"/>
    <w:rsid w:val="006633F4"/>
    <w:rsid w:val="006F337F"/>
    <w:rsid w:val="00737162"/>
    <w:rsid w:val="00751E5C"/>
    <w:rsid w:val="007C51A5"/>
    <w:rsid w:val="008211E2"/>
    <w:rsid w:val="008D14A4"/>
    <w:rsid w:val="00940BBD"/>
    <w:rsid w:val="00945013"/>
    <w:rsid w:val="00A067A3"/>
    <w:rsid w:val="00AE1510"/>
    <w:rsid w:val="00AE7D07"/>
    <w:rsid w:val="00B667F9"/>
    <w:rsid w:val="00BA45B1"/>
    <w:rsid w:val="00BE5725"/>
    <w:rsid w:val="00C7756A"/>
    <w:rsid w:val="00CC10FD"/>
    <w:rsid w:val="00D05947"/>
    <w:rsid w:val="00D25763"/>
    <w:rsid w:val="00D647E7"/>
    <w:rsid w:val="00DA37D9"/>
    <w:rsid w:val="00E12435"/>
    <w:rsid w:val="00E21C89"/>
    <w:rsid w:val="00F6505D"/>
    <w:rsid w:val="00FA4DB9"/>
    <w:rsid w:val="00FD7B63"/>
    <w:rsid w:val="00FE2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81AE0"/>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81AE0"/>
    <w:rPr>
      <w:rFonts w:ascii="Consolas" w:eastAsiaTheme="minorHAnsi" w:hAnsi="Consolas" w:cs="Consolas"/>
      <w:sz w:val="21"/>
      <w:szCs w:val="21"/>
    </w:rPr>
  </w:style>
  <w:style w:type="paragraph" w:styleId="ListParagraph">
    <w:name w:val="List Paragraph"/>
    <w:basedOn w:val="Normal"/>
    <w:uiPriority w:val="34"/>
    <w:qFormat/>
    <w:rsid w:val="00E124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Sabuktagin</dc:creator>
  <cp:lastModifiedBy>Sabuktagin</cp:lastModifiedBy>
  <cp:revision>2</cp:revision>
  <dcterms:created xsi:type="dcterms:W3CDTF">2016-03-17T20:22:00Z</dcterms:created>
  <dcterms:modified xsi:type="dcterms:W3CDTF">2016-03-17T20:22:00Z</dcterms:modified>
</cp:coreProperties>
</file>