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028C" w14:textId="5591C489" w:rsidR="002A2F8E" w:rsidRDefault="006B5F4F" w:rsidP="002A2F8E">
      <w:pPr>
        <w:pStyle w:val="TELHdng1"/>
      </w:pPr>
      <w:r>
        <w:t>Online</w:t>
      </w:r>
      <w:r w:rsidR="00AD23F9">
        <w:t xml:space="preserve"> </w:t>
      </w:r>
      <w:r w:rsidR="002A2F8E">
        <w:t>APPENDIX</w:t>
      </w:r>
      <w:r>
        <w:t xml:space="preserve"> </w:t>
      </w:r>
      <w:r w:rsidR="002A2F8E">
        <w:t xml:space="preserve"> </w:t>
      </w:r>
    </w:p>
    <w:p w14:paraId="32E6FCBC" w14:textId="542DA831" w:rsidR="002A2F8E" w:rsidRDefault="002A2F8E" w:rsidP="002A2F8E">
      <w:pPr>
        <w:pStyle w:val="TELnormal"/>
        <w:rPr>
          <w:lang w:eastAsia="en-AU"/>
        </w:rPr>
      </w:pPr>
    </w:p>
    <w:p w14:paraId="769A3345" w14:textId="296ACB0E" w:rsidR="006B5F4F" w:rsidRDefault="006B5F4F" w:rsidP="002A2F8E">
      <w:pPr>
        <w:pStyle w:val="TELnormal"/>
        <w:rPr>
          <w:lang w:eastAsia="en-AU"/>
        </w:rPr>
      </w:pPr>
      <w:r>
        <w:rPr>
          <w:lang w:eastAsia="en-AU"/>
        </w:rPr>
        <w:t xml:space="preserve">This Appendix accompanies </w:t>
      </w:r>
      <w:r w:rsidR="00815FB3">
        <w:rPr>
          <w:lang w:eastAsia="en-AU"/>
        </w:rPr>
        <w:t>Christine Parker and Lucinda Sheedy-Reinhard,</w:t>
      </w:r>
      <w:r>
        <w:rPr>
          <w:lang w:eastAsia="en-AU"/>
        </w:rPr>
        <w:t xml:space="preserve"> </w:t>
      </w:r>
      <w:r w:rsidR="00815FB3">
        <w:rPr>
          <w:lang w:eastAsia="en-AU"/>
        </w:rPr>
        <w:t>‘</w:t>
      </w:r>
      <w:r w:rsidR="00815FB3" w:rsidRPr="004F4119">
        <w:rPr>
          <w:color w:val="000000" w:themeColor="text1"/>
          <w:szCs w:val="24"/>
        </w:rPr>
        <w:t xml:space="preserve">Are Banks Responsible for Animals? </w:t>
      </w:r>
      <w:r w:rsidR="00815FB3" w:rsidRPr="00554612">
        <w:rPr>
          <w:color w:val="000000" w:themeColor="text1"/>
          <w:szCs w:val="24"/>
        </w:rPr>
        <w:t xml:space="preserve">A Critical Review </w:t>
      </w:r>
      <w:r w:rsidR="00815FB3">
        <w:rPr>
          <w:color w:val="000000" w:themeColor="text1"/>
          <w:szCs w:val="24"/>
        </w:rPr>
        <w:t>o</w:t>
      </w:r>
      <w:r w:rsidR="00815FB3" w:rsidRPr="00554612">
        <w:rPr>
          <w:color w:val="000000" w:themeColor="text1"/>
          <w:szCs w:val="24"/>
        </w:rPr>
        <w:t xml:space="preserve">f Animal Welfare </w:t>
      </w:r>
      <w:r w:rsidR="00815FB3">
        <w:rPr>
          <w:color w:val="000000" w:themeColor="text1"/>
          <w:szCs w:val="24"/>
        </w:rPr>
        <w:t>a</w:t>
      </w:r>
      <w:r w:rsidR="00815FB3" w:rsidRPr="00554612">
        <w:rPr>
          <w:color w:val="000000" w:themeColor="text1"/>
          <w:szCs w:val="24"/>
        </w:rPr>
        <w:t xml:space="preserve">nd Climate Disruption </w:t>
      </w:r>
      <w:r w:rsidR="00815FB3">
        <w:rPr>
          <w:color w:val="000000" w:themeColor="text1"/>
          <w:szCs w:val="24"/>
        </w:rPr>
        <w:t>i</w:t>
      </w:r>
      <w:r w:rsidR="00815FB3" w:rsidRPr="00554612">
        <w:rPr>
          <w:color w:val="000000" w:themeColor="text1"/>
          <w:szCs w:val="24"/>
        </w:rPr>
        <w:t xml:space="preserve">n Banks’ Due Diligence Policies </w:t>
      </w:r>
      <w:r w:rsidR="00815FB3">
        <w:rPr>
          <w:color w:val="000000" w:themeColor="text1"/>
          <w:szCs w:val="24"/>
        </w:rPr>
        <w:t>f</w:t>
      </w:r>
      <w:r w:rsidR="00815FB3" w:rsidRPr="00554612">
        <w:rPr>
          <w:color w:val="000000" w:themeColor="text1"/>
          <w:szCs w:val="24"/>
        </w:rPr>
        <w:t>or Agribusiness Lending</w:t>
      </w:r>
      <w:r w:rsidR="00815FB3">
        <w:rPr>
          <w:color w:val="000000" w:themeColor="text1"/>
          <w:szCs w:val="24"/>
        </w:rPr>
        <w:t>’.</w:t>
      </w:r>
      <w:r>
        <w:rPr>
          <w:lang w:eastAsia="en-AU"/>
        </w:rPr>
        <w:t xml:space="preserve">  It provides further details of methods and sources. All sources are also on file with the first author and available upon request. </w:t>
      </w:r>
    </w:p>
    <w:p w14:paraId="644EF030" w14:textId="77777777" w:rsidR="006B5F4F" w:rsidRDefault="006B5F4F" w:rsidP="002A2F8E">
      <w:pPr>
        <w:pStyle w:val="TELnormal"/>
        <w:rPr>
          <w:lang w:eastAsia="en-AU"/>
        </w:rPr>
      </w:pPr>
    </w:p>
    <w:p w14:paraId="692B77C9" w14:textId="10A4AD93" w:rsidR="000F32FB" w:rsidRPr="00FF1A2D" w:rsidRDefault="000F32FB" w:rsidP="000F32FB">
      <w:pPr>
        <w:pStyle w:val="TELTableheading"/>
        <w:spacing w:line="480" w:lineRule="auto"/>
        <w:rPr>
          <w:rFonts w:cs="Times New Roman"/>
          <w:color w:val="000000" w:themeColor="text1"/>
          <w:szCs w:val="24"/>
        </w:rPr>
      </w:pPr>
      <w:r w:rsidRPr="00FF1A2D">
        <w:rPr>
          <w:rFonts w:cs="Times New Roman"/>
          <w:color w:val="000000" w:themeColor="text1"/>
          <w:szCs w:val="24"/>
        </w:rPr>
        <w:t xml:space="preserve">Table </w:t>
      </w:r>
      <w:r>
        <w:rPr>
          <w:rFonts w:cs="Times New Roman"/>
          <w:color w:val="000000" w:themeColor="text1"/>
          <w:szCs w:val="24"/>
        </w:rPr>
        <w:t>A1</w:t>
      </w:r>
      <w:r w:rsidRPr="00FF1A2D">
        <w:rPr>
          <w:rFonts w:cs="Times New Roman"/>
          <w:color w:val="000000" w:themeColor="text1"/>
          <w:szCs w:val="24"/>
        </w:rPr>
        <w:t>: Banks Operating in Australia and Climate Commitments</w:t>
      </w:r>
    </w:p>
    <w:tbl>
      <w:tblPr>
        <w:tblStyle w:val="TableGrid"/>
        <w:tblW w:w="9209" w:type="dxa"/>
        <w:tblLayout w:type="fixed"/>
        <w:tblLook w:val="06A0" w:firstRow="1" w:lastRow="0" w:firstColumn="1" w:lastColumn="0" w:noHBand="1" w:noVBand="1"/>
      </w:tblPr>
      <w:tblGrid>
        <w:gridCol w:w="1271"/>
        <w:gridCol w:w="7938"/>
      </w:tblGrid>
      <w:tr w:rsidR="000F32FB" w:rsidRPr="00BB53C0" w14:paraId="233D5252" w14:textId="77777777" w:rsidTr="00FF1A2D">
        <w:tc>
          <w:tcPr>
            <w:tcW w:w="1271" w:type="dxa"/>
          </w:tcPr>
          <w:p w14:paraId="439F3F06"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Bank</w:t>
            </w:r>
          </w:p>
        </w:tc>
        <w:tc>
          <w:tcPr>
            <w:tcW w:w="7938" w:type="dxa"/>
          </w:tcPr>
          <w:p w14:paraId="4F419D53"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 xml:space="preserve">Fossil Fuel Lending Commitments </w:t>
            </w:r>
          </w:p>
        </w:tc>
      </w:tr>
      <w:tr w:rsidR="000F32FB" w:rsidRPr="00BB53C0" w14:paraId="20E178BE" w14:textId="77777777" w:rsidTr="00FF1A2D">
        <w:tc>
          <w:tcPr>
            <w:tcW w:w="1271" w:type="dxa"/>
          </w:tcPr>
          <w:p w14:paraId="028BCD1D"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ANZ</w:t>
            </w:r>
          </w:p>
        </w:tc>
        <w:tc>
          <w:tcPr>
            <w:tcW w:w="7938" w:type="dxa"/>
          </w:tcPr>
          <w:p w14:paraId="4848834A" w14:textId="77777777" w:rsidR="000F32FB" w:rsidRPr="000F32FB" w:rsidRDefault="000F32FB" w:rsidP="000F32FB">
            <w:pPr>
              <w:pStyle w:val="TELnormal"/>
              <w:keepNext/>
              <w:keepLines/>
              <w:tabs>
                <w:tab w:val="left" w:pos="2033"/>
              </w:tabs>
              <w:spacing w:line="240" w:lineRule="auto"/>
              <w:rPr>
                <w:rFonts w:cs="Times New Roman"/>
                <w:color w:val="000000" w:themeColor="text1"/>
                <w:sz w:val="22"/>
                <w:lang w:eastAsia="en-AU"/>
              </w:rPr>
            </w:pPr>
            <w:r w:rsidRPr="000F32FB">
              <w:rPr>
                <w:rFonts w:eastAsia="Times New Roman" w:cs="Times New Roman"/>
                <w:color w:val="000000" w:themeColor="text1"/>
                <w:sz w:val="22"/>
                <w:lang w:eastAsia="en-AU"/>
              </w:rPr>
              <w:t>Will ‘no longer directly finance new assets across the thermal coal value chain’; and ‘will exit all directly financed coal-fired power stations and thermal coal mines by 2030’</w:t>
            </w:r>
            <w:r w:rsidRPr="000F32FB">
              <w:rPr>
                <w:rStyle w:val="FootnoteReference"/>
                <w:rFonts w:eastAsia="Times New Roman" w:cs="Times New Roman"/>
                <w:color w:val="000000" w:themeColor="text1"/>
                <w:sz w:val="22"/>
                <w:lang w:eastAsia="en-AU"/>
              </w:rPr>
              <w:footnoteReference w:id="1"/>
            </w:r>
          </w:p>
        </w:tc>
      </w:tr>
      <w:tr w:rsidR="000F32FB" w:rsidRPr="00BB53C0" w14:paraId="60EABE18" w14:textId="77777777" w:rsidTr="00FF1A2D">
        <w:tc>
          <w:tcPr>
            <w:tcW w:w="1271" w:type="dxa"/>
          </w:tcPr>
          <w:p w14:paraId="04E1C6C0"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Bank Australia</w:t>
            </w:r>
          </w:p>
        </w:tc>
        <w:tc>
          <w:tcPr>
            <w:tcW w:w="7938" w:type="dxa"/>
          </w:tcPr>
          <w:p w14:paraId="6492704A" w14:textId="77777777" w:rsidR="000F32FB" w:rsidRPr="000F32FB" w:rsidRDefault="000F32FB" w:rsidP="000F32FB">
            <w:pPr>
              <w:pStyle w:val="TELnormal"/>
              <w:keepNext/>
              <w:keepLines/>
              <w:tabs>
                <w:tab w:val="left" w:pos="2033"/>
              </w:tabs>
              <w:spacing w:line="240" w:lineRule="auto"/>
              <w:rPr>
                <w:rFonts w:cs="Times New Roman"/>
                <w:color w:val="000000" w:themeColor="text1"/>
                <w:sz w:val="22"/>
                <w:lang w:eastAsia="en-AU"/>
              </w:rPr>
            </w:pPr>
            <w:r w:rsidRPr="000F32FB">
              <w:rPr>
                <w:rFonts w:eastAsia="Times New Roman" w:cs="Times New Roman"/>
                <w:color w:val="000000" w:themeColor="text1"/>
                <w:sz w:val="22"/>
                <w:lang w:eastAsia="en-AU"/>
              </w:rPr>
              <w:t>Does not lend to the fossil fuel industry (incl coal, gas or oil extraction) or fossil fuel electricity generation</w:t>
            </w:r>
            <w:r w:rsidRPr="000F32FB">
              <w:rPr>
                <w:rStyle w:val="FootnoteReference"/>
                <w:rFonts w:eastAsia="Times New Roman" w:cs="Times New Roman"/>
                <w:color w:val="000000" w:themeColor="text1"/>
                <w:sz w:val="22"/>
                <w:lang w:eastAsia="en-AU"/>
              </w:rPr>
              <w:footnoteReference w:id="2"/>
            </w:r>
          </w:p>
        </w:tc>
      </w:tr>
      <w:tr w:rsidR="000F32FB" w:rsidRPr="00BB53C0" w14:paraId="39A8B6B3" w14:textId="77777777" w:rsidTr="00FF1A2D">
        <w:tc>
          <w:tcPr>
            <w:tcW w:w="1271" w:type="dxa"/>
          </w:tcPr>
          <w:p w14:paraId="288B782F"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BEN</w:t>
            </w:r>
          </w:p>
        </w:tc>
        <w:tc>
          <w:tcPr>
            <w:tcW w:w="7938" w:type="dxa"/>
          </w:tcPr>
          <w:p w14:paraId="098E7845" w14:textId="77777777" w:rsidR="000F32FB" w:rsidRPr="000F32FB" w:rsidRDefault="000F32FB" w:rsidP="000F32FB">
            <w:pPr>
              <w:pStyle w:val="TELnormal"/>
              <w:keepNext/>
              <w:keepLines/>
              <w:spacing w:line="240" w:lineRule="auto"/>
              <w:rPr>
                <w:rFonts w:eastAsiaTheme="minorEastAsia" w:cs="Times New Roman"/>
                <w:color w:val="000000" w:themeColor="text1"/>
                <w:sz w:val="22"/>
                <w:lang w:eastAsia="en-AU"/>
              </w:rPr>
            </w:pPr>
            <w:r w:rsidRPr="000F32FB">
              <w:rPr>
                <w:rFonts w:eastAsia="Times New Roman" w:cs="Times New Roman"/>
                <w:color w:val="000000" w:themeColor="text1"/>
                <w:sz w:val="22"/>
                <w:lang w:eastAsia="en-AU"/>
              </w:rPr>
              <w:t>No direct lending to coal or coal seam gas projects.</w:t>
            </w:r>
            <w:r w:rsidRPr="000F32FB">
              <w:rPr>
                <w:rStyle w:val="FootnoteReference"/>
                <w:rFonts w:eastAsia="Times New Roman" w:cs="Times New Roman"/>
                <w:color w:val="000000" w:themeColor="text1"/>
                <w:sz w:val="22"/>
                <w:lang w:eastAsia="en-AU"/>
              </w:rPr>
              <w:footnoteReference w:id="3"/>
            </w:r>
          </w:p>
        </w:tc>
      </w:tr>
      <w:tr w:rsidR="000F32FB" w:rsidRPr="00BB53C0" w14:paraId="293646DC" w14:textId="77777777" w:rsidTr="00FF1A2D">
        <w:tc>
          <w:tcPr>
            <w:tcW w:w="1271" w:type="dxa"/>
          </w:tcPr>
          <w:p w14:paraId="1875BD62"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CBA</w:t>
            </w:r>
          </w:p>
        </w:tc>
        <w:tc>
          <w:tcPr>
            <w:tcW w:w="7938" w:type="dxa"/>
          </w:tcPr>
          <w:p w14:paraId="77EF0F99" w14:textId="77777777" w:rsidR="000F32FB" w:rsidRPr="000F32FB" w:rsidRDefault="000F32FB" w:rsidP="000F32FB">
            <w:pPr>
              <w:pStyle w:val="TELnormal"/>
              <w:keepNext/>
              <w:keepLines/>
              <w:spacing w:line="240" w:lineRule="auto"/>
              <w:rPr>
                <w:rFonts w:cs="Times New Roman"/>
                <w:color w:val="000000" w:themeColor="text1"/>
                <w:sz w:val="22"/>
                <w:lang w:eastAsia="en-AU"/>
              </w:rPr>
            </w:pPr>
            <w:r w:rsidRPr="000F32FB">
              <w:rPr>
                <w:rFonts w:eastAsia="Times New Roman" w:cs="Times New Roman"/>
                <w:color w:val="000000" w:themeColor="text1"/>
                <w:sz w:val="22"/>
                <w:lang w:eastAsia="en-AU"/>
              </w:rPr>
              <w:t>Will reduce its exposure to thermal coal mining and coal fired power generation with a view to exiting the sector by 2030</w:t>
            </w:r>
            <w:r w:rsidRPr="000F32FB">
              <w:rPr>
                <w:rStyle w:val="FootnoteReference"/>
                <w:rFonts w:eastAsia="Times New Roman" w:cs="Times New Roman"/>
                <w:color w:val="000000" w:themeColor="text1"/>
                <w:sz w:val="22"/>
                <w:lang w:eastAsia="en-AU"/>
              </w:rPr>
              <w:footnoteReference w:id="4"/>
            </w:r>
            <w:r w:rsidRPr="000F32FB">
              <w:rPr>
                <w:rFonts w:eastAsia="Times New Roman" w:cs="Times New Roman"/>
                <w:color w:val="000000" w:themeColor="text1"/>
                <w:sz w:val="22"/>
                <w:lang w:eastAsia="en-AU"/>
              </w:rPr>
              <w:t xml:space="preserve">  </w:t>
            </w:r>
          </w:p>
        </w:tc>
      </w:tr>
      <w:tr w:rsidR="000F32FB" w:rsidRPr="00BB53C0" w14:paraId="0A336C67" w14:textId="77777777" w:rsidTr="00FF1A2D">
        <w:tc>
          <w:tcPr>
            <w:tcW w:w="1271" w:type="dxa"/>
          </w:tcPr>
          <w:p w14:paraId="22493D84"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NAB</w:t>
            </w:r>
          </w:p>
        </w:tc>
        <w:tc>
          <w:tcPr>
            <w:tcW w:w="7938" w:type="dxa"/>
          </w:tcPr>
          <w:p w14:paraId="6EC9B164" w14:textId="77777777" w:rsidR="000F32FB" w:rsidRPr="000F32FB" w:rsidRDefault="000F32FB" w:rsidP="000F32FB">
            <w:pPr>
              <w:pStyle w:val="TELnormal"/>
              <w:keepNext/>
              <w:keepLines/>
              <w:spacing w:line="240" w:lineRule="auto"/>
              <w:rPr>
                <w:rFonts w:eastAsia="Times New Roman" w:cs="Times New Roman"/>
                <w:color w:val="000000" w:themeColor="text1"/>
                <w:sz w:val="22"/>
                <w:lang w:eastAsia="en-AU"/>
              </w:rPr>
            </w:pPr>
            <w:r w:rsidRPr="000F32FB">
              <w:rPr>
                <w:rFonts w:eastAsia="Times New Roman" w:cs="Times New Roman"/>
                <w:color w:val="000000" w:themeColor="text1"/>
                <w:sz w:val="22"/>
                <w:lang w:eastAsia="en-AU"/>
              </w:rPr>
              <w:t>Will cap thermal mining exposures at 2019 levels and be effectively zero by 2035 apart from residual guarantees to rehabilitate existing coal assets; and</w:t>
            </w:r>
          </w:p>
          <w:p w14:paraId="4AA72B42" w14:textId="77777777" w:rsidR="000F32FB" w:rsidRPr="000F32FB" w:rsidRDefault="000F32FB" w:rsidP="000F32FB">
            <w:pPr>
              <w:pStyle w:val="TELnormal"/>
              <w:keepNext/>
              <w:keepLines/>
              <w:spacing w:line="240" w:lineRule="auto"/>
              <w:rPr>
                <w:rFonts w:cs="Times New Roman"/>
                <w:color w:val="000000" w:themeColor="text1"/>
                <w:sz w:val="22"/>
                <w:lang w:eastAsia="en-AU"/>
              </w:rPr>
            </w:pPr>
            <w:r w:rsidRPr="000F32FB">
              <w:rPr>
                <w:rFonts w:eastAsia="Times New Roman" w:cs="Times New Roman"/>
                <w:color w:val="000000" w:themeColor="text1"/>
                <w:sz w:val="22"/>
                <w:lang w:eastAsia="en-AU"/>
              </w:rPr>
              <w:t>Seeking to decarbonize portfolio by supporting coal fired power generation customers to reach net zero emissions by 2050 aligned with the Paris Agreement.</w:t>
            </w:r>
            <w:r w:rsidRPr="000F32FB">
              <w:rPr>
                <w:rStyle w:val="FootnoteReference"/>
                <w:rFonts w:eastAsia="Times New Roman" w:cs="Times New Roman"/>
                <w:color w:val="000000" w:themeColor="text1"/>
                <w:sz w:val="22"/>
                <w:lang w:eastAsia="en-AU"/>
              </w:rPr>
              <w:footnoteReference w:id="5"/>
            </w:r>
          </w:p>
        </w:tc>
      </w:tr>
      <w:tr w:rsidR="000F32FB" w:rsidRPr="00BB53C0" w14:paraId="23F57DEF" w14:textId="77777777" w:rsidTr="00FF1A2D">
        <w:tc>
          <w:tcPr>
            <w:tcW w:w="1271" w:type="dxa"/>
          </w:tcPr>
          <w:p w14:paraId="71D274B2" w14:textId="77777777" w:rsidR="000F32FB" w:rsidRPr="000F32FB" w:rsidRDefault="000F32FB" w:rsidP="000F32FB">
            <w:pPr>
              <w:pStyle w:val="TELnormal"/>
              <w:keepNext/>
              <w:keepLines/>
              <w:spacing w:after="0"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Rabobank</w:t>
            </w:r>
          </w:p>
        </w:tc>
        <w:tc>
          <w:tcPr>
            <w:tcW w:w="7938" w:type="dxa"/>
          </w:tcPr>
          <w:p w14:paraId="31D3C33B" w14:textId="77777777" w:rsidR="000F32FB" w:rsidRPr="000F32FB" w:rsidRDefault="000F32FB" w:rsidP="000F32FB">
            <w:pPr>
              <w:pStyle w:val="TELnormal"/>
              <w:keepNext/>
              <w:keepLines/>
              <w:spacing w:after="0" w:line="240" w:lineRule="auto"/>
              <w:rPr>
                <w:rFonts w:eastAsia="Times New Roman" w:cs="Times New Roman"/>
                <w:color w:val="000000" w:themeColor="text1"/>
                <w:sz w:val="22"/>
                <w:lang w:eastAsia="en-AU"/>
              </w:rPr>
            </w:pPr>
            <w:r w:rsidRPr="000F32FB">
              <w:rPr>
                <w:rFonts w:eastAsia="Times New Roman" w:cs="Times New Roman"/>
                <w:color w:val="000000" w:themeColor="text1"/>
                <w:sz w:val="22"/>
                <w:lang w:eastAsia="en-AU"/>
              </w:rPr>
              <w:t>Will not directly finance the exploration, extraction, production or refining of coal used for power generation and of shale gas and other non-conventional fossil fuels. Will replace coal with less environmentally harmful energy carriers in all financial dealings as soon as possible…</w:t>
            </w:r>
            <w:r w:rsidRPr="000F32FB">
              <w:rPr>
                <w:rStyle w:val="FootnoteReference"/>
                <w:rFonts w:eastAsia="Times New Roman" w:cs="Times New Roman"/>
                <w:color w:val="000000" w:themeColor="text1"/>
                <w:sz w:val="22"/>
                <w:lang w:eastAsia="en-AU"/>
              </w:rPr>
              <w:footnoteReference w:id="6"/>
            </w:r>
          </w:p>
        </w:tc>
      </w:tr>
      <w:tr w:rsidR="000F32FB" w:rsidRPr="00BB53C0" w14:paraId="2EFE58FD" w14:textId="77777777" w:rsidTr="00FF1A2D">
        <w:tc>
          <w:tcPr>
            <w:tcW w:w="1271" w:type="dxa"/>
          </w:tcPr>
          <w:p w14:paraId="1BED08F3" w14:textId="77777777" w:rsidR="000F32FB" w:rsidRPr="000F32FB" w:rsidRDefault="000F32FB" w:rsidP="000F32FB">
            <w:pPr>
              <w:pStyle w:val="TELnormal"/>
              <w:keepNext/>
              <w:keepLines/>
              <w:spacing w:line="240" w:lineRule="auto"/>
              <w:rPr>
                <w:rFonts w:eastAsia="Times New Roman" w:cs="Times New Roman"/>
                <w:b/>
                <w:bCs/>
                <w:color w:val="000000" w:themeColor="text1"/>
                <w:sz w:val="22"/>
                <w:lang w:eastAsia="en-AU"/>
              </w:rPr>
            </w:pPr>
            <w:r w:rsidRPr="000F32FB">
              <w:rPr>
                <w:rFonts w:eastAsia="Times New Roman" w:cs="Times New Roman"/>
                <w:b/>
                <w:bCs/>
                <w:color w:val="000000" w:themeColor="text1"/>
                <w:sz w:val="22"/>
                <w:lang w:eastAsia="en-AU"/>
              </w:rPr>
              <w:t>Westpac</w:t>
            </w:r>
          </w:p>
        </w:tc>
        <w:tc>
          <w:tcPr>
            <w:tcW w:w="7938" w:type="dxa"/>
          </w:tcPr>
          <w:p w14:paraId="6F7D24EC" w14:textId="77777777" w:rsidR="000F32FB" w:rsidRPr="000F32FB" w:rsidRDefault="000F32FB" w:rsidP="000F32FB">
            <w:pPr>
              <w:pStyle w:val="TELnormal"/>
              <w:keepNext/>
              <w:keepLines/>
              <w:spacing w:line="240" w:lineRule="auto"/>
              <w:rPr>
                <w:rFonts w:eastAsia="Arial" w:cs="Times New Roman"/>
                <w:color w:val="000000" w:themeColor="text1"/>
                <w:sz w:val="22"/>
                <w:lang w:eastAsia="en-AU"/>
              </w:rPr>
            </w:pPr>
            <w:r w:rsidRPr="000F32FB">
              <w:rPr>
                <w:rFonts w:eastAsia="Times New Roman" w:cs="Times New Roman"/>
                <w:color w:val="000000" w:themeColor="text1"/>
                <w:sz w:val="22"/>
                <w:lang w:eastAsia="en-AU"/>
              </w:rPr>
              <w:t>Will ‘manage our thermal coal mining portfolio in line with a commitment to reduce our exposure to zero by 2030’</w:t>
            </w:r>
            <w:r w:rsidRPr="000F32FB">
              <w:rPr>
                <w:rStyle w:val="FootnoteReference"/>
                <w:rFonts w:eastAsia="Times New Roman" w:cs="Times New Roman"/>
                <w:color w:val="000000" w:themeColor="text1"/>
                <w:sz w:val="22"/>
                <w:lang w:eastAsia="en-AU"/>
              </w:rPr>
              <w:footnoteReference w:id="7"/>
            </w:r>
          </w:p>
        </w:tc>
      </w:tr>
    </w:tbl>
    <w:p w14:paraId="627A7BE1" w14:textId="7B68704B" w:rsidR="002A2F8E" w:rsidRPr="008F45AC" w:rsidRDefault="002A2F8E" w:rsidP="000F32FB">
      <w:pPr>
        <w:pStyle w:val="TELTableheading"/>
        <w:pageBreakBefore/>
        <w:rPr>
          <w:sz w:val="22"/>
        </w:rPr>
      </w:pPr>
      <w:r w:rsidRPr="008F45AC">
        <w:rPr>
          <w:sz w:val="22"/>
        </w:rPr>
        <w:lastRenderedPageBreak/>
        <w:t xml:space="preserve">Table </w:t>
      </w:r>
      <w:r w:rsidR="00590009">
        <w:rPr>
          <w:sz w:val="22"/>
        </w:rPr>
        <w:t>A</w:t>
      </w:r>
      <w:r w:rsidR="000F32FB">
        <w:rPr>
          <w:sz w:val="22"/>
        </w:rPr>
        <w:t>2</w:t>
      </w:r>
      <w:r w:rsidRPr="008F45AC">
        <w:rPr>
          <w:sz w:val="22"/>
        </w:rPr>
        <w:t>: Summary of Bank</w:t>
      </w:r>
      <w:r w:rsidR="00590009">
        <w:rPr>
          <w:sz w:val="22"/>
        </w:rPr>
        <w:t>s Reviewed Showing Sources</w:t>
      </w:r>
      <w:r w:rsidRPr="008F45AC">
        <w:rPr>
          <w:sz w:val="22"/>
        </w:rPr>
        <w:t xml:space="preserve"> </w:t>
      </w:r>
    </w:p>
    <w:tbl>
      <w:tblPr>
        <w:tblStyle w:val="TableGrid"/>
        <w:tblW w:w="8784" w:type="dxa"/>
        <w:tblLayout w:type="fixed"/>
        <w:tblLook w:val="04A0" w:firstRow="1" w:lastRow="0" w:firstColumn="1" w:lastColumn="0" w:noHBand="0" w:noVBand="1"/>
      </w:tblPr>
      <w:tblGrid>
        <w:gridCol w:w="1555"/>
        <w:gridCol w:w="1134"/>
        <w:gridCol w:w="1275"/>
        <w:gridCol w:w="2552"/>
        <w:gridCol w:w="2268"/>
      </w:tblGrid>
      <w:tr w:rsidR="002A2F8E" w:rsidRPr="006D156F" w14:paraId="5BB3A951" w14:textId="77777777" w:rsidTr="00C70D0C">
        <w:trPr>
          <w:trHeight w:val="380"/>
        </w:trPr>
        <w:tc>
          <w:tcPr>
            <w:tcW w:w="1555" w:type="dxa"/>
          </w:tcPr>
          <w:p w14:paraId="0FEF60CD" w14:textId="563315FD"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Bank</w:t>
            </w:r>
          </w:p>
          <w:p w14:paraId="6D6147D3"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[Ranking in agribusiness lending: 1-7]</w:t>
            </w:r>
            <w:r w:rsidRPr="008F45AC">
              <w:rPr>
                <w:rStyle w:val="FootnoteReference"/>
                <w:rFonts w:eastAsia="Times New Roman" w:cs="Times New Roman"/>
                <w:sz w:val="20"/>
                <w:szCs w:val="20"/>
              </w:rPr>
              <w:footnoteReference w:id="8"/>
            </w:r>
          </w:p>
        </w:tc>
        <w:tc>
          <w:tcPr>
            <w:tcW w:w="1134" w:type="dxa"/>
          </w:tcPr>
          <w:p w14:paraId="480D6210"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Market share in Australia</w:t>
            </w:r>
          </w:p>
        </w:tc>
        <w:tc>
          <w:tcPr>
            <w:tcW w:w="1275" w:type="dxa"/>
          </w:tcPr>
          <w:p w14:paraId="4477D5C1"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Employees in Australia (approx.)</w:t>
            </w:r>
          </w:p>
        </w:tc>
        <w:tc>
          <w:tcPr>
            <w:tcW w:w="2552" w:type="dxa"/>
          </w:tcPr>
          <w:p w14:paraId="44503411"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Operations</w:t>
            </w:r>
          </w:p>
        </w:tc>
        <w:tc>
          <w:tcPr>
            <w:tcW w:w="2268" w:type="dxa"/>
          </w:tcPr>
          <w:p w14:paraId="53EA39AE"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Exposure to credit risk for Agriculture, Forestry, Fishing and Mining sector in 2020</w:t>
            </w:r>
          </w:p>
        </w:tc>
      </w:tr>
      <w:tr w:rsidR="002A2F8E" w14:paraId="18A3A724" w14:textId="77777777" w:rsidTr="00C70D0C">
        <w:trPr>
          <w:trHeight w:val="380"/>
        </w:trPr>
        <w:tc>
          <w:tcPr>
            <w:tcW w:w="1555" w:type="dxa"/>
          </w:tcPr>
          <w:p w14:paraId="167371DA" w14:textId="77777777" w:rsidR="002A2F8E" w:rsidRPr="008F45AC" w:rsidRDefault="002A2F8E" w:rsidP="00C70D0C">
            <w:pPr>
              <w:spacing w:line="240" w:lineRule="auto"/>
              <w:rPr>
                <w:rFonts w:eastAsia="Times New Roman" w:cs="Times New Roman"/>
                <w:b/>
                <w:bCs/>
                <w:sz w:val="20"/>
                <w:szCs w:val="20"/>
              </w:rPr>
            </w:pPr>
            <w:r w:rsidRPr="008F45AC">
              <w:rPr>
                <w:rFonts w:eastAsia="Times New Roman" w:cs="Times New Roman"/>
                <w:b/>
                <w:bCs/>
                <w:sz w:val="20"/>
                <w:szCs w:val="20"/>
              </w:rPr>
              <w:t>[3] ANZ</w:t>
            </w:r>
            <w:r w:rsidRPr="008F45AC">
              <w:rPr>
                <w:rStyle w:val="FootnoteReference"/>
                <w:rFonts w:eastAsia="Times New Roman" w:cs="Times New Roman"/>
                <w:sz w:val="20"/>
                <w:szCs w:val="20"/>
              </w:rPr>
              <w:footnoteReference w:id="9"/>
            </w:r>
          </w:p>
        </w:tc>
        <w:tc>
          <w:tcPr>
            <w:tcW w:w="1134" w:type="dxa"/>
          </w:tcPr>
          <w:p w14:paraId="65E38179"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11.7%</w:t>
            </w:r>
          </w:p>
        </w:tc>
        <w:tc>
          <w:tcPr>
            <w:tcW w:w="1275" w:type="dxa"/>
          </w:tcPr>
          <w:p w14:paraId="63EAF185"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 xml:space="preserve">39,060 </w:t>
            </w:r>
          </w:p>
          <w:p w14:paraId="4740711B"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 xml:space="preserve">. </w:t>
            </w:r>
          </w:p>
        </w:tc>
        <w:tc>
          <w:tcPr>
            <w:tcW w:w="2552" w:type="dxa"/>
          </w:tcPr>
          <w:p w14:paraId="0E3FE0F8"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Australian -owned</w:t>
            </w:r>
            <w:r>
              <w:rPr>
                <w:rFonts w:eastAsia="Times New Roman" w:cs="Times New Roman"/>
                <w:sz w:val="20"/>
                <w:szCs w:val="20"/>
              </w:rPr>
              <w:t>;</w:t>
            </w:r>
            <w:r w:rsidRPr="008F45AC">
              <w:rPr>
                <w:rFonts w:eastAsia="Times New Roman" w:cs="Times New Roman"/>
                <w:sz w:val="20"/>
                <w:szCs w:val="20"/>
              </w:rPr>
              <w:t xml:space="preserve"> operating in 33 markets globally including New Zealand, Asia-Pacific, Europe and North America</w:t>
            </w:r>
          </w:p>
        </w:tc>
        <w:tc>
          <w:tcPr>
            <w:tcW w:w="2268" w:type="dxa"/>
          </w:tcPr>
          <w:p w14:paraId="43A63A7F" w14:textId="3077FDF5" w:rsidR="002A2F8E" w:rsidRPr="008F45AC" w:rsidRDefault="00590009" w:rsidP="00C70D0C">
            <w:pPr>
              <w:spacing w:line="240" w:lineRule="auto"/>
              <w:rPr>
                <w:rFonts w:eastAsia="Times New Roman" w:cs="Times New Roman"/>
                <w:sz w:val="20"/>
                <w:szCs w:val="20"/>
              </w:rPr>
            </w:pPr>
            <w:r>
              <w:rPr>
                <w:rFonts w:eastAsia="Times New Roman" w:cs="Times New Roman"/>
                <w:color w:val="000000" w:themeColor="text1"/>
                <w:sz w:val="24"/>
                <w:szCs w:val="24"/>
              </w:rPr>
              <w:t xml:space="preserve">AUD </w:t>
            </w:r>
            <w:r w:rsidRPr="00AA2A26">
              <w:rPr>
                <w:rFonts w:eastAsia="Times New Roman" w:cs="Times New Roman"/>
                <w:color w:val="000000" w:themeColor="text1"/>
                <w:sz w:val="24"/>
                <w:szCs w:val="24"/>
              </w:rPr>
              <w:t>54</w:t>
            </w:r>
            <w:r>
              <w:rPr>
                <w:rFonts w:eastAsia="Times New Roman" w:cs="Times New Roman"/>
                <w:color w:val="000000" w:themeColor="text1"/>
                <w:sz w:val="24"/>
                <w:szCs w:val="24"/>
              </w:rPr>
              <w:t>.</w:t>
            </w:r>
            <w:r w:rsidRPr="00AA2A26">
              <w:rPr>
                <w:rFonts w:eastAsia="Times New Roman" w:cs="Times New Roman"/>
                <w:color w:val="000000" w:themeColor="text1"/>
                <w:sz w:val="24"/>
                <w:szCs w:val="24"/>
              </w:rPr>
              <w:t>7</w:t>
            </w:r>
            <w:r>
              <w:rPr>
                <w:rFonts w:eastAsia="Times New Roman" w:cs="Times New Roman"/>
                <w:color w:val="000000" w:themeColor="text1"/>
                <w:sz w:val="24"/>
                <w:szCs w:val="24"/>
              </w:rPr>
              <w:t xml:space="preserve"> b</w:t>
            </w:r>
            <w:r w:rsidRPr="00AA2A26">
              <w:rPr>
                <w:rFonts w:eastAsia="Times New Roman" w:cs="Times New Roman"/>
                <w:color w:val="000000" w:themeColor="text1"/>
                <w:sz w:val="24"/>
                <w:szCs w:val="24"/>
              </w:rPr>
              <w:t>illion</w:t>
            </w:r>
            <w:r w:rsidR="002A2F8E" w:rsidRPr="008F45AC">
              <w:rPr>
                <w:rFonts w:eastAsia="Times New Roman" w:cs="Times New Roman"/>
                <w:sz w:val="20"/>
                <w:szCs w:val="20"/>
              </w:rPr>
              <w:t>;</w:t>
            </w:r>
          </w:p>
          <w:p w14:paraId="5B1F0103"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Approximately 4.2% of total exposure.</w:t>
            </w:r>
          </w:p>
          <w:p w14:paraId="4F76B8FD" w14:textId="77777777" w:rsidR="002A2F8E" w:rsidRPr="008F45AC" w:rsidRDefault="002A2F8E" w:rsidP="00C70D0C">
            <w:pPr>
              <w:spacing w:line="240" w:lineRule="auto"/>
              <w:rPr>
                <w:rFonts w:eastAsia="Times New Roman" w:cs="Times New Roman"/>
                <w:sz w:val="20"/>
                <w:szCs w:val="20"/>
              </w:rPr>
            </w:pPr>
          </w:p>
        </w:tc>
      </w:tr>
      <w:tr w:rsidR="002A2F8E" w:rsidRPr="009F1AFE" w14:paraId="7C014A81" w14:textId="77777777" w:rsidTr="00C70D0C">
        <w:trPr>
          <w:trHeight w:val="380"/>
        </w:trPr>
        <w:tc>
          <w:tcPr>
            <w:tcW w:w="1555" w:type="dxa"/>
          </w:tcPr>
          <w:p w14:paraId="594FD2C3"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t>[7] Bank Australia</w:t>
            </w:r>
            <w:r w:rsidRPr="008F45AC">
              <w:rPr>
                <w:rStyle w:val="FootnoteReference"/>
                <w:rFonts w:cs="Times New Roman"/>
                <w:sz w:val="20"/>
                <w:szCs w:val="20"/>
              </w:rPr>
              <w:footnoteReference w:id="10"/>
            </w:r>
          </w:p>
        </w:tc>
        <w:tc>
          <w:tcPr>
            <w:tcW w:w="1134" w:type="dxa"/>
          </w:tcPr>
          <w:p w14:paraId="66557601" w14:textId="77777777" w:rsidR="002A2F8E" w:rsidRPr="008F45AC" w:rsidRDefault="002A2F8E" w:rsidP="00C70D0C">
            <w:pPr>
              <w:spacing w:line="240" w:lineRule="auto"/>
              <w:rPr>
                <w:rFonts w:cs="Times New Roman"/>
                <w:sz w:val="20"/>
                <w:szCs w:val="20"/>
              </w:rPr>
            </w:pPr>
            <w:r w:rsidRPr="008F45AC">
              <w:rPr>
                <w:rFonts w:cs="Times New Roman"/>
                <w:sz w:val="20"/>
                <w:szCs w:val="20"/>
              </w:rPr>
              <w:t>Unknown</w:t>
            </w:r>
          </w:p>
        </w:tc>
        <w:tc>
          <w:tcPr>
            <w:tcW w:w="1275" w:type="dxa"/>
          </w:tcPr>
          <w:p w14:paraId="779CE52B"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386</w:t>
            </w:r>
            <w:r w:rsidRPr="008F45AC">
              <w:rPr>
                <w:rStyle w:val="FootnoteReference"/>
                <w:rFonts w:eastAsia="Times New Roman" w:cs="Times New Roman"/>
                <w:sz w:val="20"/>
                <w:szCs w:val="20"/>
              </w:rPr>
              <w:footnoteReference w:id="11"/>
            </w:r>
          </w:p>
        </w:tc>
        <w:tc>
          <w:tcPr>
            <w:tcW w:w="2552" w:type="dxa"/>
          </w:tcPr>
          <w:p w14:paraId="59109689" w14:textId="77777777" w:rsidR="002A2F8E" w:rsidRPr="008F45AC" w:rsidRDefault="002A2F8E" w:rsidP="00C70D0C">
            <w:pPr>
              <w:spacing w:line="240" w:lineRule="auto"/>
              <w:rPr>
                <w:rFonts w:eastAsia="Times New Roman" w:cs="Times New Roman"/>
                <w:sz w:val="20"/>
                <w:szCs w:val="20"/>
              </w:rPr>
            </w:pPr>
            <w:r>
              <w:rPr>
                <w:rFonts w:cs="Times New Roman"/>
                <w:sz w:val="20"/>
                <w:szCs w:val="20"/>
              </w:rPr>
              <w:t>T</w:t>
            </w:r>
            <w:r w:rsidRPr="008F45AC">
              <w:rPr>
                <w:rFonts w:cs="Times New Roman"/>
                <w:sz w:val="20"/>
                <w:szCs w:val="20"/>
              </w:rPr>
              <w:t>he result of the amalgamation of 73 cooperatives and credit unions</w:t>
            </w:r>
            <w:r>
              <w:rPr>
                <w:rFonts w:cs="Times New Roman"/>
                <w:sz w:val="20"/>
                <w:szCs w:val="20"/>
              </w:rPr>
              <w:t xml:space="preserve">; </w:t>
            </w:r>
            <w:r w:rsidRPr="008F45AC">
              <w:rPr>
                <w:rFonts w:cs="Times New Roman"/>
                <w:sz w:val="20"/>
                <w:szCs w:val="20"/>
              </w:rPr>
              <w:t>a mutual company, limited by shares, and Australia’s first customer-owned bank (formerly Bankmecu)</w:t>
            </w:r>
            <w:r>
              <w:rPr>
                <w:rFonts w:cs="Times New Roman"/>
                <w:sz w:val="20"/>
                <w:szCs w:val="20"/>
              </w:rPr>
              <w:t>;</w:t>
            </w:r>
            <w:r w:rsidRPr="008F45AC">
              <w:rPr>
                <w:rStyle w:val="FootnoteReference"/>
                <w:rFonts w:cs="Times New Roman"/>
                <w:sz w:val="20"/>
                <w:szCs w:val="20"/>
              </w:rPr>
              <w:footnoteReference w:id="12"/>
            </w:r>
            <w:r w:rsidRPr="008F45AC">
              <w:rPr>
                <w:rFonts w:cs="Times New Roman"/>
                <w:sz w:val="20"/>
                <w:szCs w:val="20"/>
              </w:rPr>
              <w:t xml:space="preserve"> operates </w:t>
            </w:r>
            <w:r>
              <w:rPr>
                <w:rFonts w:cs="Times New Roman"/>
                <w:sz w:val="20"/>
                <w:szCs w:val="20"/>
              </w:rPr>
              <w:t>only in</w:t>
            </w:r>
            <w:r w:rsidRPr="008F45AC">
              <w:rPr>
                <w:rFonts w:cs="Times New Roman"/>
                <w:sz w:val="20"/>
                <w:szCs w:val="20"/>
              </w:rPr>
              <w:t xml:space="preserve"> Australia, </w:t>
            </w:r>
            <w:r>
              <w:rPr>
                <w:rFonts w:cs="Times New Roman"/>
                <w:sz w:val="20"/>
                <w:szCs w:val="20"/>
              </w:rPr>
              <w:t xml:space="preserve">and </w:t>
            </w:r>
            <w:r w:rsidRPr="008F45AC">
              <w:rPr>
                <w:rFonts w:cs="Times New Roman"/>
                <w:sz w:val="20"/>
                <w:szCs w:val="20"/>
              </w:rPr>
              <w:t>primarily in Victoria and New South Wales.</w:t>
            </w:r>
          </w:p>
        </w:tc>
        <w:tc>
          <w:tcPr>
            <w:tcW w:w="2268" w:type="dxa"/>
          </w:tcPr>
          <w:p w14:paraId="7F67AE42" w14:textId="77777777" w:rsidR="00590009" w:rsidRPr="00AA2A26" w:rsidRDefault="00590009" w:rsidP="00590009">
            <w:pPr>
              <w:spacing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AUD </w:t>
            </w:r>
            <w:r w:rsidRPr="00AA2A26">
              <w:rPr>
                <w:rFonts w:eastAsia="Times New Roman" w:cs="Times New Roman"/>
                <w:color w:val="000000" w:themeColor="text1"/>
                <w:sz w:val="24"/>
                <w:szCs w:val="24"/>
              </w:rPr>
              <w:t>8.4 million;</w:t>
            </w:r>
          </w:p>
          <w:p w14:paraId="6C6BDF9B" w14:textId="2B70CACB" w:rsidR="002A2F8E" w:rsidRPr="00590009" w:rsidRDefault="00590009" w:rsidP="00590009">
            <w:pPr>
              <w:spacing w:line="240" w:lineRule="auto"/>
              <w:rPr>
                <w:rFonts w:eastAsia="Times New Roman" w:cs="Times New Roman"/>
                <w:color w:val="000000" w:themeColor="text1"/>
                <w:sz w:val="24"/>
                <w:szCs w:val="24"/>
              </w:rPr>
            </w:pPr>
            <w:r w:rsidRPr="00AA2A26">
              <w:rPr>
                <w:rFonts w:eastAsia="Times New Roman" w:cs="Times New Roman"/>
                <w:color w:val="000000" w:themeColor="text1"/>
                <w:sz w:val="24"/>
                <w:szCs w:val="24"/>
              </w:rPr>
              <w:t>Approx</w:t>
            </w:r>
            <w:r>
              <w:rPr>
                <w:rFonts w:eastAsia="Times New Roman" w:cs="Times New Roman"/>
                <w:color w:val="000000" w:themeColor="text1"/>
                <w:sz w:val="24"/>
                <w:szCs w:val="24"/>
              </w:rPr>
              <w:t>.</w:t>
            </w:r>
            <w:r w:rsidRPr="00AA2A26">
              <w:rPr>
                <w:rFonts w:eastAsia="Times New Roman" w:cs="Times New Roman"/>
                <w:color w:val="000000" w:themeColor="text1"/>
                <w:sz w:val="24"/>
                <w:szCs w:val="24"/>
              </w:rPr>
              <w:t xml:space="preserve"> 2.3% of total </w:t>
            </w:r>
            <w:r>
              <w:rPr>
                <w:rFonts w:eastAsia="Times New Roman" w:cs="Times New Roman"/>
                <w:color w:val="000000" w:themeColor="text1"/>
                <w:sz w:val="24"/>
                <w:szCs w:val="24"/>
              </w:rPr>
              <w:t>exposure</w:t>
            </w:r>
            <w:r w:rsidR="002A2F8E" w:rsidRPr="008F45AC">
              <w:rPr>
                <w:rStyle w:val="FootnoteReference"/>
                <w:rFonts w:eastAsia="Times New Roman" w:cs="Times New Roman"/>
                <w:sz w:val="20"/>
                <w:szCs w:val="20"/>
              </w:rPr>
              <w:footnoteReference w:id="13"/>
            </w:r>
            <w:r w:rsidR="002A2F8E" w:rsidRPr="008F45AC">
              <w:rPr>
                <w:rFonts w:eastAsia="Times New Roman" w:cs="Times New Roman"/>
                <w:sz w:val="20"/>
                <w:szCs w:val="20"/>
              </w:rPr>
              <w:t xml:space="preserve"> </w:t>
            </w:r>
          </w:p>
          <w:p w14:paraId="016E3559" w14:textId="77777777" w:rsidR="002A2F8E" w:rsidRPr="008F45AC" w:rsidRDefault="002A2F8E" w:rsidP="00C70D0C">
            <w:pPr>
              <w:spacing w:line="240" w:lineRule="auto"/>
              <w:rPr>
                <w:rFonts w:eastAsia="Times New Roman" w:cs="Times New Roman"/>
                <w:sz w:val="20"/>
                <w:szCs w:val="20"/>
              </w:rPr>
            </w:pPr>
          </w:p>
        </w:tc>
      </w:tr>
      <w:tr w:rsidR="002A2F8E" w:rsidRPr="009F1AFE" w14:paraId="3DF87934" w14:textId="77777777" w:rsidTr="00C70D0C">
        <w:trPr>
          <w:trHeight w:val="380"/>
        </w:trPr>
        <w:tc>
          <w:tcPr>
            <w:tcW w:w="1555" w:type="dxa"/>
          </w:tcPr>
          <w:p w14:paraId="58943963"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t xml:space="preserve">[6] </w:t>
            </w:r>
            <w:r>
              <w:rPr>
                <w:rFonts w:cs="Times New Roman"/>
                <w:b/>
                <w:bCs/>
                <w:sz w:val="20"/>
                <w:szCs w:val="20"/>
              </w:rPr>
              <w:t>BEN</w:t>
            </w:r>
            <w:r w:rsidRPr="008F45AC">
              <w:rPr>
                <w:rStyle w:val="FootnoteReference"/>
                <w:rFonts w:cs="Times New Roman"/>
                <w:sz w:val="20"/>
                <w:szCs w:val="20"/>
              </w:rPr>
              <w:footnoteReference w:id="14"/>
            </w:r>
          </w:p>
        </w:tc>
        <w:tc>
          <w:tcPr>
            <w:tcW w:w="1134" w:type="dxa"/>
          </w:tcPr>
          <w:p w14:paraId="496A8061" w14:textId="77777777" w:rsidR="002A2F8E" w:rsidRPr="008F45AC" w:rsidRDefault="002A2F8E" w:rsidP="00C70D0C">
            <w:pPr>
              <w:spacing w:line="240" w:lineRule="auto"/>
              <w:rPr>
                <w:rFonts w:cs="Times New Roman"/>
                <w:sz w:val="20"/>
                <w:szCs w:val="20"/>
              </w:rPr>
            </w:pPr>
          </w:p>
        </w:tc>
        <w:tc>
          <w:tcPr>
            <w:tcW w:w="1275" w:type="dxa"/>
          </w:tcPr>
          <w:p w14:paraId="15CBD4EB"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4,530 </w:t>
            </w:r>
          </w:p>
          <w:p w14:paraId="47B40061" w14:textId="77777777" w:rsidR="002A2F8E" w:rsidRPr="008F45AC" w:rsidRDefault="002A2F8E" w:rsidP="00C70D0C">
            <w:pPr>
              <w:spacing w:line="240" w:lineRule="auto"/>
              <w:rPr>
                <w:rFonts w:eastAsia="Times New Roman" w:cs="Times New Roman"/>
                <w:sz w:val="20"/>
                <w:szCs w:val="20"/>
              </w:rPr>
            </w:pPr>
          </w:p>
        </w:tc>
        <w:tc>
          <w:tcPr>
            <w:tcW w:w="2552" w:type="dxa"/>
          </w:tcPr>
          <w:p w14:paraId="5F7F6E3D" w14:textId="77777777" w:rsidR="002A2F8E" w:rsidRPr="008F45AC" w:rsidRDefault="002A2F8E" w:rsidP="00C70D0C">
            <w:pPr>
              <w:spacing w:line="240" w:lineRule="auto"/>
              <w:rPr>
                <w:rFonts w:eastAsia="Times New Roman" w:cs="Times New Roman"/>
                <w:sz w:val="20"/>
                <w:szCs w:val="20"/>
              </w:rPr>
            </w:pPr>
            <w:r>
              <w:rPr>
                <w:rFonts w:cs="Times New Roman"/>
                <w:sz w:val="20"/>
                <w:szCs w:val="20"/>
              </w:rPr>
              <w:t>O</w:t>
            </w:r>
            <w:r w:rsidRPr="008F45AC">
              <w:rPr>
                <w:rFonts w:cs="Times New Roman"/>
                <w:sz w:val="20"/>
                <w:szCs w:val="20"/>
              </w:rPr>
              <w:t xml:space="preserve">perates </w:t>
            </w:r>
            <w:r>
              <w:rPr>
                <w:rFonts w:cs="Times New Roman"/>
                <w:sz w:val="20"/>
                <w:szCs w:val="20"/>
              </w:rPr>
              <w:t xml:space="preserve">only </w:t>
            </w:r>
            <w:r w:rsidRPr="008F45AC">
              <w:rPr>
                <w:rFonts w:cs="Times New Roman"/>
                <w:sz w:val="20"/>
                <w:szCs w:val="20"/>
              </w:rPr>
              <w:t>in Australia</w:t>
            </w:r>
            <w:r>
              <w:rPr>
                <w:rFonts w:cs="Times New Roman"/>
                <w:sz w:val="20"/>
                <w:szCs w:val="20"/>
              </w:rPr>
              <w:t>;</w:t>
            </w:r>
            <w:r w:rsidRPr="008F45AC">
              <w:rPr>
                <w:rFonts w:cs="Times New Roman"/>
                <w:sz w:val="20"/>
                <w:szCs w:val="20"/>
              </w:rPr>
              <w:t xml:space="preserve"> has a specialised agribusiness </w:t>
            </w:r>
            <w:r>
              <w:rPr>
                <w:rFonts w:cs="Times New Roman"/>
                <w:sz w:val="20"/>
                <w:szCs w:val="20"/>
              </w:rPr>
              <w:t>division,</w:t>
            </w:r>
            <w:r w:rsidRPr="008F45AC">
              <w:rPr>
                <w:rFonts w:cs="Times New Roman"/>
                <w:sz w:val="20"/>
                <w:szCs w:val="20"/>
              </w:rPr>
              <w:t xml:space="preserve"> Rural Bank, which provides financial services to approximately one in 10 Australian farmers, and to the Federal Regional Investment Corporation, a Commonwealth backed finance provider for farmers and farm-related small businesses.</w:t>
            </w:r>
          </w:p>
        </w:tc>
        <w:tc>
          <w:tcPr>
            <w:tcW w:w="2268" w:type="dxa"/>
          </w:tcPr>
          <w:p w14:paraId="36B514AB" w14:textId="407AE789" w:rsidR="002A2F8E" w:rsidRPr="008F45AC" w:rsidRDefault="00590009" w:rsidP="00C70D0C">
            <w:pPr>
              <w:spacing w:line="240" w:lineRule="auto"/>
              <w:rPr>
                <w:rFonts w:eastAsia="Times New Roman" w:cs="Times New Roman"/>
                <w:sz w:val="20"/>
                <w:szCs w:val="20"/>
              </w:rPr>
            </w:pPr>
            <w:r>
              <w:rPr>
                <w:rFonts w:eastAsia="Times New Roman" w:cs="Times New Roman"/>
                <w:sz w:val="20"/>
                <w:szCs w:val="20"/>
              </w:rPr>
              <w:t>AUD 6.8 billion</w:t>
            </w:r>
            <w:r w:rsidR="002A2F8E" w:rsidRPr="008F45AC">
              <w:rPr>
                <w:rFonts w:eastAsia="Times New Roman" w:cs="Times New Roman"/>
                <w:sz w:val="20"/>
                <w:szCs w:val="20"/>
              </w:rPr>
              <w:t xml:space="preserve">;  </w:t>
            </w:r>
          </w:p>
          <w:p w14:paraId="5BE6BD49" w14:textId="77777777" w:rsidR="002A2F8E" w:rsidRPr="008F45AC" w:rsidRDefault="002A2F8E" w:rsidP="00C70D0C">
            <w:pPr>
              <w:spacing w:line="240" w:lineRule="auto"/>
              <w:rPr>
                <w:rFonts w:eastAsia="Times New Roman" w:cs="Times New Roman"/>
                <w:sz w:val="20"/>
                <w:szCs w:val="20"/>
              </w:rPr>
            </w:pPr>
            <w:r w:rsidRPr="008F45AC">
              <w:rPr>
                <w:rFonts w:eastAsia="Times New Roman" w:cs="Times New Roman"/>
                <w:sz w:val="20"/>
                <w:szCs w:val="20"/>
              </w:rPr>
              <w:t>Approximately 7.3% of total exposure.</w:t>
            </w:r>
          </w:p>
        </w:tc>
      </w:tr>
      <w:tr w:rsidR="002A2F8E" w:rsidRPr="009F1AFE" w14:paraId="5CEDDEE2" w14:textId="77777777" w:rsidTr="00C70D0C">
        <w:trPr>
          <w:trHeight w:val="380"/>
        </w:trPr>
        <w:tc>
          <w:tcPr>
            <w:tcW w:w="1555" w:type="dxa"/>
          </w:tcPr>
          <w:p w14:paraId="004E9803"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lastRenderedPageBreak/>
              <w:t>[5] CBA</w:t>
            </w:r>
            <w:r w:rsidRPr="008F45AC">
              <w:rPr>
                <w:rStyle w:val="FootnoteReference"/>
                <w:rFonts w:cs="Times New Roman"/>
                <w:sz w:val="20"/>
                <w:szCs w:val="20"/>
              </w:rPr>
              <w:footnoteReference w:id="15"/>
            </w:r>
            <w:r w:rsidRPr="008F45AC">
              <w:rPr>
                <w:rFonts w:cs="Times New Roman"/>
                <w:b/>
                <w:bCs/>
                <w:sz w:val="20"/>
                <w:szCs w:val="20"/>
              </w:rPr>
              <w:t xml:space="preserve">  </w:t>
            </w:r>
          </w:p>
        </w:tc>
        <w:tc>
          <w:tcPr>
            <w:tcW w:w="1134" w:type="dxa"/>
          </w:tcPr>
          <w:p w14:paraId="622A4F94" w14:textId="77777777" w:rsidR="002A2F8E" w:rsidRPr="008F45AC" w:rsidRDefault="002A2F8E" w:rsidP="00C70D0C">
            <w:pPr>
              <w:spacing w:line="240" w:lineRule="auto"/>
              <w:rPr>
                <w:rFonts w:cs="Times New Roman"/>
                <w:sz w:val="20"/>
                <w:szCs w:val="20"/>
              </w:rPr>
            </w:pPr>
            <w:r w:rsidRPr="008F45AC">
              <w:rPr>
                <w:rFonts w:cs="Times New Roman"/>
                <w:sz w:val="20"/>
                <w:szCs w:val="20"/>
              </w:rPr>
              <w:t>17.4%</w:t>
            </w:r>
          </w:p>
        </w:tc>
        <w:tc>
          <w:tcPr>
            <w:tcW w:w="1275" w:type="dxa"/>
          </w:tcPr>
          <w:p w14:paraId="0C3BCC38"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45,170 </w:t>
            </w:r>
          </w:p>
        </w:tc>
        <w:tc>
          <w:tcPr>
            <w:tcW w:w="2552" w:type="dxa"/>
          </w:tcPr>
          <w:p w14:paraId="6D162DF9" w14:textId="77777777" w:rsidR="002A2F8E" w:rsidRPr="008F45AC" w:rsidRDefault="002A2F8E" w:rsidP="00C70D0C">
            <w:pPr>
              <w:spacing w:line="240" w:lineRule="auto"/>
              <w:rPr>
                <w:rFonts w:eastAsia="Times New Roman" w:cs="Times New Roman"/>
                <w:sz w:val="20"/>
                <w:szCs w:val="20"/>
              </w:rPr>
            </w:pPr>
            <w:r>
              <w:rPr>
                <w:rFonts w:cs="Times New Roman"/>
                <w:sz w:val="20"/>
                <w:szCs w:val="20"/>
              </w:rPr>
              <w:t xml:space="preserve">Australian-owned; </w:t>
            </w:r>
            <w:r w:rsidRPr="008F45AC">
              <w:rPr>
                <w:rFonts w:cs="Times New Roman"/>
                <w:sz w:val="20"/>
                <w:szCs w:val="20"/>
              </w:rPr>
              <w:t>Branches in Asia, Europe, New Zealand and North America.</w:t>
            </w:r>
          </w:p>
        </w:tc>
        <w:tc>
          <w:tcPr>
            <w:tcW w:w="2268" w:type="dxa"/>
          </w:tcPr>
          <w:p w14:paraId="06EE9B0D"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$11,860 million; </w:t>
            </w:r>
          </w:p>
          <w:p w14:paraId="0ABF034A" w14:textId="77777777" w:rsidR="002A2F8E" w:rsidRPr="008F45AC" w:rsidRDefault="002A2F8E" w:rsidP="00C70D0C">
            <w:pPr>
              <w:spacing w:line="240" w:lineRule="auto"/>
              <w:rPr>
                <w:rFonts w:cs="Times New Roman"/>
                <w:sz w:val="20"/>
                <w:szCs w:val="20"/>
              </w:rPr>
            </w:pPr>
            <w:r w:rsidRPr="008F45AC">
              <w:rPr>
                <w:rFonts w:cs="Times New Roman"/>
                <w:sz w:val="20"/>
                <w:szCs w:val="20"/>
              </w:rPr>
              <w:t>Approximately 1.2% of total exposure</w:t>
            </w:r>
          </w:p>
        </w:tc>
      </w:tr>
      <w:tr w:rsidR="002A2F8E" w:rsidRPr="009F1AFE" w14:paraId="4C209471" w14:textId="77777777" w:rsidTr="00C70D0C">
        <w:trPr>
          <w:trHeight w:val="380"/>
        </w:trPr>
        <w:tc>
          <w:tcPr>
            <w:tcW w:w="1555" w:type="dxa"/>
          </w:tcPr>
          <w:p w14:paraId="2C8C7C5D"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t>[1] NAB</w:t>
            </w:r>
            <w:r w:rsidRPr="008F45AC">
              <w:rPr>
                <w:rStyle w:val="FootnoteReference"/>
                <w:rFonts w:cs="Times New Roman"/>
                <w:sz w:val="20"/>
                <w:szCs w:val="20"/>
              </w:rPr>
              <w:footnoteReference w:id="16"/>
            </w:r>
            <w:r w:rsidRPr="008F45AC">
              <w:rPr>
                <w:rFonts w:cs="Times New Roman"/>
                <w:b/>
                <w:bCs/>
                <w:sz w:val="20"/>
                <w:szCs w:val="20"/>
              </w:rPr>
              <w:t xml:space="preserve"> </w:t>
            </w:r>
          </w:p>
          <w:p w14:paraId="248BC3B8" w14:textId="77777777" w:rsidR="002A2F8E" w:rsidRPr="008F45AC" w:rsidRDefault="002A2F8E" w:rsidP="00C70D0C">
            <w:pPr>
              <w:spacing w:line="240" w:lineRule="auto"/>
              <w:rPr>
                <w:rFonts w:cs="Times New Roman"/>
                <w:b/>
                <w:bCs/>
                <w:sz w:val="20"/>
                <w:szCs w:val="20"/>
              </w:rPr>
            </w:pPr>
          </w:p>
          <w:p w14:paraId="20E02BB5" w14:textId="77777777" w:rsidR="002A2F8E" w:rsidRPr="008F45AC" w:rsidRDefault="002A2F8E" w:rsidP="00C70D0C">
            <w:pPr>
              <w:spacing w:line="240" w:lineRule="auto"/>
              <w:rPr>
                <w:rFonts w:cs="Times New Roman"/>
                <w:b/>
                <w:bCs/>
                <w:sz w:val="20"/>
                <w:szCs w:val="20"/>
              </w:rPr>
            </w:pPr>
          </w:p>
        </w:tc>
        <w:tc>
          <w:tcPr>
            <w:tcW w:w="1134" w:type="dxa"/>
          </w:tcPr>
          <w:p w14:paraId="52F98BA1" w14:textId="77777777" w:rsidR="002A2F8E" w:rsidRPr="008F45AC" w:rsidRDefault="002A2F8E" w:rsidP="00C70D0C">
            <w:pPr>
              <w:spacing w:line="240" w:lineRule="auto"/>
              <w:rPr>
                <w:rFonts w:cs="Times New Roman"/>
                <w:sz w:val="20"/>
                <w:szCs w:val="20"/>
              </w:rPr>
            </w:pPr>
            <w:r w:rsidRPr="008F45AC">
              <w:rPr>
                <w:rFonts w:cs="Times New Roman"/>
                <w:sz w:val="20"/>
                <w:szCs w:val="20"/>
              </w:rPr>
              <w:t>15.1%</w:t>
            </w:r>
          </w:p>
        </w:tc>
        <w:tc>
          <w:tcPr>
            <w:tcW w:w="1275" w:type="dxa"/>
          </w:tcPr>
          <w:p w14:paraId="4A6E8743"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34,300 </w:t>
            </w:r>
          </w:p>
          <w:p w14:paraId="0D480523" w14:textId="77777777" w:rsidR="002A2F8E" w:rsidRPr="008F45AC" w:rsidRDefault="002A2F8E" w:rsidP="00C70D0C">
            <w:pPr>
              <w:spacing w:line="240" w:lineRule="auto"/>
              <w:rPr>
                <w:rFonts w:cs="Times New Roman"/>
                <w:sz w:val="20"/>
                <w:szCs w:val="20"/>
              </w:rPr>
            </w:pPr>
          </w:p>
        </w:tc>
        <w:tc>
          <w:tcPr>
            <w:tcW w:w="2552" w:type="dxa"/>
          </w:tcPr>
          <w:p w14:paraId="1EF9C37E" w14:textId="77777777" w:rsidR="002A2F8E" w:rsidRPr="008F45AC" w:rsidRDefault="002A2F8E" w:rsidP="00C70D0C">
            <w:pPr>
              <w:spacing w:line="240" w:lineRule="auto"/>
              <w:rPr>
                <w:rFonts w:eastAsia="Times New Roman" w:cs="Times New Roman"/>
                <w:sz w:val="20"/>
                <w:szCs w:val="20"/>
              </w:rPr>
            </w:pPr>
            <w:r>
              <w:rPr>
                <w:rFonts w:cs="Times New Roman"/>
                <w:sz w:val="20"/>
                <w:szCs w:val="20"/>
              </w:rPr>
              <w:t>L</w:t>
            </w:r>
            <w:r w:rsidRPr="008F45AC">
              <w:rPr>
                <w:rFonts w:cs="Times New Roman"/>
                <w:sz w:val="20"/>
                <w:szCs w:val="20"/>
              </w:rPr>
              <w:t>argest agribusiness bank in Australia and in 2018, was banking for one in three farmers.</w:t>
            </w:r>
          </w:p>
        </w:tc>
        <w:tc>
          <w:tcPr>
            <w:tcW w:w="2268" w:type="dxa"/>
          </w:tcPr>
          <w:p w14:paraId="6ECD7FF4" w14:textId="1A99B3EB" w:rsidR="002A2F8E" w:rsidRPr="008F45AC" w:rsidRDefault="00590009" w:rsidP="00C70D0C">
            <w:pPr>
              <w:spacing w:line="240" w:lineRule="auto"/>
              <w:rPr>
                <w:rFonts w:cs="Times New Roman"/>
                <w:sz w:val="20"/>
                <w:szCs w:val="20"/>
              </w:rPr>
            </w:pPr>
            <w:r>
              <w:rPr>
                <w:rFonts w:cs="Times New Roman"/>
                <w:sz w:val="20"/>
                <w:szCs w:val="20"/>
              </w:rPr>
              <w:t>AUD 54.6 billion</w:t>
            </w:r>
            <w:r w:rsidR="002A2F8E" w:rsidRPr="008F45AC">
              <w:rPr>
                <w:rFonts w:cs="Times New Roman"/>
                <w:sz w:val="20"/>
                <w:szCs w:val="20"/>
              </w:rPr>
              <w:t xml:space="preserve">; </w:t>
            </w:r>
          </w:p>
          <w:p w14:paraId="5CB2A2E8" w14:textId="77777777" w:rsidR="002A2F8E" w:rsidRPr="008F45AC" w:rsidRDefault="002A2F8E" w:rsidP="00C70D0C">
            <w:pPr>
              <w:spacing w:line="240" w:lineRule="auto"/>
              <w:rPr>
                <w:rFonts w:cs="Times New Roman"/>
                <w:sz w:val="20"/>
                <w:szCs w:val="20"/>
              </w:rPr>
            </w:pPr>
            <w:r w:rsidRPr="008F45AC">
              <w:rPr>
                <w:rFonts w:cs="Times New Roman"/>
                <w:sz w:val="20"/>
                <w:szCs w:val="20"/>
              </w:rPr>
              <w:t>Approximately 6.2% of total exposure.</w:t>
            </w:r>
          </w:p>
        </w:tc>
      </w:tr>
      <w:tr w:rsidR="002A2F8E" w:rsidRPr="009F1AFE" w14:paraId="4E9188A6" w14:textId="77777777" w:rsidTr="00C70D0C">
        <w:trPr>
          <w:trHeight w:val="380"/>
        </w:trPr>
        <w:tc>
          <w:tcPr>
            <w:tcW w:w="1555" w:type="dxa"/>
          </w:tcPr>
          <w:p w14:paraId="18EB9E0D"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t>[2] Rabobank</w:t>
            </w:r>
            <w:r w:rsidRPr="008F45AC">
              <w:rPr>
                <w:rStyle w:val="FootnoteReference"/>
                <w:rFonts w:cs="Times New Roman"/>
                <w:sz w:val="20"/>
                <w:szCs w:val="20"/>
              </w:rPr>
              <w:footnoteReference w:id="17"/>
            </w:r>
            <w:r w:rsidRPr="008F45AC">
              <w:rPr>
                <w:rFonts w:cs="Times New Roman"/>
                <w:b/>
                <w:bCs/>
                <w:sz w:val="20"/>
                <w:szCs w:val="20"/>
              </w:rPr>
              <w:t xml:space="preserve"> </w:t>
            </w:r>
          </w:p>
        </w:tc>
        <w:tc>
          <w:tcPr>
            <w:tcW w:w="1134" w:type="dxa"/>
          </w:tcPr>
          <w:p w14:paraId="221B1AE3" w14:textId="77777777" w:rsidR="002A2F8E" w:rsidRPr="008F45AC" w:rsidRDefault="002A2F8E" w:rsidP="00C70D0C">
            <w:pPr>
              <w:spacing w:line="240" w:lineRule="auto"/>
              <w:rPr>
                <w:rFonts w:cs="Times New Roman"/>
                <w:sz w:val="20"/>
                <w:szCs w:val="20"/>
              </w:rPr>
            </w:pPr>
          </w:p>
        </w:tc>
        <w:tc>
          <w:tcPr>
            <w:tcW w:w="1275" w:type="dxa"/>
          </w:tcPr>
          <w:p w14:paraId="04E338DB"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43,822 (across 40 countries) </w:t>
            </w:r>
          </w:p>
          <w:p w14:paraId="1C08DA7D" w14:textId="77777777" w:rsidR="002A2F8E" w:rsidRPr="008F45AC" w:rsidRDefault="002A2F8E" w:rsidP="00C70D0C">
            <w:pPr>
              <w:spacing w:line="240" w:lineRule="auto"/>
              <w:rPr>
                <w:rFonts w:cs="Times New Roman"/>
                <w:sz w:val="20"/>
                <w:szCs w:val="20"/>
              </w:rPr>
            </w:pPr>
          </w:p>
          <w:p w14:paraId="1AB2B857" w14:textId="77777777" w:rsidR="002A2F8E" w:rsidRPr="008F45AC" w:rsidRDefault="002A2F8E" w:rsidP="00C70D0C">
            <w:pPr>
              <w:spacing w:line="240" w:lineRule="auto"/>
              <w:rPr>
                <w:rFonts w:cs="Times New Roman"/>
                <w:sz w:val="20"/>
                <w:szCs w:val="20"/>
              </w:rPr>
            </w:pPr>
            <w:r w:rsidRPr="008F45AC">
              <w:rPr>
                <w:rFonts w:cs="Times New Roman"/>
                <w:sz w:val="20"/>
                <w:szCs w:val="20"/>
              </w:rPr>
              <w:t>1153 average employees</w:t>
            </w:r>
          </w:p>
          <w:p w14:paraId="5556ADA8" w14:textId="77777777" w:rsidR="002A2F8E" w:rsidRPr="008F45AC" w:rsidRDefault="002A2F8E" w:rsidP="00C70D0C">
            <w:pPr>
              <w:spacing w:line="240" w:lineRule="auto"/>
              <w:rPr>
                <w:rFonts w:cs="Times New Roman"/>
                <w:sz w:val="20"/>
                <w:szCs w:val="20"/>
              </w:rPr>
            </w:pPr>
          </w:p>
        </w:tc>
        <w:tc>
          <w:tcPr>
            <w:tcW w:w="2552" w:type="dxa"/>
          </w:tcPr>
          <w:p w14:paraId="7950EDE1" w14:textId="77777777" w:rsidR="002A2F8E" w:rsidRPr="008F45AC" w:rsidRDefault="002A2F8E" w:rsidP="00C70D0C">
            <w:pPr>
              <w:spacing w:line="240" w:lineRule="auto"/>
              <w:rPr>
                <w:rFonts w:cs="Times New Roman"/>
                <w:sz w:val="20"/>
                <w:szCs w:val="20"/>
              </w:rPr>
            </w:pPr>
            <w:r>
              <w:rPr>
                <w:rFonts w:cs="Times New Roman"/>
                <w:sz w:val="20"/>
                <w:szCs w:val="20"/>
              </w:rPr>
              <w:t>O</w:t>
            </w:r>
            <w:r w:rsidRPr="008F45AC">
              <w:rPr>
                <w:rFonts w:cs="Times New Roman"/>
                <w:sz w:val="20"/>
                <w:szCs w:val="20"/>
              </w:rPr>
              <w:t>wned by Cooperative Rabobank UA, a Netherlands based finance provider</w:t>
            </w:r>
            <w:r>
              <w:rPr>
                <w:rFonts w:cs="Times New Roman"/>
                <w:sz w:val="20"/>
                <w:szCs w:val="20"/>
              </w:rPr>
              <w:t>;</w:t>
            </w:r>
            <w:r w:rsidRPr="008F45AC">
              <w:rPr>
                <w:rFonts w:cs="Times New Roman"/>
                <w:sz w:val="20"/>
                <w:szCs w:val="20"/>
              </w:rPr>
              <w:t xml:space="preserve"> main markets for rural banking are Australia, New Zealand, the United States and Brazil.</w:t>
            </w:r>
          </w:p>
        </w:tc>
        <w:tc>
          <w:tcPr>
            <w:tcW w:w="2268" w:type="dxa"/>
          </w:tcPr>
          <w:p w14:paraId="453648BE" w14:textId="4BF69256" w:rsidR="002A2F8E" w:rsidRPr="008F45AC" w:rsidRDefault="002A2F8E" w:rsidP="00C70D0C">
            <w:pPr>
              <w:spacing w:line="240" w:lineRule="auto"/>
              <w:rPr>
                <w:rFonts w:cs="Times New Roman"/>
                <w:sz w:val="20"/>
                <w:szCs w:val="20"/>
              </w:rPr>
            </w:pPr>
            <w:r w:rsidRPr="008F45AC">
              <w:rPr>
                <w:rFonts w:cs="Times New Roman"/>
                <w:sz w:val="20"/>
                <w:szCs w:val="20"/>
              </w:rPr>
              <w:t>Specialist agribusiness lender with loan portfolio in Australia of EUR 11.0 billion in total. Specific credit exposure to agriculture is not provided</w:t>
            </w:r>
            <w:r w:rsidRPr="008F45AC">
              <w:rPr>
                <w:rStyle w:val="FootnoteReference"/>
                <w:rFonts w:cs="Times New Roman"/>
                <w:sz w:val="20"/>
                <w:szCs w:val="20"/>
              </w:rPr>
              <w:footnoteReference w:id="18"/>
            </w:r>
            <w:r w:rsidRPr="008F45AC">
              <w:rPr>
                <w:rFonts w:cs="Times New Roman"/>
                <w:sz w:val="20"/>
                <w:szCs w:val="20"/>
              </w:rPr>
              <w:t>.</w:t>
            </w:r>
            <w:r w:rsidRPr="008F45AC">
              <w:rPr>
                <w:rStyle w:val="CommentReference"/>
                <w:rFonts w:cs="Times New Roman"/>
                <w:sz w:val="20"/>
                <w:szCs w:val="20"/>
              </w:rPr>
              <w:t xml:space="preserve"> </w:t>
            </w:r>
          </w:p>
        </w:tc>
      </w:tr>
      <w:tr w:rsidR="002A2F8E" w:rsidRPr="009F1AFE" w14:paraId="13CDAC37" w14:textId="77777777" w:rsidTr="00C70D0C">
        <w:trPr>
          <w:trHeight w:val="380"/>
        </w:trPr>
        <w:tc>
          <w:tcPr>
            <w:tcW w:w="1555" w:type="dxa"/>
          </w:tcPr>
          <w:p w14:paraId="40342A29" w14:textId="77777777" w:rsidR="002A2F8E" w:rsidRPr="008F45AC" w:rsidRDefault="002A2F8E" w:rsidP="00C70D0C">
            <w:pPr>
              <w:spacing w:line="240" w:lineRule="auto"/>
              <w:rPr>
                <w:rFonts w:cs="Times New Roman"/>
                <w:b/>
                <w:bCs/>
                <w:sz w:val="20"/>
                <w:szCs w:val="20"/>
              </w:rPr>
            </w:pPr>
            <w:r w:rsidRPr="008F45AC">
              <w:rPr>
                <w:rFonts w:cs="Times New Roman"/>
                <w:b/>
                <w:bCs/>
                <w:sz w:val="20"/>
                <w:szCs w:val="20"/>
              </w:rPr>
              <w:t>[4] Westpac</w:t>
            </w:r>
            <w:r w:rsidRPr="008F45AC">
              <w:rPr>
                <w:rStyle w:val="FootnoteReference"/>
                <w:rFonts w:cs="Times New Roman"/>
                <w:sz w:val="20"/>
                <w:szCs w:val="20"/>
              </w:rPr>
              <w:footnoteReference w:id="19"/>
            </w:r>
          </w:p>
        </w:tc>
        <w:tc>
          <w:tcPr>
            <w:tcW w:w="1134" w:type="dxa"/>
          </w:tcPr>
          <w:p w14:paraId="2C424947" w14:textId="77777777" w:rsidR="002A2F8E" w:rsidRPr="008F45AC" w:rsidRDefault="002A2F8E" w:rsidP="00C70D0C">
            <w:pPr>
              <w:spacing w:line="240" w:lineRule="auto"/>
              <w:rPr>
                <w:rFonts w:cs="Times New Roman"/>
                <w:sz w:val="20"/>
                <w:szCs w:val="20"/>
              </w:rPr>
            </w:pPr>
            <w:r w:rsidRPr="008F45AC">
              <w:rPr>
                <w:rFonts w:cs="Times New Roman"/>
                <w:sz w:val="20"/>
                <w:szCs w:val="20"/>
              </w:rPr>
              <w:t>15.6%</w:t>
            </w:r>
          </w:p>
        </w:tc>
        <w:tc>
          <w:tcPr>
            <w:tcW w:w="1275" w:type="dxa"/>
          </w:tcPr>
          <w:p w14:paraId="0601EF3B" w14:textId="77777777" w:rsidR="002A2F8E" w:rsidRPr="008F45AC" w:rsidRDefault="002A2F8E" w:rsidP="00C70D0C">
            <w:pPr>
              <w:spacing w:line="240" w:lineRule="auto"/>
              <w:rPr>
                <w:rFonts w:cs="Times New Roman"/>
                <w:sz w:val="20"/>
                <w:szCs w:val="20"/>
              </w:rPr>
            </w:pPr>
            <w:r w:rsidRPr="008F45AC">
              <w:rPr>
                <w:rFonts w:cs="Times New Roman"/>
                <w:sz w:val="20"/>
                <w:szCs w:val="20"/>
              </w:rPr>
              <w:t xml:space="preserve">33,288. </w:t>
            </w:r>
          </w:p>
          <w:p w14:paraId="13435406" w14:textId="77777777" w:rsidR="002A2F8E" w:rsidRPr="008F45AC" w:rsidRDefault="002A2F8E" w:rsidP="00C70D0C">
            <w:pPr>
              <w:spacing w:line="240" w:lineRule="auto"/>
              <w:rPr>
                <w:rFonts w:cs="Times New Roman"/>
                <w:sz w:val="20"/>
                <w:szCs w:val="20"/>
              </w:rPr>
            </w:pPr>
          </w:p>
        </w:tc>
        <w:tc>
          <w:tcPr>
            <w:tcW w:w="2552" w:type="dxa"/>
          </w:tcPr>
          <w:p w14:paraId="18FB1664" w14:textId="77777777" w:rsidR="002A2F8E" w:rsidRPr="008F45AC" w:rsidRDefault="002A2F8E" w:rsidP="00C70D0C">
            <w:pPr>
              <w:spacing w:line="240" w:lineRule="auto"/>
              <w:rPr>
                <w:rFonts w:eastAsia="Times New Roman" w:cs="Times New Roman"/>
                <w:sz w:val="20"/>
                <w:szCs w:val="20"/>
              </w:rPr>
            </w:pPr>
            <w:r>
              <w:rPr>
                <w:rFonts w:cs="Times New Roman"/>
                <w:sz w:val="20"/>
                <w:szCs w:val="20"/>
              </w:rPr>
              <w:t>S</w:t>
            </w:r>
            <w:r w:rsidRPr="008F45AC">
              <w:rPr>
                <w:rFonts w:cs="Times New Roman"/>
                <w:sz w:val="20"/>
                <w:szCs w:val="20"/>
              </w:rPr>
              <w:t>pecialise in Australia and New Zealand, which frames their global operations, in America</w:t>
            </w:r>
            <w:r>
              <w:rPr>
                <w:rFonts w:cs="Times New Roman"/>
                <w:sz w:val="20"/>
                <w:szCs w:val="20"/>
              </w:rPr>
              <w:t>,</w:t>
            </w:r>
            <w:r w:rsidRPr="008F45AC">
              <w:rPr>
                <w:rFonts w:cs="Times New Roman"/>
                <w:sz w:val="20"/>
                <w:szCs w:val="20"/>
              </w:rPr>
              <w:t xml:space="preserve"> Europe and Asia.</w:t>
            </w:r>
          </w:p>
        </w:tc>
        <w:tc>
          <w:tcPr>
            <w:tcW w:w="2268" w:type="dxa"/>
          </w:tcPr>
          <w:p w14:paraId="7396B43F" w14:textId="2E91B0B5" w:rsidR="002A2F8E" w:rsidRPr="008F45AC" w:rsidRDefault="00590009" w:rsidP="00C70D0C">
            <w:pPr>
              <w:spacing w:line="240" w:lineRule="auto"/>
              <w:rPr>
                <w:rFonts w:cs="Times New Roman"/>
                <w:sz w:val="20"/>
                <w:szCs w:val="20"/>
              </w:rPr>
            </w:pPr>
            <w:r>
              <w:rPr>
                <w:rFonts w:cs="Times New Roman"/>
                <w:sz w:val="20"/>
                <w:szCs w:val="20"/>
              </w:rPr>
              <w:t>AUD 12.4 billion</w:t>
            </w:r>
            <w:r w:rsidR="002A2F8E" w:rsidRPr="008F45AC">
              <w:rPr>
                <w:rFonts w:cs="Times New Roman"/>
                <w:sz w:val="20"/>
                <w:szCs w:val="20"/>
              </w:rPr>
              <w:t xml:space="preserve">; </w:t>
            </w:r>
          </w:p>
          <w:p w14:paraId="778DBE62" w14:textId="77777777" w:rsidR="002A2F8E" w:rsidRPr="008F45AC" w:rsidRDefault="002A2F8E" w:rsidP="00C70D0C">
            <w:pPr>
              <w:spacing w:line="240" w:lineRule="auto"/>
              <w:rPr>
                <w:rFonts w:cs="Times New Roman"/>
                <w:sz w:val="20"/>
                <w:szCs w:val="20"/>
              </w:rPr>
            </w:pPr>
            <w:r w:rsidRPr="008F45AC">
              <w:rPr>
                <w:rFonts w:cs="Times New Roman"/>
                <w:sz w:val="20"/>
                <w:szCs w:val="20"/>
              </w:rPr>
              <w:t>Approximately 1.3% of total exposure.</w:t>
            </w:r>
          </w:p>
        </w:tc>
      </w:tr>
    </w:tbl>
    <w:p w14:paraId="54548223" w14:textId="77777777" w:rsidR="002A2F8E" w:rsidRDefault="002A2F8E" w:rsidP="002A2F8E">
      <w:pPr>
        <w:rPr>
          <w:b/>
          <w:bCs/>
          <w:sz w:val="24"/>
          <w:szCs w:val="24"/>
        </w:rPr>
      </w:pPr>
    </w:p>
    <w:p w14:paraId="49114F7B" w14:textId="77777777" w:rsidR="002A2F8E" w:rsidRDefault="002A2F8E" w:rsidP="002A2F8E">
      <w:pPr>
        <w:rPr>
          <w:b/>
          <w:bCs/>
          <w:sz w:val="24"/>
          <w:szCs w:val="24"/>
        </w:rPr>
      </w:pPr>
    </w:p>
    <w:p w14:paraId="38230890" w14:textId="77777777" w:rsidR="002A2F8E" w:rsidRDefault="002A2F8E" w:rsidP="002A2F8E">
      <w:pPr>
        <w:rPr>
          <w:b/>
          <w:bCs/>
          <w:sz w:val="24"/>
          <w:szCs w:val="24"/>
        </w:rPr>
      </w:pPr>
    </w:p>
    <w:p w14:paraId="18AD5880" w14:textId="189F2980" w:rsidR="002A2F8E" w:rsidRPr="00447D2D" w:rsidRDefault="002A2F8E" w:rsidP="00590009">
      <w:pPr>
        <w:pStyle w:val="TELnormal"/>
        <w:pageBreakBefore/>
        <w:rPr>
          <w:b/>
          <w:bCs/>
        </w:rPr>
      </w:pPr>
      <w:r w:rsidRPr="00447D2D">
        <w:rPr>
          <w:b/>
          <w:bCs/>
        </w:rPr>
        <w:lastRenderedPageBreak/>
        <w:t>Table A</w:t>
      </w:r>
      <w:r w:rsidR="000F32FB">
        <w:rPr>
          <w:b/>
          <w:bCs/>
        </w:rPr>
        <w:t>3</w:t>
      </w:r>
      <w:r w:rsidRPr="00447D2D">
        <w:rPr>
          <w:b/>
          <w:bCs/>
        </w:rPr>
        <w:t>: Publicly disclosed corporate reports and policies relied on in this study</w:t>
      </w:r>
      <w:r w:rsidR="008372F4">
        <w:rPr>
          <w:b/>
          <w:bCs/>
        </w:rPr>
        <w:t xml:space="preserve"> – all are on file with the first author</w:t>
      </w:r>
    </w:p>
    <w:tbl>
      <w:tblPr>
        <w:tblStyle w:val="TableGrid"/>
        <w:tblW w:w="0" w:type="auto"/>
        <w:tblLook w:val="04A0" w:firstRow="1" w:lastRow="0" w:firstColumn="1" w:lastColumn="0" w:noHBand="0" w:noVBand="1"/>
      </w:tblPr>
      <w:tblGrid>
        <w:gridCol w:w="9017"/>
      </w:tblGrid>
      <w:tr w:rsidR="002A2F8E" w:rsidRPr="00790233" w14:paraId="37107186" w14:textId="77777777" w:rsidTr="00C70D0C">
        <w:tc>
          <w:tcPr>
            <w:tcW w:w="9017" w:type="dxa"/>
          </w:tcPr>
          <w:p w14:paraId="4D28F373" w14:textId="62CD942A" w:rsidR="002A2F8E" w:rsidRPr="00790233" w:rsidRDefault="002A2F8E" w:rsidP="00C70D0C">
            <w:pPr>
              <w:rPr>
                <w:rFonts w:cs="Times New Roman"/>
                <w:sz w:val="20"/>
                <w:szCs w:val="20"/>
              </w:rPr>
            </w:pPr>
            <w:r w:rsidRPr="00790233">
              <w:rPr>
                <w:rFonts w:cs="Times New Roman"/>
                <w:sz w:val="20"/>
                <w:szCs w:val="20"/>
              </w:rPr>
              <w:t xml:space="preserve">Australia and New Zealand Bank, </w:t>
            </w:r>
            <w:r w:rsidRPr="00790233">
              <w:rPr>
                <w:rFonts w:cs="Times New Roman"/>
                <w:i/>
                <w:iCs/>
                <w:sz w:val="20"/>
                <w:szCs w:val="20"/>
              </w:rPr>
              <w:t xml:space="preserve">2015 Annual </w:t>
            </w:r>
            <w:r w:rsidR="008372F4">
              <w:rPr>
                <w:rFonts w:cs="Times New Roman"/>
                <w:i/>
                <w:iCs/>
                <w:sz w:val="20"/>
                <w:szCs w:val="20"/>
              </w:rPr>
              <w:t>Report</w:t>
            </w:r>
            <w:r w:rsidR="00590009">
              <w:rPr>
                <w:rFonts w:cs="Times New Roman"/>
                <w:i/>
                <w:iCs/>
                <w:sz w:val="20"/>
                <w:szCs w:val="20"/>
              </w:rPr>
              <w:t xml:space="preserve">, </w:t>
            </w:r>
            <w:r w:rsidR="00590009" w:rsidRPr="00590009">
              <w:rPr>
                <w:rFonts w:cs="Times New Roman"/>
                <w:sz w:val="20"/>
                <w:szCs w:val="20"/>
              </w:rPr>
              <w:t>available at</w:t>
            </w:r>
            <w:r w:rsidR="00590009">
              <w:rPr>
                <w:rFonts w:cs="Times New Roman"/>
                <w:sz w:val="20"/>
                <w:szCs w:val="20"/>
              </w:rPr>
              <w:t>:</w:t>
            </w:r>
            <w:r w:rsidR="00590009" w:rsidRPr="00590009">
              <w:rPr>
                <w:rFonts w:cs="Times New Roman"/>
                <w:sz w:val="20"/>
                <w:szCs w:val="20"/>
              </w:rPr>
              <w:t xml:space="preserve"> </w:t>
            </w:r>
            <w:hyperlink r:id="rId7" w:history="1">
              <w:r w:rsidR="00590009" w:rsidRPr="00590009">
                <w:rPr>
                  <w:rStyle w:val="Hyperlink"/>
                  <w:rFonts w:cs="Times New Roman"/>
                  <w:sz w:val="20"/>
                  <w:szCs w:val="20"/>
                </w:rPr>
                <w:t>https://www.anz.com/content/dam/anzcom/shareholder/2015_annual_report.pdf</w:t>
              </w:r>
            </w:hyperlink>
            <w:r w:rsidR="00590009">
              <w:rPr>
                <w:rFonts w:cs="Times New Roman"/>
                <w:i/>
                <w:iCs/>
                <w:sz w:val="20"/>
                <w:szCs w:val="20"/>
              </w:rPr>
              <w:t xml:space="preserve"> </w:t>
            </w:r>
          </w:p>
        </w:tc>
      </w:tr>
      <w:tr w:rsidR="002A2F8E" w:rsidRPr="00790233" w14:paraId="04AD526D" w14:textId="77777777" w:rsidTr="00C70D0C">
        <w:tc>
          <w:tcPr>
            <w:tcW w:w="9017" w:type="dxa"/>
          </w:tcPr>
          <w:p w14:paraId="0CDFE6FE" w14:textId="5B89E5EB" w:rsidR="002A2F8E" w:rsidRPr="00790233" w:rsidRDefault="002A2F8E" w:rsidP="00C70D0C">
            <w:pPr>
              <w:rPr>
                <w:rFonts w:cs="Times New Roman"/>
                <w:sz w:val="20"/>
                <w:szCs w:val="20"/>
              </w:rPr>
            </w:pPr>
            <w:r w:rsidRPr="00790233">
              <w:rPr>
                <w:rFonts w:cs="Times New Roman"/>
                <w:sz w:val="20"/>
                <w:szCs w:val="20"/>
              </w:rPr>
              <w:t xml:space="preserve">Australia and New Zealand Bank, </w:t>
            </w:r>
            <w:r w:rsidRPr="00790233">
              <w:rPr>
                <w:rFonts w:cs="Times New Roman"/>
                <w:i/>
                <w:iCs/>
                <w:sz w:val="20"/>
                <w:szCs w:val="20"/>
              </w:rPr>
              <w:t xml:space="preserve">2019 Annual </w:t>
            </w:r>
            <w:r w:rsidR="008372F4">
              <w:rPr>
                <w:rFonts w:cs="Times New Roman"/>
                <w:i/>
                <w:iCs/>
                <w:sz w:val="20"/>
                <w:szCs w:val="20"/>
              </w:rPr>
              <w:t>Report</w:t>
            </w:r>
            <w:r w:rsidR="00590009">
              <w:rPr>
                <w:rFonts w:cs="Times New Roman"/>
                <w:i/>
                <w:iCs/>
                <w:sz w:val="20"/>
                <w:szCs w:val="20"/>
              </w:rPr>
              <w:t xml:space="preserve">, </w:t>
            </w:r>
            <w:r w:rsidR="00590009" w:rsidRPr="00590009">
              <w:rPr>
                <w:rFonts w:cs="Times New Roman"/>
                <w:sz w:val="20"/>
                <w:szCs w:val="20"/>
              </w:rPr>
              <w:t>available at</w:t>
            </w:r>
            <w:r w:rsidR="00590009">
              <w:rPr>
                <w:rFonts w:cs="Times New Roman"/>
                <w:sz w:val="20"/>
                <w:szCs w:val="20"/>
              </w:rPr>
              <w:t>:</w:t>
            </w:r>
            <w:r w:rsidR="008372F4">
              <w:rPr>
                <w:rFonts w:cs="Times New Roman"/>
                <w:sz w:val="20"/>
                <w:szCs w:val="20"/>
              </w:rPr>
              <w:t xml:space="preserve"> </w:t>
            </w:r>
            <w:hyperlink r:id="rId8" w:history="1">
              <w:r w:rsidR="008372F4" w:rsidRPr="00DA7C17">
                <w:rPr>
                  <w:rStyle w:val="Hyperlink"/>
                  <w:rFonts w:cs="Times New Roman"/>
                  <w:sz w:val="20"/>
                  <w:szCs w:val="20"/>
                </w:rPr>
                <w:t>https://www.anz.com/content/dam/anzcom/shareholder/ANZ-2019-Annual-Report.pdf</w:t>
              </w:r>
            </w:hyperlink>
            <w:r w:rsidR="008372F4">
              <w:rPr>
                <w:rFonts w:cs="Times New Roman"/>
                <w:sz w:val="20"/>
                <w:szCs w:val="20"/>
              </w:rPr>
              <w:t xml:space="preserve"> </w:t>
            </w:r>
          </w:p>
        </w:tc>
      </w:tr>
      <w:tr w:rsidR="002A2F8E" w:rsidRPr="00790233" w14:paraId="15FE35A5" w14:textId="77777777" w:rsidTr="00C70D0C">
        <w:tc>
          <w:tcPr>
            <w:tcW w:w="9017" w:type="dxa"/>
          </w:tcPr>
          <w:p w14:paraId="083FE343" w14:textId="3A489FAF" w:rsidR="002A2F8E" w:rsidRPr="00790233" w:rsidRDefault="002A2F8E" w:rsidP="00C70D0C">
            <w:pPr>
              <w:rPr>
                <w:rFonts w:cs="Times New Roman"/>
                <w:i/>
                <w:iCs/>
                <w:sz w:val="20"/>
                <w:szCs w:val="20"/>
              </w:rPr>
            </w:pPr>
            <w:r w:rsidRPr="5BCFBE73">
              <w:rPr>
                <w:rFonts w:cs="Times New Roman"/>
                <w:sz w:val="20"/>
                <w:szCs w:val="20"/>
              </w:rPr>
              <w:t xml:space="preserve">Australia and New Zealand Bank, </w:t>
            </w:r>
            <w:r w:rsidRPr="5BCFBE73">
              <w:rPr>
                <w:rFonts w:cs="Times New Roman"/>
                <w:i/>
                <w:iCs/>
                <w:sz w:val="20"/>
                <w:szCs w:val="20"/>
              </w:rPr>
              <w:t>2019 Environmental, Social Governance Supplement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9" w:history="1">
              <w:r w:rsidR="008372F4" w:rsidRPr="00DA7C17">
                <w:rPr>
                  <w:rStyle w:val="Hyperlink"/>
                  <w:rFonts w:cs="Times New Roman"/>
                  <w:sz w:val="20"/>
                  <w:szCs w:val="20"/>
                </w:rPr>
                <w:t>https://www.anz.com.au/content/dam/anzcom/shareholder/ANZ-2019-ESG-Supplement.pdf</w:t>
              </w:r>
            </w:hyperlink>
            <w:r w:rsidR="008372F4">
              <w:rPr>
                <w:rFonts w:cs="Times New Roman"/>
                <w:sz w:val="20"/>
                <w:szCs w:val="20"/>
              </w:rPr>
              <w:t xml:space="preserve"> </w:t>
            </w:r>
          </w:p>
        </w:tc>
      </w:tr>
      <w:tr w:rsidR="002A2F8E" w14:paraId="015FDEC6" w14:textId="77777777" w:rsidTr="00C70D0C">
        <w:tc>
          <w:tcPr>
            <w:tcW w:w="9017" w:type="dxa"/>
          </w:tcPr>
          <w:p w14:paraId="545CA62D" w14:textId="1EE33E32" w:rsidR="002A2F8E" w:rsidRDefault="002A2F8E" w:rsidP="00C70D0C">
            <w:pPr>
              <w:rPr>
                <w:rFonts w:cs="Times New Roman"/>
                <w:sz w:val="20"/>
                <w:szCs w:val="20"/>
              </w:rPr>
            </w:pPr>
            <w:r w:rsidRPr="49D2DEB0">
              <w:rPr>
                <w:rFonts w:cs="Times New Roman"/>
                <w:sz w:val="20"/>
                <w:szCs w:val="20"/>
              </w:rPr>
              <w:t xml:space="preserve">Australia and New Zealand Bank, </w:t>
            </w:r>
            <w:r w:rsidRPr="49D2DEB0">
              <w:rPr>
                <w:rFonts w:cs="Times New Roman"/>
                <w:i/>
                <w:iCs/>
                <w:sz w:val="20"/>
                <w:szCs w:val="20"/>
              </w:rPr>
              <w:t>2020 Annual Re</w:t>
            </w:r>
            <w:r w:rsidR="008372F4">
              <w:rPr>
                <w:rFonts w:cs="Times New Roman"/>
                <w:i/>
                <w:iCs/>
                <w:sz w:val="20"/>
                <w:szCs w:val="20"/>
              </w:rPr>
              <w:t xml:space="preserve">port, </w:t>
            </w:r>
            <w:r w:rsidR="008372F4" w:rsidRPr="00590009">
              <w:rPr>
                <w:rFonts w:cs="Times New Roman"/>
                <w:sz w:val="20"/>
                <w:szCs w:val="20"/>
              </w:rPr>
              <w:t>available at</w:t>
            </w:r>
            <w:r w:rsidR="008372F4">
              <w:rPr>
                <w:rFonts w:cs="Times New Roman"/>
                <w:sz w:val="20"/>
                <w:szCs w:val="20"/>
              </w:rPr>
              <w:t xml:space="preserve">: </w:t>
            </w:r>
            <w:hyperlink r:id="rId10" w:history="1">
              <w:r w:rsidR="008372F4" w:rsidRPr="00DA7C17">
                <w:rPr>
                  <w:rStyle w:val="Hyperlink"/>
                  <w:rFonts w:cs="Times New Roman"/>
                  <w:sz w:val="20"/>
                  <w:szCs w:val="20"/>
                </w:rPr>
                <w:t>https://www.anz.com/content/dam/anzcom/shareholder/ANZ-2020-Annual-Report.pdf</w:t>
              </w:r>
            </w:hyperlink>
            <w:r w:rsidR="008372F4">
              <w:rPr>
                <w:rFonts w:cs="Times New Roman"/>
                <w:sz w:val="20"/>
                <w:szCs w:val="20"/>
              </w:rPr>
              <w:t xml:space="preserve"> </w:t>
            </w:r>
          </w:p>
        </w:tc>
      </w:tr>
      <w:tr w:rsidR="002A2F8E" w14:paraId="3FA6C563" w14:textId="77777777" w:rsidTr="00C70D0C">
        <w:tc>
          <w:tcPr>
            <w:tcW w:w="9017" w:type="dxa"/>
          </w:tcPr>
          <w:p w14:paraId="55F1FDE9" w14:textId="54888459" w:rsidR="002A2F8E" w:rsidRDefault="002A2F8E" w:rsidP="00C70D0C">
            <w:pPr>
              <w:rPr>
                <w:rFonts w:cs="Times New Roman"/>
                <w:sz w:val="20"/>
                <w:szCs w:val="20"/>
              </w:rPr>
            </w:pPr>
            <w:r w:rsidRPr="5BCFBE73">
              <w:rPr>
                <w:rFonts w:cs="Times New Roman"/>
                <w:sz w:val="20"/>
                <w:szCs w:val="20"/>
              </w:rPr>
              <w:t xml:space="preserve">Australia and New Zealand Bank, </w:t>
            </w:r>
            <w:r w:rsidRPr="5BCFBE73">
              <w:rPr>
                <w:rFonts w:cs="Times New Roman"/>
                <w:i/>
                <w:iCs/>
                <w:sz w:val="20"/>
                <w:szCs w:val="20"/>
              </w:rPr>
              <w:t>2020 Environmental, Social Governance Supplement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1" w:history="1">
              <w:r w:rsidR="008372F4" w:rsidRPr="00DA7C17">
                <w:rPr>
                  <w:rStyle w:val="Hyperlink"/>
                  <w:rFonts w:cs="Times New Roman"/>
                  <w:sz w:val="20"/>
                  <w:szCs w:val="20"/>
                </w:rPr>
                <w:t>https://www.anz.com.au/content/dam/anzcom/shareholder/ANZ-2020-ESG-Supplement.pdf</w:t>
              </w:r>
            </w:hyperlink>
            <w:r w:rsidR="008372F4">
              <w:rPr>
                <w:rFonts w:cs="Times New Roman"/>
                <w:sz w:val="20"/>
                <w:szCs w:val="20"/>
              </w:rPr>
              <w:t xml:space="preserve"> </w:t>
            </w:r>
          </w:p>
        </w:tc>
      </w:tr>
      <w:tr w:rsidR="002A2F8E" w:rsidRPr="00790233" w14:paraId="24C10E92" w14:textId="77777777" w:rsidTr="00C70D0C">
        <w:tc>
          <w:tcPr>
            <w:tcW w:w="9017" w:type="dxa"/>
          </w:tcPr>
          <w:p w14:paraId="7BEF41ED" w14:textId="217D382D" w:rsidR="002A2F8E" w:rsidRPr="00790233" w:rsidRDefault="002A2F8E" w:rsidP="00C70D0C">
            <w:pPr>
              <w:rPr>
                <w:rFonts w:cs="Times New Roman"/>
                <w:i/>
                <w:iCs/>
                <w:sz w:val="20"/>
                <w:szCs w:val="20"/>
              </w:rPr>
            </w:pPr>
            <w:r w:rsidRPr="00790233">
              <w:rPr>
                <w:rFonts w:cs="Times New Roman"/>
                <w:sz w:val="20"/>
                <w:szCs w:val="20"/>
              </w:rPr>
              <w:t xml:space="preserve">Australia and New Zealand Bank, </w:t>
            </w:r>
            <w:r w:rsidRPr="00790233">
              <w:rPr>
                <w:rFonts w:cs="Times New Roman"/>
                <w:i/>
                <w:iCs/>
                <w:sz w:val="20"/>
                <w:szCs w:val="20"/>
              </w:rPr>
              <w:t>Insight Issue</w:t>
            </w:r>
            <w:r w:rsidRPr="00790233">
              <w:rPr>
                <w:rFonts w:cs="Times New Roman"/>
                <w:sz w:val="20"/>
                <w:szCs w:val="20"/>
              </w:rPr>
              <w:t xml:space="preserve"> (2018)</w:t>
            </w:r>
            <w:r w:rsidR="008372F4">
              <w:rPr>
                <w:rFonts w:cs="Times New Roman"/>
                <w:i/>
                <w:iCs/>
                <w:sz w:val="20"/>
                <w:szCs w:val="20"/>
              </w:rPr>
              <w:t xml:space="preserve">, </w:t>
            </w:r>
            <w:r w:rsidR="008372F4">
              <w:rPr>
                <w:rFonts w:cs="Times New Roman"/>
                <w:sz w:val="20"/>
                <w:szCs w:val="20"/>
              </w:rPr>
              <w:t>on file with the first author.</w:t>
            </w:r>
          </w:p>
        </w:tc>
      </w:tr>
      <w:tr w:rsidR="002A2F8E" w:rsidRPr="00790233" w14:paraId="6FC00288" w14:textId="77777777" w:rsidTr="00C70D0C">
        <w:tc>
          <w:tcPr>
            <w:tcW w:w="9017" w:type="dxa"/>
          </w:tcPr>
          <w:p w14:paraId="1D58B90E" w14:textId="4597C8D8" w:rsidR="002A2F8E" w:rsidRPr="00790233" w:rsidRDefault="002A2F8E" w:rsidP="00C70D0C">
            <w:pPr>
              <w:rPr>
                <w:rFonts w:cs="Times New Roman"/>
                <w:sz w:val="20"/>
                <w:szCs w:val="20"/>
              </w:rPr>
            </w:pPr>
            <w:r w:rsidRPr="00790233">
              <w:rPr>
                <w:rFonts w:cs="Times New Roman"/>
                <w:sz w:val="20"/>
                <w:szCs w:val="20"/>
              </w:rPr>
              <w:t xml:space="preserve">Australia and New Zealand Bank, </w:t>
            </w:r>
            <w:r w:rsidRPr="00790233">
              <w:rPr>
                <w:rFonts w:cs="Times New Roman"/>
                <w:i/>
                <w:iCs/>
                <w:sz w:val="20"/>
                <w:szCs w:val="20"/>
              </w:rPr>
              <w:t>Insight Issue 2</w:t>
            </w:r>
            <w:r w:rsidRPr="00790233">
              <w:rPr>
                <w:rFonts w:cs="Times New Roman"/>
                <w:sz w:val="20"/>
                <w:szCs w:val="20"/>
              </w:rPr>
              <w:t xml:space="preserve"> (2011)</w:t>
            </w:r>
            <w:r w:rsidR="008372F4">
              <w:rPr>
                <w:rFonts w:cs="Times New Roman"/>
                <w:i/>
                <w:iCs/>
                <w:sz w:val="20"/>
                <w:szCs w:val="20"/>
              </w:rPr>
              <w:t xml:space="preserve">, </w:t>
            </w:r>
            <w:r w:rsidR="008372F4">
              <w:rPr>
                <w:rFonts w:cs="Times New Roman"/>
                <w:sz w:val="20"/>
                <w:szCs w:val="20"/>
              </w:rPr>
              <w:t>on file with the first author.</w:t>
            </w:r>
            <w:r w:rsidRPr="00790233">
              <w:rPr>
                <w:rFonts w:cs="Times New Roman"/>
                <w:sz w:val="20"/>
                <w:szCs w:val="20"/>
              </w:rPr>
              <w:t xml:space="preserve"> </w:t>
            </w:r>
          </w:p>
        </w:tc>
      </w:tr>
      <w:tr w:rsidR="002A2F8E" w:rsidRPr="00790233" w14:paraId="68C07796" w14:textId="77777777" w:rsidTr="00C70D0C">
        <w:tc>
          <w:tcPr>
            <w:tcW w:w="9017" w:type="dxa"/>
          </w:tcPr>
          <w:p w14:paraId="342E214E" w14:textId="606259CC" w:rsidR="002A2F8E" w:rsidRPr="00790233" w:rsidRDefault="002A2F8E" w:rsidP="00C70D0C">
            <w:pPr>
              <w:rPr>
                <w:rFonts w:cs="Times New Roman"/>
                <w:sz w:val="20"/>
                <w:szCs w:val="20"/>
              </w:rPr>
            </w:pPr>
            <w:r w:rsidRPr="00790233">
              <w:rPr>
                <w:rFonts w:cs="Times New Roman"/>
                <w:sz w:val="20"/>
                <w:szCs w:val="20"/>
              </w:rPr>
              <w:t>Australia and New Zealand Bank</w:t>
            </w:r>
            <w:r w:rsidRPr="00790233">
              <w:rPr>
                <w:rFonts w:cs="Times New Roman"/>
                <w:i/>
                <w:iCs/>
                <w:sz w:val="20"/>
                <w:szCs w:val="20"/>
              </w:rPr>
              <w:t>, Insight Issue 3</w:t>
            </w:r>
            <w:r w:rsidRPr="00790233">
              <w:rPr>
                <w:rFonts w:cs="Times New Roman"/>
                <w:sz w:val="20"/>
                <w:szCs w:val="20"/>
              </w:rPr>
              <w:t xml:space="preserve"> (2012)</w:t>
            </w:r>
            <w:r w:rsidR="008372F4">
              <w:rPr>
                <w:rFonts w:cs="Times New Roman"/>
                <w:i/>
                <w:iCs/>
                <w:sz w:val="20"/>
                <w:szCs w:val="20"/>
              </w:rPr>
              <w:t xml:space="preserve">, </w:t>
            </w:r>
            <w:r w:rsidR="008372F4">
              <w:rPr>
                <w:rFonts w:cs="Times New Roman"/>
                <w:sz w:val="20"/>
                <w:szCs w:val="20"/>
              </w:rPr>
              <w:t>on file with the first author.</w:t>
            </w:r>
          </w:p>
        </w:tc>
      </w:tr>
      <w:tr w:rsidR="002A2F8E" w:rsidRPr="00790233" w14:paraId="5B27DEF2" w14:textId="77777777" w:rsidTr="00C70D0C">
        <w:tc>
          <w:tcPr>
            <w:tcW w:w="9017" w:type="dxa"/>
          </w:tcPr>
          <w:p w14:paraId="3AB8B5EC" w14:textId="14FB923B" w:rsidR="002A2F8E" w:rsidRPr="00790233" w:rsidRDefault="002A2F8E" w:rsidP="00C70D0C">
            <w:pPr>
              <w:rPr>
                <w:rFonts w:cs="Times New Roman"/>
                <w:i/>
                <w:iCs/>
                <w:sz w:val="20"/>
                <w:szCs w:val="20"/>
              </w:rPr>
            </w:pPr>
            <w:r w:rsidRPr="00790233">
              <w:rPr>
                <w:rFonts w:cs="Times New Roman"/>
                <w:sz w:val="20"/>
                <w:szCs w:val="20"/>
              </w:rPr>
              <w:t xml:space="preserve">Bank Australia, </w:t>
            </w:r>
            <w:r w:rsidRPr="00790233">
              <w:rPr>
                <w:rFonts w:cs="Times New Roman"/>
                <w:i/>
                <w:iCs/>
                <w:sz w:val="20"/>
                <w:szCs w:val="20"/>
              </w:rPr>
              <w:t>2015 Corporate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2" w:history="1">
              <w:r w:rsidR="008372F4" w:rsidRPr="00DA7C17">
                <w:rPr>
                  <w:rStyle w:val="Hyperlink"/>
                  <w:rFonts w:cs="Times New Roman"/>
                  <w:sz w:val="20"/>
                  <w:szCs w:val="20"/>
                </w:rPr>
                <w:t>https://www.bankaust.com.au/support/corporate-report-2015</w:t>
              </w:r>
            </w:hyperlink>
            <w:r w:rsidR="008372F4">
              <w:rPr>
                <w:rFonts w:cs="Times New Roman"/>
                <w:sz w:val="20"/>
                <w:szCs w:val="20"/>
              </w:rPr>
              <w:t xml:space="preserve"> </w:t>
            </w:r>
          </w:p>
        </w:tc>
      </w:tr>
      <w:tr w:rsidR="002A2F8E" w:rsidRPr="00790233" w14:paraId="6D56C8AF" w14:textId="77777777" w:rsidTr="00C70D0C">
        <w:tc>
          <w:tcPr>
            <w:tcW w:w="9017" w:type="dxa"/>
          </w:tcPr>
          <w:p w14:paraId="23A0DD4E" w14:textId="51A010EB" w:rsidR="002A2F8E" w:rsidRPr="00790233" w:rsidRDefault="002A2F8E" w:rsidP="00C70D0C">
            <w:pPr>
              <w:rPr>
                <w:rFonts w:cs="Times New Roman"/>
                <w:sz w:val="20"/>
                <w:szCs w:val="20"/>
              </w:rPr>
            </w:pPr>
            <w:r w:rsidRPr="00790233">
              <w:rPr>
                <w:rFonts w:cs="Times New Roman"/>
                <w:sz w:val="20"/>
                <w:szCs w:val="20"/>
              </w:rPr>
              <w:t xml:space="preserve">Bank Australia, </w:t>
            </w:r>
            <w:r w:rsidRPr="00790233">
              <w:rPr>
                <w:rFonts w:cs="Times New Roman"/>
                <w:i/>
                <w:iCs/>
                <w:sz w:val="20"/>
                <w:szCs w:val="20"/>
              </w:rPr>
              <w:t>2016 Corporate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3"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rsidRPr="00790233" w14:paraId="69F9ABA9" w14:textId="77777777" w:rsidTr="00C70D0C">
        <w:tc>
          <w:tcPr>
            <w:tcW w:w="9017" w:type="dxa"/>
          </w:tcPr>
          <w:p w14:paraId="355DC920" w14:textId="0B8C1066" w:rsidR="002A2F8E" w:rsidRPr="00790233" w:rsidRDefault="002A2F8E" w:rsidP="00C70D0C">
            <w:pPr>
              <w:rPr>
                <w:rFonts w:cs="Times New Roman"/>
                <w:sz w:val="20"/>
                <w:szCs w:val="20"/>
              </w:rPr>
            </w:pPr>
            <w:r w:rsidRPr="00790233">
              <w:rPr>
                <w:rFonts w:cs="Times New Roman"/>
                <w:sz w:val="20"/>
                <w:szCs w:val="20"/>
              </w:rPr>
              <w:t xml:space="preserve">Bank Australia, </w:t>
            </w:r>
            <w:r w:rsidRPr="00790233">
              <w:rPr>
                <w:rFonts w:cs="Times New Roman"/>
                <w:i/>
                <w:iCs/>
                <w:sz w:val="20"/>
                <w:szCs w:val="20"/>
              </w:rPr>
              <w:t>2017 Corporate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4"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rsidRPr="00790233" w14:paraId="43E4DD8F" w14:textId="77777777" w:rsidTr="00C70D0C">
        <w:tc>
          <w:tcPr>
            <w:tcW w:w="9017" w:type="dxa"/>
          </w:tcPr>
          <w:p w14:paraId="2A3B66D6" w14:textId="4ABC28E6" w:rsidR="002A2F8E" w:rsidRPr="00790233" w:rsidRDefault="002A2F8E" w:rsidP="00C70D0C">
            <w:pPr>
              <w:rPr>
                <w:rFonts w:cs="Times New Roman"/>
                <w:sz w:val="20"/>
                <w:szCs w:val="20"/>
              </w:rPr>
            </w:pPr>
            <w:r w:rsidRPr="00790233">
              <w:rPr>
                <w:rFonts w:cs="Times New Roman"/>
                <w:sz w:val="20"/>
                <w:szCs w:val="20"/>
              </w:rPr>
              <w:t xml:space="preserve">Bank Australia, </w:t>
            </w:r>
            <w:r w:rsidRPr="00790233">
              <w:rPr>
                <w:rFonts w:cs="Times New Roman"/>
                <w:i/>
                <w:iCs/>
                <w:sz w:val="20"/>
                <w:szCs w:val="20"/>
              </w:rPr>
              <w:t>2018 Corporate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5"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rsidRPr="00790233" w14:paraId="74D46056" w14:textId="77777777" w:rsidTr="00C70D0C">
        <w:tc>
          <w:tcPr>
            <w:tcW w:w="9017" w:type="dxa"/>
          </w:tcPr>
          <w:p w14:paraId="6CF457AC" w14:textId="09F5218F" w:rsidR="002A2F8E" w:rsidRPr="00790233" w:rsidRDefault="002A2F8E" w:rsidP="00C70D0C">
            <w:pPr>
              <w:rPr>
                <w:rFonts w:cs="Times New Roman"/>
                <w:sz w:val="20"/>
                <w:szCs w:val="20"/>
              </w:rPr>
            </w:pPr>
            <w:r w:rsidRPr="5BCFBE73">
              <w:rPr>
                <w:rFonts w:cs="Times New Roman"/>
                <w:sz w:val="20"/>
                <w:szCs w:val="20"/>
              </w:rPr>
              <w:t xml:space="preserve">Bank Australia, </w:t>
            </w:r>
            <w:r w:rsidRPr="5BCFBE73">
              <w:rPr>
                <w:rFonts w:cs="Times New Roman"/>
                <w:i/>
                <w:iCs/>
                <w:sz w:val="20"/>
                <w:szCs w:val="20"/>
              </w:rPr>
              <w:t>2019 Impact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Pr="5BCFBE73">
              <w:rPr>
                <w:rFonts w:cs="Times New Roman"/>
                <w:sz w:val="20"/>
                <w:szCs w:val="20"/>
              </w:rPr>
              <w:t xml:space="preserve"> </w:t>
            </w:r>
            <w:hyperlink r:id="rId16"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14:paraId="6E139DF9" w14:textId="77777777" w:rsidTr="00C70D0C">
        <w:tc>
          <w:tcPr>
            <w:tcW w:w="9017" w:type="dxa"/>
          </w:tcPr>
          <w:p w14:paraId="1280B104" w14:textId="1AA448EB" w:rsidR="002A2F8E" w:rsidRDefault="002A2F8E" w:rsidP="00C70D0C">
            <w:pPr>
              <w:rPr>
                <w:rFonts w:cs="Times New Roman"/>
                <w:sz w:val="20"/>
                <w:szCs w:val="20"/>
              </w:rPr>
            </w:pPr>
            <w:r w:rsidRPr="5BCFBE73">
              <w:rPr>
                <w:rFonts w:cs="Times New Roman"/>
                <w:sz w:val="20"/>
                <w:szCs w:val="20"/>
              </w:rPr>
              <w:t xml:space="preserve">Bank Australia, </w:t>
            </w:r>
            <w:r w:rsidRPr="5BCFBE73">
              <w:rPr>
                <w:rFonts w:cs="Times New Roman"/>
                <w:i/>
                <w:iCs/>
                <w:sz w:val="20"/>
                <w:szCs w:val="20"/>
              </w:rPr>
              <w:t>2020 Impact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7"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rsidRPr="00790233" w14:paraId="7D4974D5" w14:textId="77777777" w:rsidTr="00C70D0C">
        <w:tc>
          <w:tcPr>
            <w:tcW w:w="9017" w:type="dxa"/>
          </w:tcPr>
          <w:p w14:paraId="01A04A27" w14:textId="6B0AE70B" w:rsidR="002A2F8E" w:rsidRPr="00790233" w:rsidRDefault="002A2F8E" w:rsidP="00C70D0C">
            <w:pPr>
              <w:rPr>
                <w:rFonts w:cs="Times New Roman"/>
                <w:sz w:val="20"/>
                <w:szCs w:val="20"/>
              </w:rPr>
            </w:pPr>
            <w:r w:rsidRPr="00790233">
              <w:rPr>
                <w:rFonts w:cs="Times New Roman"/>
                <w:sz w:val="20"/>
                <w:szCs w:val="20"/>
              </w:rPr>
              <w:t xml:space="preserve">Bank Australia, </w:t>
            </w:r>
            <w:r w:rsidRPr="00790233">
              <w:rPr>
                <w:rFonts w:cs="Times New Roman"/>
                <w:i/>
                <w:iCs/>
                <w:sz w:val="20"/>
                <w:szCs w:val="20"/>
              </w:rPr>
              <w:t>2020 Financial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 xml:space="preserve">: </w:t>
            </w:r>
            <w:hyperlink r:id="rId18" w:anchor="-reports" w:history="1">
              <w:r w:rsidR="008372F4" w:rsidRPr="00DA7C17">
                <w:rPr>
                  <w:rStyle w:val="Hyperlink"/>
                  <w:rFonts w:cs="Times New Roman"/>
                  <w:sz w:val="20"/>
                  <w:szCs w:val="20"/>
                </w:rPr>
                <w:t>https://www.bankaust.com.au/support/corporate-reports#-reports</w:t>
              </w:r>
            </w:hyperlink>
            <w:r w:rsidR="008372F4">
              <w:rPr>
                <w:rFonts w:cs="Times New Roman"/>
                <w:sz w:val="20"/>
                <w:szCs w:val="20"/>
              </w:rPr>
              <w:t xml:space="preserve"> </w:t>
            </w:r>
          </w:p>
        </w:tc>
      </w:tr>
      <w:tr w:rsidR="002A2F8E" w14:paraId="4BF13578" w14:textId="77777777" w:rsidTr="00C70D0C">
        <w:tc>
          <w:tcPr>
            <w:tcW w:w="9017" w:type="dxa"/>
          </w:tcPr>
          <w:p w14:paraId="06141834" w14:textId="0DEE60E5" w:rsidR="002A2F8E" w:rsidRDefault="002A2F8E" w:rsidP="00C70D0C">
            <w:pPr>
              <w:rPr>
                <w:rFonts w:cs="Times New Roman"/>
                <w:sz w:val="20"/>
                <w:szCs w:val="20"/>
              </w:rPr>
            </w:pPr>
            <w:r w:rsidRPr="49D2DEB0">
              <w:rPr>
                <w:rFonts w:cs="Times New Roman"/>
                <w:sz w:val="20"/>
                <w:szCs w:val="20"/>
              </w:rPr>
              <w:t xml:space="preserve">Bendigo and Adelaide Bank, </w:t>
            </w:r>
            <w:r w:rsidRPr="49D2DEB0">
              <w:rPr>
                <w:rFonts w:cs="Times New Roman"/>
                <w:i/>
                <w:iCs/>
                <w:sz w:val="20"/>
                <w:szCs w:val="20"/>
              </w:rPr>
              <w:t>2020 Climate Change Policy</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19" w:history="1">
              <w:r w:rsidR="00C70D0C" w:rsidRPr="00DA7C17">
                <w:rPr>
                  <w:rStyle w:val="Hyperlink"/>
                  <w:rFonts w:cs="Times New Roman"/>
                  <w:sz w:val="20"/>
                  <w:szCs w:val="20"/>
                </w:rPr>
                <w:t>https://www.bendigoadelaide.com.au/globalassets/documents/bendigoadelaide/governance/policies/climate-change-policy.pdf</w:t>
              </w:r>
            </w:hyperlink>
            <w:r w:rsidR="00C70D0C">
              <w:rPr>
                <w:rFonts w:cs="Times New Roman"/>
                <w:sz w:val="20"/>
                <w:szCs w:val="20"/>
              </w:rPr>
              <w:t xml:space="preserve"> </w:t>
            </w:r>
          </w:p>
        </w:tc>
      </w:tr>
      <w:tr w:rsidR="002A2F8E" w14:paraId="4630ABFE" w14:textId="77777777" w:rsidTr="00C70D0C">
        <w:tc>
          <w:tcPr>
            <w:tcW w:w="9017" w:type="dxa"/>
          </w:tcPr>
          <w:p w14:paraId="7F9D075E" w14:textId="2B760BE3" w:rsidR="002A2F8E" w:rsidRDefault="002A2F8E" w:rsidP="00C70D0C">
            <w:pPr>
              <w:rPr>
                <w:rFonts w:cs="Times New Roman"/>
                <w:sz w:val="20"/>
                <w:szCs w:val="20"/>
              </w:rPr>
            </w:pPr>
            <w:r w:rsidRPr="5BCFBE73">
              <w:rPr>
                <w:rFonts w:cs="Times New Roman"/>
                <w:sz w:val="20"/>
                <w:szCs w:val="20"/>
              </w:rPr>
              <w:lastRenderedPageBreak/>
              <w:t xml:space="preserve">Bendigo and Adelaide Bank, </w:t>
            </w:r>
            <w:r w:rsidRPr="5BCFBE73">
              <w:rPr>
                <w:rFonts w:cs="Times New Roman"/>
                <w:i/>
                <w:iCs/>
                <w:sz w:val="20"/>
                <w:szCs w:val="20"/>
              </w:rPr>
              <w:t>2020 Annual Review</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20" w:history="1">
              <w:r w:rsidR="00C70D0C" w:rsidRPr="00DA7C17">
                <w:rPr>
                  <w:rStyle w:val="Hyperlink"/>
                  <w:rFonts w:cs="Times New Roman"/>
                  <w:sz w:val="20"/>
                  <w:szCs w:val="20"/>
                </w:rPr>
                <w:t>https://www.bendigoadelaide.com.au/investor-centre/reports/</w:t>
              </w:r>
            </w:hyperlink>
            <w:r w:rsidR="00C70D0C">
              <w:rPr>
                <w:rFonts w:cs="Times New Roman"/>
                <w:i/>
                <w:iCs/>
                <w:sz w:val="20"/>
                <w:szCs w:val="20"/>
              </w:rPr>
              <w:t xml:space="preserve"> </w:t>
            </w:r>
          </w:p>
        </w:tc>
      </w:tr>
      <w:tr w:rsidR="002A2F8E" w14:paraId="285A4AE2" w14:textId="77777777" w:rsidTr="00C70D0C">
        <w:tc>
          <w:tcPr>
            <w:tcW w:w="9017" w:type="dxa"/>
          </w:tcPr>
          <w:p w14:paraId="5442F914" w14:textId="4D50D58D" w:rsidR="002A2F8E" w:rsidRDefault="002A2F8E" w:rsidP="00C70D0C">
            <w:pPr>
              <w:rPr>
                <w:rFonts w:cs="Times New Roman"/>
                <w:sz w:val="20"/>
                <w:szCs w:val="20"/>
              </w:rPr>
            </w:pPr>
            <w:r w:rsidRPr="49D2DEB0">
              <w:rPr>
                <w:rFonts w:cs="Times New Roman"/>
                <w:sz w:val="20"/>
                <w:szCs w:val="20"/>
              </w:rPr>
              <w:t xml:space="preserve">Bendigo and Adelaide Bank, </w:t>
            </w:r>
            <w:r w:rsidR="006B5F4F" w:rsidRPr="006B5F4F">
              <w:rPr>
                <w:rFonts w:cs="Times New Roman"/>
                <w:i/>
                <w:iCs/>
                <w:sz w:val="20"/>
                <w:szCs w:val="20"/>
              </w:rPr>
              <w:t xml:space="preserve">2020 </w:t>
            </w:r>
            <w:r w:rsidRPr="49D2DEB0">
              <w:rPr>
                <w:rFonts w:cs="Times New Roman"/>
                <w:i/>
                <w:iCs/>
                <w:sz w:val="20"/>
                <w:szCs w:val="20"/>
              </w:rPr>
              <w:t>Animal Welfare and Livestock Farming Policy Statement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21" w:history="1">
              <w:r w:rsidR="00C70D0C" w:rsidRPr="00DA7C17">
                <w:rPr>
                  <w:rStyle w:val="Hyperlink"/>
                  <w:rFonts w:cs="Times New Roman"/>
                  <w:sz w:val="20"/>
                  <w:szCs w:val="20"/>
                </w:rPr>
                <w:t>https://www.bendigoadelaide.com.au/investor-centre/reports/</w:t>
              </w:r>
            </w:hyperlink>
            <w:r w:rsidR="00C70D0C">
              <w:rPr>
                <w:rFonts w:cs="Times New Roman"/>
                <w:sz w:val="20"/>
                <w:szCs w:val="20"/>
              </w:rPr>
              <w:t xml:space="preserve"> </w:t>
            </w:r>
          </w:p>
        </w:tc>
      </w:tr>
      <w:tr w:rsidR="002A2F8E" w:rsidRPr="00790233" w14:paraId="77B705C5" w14:textId="77777777" w:rsidTr="00C70D0C">
        <w:tc>
          <w:tcPr>
            <w:tcW w:w="9017" w:type="dxa"/>
          </w:tcPr>
          <w:p w14:paraId="2AF7990B" w14:textId="02E22A8C"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2009 Sustainability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Pr="00790233">
              <w:rPr>
                <w:rFonts w:cs="Times New Roman"/>
                <w:sz w:val="20"/>
                <w:szCs w:val="20"/>
              </w:rPr>
              <w:t xml:space="preserve"> </w:t>
            </w:r>
            <w:hyperlink r:id="rId22" w:history="1">
              <w:r w:rsidR="00C70D0C" w:rsidRPr="00DA7C17">
                <w:rPr>
                  <w:rStyle w:val="Hyperlink"/>
                  <w:rFonts w:cs="Times New Roman"/>
                  <w:sz w:val="20"/>
                  <w:szCs w:val="20"/>
                </w:rPr>
                <w:t>https://www.commbank.com.au/content/dam/commbank/about-us/shareholders/pdfs/2009-asx/Commonwealth_Bank_Sustainability_Report_2009.pdf</w:t>
              </w:r>
            </w:hyperlink>
            <w:r w:rsidR="00C70D0C">
              <w:rPr>
                <w:rFonts w:cs="Times New Roman"/>
                <w:sz w:val="20"/>
                <w:szCs w:val="20"/>
              </w:rPr>
              <w:t xml:space="preserve"> </w:t>
            </w:r>
          </w:p>
        </w:tc>
      </w:tr>
      <w:tr w:rsidR="002A2F8E" w:rsidRPr="00790233" w14:paraId="2356C2F3" w14:textId="77777777" w:rsidTr="00C70D0C">
        <w:tc>
          <w:tcPr>
            <w:tcW w:w="9017" w:type="dxa"/>
          </w:tcPr>
          <w:p w14:paraId="43656169" w14:textId="35636D8F"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2013 Annual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23" w:history="1">
              <w:r w:rsidR="00C70D0C" w:rsidRPr="00DA7C17">
                <w:rPr>
                  <w:rStyle w:val="Hyperlink"/>
                  <w:rFonts w:cs="Times New Roman"/>
                  <w:sz w:val="20"/>
                  <w:szCs w:val="20"/>
                </w:rPr>
                <w:t>https://www.commbank.com.au/about-us/investors/annual-reports.html</w:t>
              </w:r>
            </w:hyperlink>
            <w:r w:rsidR="00C70D0C">
              <w:rPr>
                <w:rFonts w:cs="Times New Roman"/>
                <w:sz w:val="20"/>
                <w:szCs w:val="20"/>
              </w:rPr>
              <w:t xml:space="preserve"> </w:t>
            </w:r>
          </w:p>
        </w:tc>
      </w:tr>
      <w:tr w:rsidR="002A2F8E" w:rsidRPr="00790233" w14:paraId="55EBBC21" w14:textId="77777777" w:rsidTr="00C70D0C">
        <w:tc>
          <w:tcPr>
            <w:tcW w:w="9017" w:type="dxa"/>
          </w:tcPr>
          <w:p w14:paraId="5281BAE5" w14:textId="34D4A12F"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2015 Climate Disclosure Project Submission</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24" w:history="1">
              <w:r w:rsidR="00C70D0C" w:rsidRPr="00DA7C17">
                <w:rPr>
                  <w:rStyle w:val="Hyperlink"/>
                  <w:rFonts w:cs="Times New Roman"/>
                  <w:sz w:val="20"/>
                  <w:szCs w:val="20"/>
                </w:rPr>
                <w:t>https://www.commbank.com.au/content/dam/commbank/about-us/docs/sustainability-2015-CBA-CDP-submission.pdf</w:t>
              </w:r>
            </w:hyperlink>
            <w:r w:rsidR="00C70D0C">
              <w:rPr>
                <w:rFonts w:cs="Times New Roman"/>
                <w:sz w:val="20"/>
                <w:szCs w:val="20"/>
              </w:rPr>
              <w:t xml:space="preserve"> </w:t>
            </w:r>
          </w:p>
        </w:tc>
      </w:tr>
      <w:tr w:rsidR="002A2F8E" w:rsidRPr="00790233" w14:paraId="5C25E977" w14:textId="77777777" w:rsidTr="00C70D0C">
        <w:tc>
          <w:tcPr>
            <w:tcW w:w="9017" w:type="dxa"/>
          </w:tcPr>
          <w:p w14:paraId="4F9D2F21" w14:textId="0C3A2A61"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2018 Annual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Pr="00790233">
              <w:rPr>
                <w:rFonts w:cs="Times New Roman"/>
                <w:sz w:val="20"/>
                <w:szCs w:val="20"/>
              </w:rPr>
              <w:t xml:space="preserve"> </w:t>
            </w:r>
            <w:hyperlink r:id="rId25" w:history="1">
              <w:r w:rsidR="00C70D0C" w:rsidRPr="00DA7C17">
                <w:rPr>
                  <w:rStyle w:val="Hyperlink"/>
                  <w:rFonts w:cs="Times New Roman"/>
                  <w:sz w:val="20"/>
                  <w:szCs w:val="20"/>
                </w:rPr>
                <w:t>https://www.commbank.com.au/about-us/investors/annual-reports.html</w:t>
              </w:r>
            </w:hyperlink>
            <w:r w:rsidR="00C70D0C">
              <w:rPr>
                <w:rFonts w:cs="Times New Roman"/>
                <w:sz w:val="20"/>
                <w:szCs w:val="20"/>
              </w:rPr>
              <w:t xml:space="preserve"> </w:t>
            </w:r>
          </w:p>
        </w:tc>
      </w:tr>
      <w:tr w:rsidR="002A2F8E" w:rsidRPr="00790233" w14:paraId="344DC1CD" w14:textId="77777777" w:rsidTr="00C70D0C">
        <w:tc>
          <w:tcPr>
            <w:tcW w:w="9017" w:type="dxa"/>
          </w:tcPr>
          <w:p w14:paraId="357A6A53" w14:textId="29690D99"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2019 Annual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C70D0C">
              <w:rPr>
                <w:rFonts w:cs="Times New Roman"/>
                <w:sz w:val="20"/>
                <w:szCs w:val="20"/>
              </w:rPr>
              <w:t xml:space="preserve"> </w:t>
            </w:r>
            <w:hyperlink r:id="rId26" w:history="1">
              <w:r w:rsidR="00C70D0C" w:rsidRPr="00DA7C17">
                <w:rPr>
                  <w:rStyle w:val="Hyperlink"/>
                  <w:rFonts w:cs="Times New Roman"/>
                  <w:sz w:val="20"/>
                  <w:szCs w:val="20"/>
                </w:rPr>
                <w:t>https://www.commbank.com.au/about-us/investors/annual-reports.html</w:t>
              </w:r>
            </w:hyperlink>
            <w:r w:rsidR="00C70D0C">
              <w:rPr>
                <w:rFonts w:cs="Times New Roman"/>
                <w:sz w:val="20"/>
                <w:szCs w:val="20"/>
              </w:rPr>
              <w:t xml:space="preserve"> </w:t>
            </w:r>
          </w:p>
        </w:tc>
      </w:tr>
      <w:tr w:rsidR="002A2F8E" w:rsidRPr="00790233" w14:paraId="699DFC2C" w14:textId="77777777" w:rsidTr="00C70D0C">
        <w:tc>
          <w:tcPr>
            <w:tcW w:w="9017" w:type="dxa"/>
          </w:tcPr>
          <w:p w14:paraId="2610B289" w14:textId="0243FC9B"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2019 Climate Disclosure Project Submission</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7A52DD">
              <w:rPr>
                <w:rFonts w:cs="Times New Roman"/>
                <w:sz w:val="20"/>
                <w:szCs w:val="20"/>
              </w:rPr>
              <w:t xml:space="preserve"> </w:t>
            </w:r>
            <w:hyperlink r:id="rId27" w:history="1">
              <w:r w:rsidR="007A52DD" w:rsidRPr="00DA7C17">
                <w:rPr>
                  <w:rStyle w:val="Hyperlink"/>
                  <w:rFonts w:cs="Times New Roman"/>
                  <w:sz w:val="20"/>
                  <w:szCs w:val="20"/>
                </w:rPr>
                <w:t>https://www.commbank.com.au/content/dam/commbank/about-us/docs/2019-cdp-submission.pdf</w:t>
              </w:r>
            </w:hyperlink>
            <w:r w:rsidR="007A52DD">
              <w:rPr>
                <w:rFonts w:cs="Times New Roman"/>
                <w:sz w:val="20"/>
                <w:szCs w:val="20"/>
              </w:rPr>
              <w:t xml:space="preserve"> </w:t>
            </w:r>
          </w:p>
        </w:tc>
      </w:tr>
      <w:tr w:rsidR="002A2F8E" w:rsidRPr="00790233" w14:paraId="6A38A0E1" w14:textId="77777777" w:rsidTr="00C70D0C">
        <w:tc>
          <w:tcPr>
            <w:tcW w:w="9017" w:type="dxa"/>
          </w:tcPr>
          <w:p w14:paraId="6CE00BFC" w14:textId="0F149009"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2019 Environment and Social Framework</w:t>
            </w:r>
            <w:r w:rsidR="008372F4">
              <w:rPr>
                <w:rFonts w:cs="Times New Roman"/>
                <w:i/>
                <w:iCs/>
                <w:sz w:val="20"/>
                <w:szCs w:val="20"/>
              </w:rPr>
              <w:t xml:space="preserve">, </w:t>
            </w:r>
            <w:r w:rsidR="007A52DD" w:rsidRPr="001879EA">
              <w:rPr>
                <w:rFonts w:cs="Times New Roman"/>
                <w:sz w:val="20"/>
                <w:szCs w:val="20"/>
              </w:rPr>
              <w:t>n</w:t>
            </w:r>
            <w:r w:rsidR="007A52DD" w:rsidRPr="008873EC">
              <w:rPr>
                <w:rFonts w:cs="Times New Roman"/>
              </w:rPr>
              <w:t>o longer available online; available on file with authors.</w:t>
            </w:r>
          </w:p>
        </w:tc>
      </w:tr>
      <w:tr w:rsidR="002A2F8E" w14:paraId="7D1D1EE9" w14:textId="77777777" w:rsidTr="00C70D0C">
        <w:tc>
          <w:tcPr>
            <w:tcW w:w="9017" w:type="dxa"/>
          </w:tcPr>
          <w:p w14:paraId="1980CBF4" w14:textId="09843E4E" w:rsidR="002A2F8E" w:rsidRDefault="002A2F8E" w:rsidP="00C70D0C">
            <w:r w:rsidRPr="49D2DEB0">
              <w:rPr>
                <w:rFonts w:cs="Times New Roman"/>
                <w:sz w:val="20"/>
                <w:szCs w:val="20"/>
              </w:rPr>
              <w:t xml:space="preserve">Commonwealth Bank of Australia, </w:t>
            </w:r>
            <w:r w:rsidRPr="49D2DEB0">
              <w:rPr>
                <w:rFonts w:cs="Times New Roman"/>
                <w:i/>
                <w:iCs/>
                <w:sz w:val="20"/>
                <w:szCs w:val="20"/>
              </w:rPr>
              <w:t xml:space="preserve">2020 Annual </w:t>
            </w:r>
            <w:r w:rsidR="00C70D0C">
              <w:rPr>
                <w:rFonts w:cs="Times New Roman"/>
                <w:i/>
                <w:iCs/>
                <w:sz w:val="20"/>
                <w:szCs w:val="20"/>
              </w:rPr>
              <w:t xml:space="preserve">Report, </w:t>
            </w:r>
            <w:r w:rsidR="00C70D0C" w:rsidRPr="00C70D0C">
              <w:rPr>
                <w:rFonts w:cs="Times New Roman"/>
                <w:sz w:val="20"/>
                <w:szCs w:val="20"/>
              </w:rPr>
              <w:t xml:space="preserve">available at: </w:t>
            </w:r>
            <w:hyperlink r:id="rId28" w:history="1">
              <w:r w:rsidR="00C70D0C" w:rsidRPr="00DA7C17">
                <w:rPr>
                  <w:rStyle w:val="Hyperlink"/>
                  <w:rFonts w:cs="Times New Roman"/>
                  <w:sz w:val="20"/>
                  <w:szCs w:val="20"/>
                </w:rPr>
                <w:t>https://www.commbank.com.au/about-us/investors/annual-reports.html</w:t>
              </w:r>
            </w:hyperlink>
            <w:r w:rsidR="00C70D0C">
              <w:rPr>
                <w:rFonts w:cs="Times New Roman"/>
                <w:sz w:val="20"/>
                <w:szCs w:val="20"/>
              </w:rPr>
              <w:t xml:space="preserve"> </w:t>
            </w:r>
          </w:p>
        </w:tc>
      </w:tr>
      <w:tr w:rsidR="002A2F8E" w14:paraId="36569AF1" w14:textId="77777777" w:rsidTr="00C70D0C">
        <w:tc>
          <w:tcPr>
            <w:tcW w:w="9017" w:type="dxa"/>
          </w:tcPr>
          <w:p w14:paraId="6137D797" w14:textId="42024CFF" w:rsidR="002A2F8E" w:rsidRDefault="002A2F8E" w:rsidP="00C70D0C">
            <w:pPr>
              <w:rPr>
                <w:rFonts w:cs="Times New Roman"/>
                <w:sz w:val="20"/>
                <w:szCs w:val="20"/>
              </w:rPr>
            </w:pPr>
            <w:r w:rsidRPr="5BCFBE73">
              <w:rPr>
                <w:rFonts w:cs="Times New Roman"/>
                <w:sz w:val="20"/>
                <w:szCs w:val="20"/>
              </w:rPr>
              <w:t xml:space="preserve">Commonwealth Bank of Australia, </w:t>
            </w:r>
            <w:r w:rsidRPr="5BCFBE73">
              <w:rPr>
                <w:rFonts w:cs="Times New Roman"/>
                <w:i/>
                <w:iCs/>
                <w:sz w:val="20"/>
                <w:szCs w:val="20"/>
              </w:rPr>
              <w:t>2020 Environment and Social Framework</w:t>
            </w:r>
            <w:r w:rsidR="007A52DD">
              <w:rPr>
                <w:rFonts w:cs="Times New Roman"/>
                <w:i/>
                <w:iCs/>
                <w:sz w:val="20"/>
                <w:szCs w:val="20"/>
              </w:rPr>
              <w:t xml:space="preserve">, </w:t>
            </w:r>
            <w:r w:rsidR="007A52DD" w:rsidRPr="001879EA">
              <w:rPr>
                <w:rFonts w:cs="Times New Roman"/>
                <w:sz w:val="20"/>
                <w:szCs w:val="20"/>
              </w:rPr>
              <w:t>n</w:t>
            </w:r>
            <w:r w:rsidR="007A52DD" w:rsidRPr="008873EC">
              <w:rPr>
                <w:rFonts w:cs="Times New Roman"/>
              </w:rPr>
              <w:t>o longer available online; available on file with authors.</w:t>
            </w:r>
          </w:p>
        </w:tc>
      </w:tr>
      <w:tr w:rsidR="002A2F8E" w:rsidRPr="00790233" w14:paraId="3D6373FB" w14:textId="77777777" w:rsidTr="00C70D0C">
        <w:tc>
          <w:tcPr>
            <w:tcW w:w="9017" w:type="dxa"/>
          </w:tcPr>
          <w:p w14:paraId="3382D649" w14:textId="6DC8179C"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Assessed Emissions of Group’s Business Lending Portfolio</w:t>
            </w:r>
            <w:r w:rsidRPr="00790233">
              <w:rPr>
                <w:rFonts w:cs="Times New Roman"/>
                <w:sz w:val="20"/>
                <w:szCs w:val="20"/>
              </w:rPr>
              <w:t xml:space="preserve"> </w:t>
            </w:r>
            <w:r w:rsidRPr="00790233">
              <w:rPr>
                <w:rFonts w:cs="Times New Roman"/>
                <w:i/>
                <w:iCs/>
                <w:sz w:val="20"/>
                <w:szCs w:val="20"/>
              </w:rPr>
              <w:t>FY16</w:t>
            </w:r>
            <w:r w:rsidR="007A52DD">
              <w:rPr>
                <w:rFonts w:cs="Times New Roman"/>
                <w:i/>
                <w:iCs/>
                <w:sz w:val="20"/>
                <w:szCs w:val="20"/>
              </w:rPr>
              <w:t xml:space="preserve">, </w:t>
            </w:r>
            <w:hyperlink r:id="rId29" w:history="1">
              <w:r w:rsidR="007A52DD" w:rsidRPr="007A52DD">
                <w:rPr>
                  <w:rStyle w:val="Hyperlink"/>
                  <w:rFonts w:cs="Times New Roman"/>
                  <w:sz w:val="20"/>
                  <w:szCs w:val="20"/>
                </w:rPr>
                <w:t>https://www.commbank.com.au/content/dam/commbank/assets/about/opportunity-initiatives/FY16-Assessed-emissions-report.pdf</w:t>
              </w:r>
            </w:hyperlink>
            <w:r w:rsidR="007A52DD">
              <w:rPr>
                <w:rFonts w:cs="Times New Roman"/>
                <w:i/>
                <w:iCs/>
                <w:sz w:val="20"/>
                <w:szCs w:val="20"/>
              </w:rPr>
              <w:t xml:space="preserve"> </w:t>
            </w:r>
            <w:r w:rsidRPr="00790233">
              <w:rPr>
                <w:rFonts w:cs="Times New Roman"/>
                <w:sz w:val="20"/>
                <w:szCs w:val="20"/>
              </w:rPr>
              <w:t xml:space="preserve"> </w:t>
            </w:r>
          </w:p>
        </w:tc>
      </w:tr>
      <w:tr w:rsidR="002A2F8E" w:rsidRPr="00790233" w14:paraId="627A06D9" w14:textId="77777777" w:rsidTr="00C70D0C">
        <w:tc>
          <w:tcPr>
            <w:tcW w:w="9017" w:type="dxa"/>
          </w:tcPr>
          <w:p w14:paraId="2B652646" w14:textId="7E0B7968" w:rsidR="002A2F8E" w:rsidRPr="00790233" w:rsidRDefault="002A2F8E" w:rsidP="00C70D0C">
            <w:pPr>
              <w:rPr>
                <w:rFonts w:cs="Times New Roman"/>
                <w:sz w:val="20"/>
                <w:szCs w:val="20"/>
              </w:rPr>
            </w:pPr>
            <w:r w:rsidRPr="00790233">
              <w:rPr>
                <w:rFonts w:cs="Times New Roman"/>
                <w:sz w:val="20"/>
                <w:szCs w:val="20"/>
              </w:rPr>
              <w:t xml:space="preserve">Commonwealth Bank of Australia, </w:t>
            </w:r>
            <w:r w:rsidRPr="00790233">
              <w:rPr>
                <w:rFonts w:cs="Times New Roman"/>
                <w:i/>
                <w:iCs/>
                <w:sz w:val="20"/>
                <w:szCs w:val="20"/>
              </w:rPr>
              <w:t>Climate Strategy FY19</w:t>
            </w:r>
            <w:r w:rsidR="007A52DD">
              <w:rPr>
                <w:rFonts w:cs="Times New Roman"/>
                <w:i/>
                <w:iCs/>
                <w:sz w:val="20"/>
                <w:szCs w:val="20"/>
              </w:rPr>
              <w:t xml:space="preserve">, </w:t>
            </w:r>
            <w:r w:rsidR="007A52DD" w:rsidRPr="001879EA">
              <w:rPr>
                <w:rFonts w:cs="Times New Roman"/>
                <w:sz w:val="20"/>
                <w:szCs w:val="20"/>
              </w:rPr>
              <w:t>n</w:t>
            </w:r>
            <w:r w:rsidR="007A52DD" w:rsidRPr="008873EC">
              <w:rPr>
                <w:rFonts w:cs="Times New Roman"/>
              </w:rPr>
              <w:t>o longer available online; available on file with authors.</w:t>
            </w:r>
            <w:r w:rsidRPr="00790233">
              <w:rPr>
                <w:rFonts w:cs="Times New Roman"/>
                <w:i/>
                <w:iCs/>
                <w:sz w:val="20"/>
                <w:szCs w:val="20"/>
              </w:rPr>
              <w:t xml:space="preserve"> </w:t>
            </w:r>
          </w:p>
        </w:tc>
      </w:tr>
      <w:tr w:rsidR="002A2F8E" w:rsidRPr="00790233" w14:paraId="190ED171" w14:textId="77777777" w:rsidTr="00C70D0C">
        <w:tc>
          <w:tcPr>
            <w:tcW w:w="9017" w:type="dxa"/>
          </w:tcPr>
          <w:p w14:paraId="7E658E3E" w14:textId="349B81B9" w:rsidR="002A2F8E" w:rsidRPr="00790233" w:rsidRDefault="002A2F8E" w:rsidP="00C70D0C">
            <w:pPr>
              <w:rPr>
                <w:rFonts w:cs="Times New Roman"/>
                <w:sz w:val="20"/>
                <w:szCs w:val="20"/>
              </w:rPr>
            </w:pPr>
            <w:r w:rsidRPr="00790233">
              <w:rPr>
                <w:rFonts w:cs="Times New Roman"/>
                <w:sz w:val="20"/>
                <w:szCs w:val="20"/>
              </w:rPr>
              <w:t xml:space="preserve">National Australia Bank, </w:t>
            </w:r>
            <w:r w:rsidRPr="00790233">
              <w:rPr>
                <w:rFonts w:cs="Times New Roman"/>
                <w:i/>
                <w:iCs/>
                <w:sz w:val="20"/>
                <w:szCs w:val="20"/>
              </w:rPr>
              <w:t>2002 Social Impact Report</w:t>
            </w:r>
            <w:r w:rsidR="007A52DD">
              <w:rPr>
                <w:rFonts w:cs="Times New Roman"/>
                <w:i/>
                <w:iCs/>
                <w:sz w:val="20"/>
                <w:szCs w:val="20"/>
              </w:rPr>
              <w:t xml:space="preserve">, </w:t>
            </w:r>
            <w:r w:rsidR="0017759E" w:rsidRPr="0017759E">
              <w:rPr>
                <w:rFonts w:cs="Times New Roman"/>
                <w:sz w:val="20"/>
                <w:szCs w:val="20"/>
              </w:rPr>
              <w:t xml:space="preserve">available at: </w:t>
            </w:r>
            <w:hyperlink r:id="rId30" w:history="1">
              <w:r w:rsidR="0017759E" w:rsidRPr="0017759E">
                <w:rPr>
                  <w:rStyle w:val="Hyperlink"/>
                  <w:rFonts w:cs="Times New Roman"/>
                  <w:sz w:val="20"/>
                  <w:szCs w:val="20"/>
                </w:rPr>
                <w:t>https://www.nab.com.au/about-us/social-impact/shareholders/performance-and-reporting</w:t>
              </w:r>
            </w:hyperlink>
            <w:r w:rsidR="0017759E">
              <w:rPr>
                <w:rFonts w:cs="Times New Roman"/>
                <w:i/>
                <w:iCs/>
                <w:sz w:val="20"/>
                <w:szCs w:val="20"/>
              </w:rPr>
              <w:t xml:space="preserve"> </w:t>
            </w:r>
          </w:p>
        </w:tc>
      </w:tr>
      <w:tr w:rsidR="002A2F8E" w:rsidRPr="00790233" w14:paraId="6B18CF16" w14:textId="77777777" w:rsidTr="00C70D0C">
        <w:tc>
          <w:tcPr>
            <w:tcW w:w="9017" w:type="dxa"/>
          </w:tcPr>
          <w:p w14:paraId="6885ABB3" w14:textId="11E12399" w:rsidR="002A2F8E" w:rsidRPr="00790233" w:rsidRDefault="002A2F8E" w:rsidP="00C70D0C">
            <w:pPr>
              <w:rPr>
                <w:rFonts w:cs="Times New Roman"/>
                <w:sz w:val="20"/>
                <w:szCs w:val="20"/>
              </w:rPr>
            </w:pPr>
            <w:r w:rsidRPr="00790233">
              <w:rPr>
                <w:rFonts w:cs="Times New Roman"/>
                <w:sz w:val="20"/>
                <w:szCs w:val="20"/>
              </w:rPr>
              <w:t xml:space="preserve">National Australia Bank, </w:t>
            </w:r>
            <w:r w:rsidRPr="00790233">
              <w:rPr>
                <w:rFonts w:cs="Times New Roman"/>
                <w:i/>
                <w:iCs/>
                <w:sz w:val="20"/>
                <w:szCs w:val="20"/>
              </w:rPr>
              <w:t>2004 Corporate Social Responsibility Report</w:t>
            </w:r>
            <w:r w:rsidR="0017759E">
              <w:rPr>
                <w:rFonts w:cs="Times New Roman"/>
                <w:i/>
                <w:iCs/>
                <w:sz w:val="20"/>
                <w:szCs w:val="20"/>
              </w:rPr>
              <w:t xml:space="preserve">, </w:t>
            </w:r>
            <w:r w:rsidR="0017759E" w:rsidRPr="0017759E">
              <w:rPr>
                <w:rFonts w:cs="Times New Roman"/>
                <w:sz w:val="20"/>
                <w:szCs w:val="20"/>
              </w:rPr>
              <w:t xml:space="preserve">available at: </w:t>
            </w:r>
            <w:hyperlink r:id="rId31" w:history="1">
              <w:r w:rsidR="0017759E" w:rsidRPr="0017759E">
                <w:rPr>
                  <w:rStyle w:val="Hyperlink"/>
                  <w:rFonts w:cs="Times New Roman"/>
                  <w:sz w:val="20"/>
                  <w:szCs w:val="20"/>
                </w:rPr>
                <w:t>https://www.nab.com.au/about-us/social-impact/shareholders/performance-and-reporting</w:t>
              </w:r>
            </w:hyperlink>
          </w:p>
        </w:tc>
      </w:tr>
      <w:tr w:rsidR="002A2F8E" w:rsidRPr="00790233" w14:paraId="31454D8E" w14:textId="77777777" w:rsidTr="00C70D0C">
        <w:tc>
          <w:tcPr>
            <w:tcW w:w="9017" w:type="dxa"/>
          </w:tcPr>
          <w:p w14:paraId="31CD6FC3" w14:textId="15B69DD0" w:rsidR="002A2F8E" w:rsidRPr="00790233" w:rsidRDefault="002A2F8E" w:rsidP="00C70D0C">
            <w:pPr>
              <w:rPr>
                <w:rFonts w:cs="Times New Roman"/>
                <w:sz w:val="20"/>
                <w:szCs w:val="20"/>
              </w:rPr>
            </w:pPr>
            <w:r w:rsidRPr="00790233">
              <w:rPr>
                <w:rFonts w:cs="Times New Roman"/>
                <w:sz w:val="20"/>
                <w:szCs w:val="20"/>
              </w:rPr>
              <w:lastRenderedPageBreak/>
              <w:t xml:space="preserve">National Australia Bank, </w:t>
            </w:r>
            <w:r w:rsidRPr="00790233">
              <w:rPr>
                <w:rFonts w:cs="Times New Roman"/>
                <w:i/>
                <w:iCs/>
                <w:sz w:val="20"/>
                <w:szCs w:val="20"/>
              </w:rPr>
              <w:t>2015 Annual Review</w:t>
            </w:r>
            <w:r w:rsidR="0017759E">
              <w:rPr>
                <w:rFonts w:cs="Times New Roman"/>
                <w:i/>
                <w:iCs/>
                <w:sz w:val="20"/>
                <w:szCs w:val="20"/>
              </w:rPr>
              <w:t xml:space="preserve">, </w:t>
            </w:r>
            <w:r w:rsidR="0017759E" w:rsidRPr="0017759E">
              <w:rPr>
                <w:rFonts w:cs="Times New Roman"/>
                <w:sz w:val="20"/>
                <w:szCs w:val="20"/>
              </w:rPr>
              <w:t xml:space="preserve">available at: </w:t>
            </w:r>
            <w:hyperlink r:id="rId32" w:history="1">
              <w:r w:rsidR="0017759E" w:rsidRPr="0017759E">
                <w:rPr>
                  <w:rStyle w:val="Hyperlink"/>
                  <w:rFonts w:cs="Times New Roman"/>
                  <w:sz w:val="20"/>
                  <w:szCs w:val="20"/>
                </w:rPr>
                <w:t>https://www.nab.com.au/about-us/social-impact/shareholders/performance-and-reporting</w:t>
              </w:r>
            </w:hyperlink>
          </w:p>
        </w:tc>
      </w:tr>
      <w:tr w:rsidR="002A2F8E" w:rsidRPr="00790233" w14:paraId="4FA3A7B2" w14:textId="77777777" w:rsidTr="00C70D0C">
        <w:tc>
          <w:tcPr>
            <w:tcW w:w="9017" w:type="dxa"/>
          </w:tcPr>
          <w:p w14:paraId="4ABCFF86" w14:textId="23589A3C" w:rsidR="002A2F8E" w:rsidRPr="00790233" w:rsidRDefault="002A2F8E" w:rsidP="00C70D0C">
            <w:pPr>
              <w:rPr>
                <w:rFonts w:cs="Times New Roman"/>
                <w:sz w:val="20"/>
                <w:szCs w:val="20"/>
              </w:rPr>
            </w:pPr>
            <w:r w:rsidRPr="00790233">
              <w:rPr>
                <w:rFonts w:cs="Times New Roman"/>
                <w:sz w:val="20"/>
                <w:szCs w:val="20"/>
              </w:rPr>
              <w:t xml:space="preserve">National Australia Bank, </w:t>
            </w:r>
            <w:r w:rsidRPr="00790233">
              <w:rPr>
                <w:rFonts w:cs="Times New Roman"/>
                <w:i/>
                <w:iCs/>
                <w:sz w:val="20"/>
                <w:szCs w:val="20"/>
              </w:rPr>
              <w:t>2017 Sustainability Report</w:t>
            </w:r>
            <w:r w:rsidR="0017759E">
              <w:rPr>
                <w:rFonts w:cs="Times New Roman"/>
                <w:i/>
                <w:iCs/>
                <w:sz w:val="20"/>
                <w:szCs w:val="20"/>
              </w:rPr>
              <w:t xml:space="preserve">, </w:t>
            </w:r>
            <w:r w:rsidR="0017759E" w:rsidRPr="0017759E">
              <w:rPr>
                <w:rFonts w:cs="Times New Roman"/>
                <w:sz w:val="20"/>
                <w:szCs w:val="20"/>
              </w:rPr>
              <w:t xml:space="preserve">available at: </w:t>
            </w:r>
            <w:hyperlink r:id="rId33" w:history="1">
              <w:r w:rsidR="0017759E" w:rsidRPr="0017759E">
                <w:rPr>
                  <w:rStyle w:val="Hyperlink"/>
                  <w:rFonts w:cs="Times New Roman"/>
                  <w:sz w:val="20"/>
                  <w:szCs w:val="20"/>
                </w:rPr>
                <w:t>https://www.nab.com.au/about-us/social-impact/shareholders/performance-and-reporting</w:t>
              </w:r>
            </w:hyperlink>
          </w:p>
        </w:tc>
      </w:tr>
      <w:tr w:rsidR="002A2F8E" w:rsidRPr="00790233" w14:paraId="4C566EEF" w14:textId="77777777" w:rsidTr="00C70D0C">
        <w:tc>
          <w:tcPr>
            <w:tcW w:w="9017" w:type="dxa"/>
          </w:tcPr>
          <w:p w14:paraId="546546B5" w14:textId="6195233D" w:rsidR="002A2F8E" w:rsidRPr="00790233" w:rsidRDefault="002A2F8E" w:rsidP="00C70D0C">
            <w:pPr>
              <w:rPr>
                <w:rFonts w:cs="Times New Roman"/>
                <w:sz w:val="20"/>
                <w:szCs w:val="20"/>
              </w:rPr>
            </w:pPr>
            <w:r w:rsidRPr="00790233">
              <w:rPr>
                <w:rFonts w:cs="Times New Roman"/>
                <w:sz w:val="20"/>
                <w:szCs w:val="20"/>
              </w:rPr>
              <w:t xml:space="preserve">National Australia Bank, </w:t>
            </w:r>
            <w:r w:rsidRPr="00790233">
              <w:rPr>
                <w:rFonts w:cs="Times New Roman"/>
                <w:i/>
                <w:iCs/>
                <w:sz w:val="20"/>
                <w:szCs w:val="20"/>
              </w:rPr>
              <w:t>2018 Sustainability Report</w:t>
            </w:r>
            <w:r w:rsidR="0017759E">
              <w:rPr>
                <w:rFonts w:cs="Times New Roman"/>
                <w:i/>
                <w:iCs/>
                <w:sz w:val="20"/>
                <w:szCs w:val="20"/>
              </w:rPr>
              <w:t xml:space="preserve">, </w:t>
            </w:r>
            <w:r w:rsidR="0017759E" w:rsidRPr="0017759E">
              <w:rPr>
                <w:rFonts w:cs="Times New Roman"/>
                <w:sz w:val="20"/>
                <w:szCs w:val="20"/>
              </w:rPr>
              <w:t xml:space="preserve">available at: </w:t>
            </w:r>
            <w:hyperlink r:id="rId34" w:history="1">
              <w:r w:rsidR="0017759E" w:rsidRPr="0017759E">
                <w:rPr>
                  <w:rStyle w:val="Hyperlink"/>
                  <w:rFonts w:cs="Times New Roman"/>
                  <w:sz w:val="20"/>
                  <w:szCs w:val="20"/>
                </w:rPr>
                <w:t>https://www.nab.com.au/about-us/social-impact/shareholders/performance-and-reporting</w:t>
              </w:r>
            </w:hyperlink>
          </w:p>
        </w:tc>
      </w:tr>
      <w:tr w:rsidR="002A2F8E" w:rsidRPr="00790233" w14:paraId="0983A482" w14:textId="77777777" w:rsidTr="00C70D0C">
        <w:tc>
          <w:tcPr>
            <w:tcW w:w="9017" w:type="dxa"/>
          </w:tcPr>
          <w:p w14:paraId="2AEAB738" w14:textId="159CBAE7" w:rsidR="002A2F8E" w:rsidRPr="00790233" w:rsidRDefault="002A2F8E" w:rsidP="00C70D0C">
            <w:pPr>
              <w:rPr>
                <w:rFonts w:cs="Times New Roman"/>
                <w:i/>
                <w:iCs/>
                <w:sz w:val="20"/>
                <w:szCs w:val="20"/>
              </w:rPr>
            </w:pPr>
            <w:r w:rsidRPr="00790233">
              <w:rPr>
                <w:rFonts w:cs="Times New Roman"/>
                <w:sz w:val="20"/>
                <w:szCs w:val="20"/>
              </w:rPr>
              <w:t xml:space="preserve">National Australia Bank, </w:t>
            </w:r>
            <w:r w:rsidRPr="00790233">
              <w:rPr>
                <w:rFonts w:cs="Times New Roman"/>
                <w:i/>
                <w:iCs/>
                <w:sz w:val="20"/>
                <w:szCs w:val="20"/>
              </w:rPr>
              <w:t>2019 Annual Review</w:t>
            </w:r>
            <w:r w:rsidR="0017759E">
              <w:rPr>
                <w:rFonts w:cs="Times New Roman"/>
                <w:i/>
                <w:iCs/>
                <w:sz w:val="20"/>
                <w:szCs w:val="20"/>
              </w:rPr>
              <w:t xml:space="preserve">, </w:t>
            </w:r>
            <w:r w:rsidR="0017759E" w:rsidRPr="0017759E">
              <w:rPr>
                <w:rFonts w:cs="Times New Roman"/>
                <w:sz w:val="20"/>
                <w:szCs w:val="20"/>
              </w:rPr>
              <w:t xml:space="preserve">available at: </w:t>
            </w:r>
            <w:hyperlink r:id="rId35" w:history="1">
              <w:r w:rsidR="0017759E" w:rsidRPr="0017759E">
                <w:rPr>
                  <w:rStyle w:val="Hyperlink"/>
                  <w:rFonts w:cs="Times New Roman"/>
                  <w:sz w:val="20"/>
                  <w:szCs w:val="20"/>
                </w:rPr>
                <w:t>https://www.nab.com.au/about-us/social-impact/shareholders/performance-and-reporting</w:t>
              </w:r>
            </w:hyperlink>
          </w:p>
        </w:tc>
      </w:tr>
      <w:tr w:rsidR="002A2F8E" w:rsidRPr="00790233" w14:paraId="3F1F7BF4" w14:textId="77777777" w:rsidTr="00C70D0C">
        <w:tc>
          <w:tcPr>
            <w:tcW w:w="9017" w:type="dxa"/>
          </w:tcPr>
          <w:p w14:paraId="1A4AB571" w14:textId="7677BB96" w:rsidR="002A2F8E" w:rsidRPr="00790233" w:rsidRDefault="002A2F8E" w:rsidP="00C70D0C">
            <w:pPr>
              <w:rPr>
                <w:rFonts w:cs="Times New Roman"/>
                <w:i/>
                <w:iCs/>
                <w:sz w:val="20"/>
                <w:szCs w:val="20"/>
              </w:rPr>
            </w:pPr>
            <w:r w:rsidRPr="00790233">
              <w:rPr>
                <w:rFonts w:cs="Times New Roman"/>
                <w:sz w:val="20"/>
                <w:szCs w:val="20"/>
              </w:rPr>
              <w:t xml:space="preserve">National Australia Bank, </w:t>
            </w:r>
            <w:r w:rsidRPr="00790233">
              <w:rPr>
                <w:rFonts w:cs="Times New Roman"/>
                <w:i/>
                <w:iCs/>
                <w:sz w:val="20"/>
                <w:szCs w:val="20"/>
              </w:rPr>
              <w:t>2019 National Carbon Offset Strategy</w:t>
            </w:r>
            <w:r w:rsidR="0017759E">
              <w:rPr>
                <w:rFonts w:cs="Times New Roman"/>
                <w:i/>
                <w:iCs/>
                <w:sz w:val="20"/>
                <w:szCs w:val="20"/>
              </w:rPr>
              <w:t xml:space="preserve">, </w:t>
            </w:r>
            <w:r w:rsidR="0017759E" w:rsidRPr="0017759E">
              <w:rPr>
                <w:rFonts w:cs="Times New Roman"/>
                <w:sz w:val="20"/>
                <w:szCs w:val="20"/>
              </w:rPr>
              <w:t xml:space="preserve">available at: </w:t>
            </w:r>
            <w:hyperlink r:id="rId36" w:history="1">
              <w:r w:rsidR="0017759E" w:rsidRPr="0017759E">
                <w:rPr>
                  <w:rStyle w:val="Hyperlink"/>
                  <w:rFonts w:cs="Times New Roman"/>
                  <w:sz w:val="20"/>
                  <w:szCs w:val="20"/>
                </w:rPr>
                <w:t>https://www.nab.com.au/about-us/social-impact/shareholders/performance-and-reporting</w:t>
              </w:r>
            </w:hyperlink>
            <w:r w:rsidRPr="00790233">
              <w:rPr>
                <w:rFonts w:cs="Times New Roman"/>
                <w:i/>
                <w:iCs/>
                <w:sz w:val="20"/>
                <w:szCs w:val="20"/>
              </w:rPr>
              <w:t xml:space="preserve"> </w:t>
            </w:r>
          </w:p>
        </w:tc>
      </w:tr>
      <w:tr w:rsidR="002A2F8E" w:rsidRPr="00790233" w14:paraId="64583539" w14:textId="77777777" w:rsidTr="00C70D0C">
        <w:tc>
          <w:tcPr>
            <w:tcW w:w="9017" w:type="dxa"/>
          </w:tcPr>
          <w:p w14:paraId="35E3198E" w14:textId="44A067E8" w:rsidR="002A2F8E" w:rsidRPr="00790233" w:rsidRDefault="002A2F8E" w:rsidP="00C70D0C">
            <w:pPr>
              <w:rPr>
                <w:rFonts w:cs="Times New Roman"/>
                <w:sz w:val="20"/>
                <w:szCs w:val="20"/>
              </w:rPr>
            </w:pPr>
            <w:r w:rsidRPr="00790233">
              <w:rPr>
                <w:rFonts w:cs="Times New Roman"/>
                <w:sz w:val="20"/>
                <w:szCs w:val="20"/>
              </w:rPr>
              <w:t xml:space="preserve">National Australia Bank, </w:t>
            </w:r>
            <w:r w:rsidRPr="00790233">
              <w:rPr>
                <w:rFonts w:cs="Times New Roman"/>
                <w:i/>
                <w:iCs/>
                <w:sz w:val="20"/>
                <w:szCs w:val="20"/>
              </w:rPr>
              <w:t>2019 Sustainability Report</w:t>
            </w:r>
            <w:r w:rsidR="0017759E">
              <w:rPr>
                <w:rFonts w:cs="Times New Roman"/>
                <w:i/>
                <w:iCs/>
                <w:sz w:val="20"/>
                <w:szCs w:val="20"/>
              </w:rPr>
              <w:t xml:space="preserve">, </w:t>
            </w:r>
            <w:r w:rsidR="0017759E" w:rsidRPr="0017759E">
              <w:rPr>
                <w:rFonts w:cs="Times New Roman"/>
                <w:sz w:val="20"/>
                <w:szCs w:val="20"/>
              </w:rPr>
              <w:t xml:space="preserve">available at: </w:t>
            </w:r>
            <w:hyperlink r:id="rId37" w:history="1">
              <w:r w:rsidR="0017759E" w:rsidRPr="0017759E">
                <w:rPr>
                  <w:rStyle w:val="Hyperlink"/>
                  <w:rFonts w:cs="Times New Roman"/>
                  <w:sz w:val="20"/>
                  <w:szCs w:val="20"/>
                </w:rPr>
                <w:t>https://www.nab.com.au/about-us/social-impact/shareholders/performance-and-reporting</w:t>
              </w:r>
            </w:hyperlink>
            <w:r w:rsidRPr="00790233">
              <w:rPr>
                <w:rFonts w:cs="Times New Roman"/>
                <w:sz w:val="20"/>
                <w:szCs w:val="20"/>
              </w:rPr>
              <w:t xml:space="preserve"> </w:t>
            </w:r>
          </w:p>
        </w:tc>
      </w:tr>
      <w:tr w:rsidR="002A2F8E" w14:paraId="17322335" w14:textId="77777777" w:rsidTr="00C70D0C">
        <w:tc>
          <w:tcPr>
            <w:tcW w:w="9017" w:type="dxa"/>
          </w:tcPr>
          <w:p w14:paraId="26FEC757" w14:textId="39B3179A" w:rsidR="002A2F8E" w:rsidRDefault="002A2F8E" w:rsidP="00C70D0C">
            <w:pPr>
              <w:rPr>
                <w:rFonts w:cs="Times New Roman"/>
                <w:sz w:val="20"/>
                <w:szCs w:val="20"/>
              </w:rPr>
            </w:pPr>
            <w:r w:rsidRPr="5BCFBE73">
              <w:rPr>
                <w:rFonts w:cs="Times New Roman"/>
                <w:sz w:val="20"/>
                <w:szCs w:val="20"/>
              </w:rPr>
              <w:t xml:space="preserve">National Australia Bank, </w:t>
            </w:r>
            <w:r w:rsidRPr="5BCFBE73">
              <w:rPr>
                <w:rFonts w:cs="Times New Roman"/>
                <w:i/>
                <w:iCs/>
                <w:sz w:val="20"/>
                <w:szCs w:val="20"/>
              </w:rPr>
              <w:t>2020 Annual Review</w:t>
            </w:r>
            <w:r w:rsidR="0017759E">
              <w:rPr>
                <w:rFonts w:cs="Times New Roman"/>
                <w:i/>
                <w:iCs/>
                <w:sz w:val="20"/>
                <w:szCs w:val="20"/>
              </w:rPr>
              <w:t xml:space="preserve">, </w:t>
            </w:r>
            <w:r w:rsidR="0017759E" w:rsidRPr="0017759E">
              <w:rPr>
                <w:rFonts w:cs="Times New Roman"/>
                <w:sz w:val="20"/>
                <w:szCs w:val="20"/>
              </w:rPr>
              <w:t xml:space="preserve">available at: </w:t>
            </w:r>
            <w:hyperlink r:id="rId38" w:history="1">
              <w:r w:rsidR="0017759E" w:rsidRPr="0017759E">
                <w:rPr>
                  <w:rStyle w:val="Hyperlink"/>
                  <w:rFonts w:cs="Times New Roman"/>
                  <w:sz w:val="20"/>
                  <w:szCs w:val="20"/>
                </w:rPr>
                <w:t>https://www.nab.com.au/about-us/social-impact/shareholders/performance-and-reporting</w:t>
              </w:r>
            </w:hyperlink>
          </w:p>
        </w:tc>
      </w:tr>
      <w:tr w:rsidR="002A2F8E" w14:paraId="5C5122C8" w14:textId="77777777" w:rsidTr="00C70D0C">
        <w:tc>
          <w:tcPr>
            <w:tcW w:w="9017" w:type="dxa"/>
          </w:tcPr>
          <w:p w14:paraId="797D707B" w14:textId="1A62D201" w:rsidR="002A2F8E" w:rsidRDefault="002A2F8E" w:rsidP="00C70D0C">
            <w:pPr>
              <w:rPr>
                <w:rFonts w:cs="Times New Roman"/>
                <w:sz w:val="20"/>
                <w:szCs w:val="20"/>
              </w:rPr>
            </w:pPr>
            <w:r w:rsidRPr="49D2DEB0">
              <w:rPr>
                <w:rFonts w:cs="Times New Roman"/>
                <w:sz w:val="20"/>
                <w:szCs w:val="20"/>
              </w:rPr>
              <w:t xml:space="preserve">National Australia Bank, </w:t>
            </w:r>
            <w:r w:rsidRPr="49D2DEB0">
              <w:rPr>
                <w:rFonts w:cs="Times New Roman"/>
                <w:i/>
                <w:iCs/>
                <w:sz w:val="20"/>
                <w:szCs w:val="20"/>
              </w:rPr>
              <w:t>2020 Sustainability Report</w:t>
            </w:r>
            <w:r w:rsidR="0017759E">
              <w:rPr>
                <w:rFonts w:cs="Times New Roman"/>
                <w:i/>
                <w:iCs/>
                <w:sz w:val="20"/>
                <w:szCs w:val="20"/>
              </w:rPr>
              <w:t xml:space="preserve">, </w:t>
            </w:r>
            <w:r w:rsidR="0017759E" w:rsidRPr="0017759E">
              <w:rPr>
                <w:rFonts w:cs="Times New Roman"/>
                <w:sz w:val="20"/>
                <w:szCs w:val="20"/>
              </w:rPr>
              <w:t xml:space="preserve">available at: </w:t>
            </w:r>
            <w:hyperlink r:id="rId39" w:history="1">
              <w:r w:rsidR="0017759E" w:rsidRPr="0017759E">
                <w:rPr>
                  <w:rStyle w:val="Hyperlink"/>
                  <w:rFonts w:cs="Times New Roman"/>
                  <w:sz w:val="20"/>
                  <w:szCs w:val="20"/>
                </w:rPr>
                <w:t>https://www.nab.com.au/about-us/social-impact/shareholders/performance-and-reporting</w:t>
              </w:r>
            </w:hyperlink>
          </w:p>
        </w:tc>
      </w:tr>
      <w:tr w:rsidR="002A2F8E" w:rsidRPr="00790233" w14:paraId="1600C64B" w14:textId="77777777" w:rsidTr="00C70D0C">
        <w:tc>
          <w:tcPr>
            <w:tcW w:w="9017" w:type="dxa"/>
          </w:tcPr>
          <w:p w14:paraId="2FB0357D" w14:textId="7A145C9E" w:rsidR="002A2F8E" w:rsidRPr="00790233" w:rsidRDefault="002A2F8E" w:rsidP="00C70D0C">
            <w:pPr>
              <w:rPr>
                <w:rFonts w:cs="Times New Roman"/>
                <w:i/>
                <w:iCs/>
                <w:sz w:val="20"/>
                <w:szCs w:val="20"/>
              </w:rPr>
            </w:pPr>
            <w:r w:rsidRPr="49D2DEB0">
              <w:rPr>
                <w:rFonts w:cs="Times New Roman"/>
                <w:sz w:val="20"/>
                <w:szCs w:val="20"/>
              </w:rPr>
              <w:t xml:space="preserve">National Australia Bank, </w:t>
            </w:r>
            <w:r w:rsidRPr="49D2DEB0">
              <w:rPr>
                <w:rFonts w:cs="Times New Roman"/>
                <w:i/>
                <w:iCs/>
                <w:sz w:val="20"/>
                <w:szCs w:val="20"/>
              </w:rPr>
              <w:t xml:space="preserve">Animal Welfare Principles </w:t>
            </w:r>
            <w:r w:rsidRPr="49D2DEB0">
              <w:rPr>
                <w:rFonts w:cs="Times New Roman"/>
                <w:sz w:val="20"/>
                <w:szCs w:val="20"/>
              </w:rPr>
              <w:t>(2019)</w:t>
            </w:r>
            <w:r w:rsidR="0017759E">
              <w:rPr>
                <w:rFonts w:cs="Times New Roman"/>
                <w:sz w:val="20"/>
                <w:szCs w:val="20"/>
              </w:rPr>
              <w:t xml:space="preserve">, available at: </w:t>
            </w:r>
            <w:hyperlink r:id="rId40" w:history="1">
              <w:r w:rsidR="0017759E" w:rsidRPr="00DA7C17">
                <w:rPr>
                  <w:rStyle w:val="Hyperlink"/>
                  <w:rFonts w:cs="Times New Roman"/>
                  <w:sz w:val="20"/>
                  <w:szCs w:val="20"/>
                </w:rPr>
                <w:t>https://www.nab.com.au/content/dam/nabrwd/documents/reports/corporate/animal-welfare-principles.pdf</w:t>
              </w:r>
            </w:hyperlink>
            <w:r w:rsidR="0017759E">
              <w:rPr>
                <w:rFonts w:cs="Times New Roman"/>
                <w:sz w:val="20"/>
                <w:szCs w:val="20"/>
              </w:rPr>
              <w:t xml:space="preserve"> </w:t>
            </w:r>
          </w:p>
        </w:tc>
      </w:tr>
      <w:tr w:rsidR="00C70D0C" w:rsidRPr="00790233" w14:paraId="2DA9EA5F" w14:textId="77777777" w:rsidTr="00C70D0C">
        <w:tc>
          <w:tcPr>
            <w:tcW w:w="9017" w:type="dxa"/>
          </w:tcPr>
          <w:p w14:paraId="32B039E6" w14:textId="77777777" w:rsidR="00C70D0C" w:rsidRPr="00790233" w:rsidRDefault="00C70D0C" w:rsidP="00C70D0C">
            <w:pPr>
              <w:rPr>
                <w:rFonts w:cs="Times New Roman"/>
                <w:sz w:val="20"/>
                <w:szCs w:val="20"/>
              </w:rPr>
            </w:pPr>
            <w:r>
              <w:rPr>
                <w:rFonts w:cs="Times New Roman"/>
                <w:sz w:val="20"/>
                <w:szCs w:val="20"/>
              </w:rPr>
              <w:t xml:space="preserve">National </w:t>
            </w:r>
            <w:r w:rsidRPr="00790233">
              <w:rPr>
                <w:rFonts w:cs="Times New Roman"/>
                <w:sz w:val="20"/>
                <w:szCs w:val="20"/>
              </w:rPr>
              <w:t>Australia</w:t>
            </w:r>
            <w:r>
              <w:rPr>
                <w:rFonts w:cs="Times New Roman"/>
                <w:sz w:val="20"/>
                <w:szCs w:val="20"/>
              </w:rPr>
              <w:t xml:space="preserve"> Bank</w:t>
            </w:r>
            <w:r w:rsidRPr="00790233">
              <w:rPr>
                <w:rFonts w:cs="Times New Roman"/>
                <w:sz w:val="20"/>
                <w:szCs w:val="20"/>
              </w:rPr>
              <w:t xml:space="preserve">, </w:t>
            </w:r>
            <w:r w:rsidRPr="00790233">
              <w:rPr>
                <w:rFonts w:cs="Times New Roman"/>
                <w:i/>
                <w:iCs/>
                <w:sz w:val="20"/>
                <w:szCs w:val="20"/>
              </w:rPr>
              <w:t>2018 National Carbon Offset Standard</w:t>
            </w:r>
            <w:r>
              <w:rPr>
                <w:rFonts w:cs="Times New Roman"/>
                <w:i/>
                <w:iCs/>
                <w:sz w:val="20"/>
                <w:szCs w:val="20"/>
              </w:rPr>
              <w:t xml:space="preserve">, </w:t>
            </w:r>
            <w:r w:rsidRPr="00590009">
              <w:rPr>
                <w:rFonts w:cs="Times New Roman"/>
                <w:sz w:val="20"/>
                <w:szCs w:val="20"/>
              </w:rPr>
              <w:t>available at</w:t>
            </w:r>
            <w:r>
              <w:rPr>
                <w:rFonts w:cs="Times New Roman"/>
                <w:sz w:val="20"/>
                <w:szCs w:val="20"/>
              </w:rPr>
              <w:t>:</w:t>
            </w:r>
            <w:r w:rsidRPr="00790233">
              <w:rPr>
                <w:rFonts w:cs="Times New Roman"/>
                <w:sz w:val="20"/>
                <w:szCs w:val="20"/>
              </w:rPr>
              <w:t xml:space="preserve"> </w:t>
            </w:r>
            <w:hyperlink r:id="rId41" w:history="1">
              <w:r w:rsidRPr="00DA7C17">
                <w:rPr>
                  <w:rStyle w:val="Hyperlink"/>
                  <w:rFonts w:cs="Times New Roman"/>
                  <w:sz w:val="20"/>
                  <w:szCs w:val="20"/>
                </w:rPr>
                <w:t>https://www.nab.com.au/content/dam/nabrwd/documents/reports/corporate/2018-national-carbon-offset-standard.pdf</w:t>
              </w:r>
            </w:hyperlink>
            <w:r>
              <w:rPr>
                <w:rFonts w:cs="Times New Roman"/>
                <w:sz w:val="20"/>
                <w:szCs w:val="20"/>
              </w:rPr>
              <w:t xml:space="preserve"> </w:t>
            </w:r>
          </w:p>
        </w:tc>
      </w:tr>
      <w:tr w:rsidR="002A2F8E" w:rsidRPr="00790233" w14:paraId="13D3EA6A" w14:textId="77777777" w:rsidTr="00C70D0C">
        <w:tc>
          <w:tcPr>
            <w:tcW w:w="9017" w:type="dxa"/>
          </w:tcPr>
          <w:p w14:paraId="36C3E278" w14:textId="3D836162"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2005 Carbon Disclosure Project Submission</w:t>
            </w:r>
            <w:r w:rsidR="0097198A">
              <w:rPr>
                <w:rFonts w:cs="Times New Roman"/>
                <w:i/>
                <w:iCs/>
                <w:sz w:val="20"/>
                <w:szCs w:val="20"/>
              </w:rPr>
              <w:t xml:space="preserve">, </w:t>
            </w:r>
            <w:r w:rsidR="0097198A" w:rsidRPr="0097198A">
              <w:rPr>
                <w:rFonts w:cs="Times New Roman"/>
                <w:sz w:val="20"/>
                <w:szCs w:val="20"/>
              </w:rPr>
              <w:t xml:space="preserve">available at </w:t>
            </w:r>
            <w:hyperlink r:id="rId42" w:history="1">
              <w:r w:rsidR="0097198A" w:rsidRPr="00DA7C17">
                <w:rPr>
                  <w:rStyle w:val="Hyperlink"/>
                  <w:rFonts w:cs="Times New Roman"/>
                  <w:sz w:val="20"/>
                  <w:szCs w:val="20"/>
                </w:rPr>
                <w:t>https://www.cdp.net/en/responses/19051</w:t>
              </w:r>
            </w:hyperlink>
            <w:r w:rsidR="0097198A">
              <w:rPr>
                <w:rFonts w:cs="Times New Roman"/>
                <w:sz w:val="20"/>
                <w:szCs w:val="20"/>
              </w:rPr>
              <w:t xml:space="preserve"> </w:t>
            </w:r>
          </w:p>
        </w:tc>
      </w:tr>
      <w:tr w:rsidR="002A2F8E" w:rsidRPr="00790233" w14:paraId="5163C75A" w14:textId="77777777" w:rsidTr="00C70D0C">
        <w:tc>
          <w:tcPr>
            <w:tcW w:w="9017" w:type="dxa"/>
          </w:tcPr>
          <w:p w14:paraId="43D4AFA9" w14:textId="0BDCA046"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2006 Carbon Disclosure Project Submission</w:t>
            </w:r>
            <w:r w:rsidR="0097198A" w:rsidRPr="0097198A">
              <w:rPr>
                <w:rFonts w:cs="Times New Roman"/>
                <w:sz w:val="20"/>
                <w:szCs w:val="20"/>
              </w:rPr>
              <w:t xml:space="preserve"> available at </w:t>
            </w:r>
            <w:hyperlink r:id="rId43" w:history="1">
              <w:r w:rsidR="0097198A" w:rsidRPr="00DA7C17">
                <w:rPr>
                  <w:rStyle w:val="Hyperlink"/>
                  <w:rFonts w:cs="Times New Roman"/>
                  <w:sz w:val="20"/>
                  <w:szCs w:val="20"/>
                </w:rPr>
                <w:t>https://www.cdp.net/en/responses/19051</w:t>
              </w:r>
            </w:hyperlink>
          </w:p>
        </w:tc>
      </w:tr>
      <w:tr w:rsidR="002A2F8E" w:rsidRPr="00790233" w14:paraId="66F81398" w14:textId="77777777" w:rsidTr="00C70D0C">
        <w:tc>
          <w:tcPr>
            <w:tcW w:w="9017" w:type="dxa"/>
          </w:tcPr>
          <w:p w14:paraId="7BE3A32E" w14:textId="455B0A94"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2014 Financing Agribusiness</w:t>
            </w:r>
            <w:r w:rsidR="0097198A">
              <w:rPr>
                <w:rFonts w:cs="Times New Roman"/>
                <w:i/>
                <w:iCs/>
                <w:sz w:val="20"/>
                <w:szCs w:val="20"/>
              </w:rPr>
              <w:t xml:space="preserve">, , </w:t>
            </w:r>
            <w:r w:rsidR="0097198A" w:rsidRPr="001879EA">
              <w:rPr>
                <w:rFonts w:cs="Times New Roman"/>
                <w:sz w:val="20"/>
                <w:szCs w:val="20"/>
              </w:rPr>
              <w:t>n</w:t>
            </w:r>
            <w:r w:rsidR="0097198A" w:rsidRPr="008873EC">
              <w:rPr>
                <w:rFonts w:cs="Times New Roman"/>
              </w:rPr>
              <w:t>o longer available online; available on file with authors</w:t>
            </w:r>
            <w:r w:rsidR="0097198A">
              <w:rPr>
                <w:rFonts w:cs="Times New Roman"/>
              </w:rPr>
              <w:t>.</w:t>
            </w:r>
          </w:p>
        </w:tc>
      </w:tr>
      <w:tr w:rsidR="002A2F8E" w:rsidRPr="00790233" w14:paraId="704C4FBC" w14:textId="77777777" w:rsidTr="00C70D0C">
        <w:tc>
          <w:tcPr>
            <w:tcW w:w="9017" w:type="dxa"/>
          </w:tcPr>
          <w:p w14:paraId="5614A009" w14:textId="4AAF27FA"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2018 Climate Disclosure Project Submission</w:t>
            </w:r>
            <w:r w:rsidR="0097198A" w:rsidRPr="0097198A">
              <w:rPr>
                <w:rFonts w:cs="Times New Roman"/>
                <w:sz w:val="20"/>
                <w:szCs w:val="20"/>
              </w:rPr>
              <w:t xml:space="preserve"> available at </w:t>
            </w:r>
            <w:hyperlink r:id="rId44" w:history="1">
              <w:r w:rsidR="0097198A" w:rsidRPr="00DA7C17">
                <w:rPr>
                  <w:rStyle w:val="Hyperlink"/>
                  <w:rFonts w:cs="Times New Roman"/>
                  <w:sz w:val="20"/>
                  <w:szCs w:val="20"/>
                </w:rPr>
                <w:t>https://www.cdp.net/en/responses/19051</w:t>
              </w:r>
            </w:hyperlink>
          </w:p>
        </w:tc>
      </w:tr>
      <w:tr w:rsidR="002A2F8E" w:rsidRPr="00790233" w14:paraId="06A0DCDB" w14:textId="77777777" w:rsidTr="00C70D0C">
        <w:tc>
          <w:tcPr>
            <w:tcW w:w="9017" w:type="dxa"/>
          </w:tcPr>
          <w:p w14:paraId="3A9BD0AA" w14:textId="1B6C40C7"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2019 Agribusiness Position Statement</w:t>
            </w:r>
            <w:r w:rsidR="0097198A">
              <w:rPr>
                <w:rFonts w:cs="Times New Roman"/>
                <w:i/>
                <w:iCs/>
                <w:sz w:val="20"/>
                <w:szCs w:val="20"/>
              </w:rPr>
              <w:t xml:space="preserve">, </w:t>
            </w:r>
            <w:r w:rsidR="0097198A" w:rsidRPr="001879EA">
              <w:rPr>
                <w:rFonts w:cs="Times New Roman"/>
                <w:sz w:val="20"/>
                <w:szCs w:val="20"/>
              </w:rPr>
              <w:t>n</w:t>
            </w:r>
            <w:r w:rsidR="0097198A" w:rsidRPr="008873EC">
              <w:rPr>
                <w:rFonts w:cs="Times New Roman"/>
              </w:rPr>
              <w:t>o longer available online; available on file with authors</w:t>
            </w:r>
            <w:r w:rsidR="0097198A">
              <w:rPr>
                <w:rFonts w:cs="Times New Roman"/>
              </w:rPr>
              <w:t>.</w:t>
            </w:r>
          </w:p>
        </w:tc>
      </w:tr>
      <w:tr w:rsidR="002A2F8E" w:rsidRPr="00790233" w14:paraId="5994FAD8" w14:textId="77777777" w:rsidTr="00C70D0C">
        <w:tc>
          <w:tcPr>
            <w:tcW w:w="9017" w:type="dxa"/>
          </w:tcPr>
          <w:p w14:paraId="644581E4" w14:textId="0DBB1A16"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2019 Sustainability Performance Report</w:t>
            </w:r>
            <w:r w:rsidR="0097198A">
              <w:rPr>
                <w:rFonts w:cs="Times New Roman"/>
                <w:i/>
                <w:iCs/>
                <w:sz w:val="20"/>
                <w:szCs w:val="20"/>
              </w:rPr>
              <w:t>,</w:t>
            </w:r>
            <w:r w:rsidR="0097198A" w:rsidRPr="00590009">
              <w:rPr>
                <w:rFonts w:cs="Times New Roman"/>
                <w:sz w:val="20"/>
                <w:szCs w:val="20"/>
              </w:rPr>
              <w:t xml:space="preserve"> available at</w:t>
            </w:r>
            <w:r w:rsidR="0097198A">
              <w:rPr>
                <w:rFonts w:cs="Times New Roman"/>
                <w:sz w:val="20"/>
                <w:szCs w:val="20"/>
              </w:rPr>
              <w:t xml:space="preserve">: </w:t>
            </w:r>
            <w:hyperlink r:id="rId45" w:history="1">
              <w:r w:rsidR="0097198A" w:rsidRPr="00DA7C17">
                <w:rPr>
                  <w:rStyle w:val="Hyperlink"/>
                  <w:rFonts w:cs="Times New Roman"/>
                  <w:sz w:val="20"/>
                  <w:szCs w:val="20"/>
                </w:rPr>
                <w:t>https://www.westpac.com.au/about-westpac/investor-centre/financial-information/annual-reports-archive/</w:t>
              </w:r>
            </w:hyperlink>
            <w:r w:rsidR="0097198A">
              <w:rPr>
                <w:rFonts w:cs="Times New Roman"/>
                <w:i/>
                <w:iCs/>
                <w:sz w:val="20"/>
                <w:szCs w:val="20"/>
              </w:rPr>
              <w:t xml:space="preserve"> </w:t>
            </w:r>
          </w:p>
        </w:tc>
      </w:tr>
      <w:tr w:rsidR="002A2F8E" w:rsidRPr="00790233" w14:paraId="0854F667" w14:textId="77777777" w:rsidTr="00C70D0C">
        <w:tc>
          <w:tcPr>
            <w:tcW w:w="9017" w:type="dxa"/>
          </w:tcPr>
          <w:p w14:paraId="43680357" w14:textId="645DDFAE" w:rsidR="002A2F8E" w:rsidRPr="00790233" w:rsidRDefault="002A2F8E" w:rsidP="00C70D0C">
            <w:pPr>
              <w:rPr>
                <w:rFonts w:cs="Times New Roman"/>
                <w:sz w:val="20"/>
                <w:szCs w:val="20"/>
              </w:rPr>
            </w:pPr>
            <w:r w:rsidRPr="00790233">
              <w:rPr>
                <w:rFonts w:cs="Times New Roman"/>
                <w:sz w:val="20"/>
                <w:szCs w:val="20"/>
              </w:rPr>
              <w:lastRenderedPageBreak/>
              <w:t xml:space="preserve">Westpac Banking Corporation, </w:t>
            </w:r>
            <w:r w:rsidRPr="00790233">
              <w:rPr>
                <w:rFonts w:cs="Times New Roman"/>
                <w:i/>
                <w:iCs/>
                <w:sz w:val="20"/>
                <w:szCs w:val="20"/>
              </w:rPr>
              <w:t>2020 Climate Change Position Statement and Action Plan</w:t>
            </w:r>
            <w:r w:rsidR="00AA6CE0">
              <w:rPr>
                <w:rFonts w:cs="Times New Roman"/>
                <w:i/>
                <w:iCs/>
                <w:sz w:val="20"/>
                <w:szCs w:val="20"/>
              </w:rPr>
              <w:t xml:space="preserve">, </w:t>
            </w:r>
            <w:r w:rsidR="00AA6CE0" w:rsidRPr="001879EA">
              <w:rPr>
                <w:rFonts w:cs="Times New Roman"/>
                <w:sz w:val="20"/>
                <w:szCs w:val="20"/>
              </w:rPr>
              <w:t>n</w:t>
            </w:r>
            <w:r w:rsidR="00AA6CE0" w:rsidRPr="008873EC">
              <w:rPr>
                <w:rFonts w:cs="Times New Roman"/>
              </w:rPr>
              <w:t>o longer available online; available on file with authors</w:t>
            </w:r>
            <w:r w:rsidR="00AA6CE0">
              <w:rPr>
                <w:rFonts w:cs="Times New Roman"/>
              </w:rPr>
              <w:t>.</w:t>
            </w:r>
          </w:p>
        </w:tc>
      </w:tr>
      <w:tr w:rsidR="002A2F8E" w:rsidRPr="00790233" w14:paraId="6FA70449" w14:textId="77777777" w:rsidTr="00C70D0C">
        <w:tc>
          <w:tcPr>
            <w:tcW w:w="9017" w:type="dxa"/>
          </w:tcPr>
          <w:p w14:paraId="3E7D8012" w14:textId="7496872A" w:rsidR="002A2F8E" w:rsidRPr="00790233" w:rsidRDefault="002A2F8E" w:rsidP="00C70D0C">
            <w:pPr>
              <w:rPr>
                <w:rFonts w:cs="Times New Roman"/>
                <w:sz w:val="20"/>
                <w:szCs w:val="20"/>
              </w:rPr>
            </w:pPr>
            <w:r w:rsidRPr="00790233">
              <w:rPr>
                <w:rFonts w:cs="Times New Roman"/>
                <w:sz w:val="20"/>
                <w:szCs w:val="20"/>
              </w:rPr>
              <w:t xml:space="preserve">Westpac Banking Corporation, </w:t>
            </w:r>
            <w:r w:rsidRPr="00790233">
              <w:rPr>
                <w:rFonts w:cs="Times New Roman"/>
                <w:i/>
                <w:iCs/>
                <w:sz w:val="20"/>
                <w:szCs w:val="20"/>
              </w:rPr>
              <w:t>2023 Climate Change Position Statement and Action Plan</w:t>
            </w:r>
            <w:r w:rsidR="0097198A">
              <w:rPr>
                <w:rFonts w:cs="Times New Roman"/>
                <w:i/>
                <w:iCs/>
                <w:sz w:val="20"/>
                <w:szCs w:val="20"/>
              </w:rPr>
              <w:t xml:space="preserve">, </w:t>
            </w:r>
            <w:r w:rsidR="0097198A" w:rsidRPr="0097198A">
              <w:rPr>
                <w:rFonts w:cs="Times New Roman"/>
                <w:sz w:val="20"/>
                <w:szCs w:val="20"/>
              </w:rPr>
              <w:t xml:space="preserve">available at: </w:t>
            </w:r>
            <w:hyperlink r:id="rId46" w:history="1">
              <w:r w:rsidR="0097198A" w:rsidRPr="00DA7C17">
                <w:rPr>
                  <w:rStyle w:val="Hyperlink"/>
                  <w:rFonts w:cs="Times New Roman"/>
                  <w:sz w:val="20"/>
                  <w:szCs w:val="20"/>
                </w:rPr>
                <w:t>https://www.westpac.com.au/content/dam/public/wbc/documents/pdf/aw/sustainability/WBC-climate-change-position-statement-2023.pdf</w:t>
              </w:r>
            </w:hyperlink>
            <w:r w:rsidR="0097198A">
              <w:rPr>
                <w:rFonts w:cs="Times New Roman"/>
                <w:sz w:val="20"/>
                <w:szCs w:val="20"/>
              </w:rPr>
              <w:t xml:space="preserve"> </w:t>
            </w:r>
          </w:p>
        </w:tc>
      </w:tr>
      <w:tr w:rsidR="002A2F8E" w14:paraId="6FCB35FD" w14:textId="77777777" w:rsidTr="00C70D0C">
        <w:tc>
          <w:tcPr>
            <w:tcW w:w="9017" w:type="dxa"/>
          </w:tcPr>
          <w:p w14:paraId="755C44E0" w14:textId="15FC1FBD" w:rsidR="002A2F8E" w:rsidRDefault="002A2F8E" w:rsidP="00C70D0C">
            <w:pPr>
              <w:rPr>
                <w:rFonts w:cs="Times New Roman"/>
                <w:sz w:val="20"/>
                <w:szCs w:val="20"/>
              </w:rPr>
            </w:pPr>
            <w:r w:rsidRPr="49D2DEB0">
              <w:rPr>
                <w:rFonts w:cs="Times New Roman"/>
                <w:sz w:val="20"/>
                <w:szCs w:val="20"/>
              </w:rPr>
              <w:t xml:space="preserve">Westpac Banking Corporation, </w:t>
            </w:r>
            <w:r w:rsidRPr="49D2DEB0">
              <w:rPr>
                <w:rFonts w:cs="Times New Roman"/>
                <w:i/>
                <w:iCs/>
                <w:sz w:val="20"/>
                <w:szCs w:val="20"/>
              </w:rPr>
              <w:t>2020 Annual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97198A">
              <w:rPr>
                <w:rFonts w:cs="Times New Roman"/>
                <w:sz w:val="20"/>
                <w:szCs w:val="20"/>
              </w:rPr>
              <w:t xml:space="preserve"> </w:t>
            </w:r>
            <w:hyperlink r:id="rId47" w:history="1">
              <w:r w:rsidR="0097198A" w:rsidRPr="00DA7C17">
                <w:rPr>
                  <w:rStyle w:val="Hyperlink"/>
                  <w:rFonts w:cs="Times New Roman"/>
                  <w:sz w:val="20"/>
                  <w:szCs w:val="20"/>
                </w:rPr>
                <w:t>https://www.westpac.com.au/about-westpac/investor-centre/financial-information/annual-reports-archive/</w:t>
              </w:r>
            </w:hyperlink>
            <w:r w:rsidR="0097198A">
              <w:rPr>
                <w:rFonts w:cs="Times New Roman"/>
                <w:sz w:val="20"/>
                <w:szCs w:val="20"/>
              </w:rPr>
              <w:t xml:space="preserve"> </w:t>
            </w:r>
          </w:p>
        </w:tc>
      </w:tr>
      <w:tr w:rsidR="002A2F8E" w14:paraId="630548C3" w14:textId="77777777" w:rsidTr="00C70D0C">
        <w:tc>
          <w:tcPr>
            <w:tcW w:w="9017" w:type="dxa"/>
          </w:tcPr>
          <w:p w14:paraId="61E32B69" w14:textId="0946E8C5" w:rsidR="002A2F8E" w:rsidRDefault="002A2F8E" w:rsidP="00C70D0C">
            <w:pPr>
              <w:rPr>
                <w:rFonts w:cs="Times New Roman"/>
                <w:sz w:val="20"/>
                <w:szCs w:val="20"/>
              </w:rPr>
            </w:pPr>
            <w:r w:rsidRPr="49D2DEB0">
              <w:rPr>
                <w:rFonts w:cs="Times New Roman"/>
                <w:sz w:val="20"/>
                <w:szCs w:val="20"/>
              </w:rPr>
              <w:t xml:space="preserve">Westpac Banking Corporation, </w:t>
            </w:r>
            <w:r w:rsidRPr="49D2DEB0">
              <w:rPr>
                <w:rFonts w:cs="Times New Roman"/>
                <w:i/>
                <w:iCs/>
                <w:sz w:val="20"/>
                <w:szCs w:val="20"/>
              </w:rPr>
              <w:t>2020 Sustainability Performance Report</w:t>
            </w:r>
            <w:r w:rsidR="008372F4">
              <w:rPr>
                <w:rFonts w:cs="Times New Roman"/>
                <w:i/>
                <w:iCs/>
                <w:sz w:val="20"/>
                <w:szCs w:val="20"/>
              </w:rPr>
              <w:t xml:space="preserve">, </w:t>
            </w:r>
            <w:r w:rsidR="008372F4" w:rsidRPr="00590009">
              <w:rPr>
                <w:rFonts w:cs="Times New Roman"/>
                <w:sz w:val="20"/>
                <w:szCs w:val="20"/>
              </w:rPr>
              <w:t>available at</w:t>
            </w:r>
            <w:r w:rsidR="008372F4">
              <w:rPr>
                <w:rFonts w:cs="Times New Roman"/>
                <w:sz w:val="20"/>
                <w:szCs w:val="20"/>
              </w:rPr>
              <w:t>:</w:t>
            </w:r>
            <w:r w:rsidR="0097198A">
              <w:rPr>
                <w:rFonts w:cs="Times New Roman"/>
                <w:sz w:val="20"/>
                <w:szCs w:val="20"/>
              </w:rPr>
              <w:t xml:space="preserve"> </w:t>
            </w:r>
            <w:hyperlink r:id="rId48" w:history="1">
              <w:r w:rsidR="0097198A" w:rsidRPr="00DA7C17">
                <w:rPr>
                  <w:rStyle w:val="Hyperlink"/>
                  <w:rFonts w:cs="Times New Roman"/>
                  <w:sz w:val="20"/>
                  <w:szCs w:val="20"/>
                </w:rPr>
                <w:t>https://www.westpac.com.au/content/dam/public/wbc/documents/pdf/aw/sustainability/WBC_2020_sustainability_performance_report.pdf</w:t>
              </w:r>
            </w:hyperlink>
            <w:r w:rsidR="0097198A">
              <w:rPr>
                <w:rFonts w:cs="Times New Roman"/>
                <w:sz w:val="20"/>
                <w:szCs w:val="20"/>
              </w:rPr>
              <w:t xml:space="preserve"> </w:t>
            </w:r>
          </w:p>
        </w:tc>
      </w:tr>
      <w:tr w:rsidR="002A2F8E" w14:paraId="19AA65DF" w14:textId="77777777" w:rsidTr="00C70D0C">
        <w:tc>
          <w:tcPr>
            <w:tcW w:w="9017" w:type="dxa"/>
          </w:tcPr>
          <w:p w14:paraId="5CC55713" w14:textId="173F5B0C" w:rsidR="002A2F8E" w:rsidRDefault="002A2F8E" w:rsidP="00C70D0C">
            <w:pPr>
              <w:rPr>
                <w:rFonts w:cs="Times New Roman"/>
                <w:sz w:val="20"/>
                <w:szCs w:val="20"/>
              </w:rPr>
            </w:pPr>
            <w:r w:rsidRPr="49D2DEB0">
              <w:rPr>
                <w:rFonts w:cs="Times New Roman"/>
                <w:sz w:val="20"/>
                <w:szCs w:val="20"/>
              </w:rPr>
              <w:t xml:space="preserve">Rabobank, </w:t>
            </w:r>
            <w:r w:rsidRPr="49D2DEB0">
              <w:rPr>
                <w:rFonts w:cs="Times New Roman"/>
                <w:i/>
                <w:iCs/>
                <w:sz w:val="20"/>
                <w:szCs w:val="20"/>
              </w:rPr>
              <w:t>2020 Climate Change Policy</w:t>
            </w:r>
            <w:r w:rsidR="008372F4">
              <w:rPr>
                <w:rFonts w:cs="Times New Roman"/>
                <w:i/>
                <w:iCs/>
                <w:sz w:val="20"/>
                <w:szCs w:val="20"/>
              </w:rPr>
              <w:t xml:space="preserve">, </w:t>
            </w:r>
            <w:r w:rsidR="001879EA" w:rsidRPr="001879EA">
              <w:rPr>
                <w:rFonts w:cs="Times New Roman"/>
                <w:sz w:val="20"/>
                <w:szCs w:val="20"/>
              </w:rPr>
              <w:t>n</w:t>
            </w:r>
            <w:r w:rsidR="001879EA" w:rsidRPr="008873EC">
              <w:rPr>
                <w:rFonts w:cs="Times New Roman"/>
              </w:rPr>
              <w:t>o longer available online; available on file with authors</w:t>
            </w:r>
            <w:r w:rsidR="001879EA">
              <w:rPr>
                <w:rFonts w:cs="Times New Roman"/>
              </w:rPr>
              <w:t>.</w:t>
            </w:r>
          </w:p>
        </w:tc>
      </w:tr>
      <w:tr w:rsidR="002A2F8E" w14:paraId="23440DD9" w14:textId="77777777" w:rsidTr="00C70D0C">
        <w:tc>
          <w:tcPr>
            <w:tcW w:w="9017" w:type="dxa"/>
          </w:tcPr>
          <w:p w14:paraId="3912DA0E" w14:textId="0C510147" w:rsidR="002A2F8E" w:rsidRDefault="002A2F8E" w:rsidP="00C70D0C">
            <w:pPr>
              <w:rPr>
                <w:rFonts w:cs="Times New Roman"/>
                <w:sz w:val="20"/>
                <w:szCs w:val="20"/>
              </w:rPr>
            </w:pPr>
            <w:r w:rsidRPr="49D2DEB0">
              <w:rPr>
                <w:rFonts w:cs="Times New Roman"/>
                <w:sz w:val="20"/>
                <w:szCs w:val="20"/>
              </w:rPr>
              <w:t xml:space="preserve">Rabobank, </w:t>
            </w:r>
            <w:r w:rsidRPr="49D2DEB0">
              <w:rPr>
                <w:rFonts w:cs="Times New Roman"/>
                <w:i/>
                <w:iCs/>
                <w:sz w:val="20"/>
                <w:szCs w:val="20"/>
              </w:rPr>
              <w:t>Sustainability Policy Framework</w:t>
            </w:r>
            <w:r w:rsidR="00C70D0C">
              <w:rPr>
                <w:rFonts w:cs="Times New Roman"/>
                <w:i/>
                <w:iCs/>
                <w:sz w:val="20"/>
                <w:szCs w:val="20"/>
              </w:rPr>
              <w:t xml:space="preserve"> (</w:t>
            </w:r>
            <w:r w:rsidR="001879EA">
              <w:rPr>
                <w:rFonts w:cs="Times New Roman"/>
                <w:i/>
                <w:iCs/>
                <w:sz w:val="20"/>
                <w:szCs w:val="20"/>
              </w:rPr>
              <w:t>2016</w:t>
            </w:r>
            <w:r w:rsidR="00C70D0C">
              <w:rPr>
                <w:rFonts w:cs="Times New Roman"/>
                <w:i/>
                <w:iCs/>
                <w:sz w:val="20"/>
                <w:szCs w:val="20"/>
              </w:rPr>
              <w:t>)</w:t>
            </w:r>
            <w:r w:rsidR="001879EA">
              <w:rPr>
                <w:rFonts w:cs="Times New Roman"/>
                <w:i/>
                <w:iCs/>
                <w:sz w:val="20"/>
                <w:szCs w:val="20"/>
              </w:rPr>
              <w:t xml:space="preserve">, </w:t>
            </w:r>
            <w:r w:rsidR="001879EA" w:rsidRPr="001879EA">
              <w:rPr>
                <w:rFonts w:cs="Times New Roman"/>
                <w:sz w:val="20"/>
                <w:szCs w:val="20"/>
              </w:rPr>
              <w:t>n</w:t>
            </w:r>
            <w:r w:rsidR="001879EA" w:rsidRPr="008873EC">
              <w:rPr>
                <w:rFonts w:cs="Times New Roman"/>
              </w:rPr>
              <w:t>o longer available online; available on file with authors.</w:t>
            </w:r>
          </w:p>
        </w:tc>
      </w:tr>
    </w:tbl>
    <w:p w14:paraId="04D4119B" w14:textId="77777777" w:rsidR="002A2F8E" w:rsidRPr="00886E68" w:rsidRDefault="002A2F8E" w:rsidP="002A2F8E">
      <w:pPr>
        <w:pStyle w:val="EndNoteBibliography"/>
      </w:pPr>
    </w:p>
    <w:p w14:paraId="56B41DA1" w14:textId="77777777" w:rsidR="002A2F8E" w:rsidRDefault="002A2F8E" w:rsidP="002A2F8E"/>
    <w:p w14:paraId="56E19DC7" w14:textId="7A2A527C" w:rsidR="002A2F8E" w:rsidRPr="005E351C" w:rsidRDefault="002A2F8E" w:rsidP="002A2F8E">
      <w:pPr>
        <w:pStyle w:val="Header"/>
        <w:pageBreakBefore/>
        <w:tabs>
          <w:tab w:val="clear" w:pos="4513"/>
          <w:tab w:val="clear" w:pos="9026"/>
        </w:tabs>
        <w:spacing w:after="160" w:line="259" w:lineRule="auto"/>
        <w:rPr>
          <w:b/>
          <w:bCs/>
          <w:sz w:val="24"/>
          <w:szCs w:val="24"/>
        </w:rPr>
      </w:pPr>
      <w:r w:rsidRPr="005E351C">
        <w:rPr>
          <w:b/>
          <w:bCs/>
          <w:sz w:val="24"/>
          <w:szCs w:val="24"/>
        </w:rPr>
        <w:lastRenderedPageBreak/>
        <w:t>Table A</w:t>
      </w:r>
      <w:r w:rsidR="006600EC">
        <w:rPr>
          <w:b/>
          <w:bCs/>
          <w:sz w:val="24"/>
          <w:szCs w:val="24"/>
        </w:rPr>
        <w:t>4</w:t>
      </w:r>
      <w:r w:rsidRPr="005E351C">
        <w:rPr>
          <w:b/>
          <w:bCs/>
          <w:sz w:val="24"/>
          <w:szCs w:val="24"/>
        </w:rPr>
        <w:t>: Searches and Keywords Used</w:t>
      </w:r>
    </w:p>
    <w:tbl>
      <w:tblPr>
        <w:tblStyle w:val="TableGrid"/>
        <w:tblW w:w="5000" w:type="pct"/>
        <w:tblLook w:val="04A0" w:firstRow="1" w:lastRow="0" w:firstColumn="1" w:lastColumn="0" w:noHBand="0" w:noVBand="1"/>
      </w:tblPr>
      <w:tblGrid>
        <w:gridCol w:w="2895"/>
        <w:gridCol w:w="2741"/>
        <w:gridCol w:w="3381"/>
      </w:tblGrid>
      <w:tr w:rsidR="002A2F8E" w:rsidRPr="005E351C" w14:paraId="62904B88" w14:textId="77777777" w:rsidTr="00C70D0C">
        <w:tc>
          <w:tcPr>
            <w:tcW w:w="1605" w:type="pct"/>
          </w:tcPr>
          <w:p w14:paraId="286EB18A" w14:textId="77777777" w:rsidR="002A2F8E" w:rsidRPr="005E351C" w:rsidRDefault="002A2F8E" w:rsidP="00C70D0C">
            <w:pPr>
              <w:pStyle w:val="Heading8"/>
              <w:outlineLvl w:val="7"/>
              <w:rPr>
                <w:rFonts w:cs="Times New Roman"/>
                <w:b w:val="0"/>
                <w:bCs w:val="0"/>
              </w:rPr>
            </w:pPr>
            <w:r w:rsidRPr="005E351C">
              <w:rPr>
                <w:rFonts w:cs="Times New Roman"/>
              </w:rPr>
              <w:t xml:space="preserve">Source </w:t>
            </w:r>
          </w:p>
        </w:tc>
        <w:tc>
          <w:tcPr>
            <w:tcW w:w="1520" w:type="pct"/>
          </w:tcPr>
          <w:p w14:paraId="399DB13B" w14:textId="77777777" w:rsidR="002A2F8E" w:rsidRPr="005E351C" w:rsidRDefault="002A2F8E" w:rsidP="00C70D0C">
            <w:pPr>
              <w:pStyle w:val="Heading8"/>
              <w:outlineLvl w:val="7"/>
              <w:rPr>
                <w:rFonts w:cs="Times New Roman"/>
                <w:b w:val="0"/>
                <w:bCs w:val="0"/>
              </w:rPr>
            </w:pPr>
            <w:r w:rsidRPr="005E351C">
              <w:rPr>
                <w:rFonts w:cs="Times New Roman"/>
              </w:rPr>
              <w:t>Documents</w:t>
            </w:r>
          </w:p>
        </w:tc>
        <w:tc>
          <w:tcPr>
            <w:tcW w:w="1875" w:type="pct"/>
          </w:tcPr>
          <w:p w14:paraId="71A503D1" w14:textId="77777777" w:rsidR="002A2F8E" w:rsidRPr="005E351C" w:rsidRDefault="002A2F8E" w:rsidP="00C70D0C">
            <w:pPr>
              <w:pStyle w:val="Heading8"/>
              <w:outlineLvl w:val="7"/>
              <w:rPr>
                <w:rFonts w:cs="Times New Roman"/>
                <w:b w:val="0"/>
                <w:bCs w:val="0"/>
              </w:rPr>
            </w:pPr>
            <w:r w:rsidRPr="005E351C">
              <w:rPr>
                <w:rFonts w:cs="Times New Roman"/>
              </w:rPr>
              <w:t>Keyword searches</w:t>
            </w:r>
          </w:p>
        </w:tc>
      </w:tr>
      <w:tr w:rsidR="002A2F8E" w:rsidRPr="009F1AFE" w14:paraId="046969BB" w14:textId="77777777" w:rsidTr="00C70D0C">
        <w:tc>
          <w:tcPr>
            <w:tcW w:w="1605" w:type="pct"/>
          </w:tcPr>
          <w:p w14:paraId="54AE7BBE" w14:textId="77777777" w:rsidR="002A2F8E" w:rsidRPr="00790233" w:rsidRDefault="002A2F8E" w:rsidP="00C70D0C">
            <w:pPr>
              <w:rPr>
                <w:rFonts w:cs="Times New Roman"/>
                <w:sz w:val="20"/>
                <w:szCs w:val="20"/>
              </w:rPr>
            </w:pPr>
            <w:r w:rsidRPr="00790233">
              <w:rPr>
                <w:rFonts w:cs="Times New Roman"/>
                <w:sz w:val="20"/>
                <w:szCs w:val="20"/>
              </w:rPr>
              <w:t>Publicly available information from the respective banks’ websites</w:t>
            </w:r>
          </w:p>
        </w:tc>
        <w:tc>
          <w:tcPr>
            <w:tcW w:w="1520" w:type="pct"/>
          </w:tcPr>
          <w:p w14:paraId="44CE11F9" w14:textId="77777777" w:rsidR="002A2F8E" w:rsidRPr="00790233" w:rsidRDefault="002A2F8E" w:rsidP="00C70D0C">
            <w:pPr>
              <w:rPr>
                <w:rFonts w:cs="Times New Roman"/>
                <w:sz w:val="20"/>
                <w:szCs w:val="20"/>
              </w:rPr>
            </w:pPr>
            <w:r w:rsidRPr="00790233">
              <w:rPr>
                <w:rFonts w:cs="Times New Roman"/>
                <w:sz w:val="20"/>
                <w:szCs w:val="20"/>
              </w:rPr>
              <w:t xml:space="preserve">Annual Report; </w:t>
            </w:r>
          </w:p>
          <w:p w14:paraId="30945127" w14:textId="77777777" w:rsidR="002A2F8E" w:rsidRPr="00790233" w:rsidRDefault="002A2F8E" w:rsidP="00C70D0C">
            <w:pPr>
              <w:rPr>
                <w:rFonts w:cs="Times New Roman"/>
                <w:sz w:val="20"/>
                <w:szCs w:val="20"/>
              </w:rPr>
            </w:pPr>
            <w:r w:rsidRPr="00790233">
              <w:rPr>
                <w:rFonts w:cs="Times New Roman"/>
                <w:sz w:val="20"/>
                <w:szCs w:val="20"/>
              </w:rPr>
              <w:t xml:space="preserve">Financial Report; ESG Supplements; </w:t>
            </w:r>
          </w:p>
          <w:p w14:paraId="44FA1AE3" w14:textId="77777777" w:rsidR="002A2F8E" w:rsidRPr="00790233" w:rsidRDefault="002A2F8E" w:rsidP="00C70D0C">
            <w:pPr>
              <w:rPr>
                <w:rFonts w:cs="Times New Roman"/>
                <w:sz w:val="20"/>
                <w:szCs w:val="20"/>
              </w:rPr>
            </w:pPr>
            <w:r w:rsidRPr="00790233">
              <w:rPr>
                <w:rFonts w:cs="Times New Roman"/>
                <w:sz w:val="20"/>
                <w:szCs w:val="20"/>
              </w:rPr>
              <w:t>Industry Publications</w:t>
            </w:r>
          </w:p>
        </w:tc>
        <w:tc>
          <w:tcPr>
            <w:tcW w:w="1875" w:type="pct"/>
          </w:tcPr>
          <w:p w14:paraId="49E64883"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‘animal’; ‘livestock’; ‘meat’ ‘fish’ ‘wild’</w:t>
            </w:r>
          </w:p>
          <w:p w14:paraId="22789F76" w14:textId="77777777" w:rsidR="002A2F8E" w:rsidRPr="00790233" w:rsidRDefault="002A2F8E" w:rsidP="002A2F8E">
            <w:pPr>
              <w:pStyle w:val="ListParagraph"/>
              <w:numPr>
                <w:ilvl w:val="0"/>
                <w:numId w:val="1"/>
              </w:numPr>
              <w:spacing w:after="0" w:line="240" w:lineRule="auto"/>
              <w:rPr>
                <w:sz w:val="20"/>
                <w:szCs w:val="20"/>
              </w:rPr>
            </w:pPr>
            <w:r w:rsidRPr="00790233">
              <w:rPr>
                <w:sz w:val="20"/>
                <w:szCs w:val="20"/>
              </w:rPr>
              <w:t>‘welfare’</w:t>
            </w:r>
          </w:p>
          <w:p w14:paraId="088A2B7E"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‘forest’ ‘drought’ ‘water’ ‘scarcity’</w:t>
            </w:r>
          </w:p>
          <w:p w14:paraId="37B32809" w14:textId="77777777" w:rsidR="002A2F8E" w:rsidRPr="00790233" w:rsidRDefault="002A2F8E" w:rsidP="002A2F8E">
            <w:pPr>
              <w:pStyle w:val="ListParagraph"/>
              <w:numPr>
                <w:ilvl w:val="0"/>
                <w:numId w:val="1"/>
              </w:numPr>
              <w:spacing w:after="0" w:line="240" w:lineRule="auto"/>
              <w:rPr>
                <w:sz w:val="20"/>
                <w:szCs w:val="20"/>
              </w:rPr>
            </w:pPr>
            <w:r w:rsidRPr="00790233">
              <w:rPr>
                <w:sz w:val="20"/>
                <w:szCs w:val="20"/>
              </w:rPr>
              <w:t>‘Agriculture’; ‘Ag’; ‘Agribusiness’</w:t>
            </w:r>
          </w:p>
          <w:p w14:paraId="6F13C200"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‘Committee’ ‘board’</w:t>
            </w:r>
          </w:p>
          <w:p w14:paraId="640666F2"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‘ESG’; ‘Ethical’ ‘reputation’</w:t>
            </w:r>
          </w:p>
          <w:p w14:paraId="64A82FF2" w14:textId="77777777" w:rsidR="002A2F8E" w:rsidRPr="00790233" w:rsidRDefault="002A2F8E" w:rsidP="002A2F8E">
            <w:pPr>
              <w:pStyle w:val="ListParagraph"/>
              <w:numPr>
                <w:ilvl w:val="0"/>
                <w:numId w:val="1"/>
              </w:numPr>
              <w:spacing w:after="0" w:line="240" w:lineRule="auto"/>
              <w:rPr>
                <w:sz w:val="20"/>
                <w:szCs w:val="20"/>
              </w:rPr>
            </w:pPr>
            <w:r w:rsidRPr="00790233">
              <w:rPr>
                <w:sz w:val="20"/>
                <w:szCs w:val="20"/>
              </w:rPr>
              <w:t xml:space="preserve">‘united nations’; ‘UN’; </w:t>
            </w:r>
          </w:p>
          <w:p w14:paraId="2344558C"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‘commitment’; ‘initiative’; ‘panel’</w:t>
            </w:r>
          </w:p>
          <w:p w14:paraId="0F928E4A" w14:textId="77777777" w:rsidR="002A2F8E" w:rsidRPr="00790233" w:rsidRDefault="002A2F8E" w:rsidP="002A2F8E">
            <w:pPr>
              <w:pStyle w:val="ListParagraph"/>
              <w:numPr>
                <w:ilvl w:val="0"/>
                <w:numId w:val="1"/>
              </w:numPr>
              <w:spacing w:after="0" w:line="240" w:lineRule="auto"/>
              <w:rPr>
                <w:sz w:val="20"/>
                <w:szCs w:val="20"/>
              </w:rPr>
            </w:pPr>
            <w:r w:rsidRPr="5BCFBE73">
              <w:rPr>
                <w:sz w:val="20"/>
                <w:szCs w:val="20"/>
              </w:rPr>
              <w:t>‘training’ ’compliance’ ‘non-compliance’ ‘education’</w:t>
            </w:r>
          </w:p>
        </w:tc>
      </w:tr>
      <w:tr w:rsidR="002A2F8E" w:rsidRPr="009F1AFE" w14:paraId="3156048A" w14:textId="77777777" w:rsidTr="00C70D0C">
        <w:tc>
          <w:tcPr>
            <w:tcW w:w="1605" w:type="pct"/>
          </w:tcPr>
          <w:p w14:paraId="5B09CAED" w14:textId="77777777" w:rsidR="002A2F8E" w:rsidRPr="00790233" w:rsidRDefault="002A2F8E" w:rsidP="00C70D0C">
            <w:pPr>
              <w:rPr>
                <w:rFonts w:cs="Times New Roman"/>
                <w:sz w:val="20"/>
                <w:szCs w:val="20"/>
              </w:rPr>
            </w:pPr>
            <w:r w:rsidRPr="00790233">
              <w:rPr>
                <w:rFonts w:cs="Times New Roman"/>
                <w:sz w:val="20"/>
                <w:szCs w:val="20"/>
              </w:rPr>
              <w:t>IBISWorld</w:t>
            </w:r>
          </w:p>
        </w:tc>
        <w:tc>
          <w:tcPr>
            <w:tcW w:w="1520" w:type="pct"/>
          </w:tcPr>
          <w:p w14:paraId="21BAD571" w14:textId="77777777" w:rsidR="002A2F8E" w:rsidRPr="00790233" w:rsidRDefault="002A2F8E" w:rsidP="00C70D0C">
            <w:pPr>
              <w:rPr>
                <w:rFonts w:cs="Times New Roman"/>
                <w:sz w:val="20"/>
                <w:szCs w:val="20"/>
              </w:rPr>
            </w:pPr>
            <w:r w:rsidRPr="00790233">
              <w:rPr>
                <w:rFonts w:cs="Times New Roman"/>
                <w:sz w:val="20"/>
                <w:szCs w:val="20"/>
              </w:rPr>
              <w:t xml:space="preserve">Company Profiles; Industry/Sector Profiles </w:t>
            </w:r>
          </w:p>
        </w:tc>
        <w:tc>
          <w:tcPr>
            <w:tcW w:w="1875" w:type="pct"/>
          </w:tcPr>
          <w:p w14:paraId="179B26BF" w14:textId="77777777" w:rsidR="002A2F8E" w:rsidRPr="00790233" w:rsidRDefault="002A2F8E" w:rsidP="002A2F8E">
            <w:pPr>
              <w:pStyle w:val="ListParagraph"/>
              <w:numPr>
                <w:ilvl w:val="0"/>
                <w:numId w:val="1"/>
              </w:numPr>
              <w:spacing w:after="0" w:line="240" w:lineRule="auto"/>
              <w:rPr>
                <w:sz w:val="20"/>
                <w:szCs w:val="20"/>
              </w:rPr>
            </w:pPr>
            <w:r w:rsidRPr="00790233">
              <w:rPr>
                <w:sz w:val="20"/>
                <w:szCs w:val="20"/>
              </w:rPr>
              <w:t xml:space="preserve">Agriculture; </w:t>
            </w:r>
          </w:p>
          <w:p w14:paraId="362A26EF" w14:textId="77777777" w:rsidR="002A2F8E" w:rsidRPr="00790233" w:rsidRDefault="002A2F8E" w:rsidP="002A2F8E">
            <w:pPr>
              <w:pStyle w:val="ListParagraph"/>
              <w:numPr>
                <w:ilvl w:val="0"/>
                <w:numId w:val="1"/>
              </w:numPr>
              <w:spacing w:after="0" w:line="240" w:lineRule="auto"/>
              <w:rPr>
                <w:sz w:val="20"/>
                <w:szCs w:val="20"/>
              </w:rPr>
            </w:pPr>
            <w:r w:rsidRPr="00790233">
              <w:rPr>
                <w:sz w:val="20"/>
                <w:szCs w:val="20"/>
              </w:rPr>
              <w:t xml:space="preserve">Finance Sector; </w:t>
            </w:r>
          </w:p>
          <w:p w14:paraId="0A24657C" w14:textId="77777777" w:rsidR="002A2F8E" w:rsidRPr="002C6CE7" w:rsidRDefault="002A2F8E" w:rsidP="002A2F8E">
            <w:pPr>
              <w:pStyle w:val="ListParagraph"/>
              <w:numPr>
                <w:ilvl w:val="0"/>
                <w:numId w:val="1"/>
              </w:numPr>
              <w:spacing w:after="0" w:line="240" w:lineRule="auto"/>
              <w:rPr>
                <w:sz w:val="20"/>
                <w:szCs w:val="20"/>
              </w:rPr>
            </w:pPr>
            <w:r w:rsidRPr="00790233">
              <w:rPr>
                <w:sz w:val="20"/>
                <w:szCs w:val="20"/>
              </w:rPr>
              <w:t>Bank</w:t>
            </w:r>
          </w:p>
        </w:tc>
      </w:tr>
      <w:tr w:rsidR="002A2F8E" w:rsidRPr="009F1AFE" w14:paraId="6F7D9D09" w14:textId="77777777" w:rsidTr="00C70D0C">
        <w:tc>
          <w:tcPr>
            <w:tcW w:w="1605" w:type="pct"/>
          </w:tcPr>
          <w:p w14:paraId="4BF8E857" w14:textId="77777777" w:rsidR="002A2F8E" w:rsidRPr="00790233" w:rsidRDefault="002A2F8E" w:rsidP="00C70D0C">
            <w:pPr>
              <w:rPr>
                <w:rFonts w:cs="Times New Roman"/>
                <w:sz w:val="20"/>
                <w:szCs w:val="20"/>
              </w:rPr>
            </w:pPr>
            <w:r w:rsidRPr="00790233">
              <w:rPr>
                <w:rFonts w:cs="Times New Roman"/>
                <w:sz w:val="20"/>
                <w:szCs w:val="20"/>
              </w:rPr>
              <w:t>Desktop internet search</w:t>
            </w:r>
          </w:p>
        </w:tc>
        <w:tc>
          <w:tcPr>
            <w:tcW w:w="1520" w:type="pct"/>
          </w:tcPr>
          <w:p w14:paraId="26F63304" w14:textId="77777777" w:rsidR="002A2F8E" w:rsidRPr="00790233" w:rsidRDefault="002A2F8E" w:rsidP="00C70D0C">
            <w:pPr>
              <w:rPr>
                <w:rFonts w:cs="Times New Roman"/>
                <w:sz w:val="20"/>
                <w:szCs w:val="20"/>
              </w:rPr>
            </w:pPr>
            <w:r w:rsidRPr="00790233">
              <w:rPr>
                <w:rFonts w:cs="Times New Roman"/>
                <w:sz w:val="20"/>
                <w:szCs w:val="20"/>
              </w:rPr>
              <w:t>Business Benchmark on Farm Animal Welfare</w:t>
            </w:r>
          </w:p>
        </w:tc>
        <w:tc>
          <w:tcPr>
            <w:tcW w:w="1875" w:type="pct"/>
          </w:tcPr>
          <w:p w14:paraId="4E0FD906" w14:textId="77777777" w:rsidR="002A2F8E" w:rsidRPr="00790233" w:rsidRDefault="002A2F8E" w:rsidP="00C70D0C">
            <w:pPr>
              <w:rPr>
                <w:rFonts w:cs="Times New Roman"/>
                <w:sz w:val="20"/>
                <w:szCs w:val="20"/>
              </w:rPr>
            </w:pPr>
            <w:r w:rsidRPr="00790233">
              <w:rPr>
                <w:rFonts w:cs="Times New Roman"/>
                <w:sz w:val="20"/>
                <w:szCs w:val="20"/>
              </w:rPr>
              <w:t xml:space="preserve">Soft commodities </w:t>
            </w:r>
          </w:p>
          <w:p w14:paraId="51059A57" w14:textId="77777777" w:rsidR="002A2F8E" w:rsidRPr="00790233" w:rsidRDefault="002A2F8E" w:rsidP="00C70D0C">
            <w:pPr>
              <w:rPr>
                <w:rFonts w:cs="Times New Roman"/>
                <w:sz w:val="20"/>
                <w:szCs w:val="20"/>
              </w:rPr>
            </w:pPr>
            <w:r w:rsidRPr="00790233">
              <w:rPr>
                <w:rFonts w:cs="Times New Roman"/>
                <w:sz w:val="20"/>
                <w:szCs w:val="20"/>
              </w:rPr>
              <w:t xml:space="preserve">Animal welfare initiatives </w:t>
            </w:r>
          </w:p>
          <w:p w14:paraId="5EFEC94E" w14:textId="77777777" w:rsidR="002A2F8E" w:rsidRPr="00790233" w:rsidRDefault="002A2F8E" w:rsidP="00C70D0C">
            <w:pPr>
              <w:rPr>
                <w:rFonts w:cs="Times New Roman"/>
                <w:sz w:val="20"/>
                <w:szCs w:val="20"/>
              </w:rPr>
            </w:pPr>
            <w:r w:rsidRPr="00790233">
              <w:rPr>
                <w:rFonts w:cs="Times New Roman"/>
                <w:sz w:val="20"/>
                <w:szCs w:val="20"/>
              </w:rPr>
              <w:t>Financial sector AND animal welfare</w:t>
            </w:r>
          </w:p>
        </w:tc>
      </w:tr>
    </w:tbl>
    <w:p w14:paraId="40FE4B18" w14:textId="77777777" w:rsidR="002A2F8E" w:rsidRPr="009F1AFE" w:rsidRDefault="002A2F8E" w:rsidP="002A2F8E">
      <w:pPr>
        <w:pStyle w:val="Header"/>
        <w:tabs>
          <w:tab w:val="clear" w:pos="4513"/>
          <w:tab w:val="clear" w:pos="9026"/>
        </w:tabs>
        <w:spacing w:after="160" w:line="259" w:lineRule="auto"/>
        <w:rPr>
          <w:sz w:val="20"/>
          <w:szCs w:val="20"/>
        </w:rPr>
      </w:pPr>
    </w:p>
    <w:p w14:paraId="7693B60D" w14:textId="77777777" w:rsidR="002A2F8E" w:rsidRDefault="002A2F8E" w:rsidP="002A2F8E"/>
    <w:p w14:paraId="1BBC04DD" w14:textId="4D88679E" w:rsidR="002A2F8E" w:rsidRPr="005E351C" w:rsidRDefault="002A2F8E" w:rsidP="002A2F8E">
      <w:pPr>
        <w:pageBreakBefore/>
        <w:rPr>
          <w:rFonts w:cs="Times New Roman"/>
          <w:b/>
          <w:bCs/>
          <w:sz w:val="24"/>
          <w:szCs w:val="24"/>
        </w:rPr>
      </w:pPr>
      <w:r w:rsidRPr="005E351C">
        <w:rPr>
          <w:rFonts w:cs="Times New Roman"/>
          <w:b/>
          <w:bCs/>
          <w:sz w:val="24"/>
          <w:szCs w:val="24"/>
        </w:rPr>
        <w:lastRenderedPageBreak/>
        <w:t>Table A</w:t>
      </w:r>
      <w:r w:rsidR="00590009">
        <w:rPr>
          <w:rFonts w:cs="Times New Roman"/>
          <w:b/>
          <w:bCs/>
          <w:sz w:val="24"/>
          <w:szCs w:val="24"/>
        </w:rPr>
        <w:t>4</w:t>
      </w:r>
      <w:r w:rsidRPr="005E351C">
        <w:rPr>
          <w:rFonts w:cs="Times New Roman"/>
          <w:b/>
          <w:bCs/>
          <w:sz w:val="24"/>
          <w:szCs w:val="24"/>
        </w:rPr>
        <w:t xml:space="preserve"> Criteria (Based on BBFAW) and Scoring</w:t>
      </w:r>
      <w:r w:rsidRPr="005E351C">
        <w:rPr>
          <w:rStyle w:val="FootnoteReference"/>
          <w:sz w:val="24"/>
          <w:szCs w:val="24"/>
        </w:rPr>
        <w:footnoteReference w:id="20"/>
      </w:r>
    </w:p>
    <w:tbl>
      <w:tblPr>
        <w:tblStyle w:val="TableGrid"/>
        <w:tblW w:w="0" w:type="auto"/>
        <w:tblLook w:val="04A0" w:firstRow="1" w:lastRow="0" w:firstColumn="1" w:lastColumn="0" w:noHBand="0" w:noVBand="1"/>
      </w:tblPr>
      <w:tblGrid>
        <w:gridCol w:w="1139"/>
        <w:gridCol w:w="2925"/>
        <w:gridCol w:w="3759"/>
        <w:gridCol w:w="1194"/>
      </w:tblGrid>
      <w:tr w:rsidR="002A2F8E" w:rsidRPr="005E351C" w14:paraId="59ED4737" w14:textId="77777777" w:rsidTr="00C70D0C">
        <w:tc>
          <w:tcPr>
            <w:tcW w:w="760" w:type="dxa"/>
          </w:tcPr>
          <w:p w14:paraId="17135ABE" w14:textId="77777777" w:rsidR="002A2F8E" w:rsidRPr="005E351C" w:rsidRDefault="002A2F8E" w:rsidP="00C70D0C">
            <w:pPr>
              <w:spacing w:line="240" w:lineRule="auto"/>
              <w:rPr>
                <w:rFonts w:cs="Times New Roman"/>
                <w:b/>
                <w:bCs/>
              </w:rPr>
            </w:pPr>
            <w:r>
              <w:rPr>
                <w:rFonts w:cs="Times New Roman"/>
                <w:b/>
                <w:bCs/>
              </w:rPr>
              <w:t>BBFAW Question Number</w:t>
            </w:r>
            <w:r>
              <w:rPr>
                <w:rStyle w:val="FootnoteReference"/>
                <w:rFonts w:cs="Times New Roman"/>
              </w:rPr>
              <w:footnoteReference w:id="21"/>
            </w:r>
          </w:p>
        </w:tc>
        <w:tc>
          <w:tcPr>
            <w:tcW w:w="3063" w:type="dxa"/>
          </w:tcPr>
          <w:p w14:paraId="5C8CF74D" w14:textId="77777777" w:rsidR="002A2F8E" w:rsidRPr="005E351C" w:rsidRDefault="002A2F8E" w:rsidP="00C70D0C">
            <w:pPr>
              <w:spacing w:line="240" w:lineRule="auto"/>
              <w:rPr>
                <w:rFonts w:cs="Times New Roman"/>
                <w:b/>
                <w:bCs/>
              </w:rPr>
            </w:pPr>
            <w:r w:rsidRPr="005E351C">
              <w:rPr>
                <w:rFonts w:cs="Times New Roman"/>
                <w:b/>
                <w:bCs/>
              </w:rPr>
              <w:t xml:space="preserve">Criteria </w:t>
            </w:r>
          </w:p>
        </w:tc>
        <w:tc>
          <w:tcPr>
            <w:tcW w:w="3976" w:type="dxa"/>
          </w:tcPr>
          <w:p w14:paraId="26F81B5E" w14:textId="77777777" w:rsidR="002A2F8E" w:rsidRPr="005E351C" w:rsidRDefault="002A2F8E" w:rsidP="00C70D0C">
            <w:pPr>
              <w:spacing w:line="240" w:lineRule="auto"/>
              <w:rPr>
                <w:rFonts w:cs="Times New Roman"/>
                <w:b/>
                <w:bCs/>
              </w:rPr>
            </w:pPr>
            <w:r>
              <w:rPr>
                <w:rFonts w:cs="Times New Roman"/>
                <w:b/>
                <w:bCs/>
              </w:rPr>
              <w:t>Description of</w:t>
            </w:r>
            <w:r w:rsidRPr="005E351C">
              <w:rPr>
                <w:rFonts w:cs="Times New Roman"/>
                <w:b/>
                <w:bCs/>
              </w:rPr>
              <w:t xml:space="preserve"> scoring </w:t>
            </w:r>
            <w:r>
              <w:rPr>
                <w:rFonts w:cs="Times New Roman"/>
                <w:b/>
                <w:bCs/>
              </w:rPr>
              <w:t xml:space="preserve">(including </w:t>
            </w:r>
            <w:r w:rsidRPr="005E351C">
              <w:rPr>
                <w:rFonts w:cs="Times New Roman"/>
                <w:b/>
                <w:bCs/>
              </w:rPr>
              <w:t>adjustment</w:t>
            </w:r>
            <w:r>
              <w:rPr>
                <w:rFonts w:cs="Times New Roman"/>
                <w:b/>
                <w:bCs/>
              </w:rPr>
              <w:t>s made)</w:t>
            </w:r>
          </w:p>
        </w:tc>
        <w:tc>
          <w:tcPr>
            <w:tcW w:w="1218" w:type="dxa"/>
          </w:tcPr>
          <w:p w14:paraId="173EA930" w14:textId="77777777" w:rsidR="002A2F8E" w:rsidRPr="005E351C" w:rsidRDefault="002A2F8E" w:rsidP="00C70D0C">
            <w:pPr>
              <w:spacing w:line="240" w:lineRule="auto"/>
              <w:rPr>
                <w:rFonts w:cs="Times New Roman"/>
                <w:b/>
                <w:bCs/>
              </w:rPr>
            </w:pPr>
            <w:r w:rsidRPr="005E351C">
              <w:rPr>
                <w:rFonts w:cs="Times New Roman"/>
                <w:b/>
                <w:bCs/>
              </w:rPr>
              <w:t>Scoring</w:t>
            </w:r>
          </w:p>
        </w:tc>
      </w:tr>
      <w:tr w:rsidR="002A2F8E" w14:paraId="47423BE5" w14:textId="77777777" w:rsidTr="00C70D0C">
        <w:tc>
          <w:tcPr>
            <w:tcW w:w="760" w:type="dxa"/>
          </w:tcPr>
          <w:p w14:paraId="7ED1EC55" w14:textId="77777777" w:rsidR="002A2F8E" w:rsidRDefault="002A2F8E" w:rsidP="00C70D0C">
            <w:pPr>
              <w:spacing w:line="240" w:lineRule="auto"/>
              <w:rPr>
                <w:rFonts w:cs="Times New Roman"/>
              </w:rPr>
            </w:pPr>
            <w:r>
              <w:rPr>
                <w:rFonts w:cs="Times New Roman"/>
              </w:rPr>
              <w:t>1</w:t>
            </w:r>
          </w:p>
        </w:tc>
        <w:tc>
          <w:tcPr>
            <w:tcW w:w="3063" w:type="dxa"/>
          </w:tcPr>
          <w:p w14:paraId="56647389" w14:textId="77777777" w:rsidR="002A2F8E" w:rsidRDefault="002A2F8E" w:rsidP="00C70D0C">
            <w:pPr>
              <w:spacing w:line="240" w:lineRule="auto"/>
              <w:rPr>
                <w:rFonts w:cs="Times New Roman"/>
              </w:rPr>
            </w:pPr>
            <w:r w:rsidRPr="00100A9F">
              <w:rPr>
                <w:rFonts w:cs="Times New Roman"/>
              </w:rPr>
              <w:t xml:space="preserve">The bank has identified animal welfare as a relevant business issue </w:t>
            </w:r>
          </w:p>
        </w:tc>
        <w:tc>
          <w:tcPr>
            <w:tcW w:w="3976" w:type="dxa"/>
          </w:tcPr>
          <w:p w14:paraId="66B135F2" w14:textId="77777777" w:rsidR="002A2F8E" w:rsidRDefault="002A2F8E" w:rsidP="00C70D0C">
            <w:pPr>
              <w:spacing w:line="240" w:lineRule="auto"/>
              <w:rPr>
                <w:rFonts w:cs="Times New Roman"/>
              </w:rPr>
            </w:pPr>
            <w:r>
              <w:rPr>
                <w:rFonts w:cs="Times New Roman"/>
              </w:rPr>
              <w:t xml:space="preserve">This question was binary. Companies received a full score or nothing at all. </w:t>
            </w:r>
          </w:p>
        </w:tc>
        <w:tc>
          <w:tcPr>
            <w:tcW w:w="1218" w:type="dxa"/>
          </w:tcPr>
          <w:p w14:paraId="376F6353" w14:textId="77777777" w:rsidR="002A2F8E" w:rsidRDefault="002A2F8E" w:rsidP="00C70D0C">
            <w:pPr>
              <w:spacing w:line="240" w:lineRule="auto"/>
              <w:rPr>
                <w:rFonts w:cs="Times New Roman"/>
              </w:rPr>
            </w:pPr>
            <w:r>
              <w:rPr>
                <w:rFonts w:cs="Times New Roman"/>
              </w:rPr>
              <w:t>0 or 10</w:t>
            </w:r>
          </w:p>
        </w:tc>
      </w:tr>
      <w:tr w:rsidR="002A2F8E" w14:paraId="6CE6E283" w14:textId="77777777" w:rsidTr="00C70D0C">
        <w:tc>
          <w:tcPr>
            <w:tcW w:w="760" w:type="dxa"/>
          </w:tcPr>
          <w:p w14:paraId="5300AABD" w14:textId="77777777" w:rsidR="002A2F8E" w:rsidRDefault="002A2F8E" w:rsidP="00C70D0C">
            <w:pPr>
              <w:spacing w:line="240" w:lineRule="auto"/>
              <w:rPr>
                <w:rFonts w:cs="Times New Roman"/>
              </w:rPr>
            </w:pPr>
            <w:r>
              <w:rPr>
                <w:rFonts w:cs="Times New Roman"/>
              </w:rPr>
              <w:t>2</w:t>
            </w:r>
          </w:p>
        </w:tc>
        <w:tc>
          <w:tcPr>
            <w:tcW w:w="3063" w:type="dxa"/>
          </w:tcPr>
          <w:p w14:paraId="5BA2F9BD" w14:textId="77777777" w:rsidR="002A2F8E" w:rsidRDefault="002A2F8E" w:rsidP="00C70D0C">
            <w:pPr>
              <w:spacing w:line="240" w:lineRule="auto"/>
              <w:rPr>
                <w:rFonts w:cs="Times New Roman"/>
              </w:rPr>
            </w:pPr>
            <w:r w:rsidRPr="00100A9F">
              <w:rPr>
                <w:rFonts w:cs="Times New Roman"/>
              </w:rPr>
              <w:t>Does the bank publish an overarching policy on animal welfare?</w:t>
            </w:r>
            <w:r>
              <w:t xml:space="preserve"> </w:t>
            </w:r>
          </w:p>
        </w:tc>
        <w:tc>
          <w:tcPr>
            <w:tcW w:w="3976" w:type="dxa"/>
          </w:tcPr>
          <w:p w14:paraId="1653A2C7" w14:textId="77777777" w:rsidR="002A2F8E" w:rsidRDefault="002A2F8E" w:rsidP="00C70D0C">
            <w:pPr>
              <w:spacing w:line="240" w:lineRule="auto"/>
              <w:rPr>
                <w:rFonts w:cs="Times New Roman"/>
              </w:rPr>
            </w:pPr>
            <w:r>
              <w:rPr>
                <w:rFonts w:cs="Times New Roman"/>
              </w:rPr>
              <w:t>Only scored if Q1 received a score. This question does not differentiate between stand alone policies or statements made within broader sustainability policies</w:t>
            </w:r>
          </w:p>
        </w:tc>
        <w:tc>
          <w:tcPr>
            <w:tcW w:w="1218" w:type="dxa"/>
          </w:tcPr>
          <w:p w14:paraId="21985AFA" w14:textId="77777777" w:rsidR="002A2F8E" w:rsidRDefault="002A2F8E" w:rsidP="00C70D0C">
            <w:pPr>
              <w:spacing w:line="240" w:lineRule="auto"/>
              <w:rPr>
                <w:rFonts w:cs="Times New Roman"/>
              </w:rPr>
            </w:pPr>
            <w:r>
              <w:rPr>
                <w:rFonts w:cs="Times New Roman"/>
              </w:rPr>
              <w:t>0, 5, 10</w:t>
            </w:r>
          </w:p>
        </w:tc>
      </w:tr>
      <w:tr w:rsidR="002A2F8E" w14:paraId="7DF7DE88" w14:textId="77777777" w:rsidTr="00C70D0C">
        <w:tc>
          <w:tcPr>
            <w:tcW w:w="760" w:type="dxa"/>
          </w:tcPr>
          <w:p w14:paraId="708CB68B" w14:textId="77777777" w:rsidR="002A2F8E" w:rsidRDefault="002A2F8E" w:rsidP="00C70D0C">
            <w:pPr>
              <w:spacing w:line="240" w:lineRule="auto"/>
              <w:rPr>
                <w:rFonts w:cs="Times New Roman"/>
              </w:rPr>
            </w:pPr>
            <w:r>
              <w:rPr>
                <w:rFonts w:cs="Times New Roman"/>
              </w:rPr>
              <w:t>3</w:t>
            </w:r>
          </w:p>
        </w:tc>
        <w:tc>
          <w:tcPr>
            <w:tcW w:w="3063" w:type="dxa"/>
          </w:tcPr>
          <w:p w14:paraId="6143F58B" w14:textId="77777777" w:rsidR="002A2F8E" w:rsidRDefault="002A2F8E" w:rsidP="00C70D0C">
            <w:pPr>
              <w:spacing w:line="240" w:lineRule="auto"/>
              <w:rPr>
                <w:rFonts w:cs="Times New Roman"/>
              </w:rPr>
            </w:pPr>
            <w:r w:rsidRPr="00100A9F">
              <w:rPr>
                <w:rFonts w:cs="Times New Roman"/>
              </w:rPr>
              <w:t>Does the policy scope cover geography or species?</w:t>
            </w:r>
          </w:p>
        </w:tc>
        <w:tc>
          <w:tcPr>
            <w:tcW w:w="3976" w:type="dxa"/>
          </w:tcPr>
          <w:p w14:paraId="072FC9DD" w14:textId="77777777" w:rsidR="002A2F8E" w:rsidRDefault="002A2F8E" w:rsidP="00C70D0C">
            <w:pPr>
              <w:spacing w:line="240" w:lineRule="auto"/>
              <w:rPr>
                <w:rFonts w:cs="Times New Roman"/>
              </w:rPr>
            </w:pPr>
            <w:r>
              <w:rPr>
                <w:rFonts w:cs="Times New Roman"/>
              </w:rPr>
              <w:t xml:space="preserve">Only scored if Q1 received a score. If companies used words such as ‘all’ they were awarded a full score, but asked to provide further detail. </w:t>
            </w:r>
          </w:p>
          <w:p w14:paraId="4F5FDA22" w14:textId="77777777" w:rsidR="002A2F8E" w:rsidRDefault="002A2F8E" w:rsidP="00C70D0C">
            <w:pPr>
              <w:spacing w:line="240" w:lineRule="auto"/>
              <w:rPr>
                <w:rFonts w:cs="Times New Roman"/>
              </w:rPr>
            </w:pPr>
            <w:r>
              <w:rPr>
                <w:rFonts w:cs="Times New Roman"/>
              </w:rPr>
              <w:t xml:space="preserve">5 = universal application. </w:t>
            </w:r>
          </w:p>
          <w:p w14:paraId="2B4022B2" w14:textId="77777777" w:rsidR="002A2F8E" w:rsidRDefault="002A2F8E" w:rsidP="00C70D0C">
            <w:pPr>
              <w:spacing w:line="240" w:lineRule="auto"/>
              <w:rPr>
                <w:rFonts w:cs="Times New Roman"/>
              </w:rPr>
            </w:pPr>
            <w:r>
              <w:rPr>
                <w:rFonts w:cs="Times New Roman"/>
              </w:rPr>
              <w:t xml:space="preserve">Part 3, Product Scope was not assessed in our study. </w:t>
            </w:r>
          </w:p>
        </w:tc>
        <w:tc>
          <w:tcPr>
            <w:tcW w:w="1218" w:type="dxa"/>
          </w:tcPr>
          <w:p w14:paraId="567FC00F" w14:textId="77777777" w:rsidR="002A2F8E" w:rsidRDefault="002A2F8E" w:rsidP="00C70D0C">
            <w:pPr>
              <w:spacing w:line="240" w:lineRule="auto"/>
              <w:rPr>
                <w:rFonts w:cs="Times New Roman"/>
              </w:rPr>
            </w:pPr>
            <w:r>
              <w:rPr>
                <w:rFonts w:cs="Times New Roman"/>
              </w:rPr>
              <w:t xml:space="preserve">0, 2, 5 </w:t>
            </w:r>
          </w:p>
        </w:tc>
      </w:tr>
      <w:tr w:rsidR="002A2F8E" w14:paraId="45AA81B4" w14:textId="77777777" w:rsidTr="00C70D0C">
        <w:tc>
          <w:tcPr>
            <w:tcW w:w="760" w:type="dxa"/>
          </w:tcPr>
          <w:p w14:paraId="2920F481" w14:textId="77777777" w:rsidR="002A2F8E" w:rsidRDefault="002A2F8E" w:rsidP="00C70D0C">
            <w:pPr>
              <w:spacing w:line="240" w:lineRule="auto"/>
              <w:rPr>
                <w:rFonts w:cs="Times New Roman"/>
              </w:rPr>
            </w:pPr>
            <w:r>
              <w:rPr>
                <w:rFonts w:cs="Times New Roman"/>
              </w:rPr>
              <w:t>4</w:t>
            </w:r>
          </w:p>
        </w:tc>
        <w:tc>
          <w:tcPr>
            <w:tcW w:w="3063" w:type="dxa"/>
          </w:tcPr>
          <w:p w14:paraId="7050BE52" w14:textId="77777777" w:rsidR="002A2F8E" w:rsidRDefault="002A2F8E" w:rsidP="00C70D0C">
            <w:pPr>
              <w:spacing w:line="240" w:lineRule="auto"/>
              <w:rPr>
                <w:rFonts w:cs="Times New Roman"/>
              </w:rPr>
            </w:pPr>
            <w:r w:rsidRPr="00100A9F">
              <w:rPr>
                <w:rFonts w:cs="Times New Roman"/>
              </w:rPr>
              <w:t>Does the policy address close confinement and intensive systems?</w:t>
            </w:r>
          </w:p>
        </w:tc>
        <w:tc>
          <w:tcPr>
            <w:tcW w:w="3976" w:type="dxa"/>
          </w:tcPr>
          <w:p w14:paraId="64A2383D" w14:textId="77777777" w:rsidR="002A2F8E" w:rsidRDefault="002A2F8E" w:rsidP="00C70D0C">
            <w:pPr>
              <w:spacing w:line="240" w:lineRule="auto"/>
              <w:rPr>
                <w:rFonts w:cs="Times New Roman"/>
              </w:rPr>
            </w:pPr>
            <w:r>
              <w:rPr>
                <w:rFonts w:cs="Times New Roman"/>
              </w:rPr>
              <w:t xml:space="preserve">Confinement – clear position needed. </w:t>
            </w:r>
          </w:p>
        </w:tc>
        <w:tc>
          <w:tcPr>
            <w:tcW w:w="1218" w:type="dxa"/>
          </w:tcPr>
          <w:p w14:paraId="3E545E18" w14:textId="77777777" w:rsidR="002A2F8E" w:rsidRDefault="002A2F8E" w:rsidP="00C70D0C">
            <w:pPr>
              <w:spacing w:line="240" w:lineRule="auto"/>
              <w:rPr>
                <w:rFonts w:cs="Times New Roman"/>
              </w:rPr>
            </w:pPr>
            <w:r>
              <w:rPr>
                <w:rFonts w:cs="Times New Roman"/>
              </w:rPr>
              <w:t>1, 3, 5</w:t>
            </w:r>
          </w:p>
        </w:tc>
      </w:tr>
      <w:tr w:rsidR="002A2F8E" w14:paraId="62B07F13" w14:textId="77777777" w:rsidTr="00C70D0C">
        <w:tc>
          <w:tcPr>
            <w:tcW w:w="760" w:type="dxa"/>
          </w:tcPr>
          <w:p w14:paraId="393EBF11" w14:textId="77777777" w:rsidR="002A2F8E" w:rsidRDefault="002A2F8E" w:rsidP="00C70D0C">
            <w:pPr>
              <w:spacing w:line="240" w:lineRule="auto"/>
              <w:rPr>
                <w:rFonts w:cs="Times New Roman"/>
              </w:rPr>
            </w:pPr>
            <w:r>
              <w:rPr>
                <w:rFonts w:cs="Times New Roman"/>
              </w:rPr>
              <w:t>11</w:t>
            </w:r>
          </w:p>
        </w:tc>
        <w:tc>
          <w:tcPr>
            <w:tcW w:w="3063" w:type="dxa"/>
          </w:tcPr>
          <w:p w14:paraId="3734BF80" w14:textId="77777777" w:rsidR="002A2F8E" w:rsidRDefault="002A2F8E" w:rsidP="00C70D0C">
            <w:pPr>
              <w:spacing w:line="240" w:lineRule="auto"/>
              <w:rPr>
                <w:rFonts w:cs="Times New Roman"/>
              </w:rPr>
            </w:pPr>
            <w:r w:rsidRPr="00100A9F">
              <w:rPr>
                <w:rFonts w:cs="Times New Roman"/>
              </w:rPr>
              <w:t>Does the Bank have a position on long distance live transport?</w:t>
            </w:r>
            <w:r>
              <w:rPr>
                <w:rStyle w:val="FootnoteReference"/>
              </w:rPr>
              <w:t xml:space="preserve"> </w:t>
            </w:r>
          </w:p>
        </w:tc>
        <w:tc>
          <w:tcPr>
            <w:tcW w:w="3976" w:type="dxa"/>
          </w:tcPr>
          <w:p w14:paraId="7DA3608C" w14:textId="77777777" w:rsidR="002A2F8E" w:rsidRDefault="002A2F8E" w:rsidP="00C70D0C">
            <w:pPr>
              <w:spacing w:line="240" w:lineRule="auto"/>
              <w:rPr>
                <w:rFonts w:cs="Times New Roman"/>
              </w:rPr>
            </w:pPr>
            <w:r>
              <w:rPr>
                <w:rFonts w:cs="Times New Roman"/>
              </w:rPr>
              <w:t>Live export - scope of application needs to be provided</w:t>
            </w:r>
          </w:p>
        </w:tc>
        <w:tc>
          <w:tcPr>
            <w:tcW w:w="1218" w:type="dxa"/>
          </w:tcPr>
          <w:p w14:paraId="7FBBCCE6" w14:textId="77777777" w:rsidR="002A2F8E" w:rsidRDefault="002A2F8E" w:rsidP="00C70D0C">
            <w:pPr>
              <w:spacing w:line="240" w:lineRule="auto"/>
              <w:rPr>
                <w:rFonts w:cs="Times New Roman"/>
              </w:rPr>
            </w:pPr>
            <w:r>
              <w:rPr>
                <w:rFonts w:cs="Times New Roman"/>
              </w:rPr>
              <w:t>1, 3, 5</w:t>
            </w:r>
          </w:p>
        </w:tc>
      </w:tr>
      <w:tr w:rsidR="002A2F8E" w14:paraId="38F02E78" w14:textId="77777777" w:rsidTr="00C70D0C">
        <w:tc>
          <w:tcPr>
            <w:tcW w:w="760" w:type="dxa"/>
          </w:tcPr>
          <w:p w14:paraId="2807EEEB" w14:textId="77777777" w:rsidR="002A2F8E" w:rsidRDefault="002A2F8E" w:rsidP="00C70D0C">
            <w:pPr>
              <w:spacing w:line="240" w:lineRule="auto"/>
              <w:rPr>
                <w:rFonts w:cs="Times New Roman"/>
              </w:rPr>
            </w:pPr>
            <w:r>
              <w:rPr>
                <w:rFonts w:cs="Times New Roman"/>
              </w:rPr>
              <w:t>12.1</w:t>
            </w:r>
          </w:p>
        </w:tc>
        <w:tc>
          <w:tcPr>
            <w:tcW w:w="3063" w:type="dxa"/>
          </w:tcPr>
          <w:p w14:paraId="5365803E" w14:textId="77777777" w:rsidR="002A2F8E" w:rsidRDefault="002A2F8E" w:rsidP="00C70D0C">
            <w:pPr>
              <w:spacing w:line="240" w:lineRule="auto"/>
              <w:rPr>
                <w:rFonts w:cs="Times New Roman"/>
              </w:rPr>
            </w:pPr>
            <w:r w:rsidRPr="00100A9F">
              <w:rPr>
                <w:rFonts w:cs="Times New Roman"/>
              </w:rPr>
              <w:t>Has the bank assigned management responsibility of farm animal welfare to employees?</w:t>
            </w:r>
            <w:r>
              <w:rPr>
                <w:rFonts w:cs="Times New Roman"/>
              </w:rPr>
              <w:t xml:space="preserve"> </w:t>
            </w:r>
          </w:p>
        </w:tc>
        <w:tc>
          <w:tcPr>
            <w:tcW w:w="3976" w:type="dxa"/>
          </w:tcPr>
          <w:p w14:paraId="77F5A050" w14:textId="77777777" w:rsidR="002A2F8E" w:rsidRDefault="002A2F8E" w:rsidP="00C70D0C">
            <w:pPr>
              <w:spacing w:line="240" w:lineRule="auto"/>
              <w:rPr>
                <w:rFonts w:cs="Times New Roman"/>
              </w:rPr>
            </w:pPr>
            <w:r>
              <w:rPr>
                <w:rFonts w:cs="Times New Roman"/>
              </w:rPr>
              <w:t xml:space="preserve">All or nothing. Policy that discussed general information on management or oversight of CSR only credited if it was clear animal welfare was integral part. </w:t>
            </w:r>
          </w:p>
        </w:tc>
        <w:tc>
          <w:tcPr>
            <w:tcW w:w="1218" w:type="dxa"/>
          </w:tcPr>
          <w:p w14:paraId="25141C71" w14:textId="77777777" w:rsidR="002A2F8E" w:rsidRDefault="002A2F8E" w:rsidP="00C70D0C">
            <w:pPr>
              <w:spacing w:line="240" w:lineRule="auto"/>
              <w:rPr>
                <w:rFonts w:cs="Times New Roman"/>
              </w:rPr>
            </w:pPr>
            <w:r>
              <w:rPr>
                <w:rFonts w:cs="Times New Roman"/>
              </w:rPr>
              <w:t>0, 2, 5</w:t>
            </w:r>
          </w:p>
          <w:p w14:paraId="0F93ECCD" w14:textId="77777777" w:rsidR="002A2F8E" w:rsidRPr="00DF4202" w:rsidRDefault="002A2F8E" w:rsidP="00C70D0C">
            <w:pPr>
              <w:spacing w:line="240" w:lineRule="auto"/>
              <w:rPr>
                <w:rFonts w:cs="Times New Roman"/>
              </w:rPr>
            </w:pPr>
          </w:p>
        </w:tc>
      </w:tr>
      <w:tr w:rsidR="002A2F8E" w14:paraId="65F221D5" w14:textId="77777777" w:rsidTr="00C70D0C">
        <w:tc>
          <w:tcPr>
            <w:tcW w:w="760" w:type="dxa"/>
          </w:tcPr>
          <w:p w14:paraId="71337BB2" w14:textId="77777777" w:rsidR="002A2F8E" w:rsidRDefault="002A2F8E" w:rsidP="00C70D0C">
            <w:pPr>
              <w:spacing w:line="240" w:lineRule="auto"/>
              <w:rPr>
                <w:rFonts w:cs="Times New Roman"/>
              </w:rPr>
            </w:pPr>
            <w:r>
              <w:rPr>
                <w:rFonts w:cs="Times New Roman"/>
              </w:rPr>
              <w:t>12.2</w:t>
            </w:r>
          </w:p>
        </w:tc>
        <w:tc>
          <w:tcPr>
            <w:tcW w:w="3063" w:type="dxa"/>
          </w:tcPr>
          <w:p w14:paraId="5F1D4E27" w14:textId="77777777" w:rsidR="002A2F8E" w:rsidRPr="00100A9F" w:rsidRDefault="002A2F8E" w:rsidP="00C70D0C">
            <w:pPr>
              <w:spacing w:line="240" w:lineRule="auto"/>
              <w:rPr>
                <w:rFonts w:cs="Times New Roman"/>
              </w:rPr>
            </w:pPr>
            <w:r w:rsidRPr="00100A9F">
              <w:rPr>
                <w:rFonts w:cs="Times New Roman"/>
              </w:rPr>
              <w:t>Has the bank assigned management responsibility of farm animal welfare to the Board or senior management?</w:t>
            </w:r>
            <w:r>
              <w:rPr>
                <w:rFonts w:cs="Times New Roman"/>
              </w:rPr>
              <w:t xml:space="preserve"> </w:t>
            </w:r>
          </w:p>
        </w:tc>
        <w:tc>
          <w:tcPr>
            <w:tcW w:w="3976" w:type="dxa"/>
          </w:tcPr>
          <w:p w14:paraId="024C1CFE" w14:textId="77777777" w:rsidR="002A2F8E" w:rsidRDefault="002A2F8E" w:rsidP="00C70D0C">
            <w:pPr>
              <w:spacing w:line="240" w:lineRule="auto"/>
              <w:rPr>
                <w:rFonts w:cs="Times New Roman"/>
              </w:rPr>
            </w:pPr>
            <w:r>
              <w:rPr>
                <w:rFonts w:cs="Times New Roman"/>
              </w:rPr>
              <w:t>The score of 2 was introduced to tailor BBFAW to Banks. 2 was awarded if the bank provided information on responsibility regarding ESG policies that could cover animal welfare but doesn’t necessarily say so explicitly.</w:t>
            </w:r>
          </w:p>
        </w:tc>
        <w:tc>
          <w:tcPr>
            <w:tcW w:w="1218" w:type="dxa"/>
          </w:tcPr>
          <w:p w14:paraId="3D00E230" w14:textId="77777777" w:rsidR="002A2F8E" w:rsidRDefault="002A2F8E" w:rsidP="00C70D0C">
            <w:pPr>
              <w:spacing w:line="240" w:lineRule="auto"/>
              <w:rPr>
                <w:rFonts w:cs="Times New Roman"/>
              </w:rPr>
            </w:pPr>
            <w:r>
              <w:rPr>
                <w:rFonts w:cs="Times New Roman"/>
              </w:rPr>
              <w:t xml:space="preserve">0, 2, </w:t>
            </w:r>
            <w:r w:rsidRPr="00DF4202">
              <w:rPr>
                <w:rFonts w:cs="Times New Roman"/>
              </w:rPr>
              <w:t>5</w:t>
            </w:r>
          </w:p>
        </w:tc>
      </w:tr>
      <w:tr w:rsidR="002A2F8E" w14:paraId="0FDF900D" w14:textId="77777777" w:rsidTr="00C70D0C">
        <w:tc>
          <w:tcPr>
            <w:tcW w:w="760" w:type="dxa"/>
          </w:tcPr>
          <w:p w14:paraId="1508C36B" w14:textId="77777777" w:rsidR="002A2F8E" w:rsidRDefault="002A2F8E" w:rsidP="00C70D0C">
            <w:pPr>
              <w:spacing w:line="240" w:lineRule="auto"/>
              <w:rPr>
                <w:rFonts w:cs="Times New Roman"/>
              </w:rPr>
            </w:pPr>
            <w:r>
              <w:rPr>
                <w:rFonts w:cs="Times New Roman"/>
              </w:rPr>
              <w:t>15.1</w:t>
            </w:r>
          </w:p>
        </w:tc>
        <w:tc>
          <w:tcPr>
            <w:tcW w:w="3063" w:type="dxa"/>
          </w:tcPr>
          <w:p w14:paraId="0C3DADF3" w14:textId="77777777" w:rsidR="002A2F8E" w:rsidRDefault="002A2F8E" w:rsidP="00C70D0C">
            <w:pPr>
              <w:spacing w:line="240" w:lineRule="auto"/>
              <w:rPr>
                <w:rFonts w:cs="Times New Roman"/>
              </w:rPr>
            </w:pPr>
            <w:r w:rsidRPr="00100A9F">
              <w:rPr>
                <w:rFonts w:cs="Times New Roman"/>
              </w:rPr>
              <w:t>Does the bank publish information on employee training to effectively implement its animal welfare policy?</w:t>
            </w:r>
            <w:r>
              <w:rPr>
                <w:rStyle w:val="FootnoteReference"/>
              </w:rPr>
              <w:t xml:space="preserve"> </w:t>
            </w:r>
          </w:p>
        </w:tc>
        <w:tc>
          <w:tcPr>
            <w:tcW w:w="3976" w:type="dxa"/>
          </w:tcPr>
          <w:p w14:paraId="35470118" w14:textId="77777777" w:rsidR="002A2F8E" w:rsidRDefault="002A2F8E" w:rsidP="00C70D0C">
            <w:pPr>
              <w:spacing w:line="240" w:lineRule="auto"/>
              <w:rPr>
                <w:rFonts w:cs="Times New Roman"/>
              </w:rPr>
            </w:pPr>
            <w:r>
              <w:rPr>
                <w:rFonts w:cs="Times New Roman"/>
              </w:rPr>
              <w:t xml:space="preserve">Employee training; </w:t>
            </w:r>
          </w:p>
          <w:p w14:paraId="0001C9F1" w14:textId="77777777" w:rsidR="002A2F8E" w:rsidRDefault="002A2F8E" w:rsidP="00C70D0C">
            <w:pPr>
              <w:spacing w:line="240" w:lineRule="auto"/>
              <w:rPr>
                <w:rFonts w:cs="Times New Roman"/>
              </w:rPr>
            </w:pPr>
          </w:p>
        </w:tc>
        <w:tc>
          <w:tcPr>
            <w:tcW w:w="1218" w:type="dxa"/>
          </w:tcPr>
          <w:p w14:paraId="5FACDC52" w14:textId="77777777" w:rsidR="002A2F8E" w:rsidRDefault="002A2F8E" w:rsidP="00C70D0C">
            <w:pPr>
              <w:spacing w:line="240" w:lineRule="auto"/>
              <w:rPr>
                <w:rFonts w:cs="Times New Roman"/>
              </w:rPr>
            </w:pPr>
            <w:r>
              <w:rPr>
                <w:rFonts w:cs="Times New Roman"/>
              </w:rPr>
              <w:t>0, 5</w:t>
            </w:r>
          </w:p>
          <w:p w14:paraId="058D115B" w14:textId="77777777" w:rsidR="002A2F8E" w:rsidRDefault="002A2F8E" w:rsidP="00C70D0C">
            <w:pPr>
              <w:spacing w:line="240" w:lineRule="auto"/>
              <w:rPr>
                <w:rFonts w:cs="Times New Roman"/>
              </w:rPr>
            </w:pPr>
          </w:p>
        </w:tc>
      </w:tr>
      <w:tr w:rsidR="002A2F8E" w14:paraId="1EB4FC37" w14:textId="77777777" w:rsidTr="00C70D0C">
        <w:tc>
          <w:tcPr>
            <w:tcW w:w="760" w:type="dxa"/>
          </w:tcPr>
          <w:p w14:paraId="0EA5FAD9" w14:textId="77777777" w:rsidR="002A2F8E" w:rsidRDefault="002A2F8E" w:rsidP="00C70D0C">
            <w:pPr>
              <w:spacing w:line="240" w:lineRule="auto"/>
              <w:rPr>
                <w:rFonts w:cs="Times New Roman"/>
              </w:rPr>
            </w:pPr>
            <w:r>
              <w:rPr>
                <w:rFonts w:cs="Times New Roman"/>
              </w:rPr>
              <w:lastRenderedPageBreak/>
              <w:t>15.2</w:t>
            </w:r>
          </w:p>
        </w:tc>
        <w:tc>
          <w:tcPr>
            <w:tcW w:w="3063" w:type="dxa"/>
          </w:tcPr>
          <w:p w14:paraId="10950C2F" w14:textId="77777777" w:rsidR="002A2F8E" w:rsidRPr="00100A9F" w:rsidRDefault="002A2F8E" w:rsidP="00C70D0C">
            <w:pPr>
              <w:spacing w:line="240" w:lineRule="auto"/>
              <w:rPr>
                <w:rFonts w:cs="Times New Roman"/>
              </w:rPr>
            </w:pPr>
            <w:r w:rsidRPr="00100A9F">
              <w:rPr>
                <w:rFonts w:cs="Times New Roman"/>
              </w:rPr>
              <w:t>Does the bank provide for action to be taken in the event of non-compliance with its animal welfare policy?</w:t>
            </w:r>
            <w:r>
              <w:rPr>
                <w:rFonts w:cs="Times New Roman"/>
              </w:rPr>
              <w:t xml:space="preserve"> </w:t>
            </w:r>
          </w:p>
        </w:tc>
        <w:tc>
          <w:tcPr>
            <w:tcW w:w="3976" w:type="dxa"/>
          </w:tcPr>
          <w:p w14:paraId="41012723" w14:textId="77777777" w:rsidR="002A2F8E" w:rsidRDefault="002A2F8E" w:rsidP="00C70D0C">
            <w:pPr>
              <w:spacing w:line="240" w:lineRule="auto"/>
              <w:rPr>
                <w:rFonts w:cs="Times New Roman"/>
              </w:rPr>
            </w:pPr>
            <w:r>
              <w:rPr>
                <w:rFonts w:cs="Times New Roman"/>
              </w:rPr>
              <w:t>The score of 2 was introduced to tailor BBFAW. 2 was awarded if the bank made general statements about non-compliance.</w:t>
            </w:r>
          </w:p>
        </w:tc>
        <w:tc>
          <w:tcPr>
            <w:tcW w:w="1218" w:type="dxa"/>
          </w:tcPr>
          <w:p w14:paraId="64474F2A" w14:textId="77777777" w:rsidR="002A2F8E" w:rsidRDefault="002A2F8E" w:rsidP="00C70D0C">
            <w:pPr>
              <w:spacing w:line="240" w:lineRule="auto"/>
              <w:rPr>
                <w:rFonts w:cs="Times New Roman"/>
              </w:rPr>
            </w:pPr>
            <w:r>
              <w:rPr>
                <w:rFonts w:cs="Times New Roman"/>
              </w:rPr>
              <w:t>0, 2, 5</w:t>
            </w:r>
          </w:p>
        </w:tc>
      </w:tr>
      <w:tr w:rsidR="002A2F8E" w14:paraId="091F3D24" w14:textId="77777777" w:rsidTr="00C70D0C">
        <w:tc>
          <w:tcPr>
            <w:tcW w:w="760" w:type="dxa"/>
          </w:tcPr>
          <w:p w14:paraId="203C8A6C" w14:textId="77777777" w:rsidR="002A2F8E" w:rsidRDefault="002A2F8E" w:rsidP="00C70D0C">
            <w:pPr>
              <w:spacing w:line="240" w:lineRule="auto"/>
              <w:rPr>
                <w:rFonts w:cs="Times New Roman"/>
              </w:rPr>
            </w:pPr>
            <w:r>
              <w:rPr>
                <w:rFonts w:cs="Times New Roman"/>
              </w:rPr>
              <w:t>17</w:t>
            </w:r>
          </w:p>
        </w:tc>
        <w:tc>
          <w:tcPr>
            <w:tcW w:w="3063" w:type="dxa"/>
          </w:tcPr>
          <w:p w14:paraId="4D970CCD" w14:textId="77777777" w:rsidR="002A2F8E" w:rsidRDefault="002A2F8E" w:rsidP="00C70D0C">
            <w:pPr>
              <w:spacing w:line="240" w:lineRule="auto"/>
              <w:rPr>
                <w:rFonts w:cs="Times New Roman"/>
              </w:rPr>
            </w:pPr>
            <w:r w:rsidRPr="00100A9F">
              <w:rPr>
                <w:rFonts w:cs="Times New Roman"/>
              </w:rPr>
              <w:t>Does the bank commit to enforcing relevant assurance schemes and or standards of good animal welfare?</w:t>
            </w:r>
          </w:p>
        </w:tc>
        <w:tc>
          <w:tcPr>
            <w:tcW w:w="3976" w:type="dxa"/>
          </w:tcPr>
          <w:p w14:paraId="36D2FDD3" w14:textId="77777777" w:rsidR="002A2F8E" w:rsidRDefault="002A2F8E" w:rsidP="00C70D0C">
            <w:pPr>
              <w:spacing w:line="240" w:lineRule="auto"/>
              <w:rPr>
                <w:rFonts w:cs="Times New Roman"/>
              </w:rPr>
            </w:pPr>
            <w:r>
              <w:rPr>
                <w:rFonts w:cs="Times New Roman"/>
              </w:rPr>
              <w:t xml:space="preserve">Q17 was amended to include a score of 1 if Banks identified relevant standards and conventions but did not commit to them. </w:t>
            </w:r>
          </w:p>
          <w:p w14:paraId="576049F6" w14:textId="77777777" w:rsidR="002A2F8E" w:rsidRDefault="002A2F8E" w:rsidP="00C70D0C">
            <w:pPr>
              <w:spacing w:line="240" w:lineRule="auto"/>
              <w:rPr>
                <w:rFonts w:cs="Times New Roman"/>
              </w:rPr>
            </w:pPr>
            <w:r>
              <w:rPr>
                <w:rFonts w:cs="Times New Roman"/>
              </w:rPr>
              <w:t xml:space="preserve">Note that Q17 is aimed at identifying companies that are assuring their standards to a higher welfare potential than basic legislative requirements. </w:t>
            </w:r>
          </w:p>
        </w:tc>
        <w:tc>
          <w:tcPr>
            <w:tcW w:w="1218" w:type="dxa"/>
          </w:tcPr>
          <w:p w14:paraId="2402590E" w14:textId="77777777" w:rsidR="002A2F8E" w:rsidRDefault="002A2F8E" w:rsidP="00C70D0C">
            <w:pPr>
              <w:spacing w:line="240" w:lineRule="auto"/>
              <w:rPr>
                <w:rFonts w:cs="Times New Roman"/>
              </w:rPr>
            </w:pPr>
            <w:r>
              <w:rPr>
                <w:rFonts w:cs="Times New Roman"/>
              </w:rPr>
              <w:t xml:space="preserve">0, 1, 3,6,10, 15, 20.  </w:t>
            </w:r>
          </w:p>
        </w:tc>
      </w:tr>
      <w:tr w:rsidR="002A2F8E" w14:paraId="78C96804" w14:textId="77777777" w:rsidTr="00C70D0C">
        <w:tc>
          <w:tcPr>
            <w:tcW w:w="760" w:type="dxa"/>
          </w:tcPr>
          <w:p w14:paraId="0E793365" w14:textId="77777777" w:rsidR="002A2F8E" w:rsidRDefault="002A2F8E" w:rsidP="00C70D0C">
            <w:pPr>
              <w:spacing w:line="240" w:lineRule="auto"/>
              <w:rPr>
                <w:rFonts w:cs="Times New Roman"/>
              </w:rPr>
            </w:pPr>
            <w:r>
              <w:rPr>
                <w:rFonts w:cs="Times New Roman"/>
              </w:rPr>
              <w:t>19</w:t>
            </w:r>
          </w:p>
        </w:tc>
        <w:tc>
          <w:tcPr>
            <w:tcW w:w="3063" w:type="dxa"/>
          </w:tcPr>
          <w:p w14:paraId="5AB56EB3" w14:textId="77777777" w:rsidR="002A2F8E" w:rsidRDefault="002A2F8E" w:rsidP="00C70D0C">
            <w:pPr>
              <w:spacing w:line="240" w:lineRule="auto"/>
              <w:rPr>
                <w:rFonts w:cs="Times New Roman"/>
              </w:rPr>
            </w:pPr>
            <w:r w:rsidRPr="00100A9F">
              <w:rPr>
                <w:rFonts w:cs="Times New Roman"/>
              </w:rPr>
              <w:t>Does the bank promote higher animal welfare to consumers through education and/ or awareness raising activities?</w:t>
            </w:r>
          </w:p>
        </w:tc>
        <w:tc>
          <w:tcPr>
            <w:tcW w:w="3976" w:type="dxa"/>
          </w:tcPr>
          <w:p w14:paraId="7D64AE07" w14:textId="77777777" w:rsidR="002A2F8E" w:rsidRDefault="002A2F8E" w:rsidP="00C70D0C">
            <w:pPr>
              <w:spacing w:line="240" w:lineRule="auto"/>
              <w:rPr>
                <w:rFonts w:cs="Times New Roman"/>
              </w:rPr>
            </w:pPr>
            <w:r>
              <w:rPr>
                <w:rFonts w:cs="Times New Roman"/>
              </w:rPr>
              <w:t>Promotion:</w:t>
            </w:r>
          </w:p>
          <w:p w14:paraId="1A753D0E" w14:textId="77777777" w:rsidR="002A2F8E" w:rsidRDefault="002A2F8E" w:rsidP="00C70D0C">
            <w:pPr>
              <w:spacing w:line="240" w:lineRule="auto"/>
              <w:rPr>
                <w:rFonts w:cs="Times New Roman"/>
              </w:rPr>
            </w:pPr>
            <w:r>
              <w:rPr>
                <w:rFonts w:cs="Times New Roman"/>
              </w:rPr>
              <w:t>5 – one example; 10 – multiple examples</w:t>
            </w:r>
          </w:p>
        </w:tc>
        <w:tc>
          <w:tcPr>
            <w:tcW w:w="1218" w:type="dxa"/>
          </w:tcPr>
          <w:p w14:paraId="1EB3F4F7" w14:textId="77777777" w:rsidR="002A2F8E" w:rsidRDefault="002A2F8E" w:rsidP="00C70D0C">
            <w:pPr>
              <w:spacing w:line="240" w:lineRule="auto"/>
              <w:rPr>
                <w:rFonts w:cs="Times New Roman"/>
              </w:rPr>
            </w:pPr>
            <w:r>
              <w:rPr>
                <w:rFonts w:cs="Times New Roman"/>
              </w:rPr>
              <w:t>0, 5, 10</w:t>
            </w:r>
          </w:p>
        </w:tc>
      </w:tr>
    </w:tbl>
    <w:p w14:paraId="61A85BCF" w14:textId="77777777" w:rsidR="002A2F8E" w:rsidRDefault="002A2F8E" w:rsidP="002A2F8E"/>
    <w:p w14:paraId="12D705DE" w14:textId="77777777" w:rsidR="002A2F8E" w:rsidRDefault="002A2F8E" w:rsidP="002A2F8E"/>
    <w:p w14:paraId="0546EF24" w14:textId="77777777" w:rsidR="002A2F8E" w:rsidRPr="000D2ED0" w:rsidRDefault="002A2F8E" w:rsidP="002A2F8E">
      <w:pPr>
        <w:pStyle w:val="Header"/>
        <w:tabs>
          <w:tab w:val="clear" w:pos="4513"/>
          <w:tab w:val="clear" w:pos="9026"/>
        </w:tabs>
        <w:spacing w:after="160" w:line="259" w:lineRule="auto"/>
      </w:pPr>
    </w:p>
    <w:p w14:paraId="0D50E88F" w14:textId="77777777" w:rsidR="002A2F8E" w:rsidRPr="00B53C69" w:rsidRDefault="002A2F8E" w:rsidP="002A2F8E">
      <w:pPr>
        <w:pStyle w:val="TELnormal"/>
        <w:rPr>
          <w:rFonts w:cs="Times New Roman"/>
          <w:sz w:val="22"/>
        </w:rPr>
      </w:pPr>
    </w:p>
    <w:p w14:paraId="73F67D6E" w14:textId="77777777" w:rsidR="002A2F8E" w:rsidRPr="000D2ED0" w:rsidRDefault="002A2F8E" w:rsidP="002A2F8E">
      <w:pPr>
        <w:spacing w:after="160" w:line="259" w:lineRule="auto"/>
      </w:pPr>
    </w:p>
    <w:p w14:paraId="010A01C0" w14:textId="77777777" w:rsidR="005F2C35" w:rsidRDefault="005F2C35"/>
    <w:sectPr w:rsidR="005F2C35" w:rsidSect="00C70D0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E5B1" w14:textId="77777777" w:rsidR="008F0155" w:rsidRDefault="008F0155" w:rsidP="002A2F8E">
      <w:pPr>
        <w:spacing w:after="0" w:line="240" w:lineRule="auto"/>
      </w:pPr>
      <w:r>
        <w:separator/>
      </w:r>
    </w:p>
  </w:endnote>
  <w:endnote w:type="continuationSeparator" w:id="0">
    <w:p w14:paraId="2AB0B355" w14:textId="77777777" w:rsidR="008F0155" w:rsidRDefault="008F0155" w:rsidP="002A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4027" w14:textId="77777777" w:rsidR="008F0155" w:rsidRDefault="008F0155" w:rsidP="002A2F8E">
      <w:pPr>
        <w:spacing w:after="0" w:line="240" w:lineRule="auto"/>
      </w:pPr>
      <w:r>
        <w:separator/>
      </w:r>
    </w:p>
  </w:footnote>
  <w:footnote w:type="continuationSeparator" w:id="0">
    <w:p w14:paraId="7F05AE3E" w14:textId="77777777" w:rsidR="008F0155" w:rsidRDefault="008F0155" w:rsidP="002A2F8E">
      <w:pPr>
        <w:spacing w:after="0" w:line="240" w:lineRule="auto"/>
      </w:pPr>
      <w:r>
        <w:continuationSeparator/>
      </w:r>
    </w:p>
  </w:footnote>
  <w:footnote w:id="1">
    <w:p w14:paraId="6EA8A112" w14:textId="359A8524" w:rsidR="000F32FB" w:rsidRPr="000F32FB" w:rsidRDefault="000F32FB" w:rsidP="000F32FB">
      <w:pPr>
        <w:pStyle w:val="FootnoteText"/>
        <w:suppressAutoHyphens/>
        <w:rPr>
          <w:rFonts w:cs="Times New Roman"/>
        </w:rPr>
      </w:pPr>
      <w:r>
        <w:rPr>
          <w:rStyle w:val="FootnoteReference"/>
          <w:rFonts w:cs="Times New Roman"/>
        </w:rPr>
        <w:footnoteRef/>
      </w:r>
      <w:r w:rsidRPr="00FF1A2D">
        <w:rPr>
          <w:rFonts w:cs="Times New Roman"/>
        </w:rPr>
        <w:t xml:space="preserve"> </w:t>
      </w:r>
      <w:r w:rsidRPr="000F32FB">
        <w:rPr>
          <w:rFonts w:cs="Times New Roman"/>
          <w:i/>
          <w:iCs/>
        </w:rPr>
        <w:t>2020 Annual Review</w:t>
      </w:r>
      <w:r w:rsidRPr="000F32FB">
        <w:rPr>
          <w:rFonts w:cs="Times New Roman"/>
        </w:rPr>
        <w:t xml:space="preserve">, p. 7. </w:t>
      </w:r>
      <w:r w:rsidRPr="000F32FB">
        <w:rPr>
          <w:rFonts w:cs="Times New Roman"/>
        </w:rPr>
        <w:t>Full citation details of each corporate document are given below in Table A3.</w:t>
      </w:r>
    </w:p>
  </w:footnote>
  <w:footnote w:id="2">
    <w:p w14:paraId="56383476" w14:textId="1D16DDD0" w:rsidR="000F32FB" w:rsidRPr="000F32FB" w:rsidRDefault="000F32FB" w:rsidP="000F32FB">
      <w:pPr>
        <w:pStyle w:val="FootnoteText"/>
        <w:suppressAutoHyphens/>
        <w:rPr>
          <w:rFonts w:cs="Times New Roman"/>
        </w:rPr>
      </w:pPr>
      <w:r w:rsidRPr="000F32FB">
        <w:rPr>
          <w:rStyle w:val="FootnoteReference"/>
          <w:rFonts w:cs="Times New Roman"/>
        </w:rPr>
        <w:footnoteRef/>
      </w:r>
      <w:r w:rsidRPr="000F32FB">
        <w:rPr>
          <w:rFonts w:cs="Times New Roman"/>
        </w:rPr>
        <w:t xml:space="preserve"> </w:t>
      </w:r>
      <w:r w:rsidRPr="000F32FB">
        <w:rPr>
          <w:rFonts w:cs="Times New Roman"/>
          <w:i/>
          <w:iCs/>
        </w:rPr>
        <w:t>2020 Impact Statement</w:t>
      </w:r>
      <w:r w:rsidRPr="000F32FB">
        <w:rPr>
          <w:rFonts w:cs="Times New Roman"/>
        </w:rPr>
        <w:t>, p</w:t>
      </w:r>
      <w:r>
        <w:rPr>
          <w:rFonts w:cs="Times New Roman"/>
        </w:rPr>
        <w:t xml:space="preserve">. </w:t>
      </w:r>
      <w:r w:rsidRPr="000F32FB">
        <w:rPr>
          <w:rFonts w:cs="Times New Roman"/>
        </w:rPr>
        <w:t>85.</w:t>
      </w:r>
    </w:p>
  </w:footnote>
  <w:footnote w:id="3">
    <w:p w14:paraId="454175B3" w14:textId="189694E9" w:rsidR="000F32FB" w:rsidRPr="000F32FB" w:rsidRDefault="000F32FB" w:rsidP="000F32FB">
      <w:pPr>
        <w:pStyle w:val="FootnoteText"/>
        <w:suppressAutoHyphens/>
        <w:rPr>
          <w:rFonts w:cs="Times New Roman"/>
        </w:rPr>
      </w:pPr>
      <w:r w:rsidRPr="000F32FB">
        <w:rPr>
          <w:rStyle w:val="FootnoteReference"/>
          <w:rFonts w:cs="Times New Roman"/>
        </w:rPr>
        <w:footnoteRef/>
      </w:r>
      <w:r w:rsidRPr="000F32FB">
        <w:rPr>
          <w:rFonts w:cs="Times New Roman"/>
        </w:rPr>
        <w:t xml:space="preserve"> </w:t>
      </w:r>
      <w:r w:rsidRPr="000F32FB">
        <w:rPr>
          <w:rFonts w:cs="Times New Roman"/>
          <w:i/>
          <w:iCs/>
        </w:rPr>
        <w:t>2020 Annual Review</w:t>
      </w:r>
      <w:r w:rsidRPr="000F32FB">
        <w:rPr>
          <w:rFonts w:cs="Times New Roman"/>
        </w:rPr>
        <w:t>, p</w:t>
      </w:r>
      <w:r>
        <w:rPr>
          <w:rFonts w:cs="Times New Roman"/>
        </w:rPr>
        <w:t xml:space="preserve">. </w:t>
      </w:r>
      <w:r w:rsidRPr="000F32FB">
        <w:rPr>
          <w:rFonts w:cs="Times New Roman"/>
        </w:rPr>
        <w:t xml:space="preserve">29. </w:t>
      </w:r>
    </w:p>
  </w:footnote>
  <w:footnote w:id="4">
    <w:p w14:paraId="7B4D1DE7" w14:textId="743E7AB0" w:rsidR="000F32FB" w:rsidRPr="000F32FB" w:rsidRDefault="000F32FB" w:rsidP="000F32FB">
      <w:pPr>
        <w:pStyle w:val="FootnoteText"/>
        <w:suppressAutoHyphens/>
        <w:rPr>
          <w:rFonts w:eastAsia="Times New Roman" w:cs="Times New Roman"/>
          <w:lang w:eastAsia="en-AU"/>
        </w:rPr>
      </w:pPr>
      <w:r w:rsidRPr="000F32FB">
        <w:rPr>
          <w:rStyle w:val="FootnoteReference"/>
          <w:rFonts w:cs="Times New Roman"/>
        </w:rPr>
        <w:footnoteRef/>
      </w:r>
      <w:r w:rsidRPr="000F32FB">
        <w:rPr>
          <w:rFonts w:cs="Times New Roman"/>
        </w:rPr>
        <w:t xml:space="preserve"> </w:t>
      </w:r>
      <w:r w:rsidRPr="000F32FB">
        <w:rPr>
          <w:rFonts w:cs="Times New Roman"/>
          <w:i/>
          <w:iCs/>
        </w:rPr>
        <w:t>Environmental and Social Framework</w:t>
      </w:r>
      <w:r w:rsidRPr="000F32FB">
        <w:rPr>
          <w:rFonts w:cs="Times New Roman"/>
        </w:rPr>
        <w:t>, p</w:t>
      </w:r>
      <w:r>
        <w:rPr>
          <w:rFonts w:cs="Times New Roman"/>
        </w:rPr>
        <w:t xml:space="preserve">. </w:t>
      </w:r>
      <w:r w:rsidRPr="000F32FB">
        <w:rPr>
          <w:rFonts w:cs="Times New Roman"/>
        </w:rPr>
        <w:t xml:space="preserve">8. </w:t>
      </w:r>
    </w:p>
  </w:footnote>
  <w:footnote w:id="5">
    <w:p w14:paraId="58812ADE" w14:textId="38F14128" w:rsidR="000F32FB" w:rsidRPr="000F32FB" w:rsidRDefault="000F32FB" w:rsidP="000F32FB">
      <w:pPr>
        <w:pStyle w:val="FootnoteText"/>
        <w:suppressAutoHyphens/>
        <w:rPr>
          <w:rFonts w:cs="Times New Roman"/>
        </w:rPr>
      </w:pPr>
      <w:r w:rsidRPr="000F32FB">
        <w:rPr>
          <w:rStyle w:val="FootnoteReference"/>
          <w:rFonts w:cs="Times New Roman"/>
        </w:rPr>
        <w:footnoteRef/>
      </w:r>
      <w:r w:rsidRPr="000F32FB">
        <w:rPr>
          <w:rFonts w:cs="Times New Roman"/>
        </w:rPr>
        <w:t xml:space="preserve"> </w:t>
      </w:r>
      <w:r w:rsidRPr="000F32FB">
        <w:rPr>
          <w:rFonts w:cs="Times New Roman"/>
          <w:i/>
          <w:iCs/>
        </w:rPr>
        <w:t>2020 Annual Review</w:t>
      </w:r>
      <w:r w:rsidRPr="000F32FB">
        <w:rPr>
          <w:rFonts w:cs="Times New Roman"/>
        </w:rPr>
        <w:t>, p</w:t>
      </w:r>
      <w:r>
        <w:rPr>
          <w:rFonts w:cs="Times New Roman"/>
        </w:rPr>
        <w:t xml:space="preserve">. </w:t>
      </w:r>
      <w:r w:rsidRPr="000F32FB">
        <w:rPr>
          <w:rFonts w:cs="Times New Roman"/>
        </w:rPr>
        <w:t xml:space="preserve">28. </w:t>
      </w:r>
    </w:p>
  </w:footnote>
  <w:footnote w:id="6">
    <w:p w14:paraId="6E565B8A" w14:textId="0E91ED81" w:rsidR="000F32FB" w:rsidRPr="000F32FB" w:rsidRDefault="000F32FB" w:rsidP="000F32FB">
      <w:pPr>
        <w:pStyle w:val="FootnoteText"/>
        <w:rPr>
          <w:rFonts w:cs="Times New Roman"/>
        </w:rPr>
      </w:pPr>
      <w:r w:rsidRPr="000F32FB">
        <w:rPr>
          <w:rStyle w:val="FootnoteReference"/>
          <w:rFonts w:cs="Times New Roman"/>
        </w:rPr>
        <w:footnoteRef/>
      </w:r>
      <w:r w:rsidRPr="000F32FB">
        <w:rPr>
          <w:rFonts w:cs="Times New Roman"/>
        </w:rPr>
        <w:t xml:space="preserve"> </w:t>
      </w:r>
      <w:r w:rsidRPr="000F32FB">
        <w:rPr>
          <w:rFonts w:cs="Times New Roman"/>
          <w:i/>
          <w:iCs/>
        </w:rPr>
        <w:t xml:space="preserve">Rabobank 2020 Climate Change Policy, </w:t>
      </w:r>
      <w:r w:rsidRPr="000F32FB">
        <w:rPr>
          <w:rFonts w:cs="Times New Roman"/>
        </w:rPr>
        <w:t>p</w:t>
      </w:r>
      <w:r>
        <w:rPr>
          <w:rFonts w:cs="Times New Roman"/>
        </w:rPr>
        <w:t xml:space="preserve">. </w:t>
      </w:r>
      <w:r w:rsidRPr="000F32FB">
        <w:rPr>
          <w:rFonts w:cs="Times New Roman"/>
        </w:rPr>
        <w:t xml:space="preserve">17. </w:t>
      </w:r>
    </w:p>
  </w:footnote>
  <w:footnote w:id="7">
    <w:p w14:paraId="0202B59F" w14:textId="7AD6C7BC" w:rsidR="000F32FB" w:rsidRPr="00FF1A2D" w:rsidRDefault="000F32FB" w:rsidP="000F32FB">
      <w:pPr>
        <w:pStyle w:val="FootnoteText"/>
        <w:suppressAutoHyphens/>
        <w:rPr>
          <w:rStyle w:val="FootnoteReference"/>
          <w:rFonts w:eastAsia="Arial" w:cs="Times New Roman"/>
          <w:lang w:eastAsia="en-AU"/>
        </w:rPr>
      </w:pPr>
      <w:r w:rsidRPr="000F32FB">
        <w:rPr>
          <w:rStyle w:val="FootnoteReference"/>
          <w:rFonts w:cs="Times New Roman"/>
        </w:rPr>
        <w:footnoteRef/>
      </w:r>
      <w:r w:rsidRPr="000F32FB">
        <w:rPr>
          <w:rFonts w:cs="Times New Roman"/>
        </w:rPr>
        <w:t xml:space="preserve"> ’Climate Action Plan’, </w:t>
      </w:r>
      <w:r w:rsidRPr="000F32FB">
        <w:rPr>
          <w:rFonts w:cs="Times New Roman"/>
          <w:i/>
          <w:iCs/>
        </w:rPr>
        <w:t>2020 Sustainability Performance Report,</w:t>
      </w:r>
      <w:r w:rsidRPr="000F32FB">
        <w:rPr>
          <w:rFonts w:cs="Times New Roman"/>
        </w:rPr>
        <w:t xml:space="preserve"> p</w:t>
      </w:r>
      <w:r>
        <w:rPr>
          <w:rFonts w:cs="Times New Roman"/>
        </w:rPr>
        <w:t xml:space="preserve">. </w:t>
      </w:r>
      <w:r w:rsidRPr="000F32FB">
        <w:rPr>
          <w:rFonts w:cs="Times New Roman"/>
        </w:rPr>
        <w:t>31.</w:t>
      </w:r>
    </w:p>
  </w:footnote>
  <w:footnote w:id="8">
    <w:p w14:paraId="6010CA4B" w14:textId="77777777" w:rsidR="00C70D0C" w:rsidRPr="00281C32" w:rsidRDefault="00C70D0C" w:rsidP="002A2F8E">
      <w:pPr>
        <w:pStyle w:val="FootnoteText"/>
        <w:spacing w:after="120"/>
        <w:rPr>
          <w:sz w:val="22"/>
          <w:szCs w:val="22"/>
        </w:rPr>
      </w:pPr>
      <w:r w:rsidRPr="00281C32">
        <w:rPr>
          <w:rStyle w:val="FootnoteReference"/>
          <w:sz w:val="22"/>
          <w:szCs w:val="22"/>
        </w:rPr>
        <w:footnoteRef/>
      </w:r>
      <w:r w:rsidRPr="00281C32">
        <w:rPr>
          <w:sz w:val="22"/>
          <w:szCs w:val="22"/>
        </w:rPr>
        <w:t xml:space="preserve"> In Australia. Based on information in far right column.</w:t>
      </w:r>
    </w:p>
  </w:footnote>
  <w:footnote w:id="9">
    <w:p w14:paraId="7F2D7F9A" w14:textId="77777777" w:rsidR="00C70D0C" w:rsidRPr="00281C32" w:rsidRDefault="00C70D0C" w:rsidP="002A2F8E">
      <w:pPr>
        <w:pStyle w:val="FootnoteText"/>
        <w:spacing w:after="120"/>
        <w:rPr>
          <w:rFonts w:cs="Times New Roman"/>
          <w:sz w:val="22"/>
          <w:szCs w:val="22"/>
        </w:rPr>
      </w:pPr>
      <w:r w:rsidRPr="00281C32">
        <w:rPr>
          <w:rStyle w:val="FootnoteReference"/>
          <w:rFonts w:cs="Times New Roman"/>
          <w:sz w:val="22"/>
          <w:szCs w:val="22"/>
        </w:rPr>
        <w:footnoteRef/>
      </w:r>
      <w:r w:rsidRPr="00281C32">
        <w:rPr>
          <w:rFonts w:cs="Times New Roman"/>
          <w:sz w:val="22"/>
          <w:szCs w:val="22"/>
        </w:rPr>
        <w:t xml:space="preserve"> </w:t>
      </w:r>
      <w:r w:rsidRPr="00281C32">
        <w:rPr>
          <w:rFonts w:eastAsia="Calibri" w:cs="Times New Roman"/>
          <w:sz w:val="22"/>
          <w:szCs w:val="22"/>
        </w:rPr>
        <w:t xml:space="preserve">IBISWorld, </w:t>
      </w:r>
      <w:r w:rsidRPr="00281C32">
        <w:rPr>
          <w:rFonts w:eastAsia="Calibri" w:cs="Times New Roman"/>
          <w:i/>
          <w:iCs/>
          <w:sz w:val="22"/>
          <w:szCs w:val="22"/>
        </w:rPr>
        <w:t>Australia and New Zealand Banking Group Limited</w:t>
      </w:r>
      <w:r w:rsidRPr="00281C32">
        <w:rPr>
          <w:rFonts w:eastAsia="Calibri" w:cs="Times New Roman"/>
          <w:sz w:val="22"/>
          <w:szCs w:val="22"/>
        </w:rPr>
        <w:t>, Australia Company Profile</w:t>
      </w:r>
    </w:p>
  </w:footnote>
  <w:footnote w:id="10">
    <w:p w14:paraId="0F85276A" w14:textId="54E2D84B" w:rsidR="00C70D0C" w:rsidRPr="00281C32" w:rsidRDefault="00C70D0C" w:rsidP="002A2F8E">
      <w:pPr>
        <w:pStyle w:val="FootnoteText"/>
        <w:spacing w:after="120"/>
        <w:rPr>
          <w:rFonts w:cs="Times New Roman"/>
          <w:sz w:val="22"/>
          <w:szCs w:val="22"/>
        </w:rPr>
      </w:pPr>
      <w:r w:rsidRPr="00281C32">
        <w:rPr>
          <w:rStyle w:val="FootnoteReference"/>
          <w:rFonts w:cs="Times New Roman"/>
          <w:sz w:val="22"/>
          <w:szCs w:val="22"/>
        </w:rPr>
        <w:footnoteRef/>
      </w:r>
      <w:r w:rsidRPr="00281C32">
        <w:rPr>
          <w:rFonts w:cs="Times New Roman"/>
          <w:sz w:val="22"/>
          <w:szCs w:val="22"/>
        </w:rPr>
        <w:t xml:space="preserve"> Bank Australia, </w:t>
      </w:r>
      <w:r w:rsidRPr="00281C32">
        <w:rPr>
          <w:rFonts w:cs="Times New Roman"/>
          <w:i/>
          <w:iCs/>
          <w:sz w:val="22"/>
          <w:szCs w:val="22"/>
        </w:rPr>
        <w:t>2020 Financial Report</w:t>
      </w:r>
      <w:r w:rsidRPr="00281C32">
        <w:rPr>
          <w:rFonts w:cs="Times New Roman"/>
          <w:sz w:val="22"/>
          <w:szCs w:val="22"/>
        </w:rPr>
        <w:t>, p</w:t>
      </w:r>
      <w:r w:rsidR="00AA6CE0">
        <w:rPr>
          <w:rFonts w:cs="Times New Roman"/>
          <w:sz w:val="22"/>
          <w:szCs w:val="22"/>
        </w:rPr>
        <w:t xml:space="preserve">. </w:t>
      </w:r>
      <w:r w:rsidRPr="00281C32">
        <w:rPr>
          <w:rFonts w:cs="Times New Roman"/>
          <w:sz w:val="22"/>
          <w:szCs w:val="22"/>
        </w:rPr>
        <w:t xml:space="preserve">49. </w:t>
      </w:r>
    </w:p>
  </w:footnote>
  <w:footnote w:id="11">
    <w:p w14:paraId="0245D9B7" w14:textId="57272EB1" w:rsidR="00C70D0C" w:rsidRPr="00281C32" w:rsidRDefault="00C70D0C" w:rsidP="002A2F8E">
      <w:pPr>
        <w:pStyle w:val="FootnoteText"/>
        <w:spacing w:after="120"/>
        <w:rPr>
          <w:sz w:val="22"/>
          <w:szCs w:val="22"/>
        </w:rPr>
      </w:pPr>
      <w:r w:rsidRPr="00281C32">
        <w:rPr>
          <w:rStyle w:val="FootnoteReference"/>
          <w:sz w:val="22"/>
          <w:szCs w:val="22"/>
        </w:rPr>
        <w:footnoteRef/>
      </w:r>
      <w:r w:rsidRPr="00281C32">
        <w:rPr>
          <w:sz w:val="22"/>
          <w:szCs w:val="22"/>
        </w:rPr>
        <w:t xml:space="preserve"> IBISWorld, </w:t>
      </w:r>
      <w:r w:rsidRPr="00281C32">
        <w:rPr>
          <w:i/>
          <w:iCs/>
          <w:sz w:val="22"/>
          <w:szCs w:val="22"/>
        </w:rPr>
        <w:t xml:space="preserve">Bank Australia, </w:t>
      </w:r>
      <w:r w:rsidRPr="00281C32">
        <w:rPr>
          <w:sz w:val="22"/>
          <w:szCs w:val="22"/>
        </w:rPr>
        <w:t xml:space="preserve">Australia Company Profile, </w:t>
      </w:r>
      <w:r w:rsidR="00AA6CE0">
        <w:rPr>
          <w:sz w:val="22"/>
          <w:szCs w:val="22"/>
        </w:rPr>
        <w:t xml:space="preserve">p. </w:t>
      </w:r>
      <w:r w:rsidRPr="00281C32">
        <w:rPr>
          <w:sz w:val="22"/>
          <w:szCs w:val="22"/>
        </w:rPr>
        <w:t xml:space="preserve">7. </w:t>
      </w:r>
    </w:p>
  </w:footnote>
  <w:footnote w:id="12">
    <w:p w14:paraId="4CBDEA8A" w14:textId="77777777" w:rsidR="00C70D0C" w:rsidRPr="00281C32" w:rsidRDefault="00C70D0C" w:rsidP="002A2F8E">
      <w:pPr>
        <w:pStyle w:val="FootnoteText"/>
        <w:spacing w:after="120"/>
        <w:rPr>
          <w:rFonts w:cs="Times New Roman"/>
          <w:sz w:val="22"/>
          <w:szCs w:val="22"/>
        </w:rPr>
      </w:pPr>
      <w:r w:rsidRPr="00281C32">
        <w:rPr>
          <w:rStyle w:val="FootnoteReference"/>
          <w:rFonts w:cs="Times New Roman"/>
          <w:sz w:val="22"/>
          <w:szCs w:val="22"/>
        </w:rPr>
        <w:footnoteRef/>
      </w:r>
      <w:r w:rsidRPr="00281C32">
        <w:rPr>
          <w:rFonts w:cs="Times New Roman"/>
          <w:sz w:val="22"/>
          <w:szCs w:val="22"/>
        </w:rPr>
        <w:t xml:space="preserve"> Bank Australia, </w:t>
      </w:r>
      <w:r w:rsidRPr="00281C32">
        <w:rPr>
          <w:rFonts w:cs="Times New Roman"/>
          <w:i/>
          <w:iCs/>
          <w:sz w:val="22"/>
          <w:szCs w:val="22"/>
        </w:rPr>
        <w:t>About Bank Australia</w:t>
      </w:r>
      <w:r w:rsidRPr="00281C32">
        <w:rPr>
          <w:rFonts w:cs="Times New Roman"/>
          <w:sz w:val="22"/>
          <w:szCs w:val="22"/>
        </w:rPr>
        <w:t xml:space="preserve">, </w:t>
      </w:r>
      <w:hyperlink r:id="rId1" w:history="1">
        <w:r w:rsidRPr="00281C32">
          <w:rPr>
            <w:rStyle w:val="Hyperlink"/>
            <w:sz w:val="22"/>
            <w:szCs w:val="22"/>
          </w:rPr>
          <w:t>https://www.bankaust.com.au/about-us/</w:t>
        </w:r>
      </w:hyperlink>
    </w:p>
  </w:footnote>
  <w:footnote w:id="13">
    <w:p w14:paraId="2CDB9EA8" w14:textId="7F22402F" w:rsidR="00C70D0C" w:rsidRPr="00281C32" w:rsidRDefault="00C70D0C" w:rsidP="002A2F8E">
      <w:pPr>
        <w:pStyle w:val="FootnoteText"/>
        <w:spacing w:after="120"/>
        <w:rPr>
          <w:sz w:val="22"/>
          <w:szCs w:val="22"/>
        </w:rPr>
      </w:pPr>
      <w:r w:rsidRPr="00281C32">
        <w:rPr>
          <w:rStyle w:val="FootnoteReference"/>
          <w:sz w:val="22"/>
          <w:szCs w:val="22"/>
        </w:rPr>
        <w:footnoteRef/>
      </w:r>
      <w:r w:rsidRPr="00281C32">
        <w:rPr>
          <w:sz w:val="22"/>
          <w:szCs w:val="22"/>
        </w:rPr>
        <w:t xml:space="preserve"> Bank Australia, </w:t>
      </w:r>
      <w:r w:rsidRPr="00281C32">
        <w:rPr>
          <w:i/>
          <w:iCs/>
          <w:sz w:val="22"/>
          <w:szCs w:val="22"/>
        </w:rPr>
        <w:t xml:space="preserve">2020 Impact Report, </w:t>
      </w:r>
      <w:r w:rsidRPr="00281C32">
        <w:rPr>
          <w:sz w:val="22"/>
          <w:szCs w:val="22"/>
        </w:rPr>
        <w:t>at p</w:t>
      </w:r>
      <w:r w:rsidR="00AA6CE0">
        <w:rPr>
          <w:sz w:val="22"/>
          <w:szCs w:val="22"/>
        </w:rPr>
        <w:t xml:space="preserve">. </w:t>
      </w:r>
      <w:r w:rsidRPr="00281C32">
        <w:rPr>
          <w:sz w:val="22"/>
          <w:szCs w:val="22"/>
        </w:rPr>
        <w:t xml:space="preserve">78. </w:t>
      </w:r>
    </w:p>
  </w:footnote>
  <w:footnote w:id="14">
    <w:p w14:paraId="00625A71" w14:textId="4D9CAAFF" w:rsidR="00C70D0C" w:rsidRPr="00281C32" w:rsidRDefault="00C70D0C" w:rsidP="002A2F8E">
      <w:pPr>
        <w:pStyle w:val="FootnoteText"/>
        <w:spacing w:after="120"/>
        <w:rPr>
          <w:rFonts w:cs="Times New Roman"/>
          <w:sz w:val="22"/>
          <w:szCs w:val="22"/>
        </w:rPr>
      </w:pPr>
      <w:r w:rsidRPr="00281C32">
        <w:rPr>
          <w:rStyle w:val="FootnoteReference"/>
          <w:rFonts w:cs="Times New Roman"/>
          <w:sz w:val="22"/>
          <w:szCs w:val="22"/>
        </w:rPr>
        <w:footnoteRef/>
      </w:r>
      <w:r w:rsidRPr="00281C32">
        <w:rPr>
          <w:rFonts w:cs="Times New Roman"/>
          <w:sz w:val="22"/>
          <w:szCs w:val="22"/>
        </w:rPr>
        <w:t xml:space="preserve"> IBISWorld, </w:t>
      </w:r>
      <w:r w:rsidRPr="00281C32">
        <w:rPr>
          <w:rFonts w:cs="Times New Roman"/>
          <w:i/>
          <w:iCs/>
          <w:sz w:val="22"/>
          <w:szCs w:val="22"/>
        </w:rPr>
        <w:t xml:space="preserve">Bendigo and Adelaide Bank, </w:t>
      </w:r>
      <w:r w:rsidRPr="00281C32">
        <w:rPr>
          <w:rFonts w:cs="Times New Roman"/>
          <w:sz w:val="22"/>
          <w:szCs w:val="22"/>
        </w:rPr>
        <w:t>Australian Company Profiles, p</w:t>
      </w:r>
      <w:r w:rsidR="00AA6CE0">
        <w:rPr>
          <w:rFonts w:cs="Times New Roman"/>
          <w:sz w:val="22"/>
          <w:szCs w:val="22"/>
        </w:rPr>
        <w:t xml:space="preserve">. </w:t>
      </w:r>
      <w:r w:rsidRPr="00281C32">
        <w:rPr>
          <w:rFonts w:cs="Times New Roman"/>
          <w:sz w:val="22"/>
          <w:szCs w:val="22"/>
        </w:rPr>
        <w:t xml:space="preserve">3; </w:t>
      </w:r>
      <w:r>
        <w:rPr>
          <w:rFonts w:cs="Times New Roman"/>
          <w:sz w:val="22"/>
          <w:szCs w:val="22"/>
        </w:rPr>
        <w:t>BEN</w:t>
      </w:r>
      <w:r w:rsidRPr="00281C32">
        <w:rPr>
          <w:rFonts w:cs="Times New Roman"/>
          <w:sz w:val="22"/>
          <w:szCs w:val="22"/>
        </w:rPr>
        <w:t xml:space="preserve">, </w:t>
      </w:r>
      <w:r w:rsidRPr="00281C32">
        <w:rPr>
          <w:rFonts w:cs="Times New Roman"/>
          <w:i/>
          <w:iCs/>
          <w:sz w:val="22"/>
          <w:szCs w:val="22"/>
        </w:rPr>
        <w:t>2020 Annual Report</w:t>
      </w:r>
      <w:r w:rsidRPr="00281C32">
        <w:rPr>
          <w:rFonts w:cs="Times New Roman"/>
          <w:sz w:val="22"/>
          <w:szCs w:val="22"/>
        </w:rPr>
        <w:t xml:space="preserve">, pp18, 95; Regional Investment Corporation, </w:t>
      </w:r>
      <w:r w:rsidRPr="00281C32">
        <w:rPr>
          <w:rFonts w:cs="Times New Roman"/>
          <w:i/>
          <w:iCs/>
          <w:sz w:val="22"/>
          <w:szCs w:val="22"/>
        </w:rPr>
        <w:t>About us</w:t>
      </w:r>
      <w:r w:rsidRPr="00281C32">
        <w:rPr>
          <w:rFonts w:cs="Times New Roman"/>
          <w:sz w:val="22"/>
          <w:szCs w:val="22"/>
        </w:rPr>
        <w:t xml:space="preserve">, </w:t>
      </w:r>
      <w:r w:rsidR="00AA6CE0">
        <w:rPr>
          <w:rFonts w:cs="Times New Roman"/>
          <w:sz w:val="22"/>
          <w:szCs w:val="22"/>
        </w:rPr>
        <w:t>available at:</w:t>
      </w:r>
      <w:r w:rsidRPr="00281C32">
        <w:rPr>
          <w:rFonts w:cs="Times New Roman"/>
          <w:sz w:val="22"/>
          <w:szCs w:val="22"/>
        </w:rPr>
        <w:t xml:space="preserve"> </w:t>
      </w:r>
      <w:hyperlink r:id="rId2" w:history="1">
        <w:r w:rsidRPr="00281C32">
          <w:rPr>
            <w:rStyle w:val="Hyperlink"/>
            <w:sz w:val="22"/>
            <w:szCs w:val="22"/>
          </w:rPr>
          <w:t>https://www.ric.gov.au/about</w:t>
        </w:r>
      </w:hyperlink>
      <w:r w:rsidRPr="00281C32">
        <w:rPr>
          <w:rFonts w:cs="Times New Roman"/>
          <w:sz w:val="22"/>
          <w:szCs w:val="22"/>
        </w:rPr>
        <w:t xml:space="preserve">. Rural Bank, </w:t>
      </w:r>
      <w:r w:rsidRPr="00281C32">
        <w:rPr>
          <w:rFonts w:cs="Times New Roman"/>
          <w:i/>
          <w:iCs/>
          <w:sz w:val="22"/>
          <w:szCs w:val="22"/>
        </w:rPr>
        <w:t>Our History</w:t>
      </w:r>
      <w:r w:rsidRPr="00281C32">
        <w:rPr>
          <w:rFonts w:cs="Times New Roman"/>
          <w:sz w:val="22"/>
          <w:szCs w:val="22"/>
        </w:rPr>
        <w:t xml:space="preserve"> (accessed online 4 October 2020) </w:t>
      </w:r>
      <w:r w:rsidR="00AA6CE0">
        <w:rPr>
          <w:rFonts w:cs="Times New Roman"/>
          <w:sz w:val="22"/>
          <w:szCs w:val="22"/>
        </w:rPr>
        <w:t xml:space="preserve">available at: </w:t>
      </w:r>
      <w:r w:rsidRPr="00281C32">
        <w:rPr>
          <w:rFonts w:cs="Times New Roman"/>
          <w:sz w:val="22"/>
          <w:szCs w:val="22"/>
        </w:rPr>
        <w:t xml:space="preserve"> </w:t>
      </w:r>
      <w:hyperlink r:id="rId3" w:history="1">
        <w:r w:rsidRPr="00281C32">
          <w:rPr>
            <w:rStyle w:val="Hyperlink"/>
            <w:sz w:val="22"/>
            <w:szCs w:val="22"/>
          </w:rPr>
          <w:t>https://www.ruralbank.com.au/about-us/our-history/</w:t>
        </w:r>
      </w:hyperlink>
    </w:p>
  </w:footnote>
  <w:footnote w:id="15">
    <w:p w14:paraId="5834587F" w14:textId="486FA67F" w:rsidR="00C70D0C" w:rsidRPr="000476C6" w:rsidRDefault="00C70D0C" w:rsidP="002A2F8E">
      <w:pPr>
        <w:pStyle w:val="FootnoteText"/>
        <w:spacing w:after="120"/>
        <w:rPr>
          <w:rFonts w:cs="Times New Roman"/>
          <w:sz w:val="22"/>
          <w:szCs w:val="22"/>
        </w:rPr>
      </w:pPr>
      <w:r w:rsidRPr="000476C6">
        <w:rPr>
          <w:rStyle w:val="FootnoteReference"/>
          <w:rFonts w:cs="Times New Roman"/>
          <w:sz w:val="22"/>
          <w:szCs w:val="22"/>
        </w:rPr>
        <w:footnoteRef/>
      </w:r>
      <w:r w:rsidRPr="000476C6">
        <w:rPr>
          <w:rFonts w:cs="Times New Roman"/>
          <w:sz w:val="22"/>
          <w:szCs w:val="22"/>
        </w:rPr>
        <w:t xml:space="preserve"> IBISWorld, </w:t>
      </w:r>
      <w:r w:rsidRPr="000476C6">
        <w:rPr>
          <w:rFonts w:cs="Times New Roman"/>
          <w:i/>
          <w:iCs/>
          <w:sz w:val="22"/>
          <w:szCs w:val="22"/>
        </w:rPr>
        <w:t>Commonwealth Bank of Australia</w:t>
      </w:r>
      <w:r w:rsidRPr="000476C6">
        <w:rPr>
          <w:rFonts w:cs="Times New Roman"/>
          <w:sz w:val="22"/>
          <w:szCs w:val="22"/>
        </w:rPr>
        <w:t xml:space="preserve">; CBA, </w:t>
      </w:r>
      <w:r w:rsidRPr="000476C6">
        <w:rPr>
          <w:rFonts w:cs="Times New Roman"/>
          <w:i/>
          <w:iCs/>
          <w:sz w:val="22"/>
          <w:szCs w:val="22"/>
        </w:rPr>
        <w:t>International Branches,</w:t>
      </w:r>
      <w:r w:rsidR="00AA6CE0">
        <w:rPr>
          <w:rFonts w:cs="Times New Roman"/>
          <w:i/>
          <w:iCs/>
          <w:sz w:val="22"/>
          <w:szCs w:val="22"/>
        </w:rPr>
        <w:t xml:space="preserve"> </w:t>
      </w:r>
      <w:r w:rsidR="00AA6CE0" w:rsidRPr="00AA6CE0">
        <w:rPr>
          <w:rFonts w:cs="Times New Roman"/>
          <w:sz w:val="22"/>
          <w:szCs w:val="22"/>
        </w:rPr>
        <w:t>available at:</w:t>
      </w:r>
      <w:r w:rsidRPr="00AA6CE0">
        <w:rPr>
          <w:rFonts w:cs="Times New Roman"/>
          <w:sz w:val="22"/>
          <w:szCs w:val="22"/>
        </w:rPr>
        <w:t xml:space="preserve"> </w:t>
      </w:r>
      <w:hyperlink r:id="rId4" w:history="1">
        <w:r w:rsidR="00AA6CE0" w:rsidRPr="00DA7C17">
          <w:rPr>
            <w:rStyle w:val="Hyperlink"/>
            <w:sz w:val="22"/>
            <w:szCs w:val="22"/>
          </w:rPr>
          <w:t>https://www.commbank.com.au/about-us/our-company/international-branches.html</w:t>
        </w:r>
      </w:hyperlink>
      <w:r w:rsidRPr="000476C6">
        <w:rPr>
          <w:rFonts w:cs="Times New Roman"/>
          <w:sz w:val="22"/>
          <w:szCs w:val="22"/>
        </w:rPr>
        <w:t xml:space="preserve">; CBA, </w:t>
      </w:r>
      <w:r w:rsidRPr="000476C6">
        <w:rPr>
          <w:rFonts w:cs="Times New Roman"/>
          <w:i/>
          <w:iCs/>
          <w:sz w:val="22"/>
          <w:szCs w:val="22"/>
        </w:rPr>
        <w:t>2020 Annual Report,</w:t>
      </w:r>
      <w:r w:rsidRPr="000476C6">
        <w:rPr>
          <w:rFonts w:cs="Times New Roman"/>
          <w:sz w:val="22"/>
          <w:szCs w:val="22"/>
        </w:rPr>
        <w:t xml:space="preserve"> p</w:t>
      </w:r>
      <w:r w:rsidR="00AA6CE0">
        <w:rPr>
          <w:rFonts w:cs="Times New Roman"/>
          <w:sz w:val="22"/>
          <w:szCs w:val="22"/>
        </w:rPr>
        <w:t xml:space="preserve">. </w:t>
      </w:r>
      <w:r w:rsidRPr="000476C6">
        <w:rPr>
          <w:rFonts w:cs="Times New Roman"/>
          <w:sz w:val="22"/>
          <w:szCs w:val="22"/>
        </w:rPr>
        <w:t>211.</w:t>
      </w:r>
    </w:p>
  </w:footnote>
  <w:footnote w:id="16">
    <w:p w14:paraId="6B33E9DC" w14:textId="11A5AB8F" w:rsidR="00C70D0C" w:rsidRPr="000476C6" w:rsidRDefault="00C70D0C" w:rsidP="002A2F8E">
      <w:pPr>
        <w:pStyle w:val="FootnoteText"/>
        <w:spacing w:after="120"/>
        <w:rPr>
          <w:rFonts w:cs="Times New Roman"/>
          <w:sz w:val="22"/>
          <w:szCs w:val="22"/>
        </w:rPr>
      </w:pPr>
      <w:r w:rsidRPr="000476C6">
        <w:rPr>
          <w:rStyle w:val="FootnoteReference"/>
          <w:rFonts w:cs="Times New Roman"/>
          <w:sz w:val="22"/>
          <w:szCs w:val="22"/>
        </w:rPr>
        <w:footnoteRef/>
      </w:r>
      <w:r w:rsidRPr="000476C6">
        <w:rPr>
          <w:rFonts w:cs="Times New Roman"/>
          <w:sz w:val="22"/>
          <w:szCs w:val="22"/>
        </w:rPr>
        <w:t xml:space="preserve"> IBISWorld, </w:t>
      </w:r>
      <w:r w:rsidRPr="000476C6">
        <w:rPr>
          <w:rFonts w:cs="Times New Roman"/>
          <w:i/>
          <w:iCs/>
          <w:sz w:val="22"/>
          <w:szCs w:val="22"/>
        </w:rPr>
        <w:t>National Australia Bank Limited</w:t>
      </w:r>
      <w:r w:rsidRPr="000476C6">
        <w:rPr>
          <w:rFonts w:cs="Times New Roman"/>
          <w:sz w:val="22"/>
          <w:szCs w:val="22"/>
        </w:rPr>
        <w:t xml:space="preserve">, Australian Company Profiles; NAB, </w:t>
      </w:r>
      <w:r w:rsidRPr="000476C6">
        <w:rPr>
          <w:rFonts w:cs="Times New Roman"/>
          <w:i/>
          <w:iCs/>
          <w:sz w:val="22"/>
          <w:szCs w:val="22"/>
        </w:rPr>
        <w:t>2019 Sustainability Report</w:t>
      </w:r>
      <w:r w:rsidRPr="000476C6">
        <w:rPr>
          <w:rFonts w:cs="Times New Roman"/>
          <w:sz w:val="22"/>
          <w:szCs w:val="22"/>
        </w:rPr>
        <w:t>, p</w:t>
      </w:r>
      <w:r w:rsidR="00AA6CE0">
        <w:rPr>
          <w:rFonts w:cs="Times New Roman"/>
          <w:sz w:val="22"/>
          <w:szCs w:val="22"/>
        </w:rPr>
        <w:t xml:space="preserve">. </w:t>
      </w:r>
      <w:r w:rsidRPr="000476C6">
        <w:rPr>
          <w:rFonts w:cs="Times New Roman"/>
          <w:sz w:val="22"/>
          <w:szCs w:val="22"/>
        </w:rPr>
        <w:t>27; NAB,</w:t>
      </w:r>
      <w:r w:rsidRPr="000476C6">
        <w:rPr>
          <w:rFonts w:cs="Times New Roman"/>
          <w:i/>
          <w:iCs/>
          <w:sz w:val="22"/>
          <w:szCs w:val="22"/>
        </w:rPr>
        <w:t xml:space="preserve"> 2020 Annual Report</w:t>
      </w:r>
      <w:r w:rsidRPr="000476C6">
        <w:rPr>
          <w:rFonts w:cs="Times New Roman"/>
          <w:sz w:val="22"/>
          <w:szCs w:val="22"/>
        </w:rPr>
        <w:t>, p</w:t>
      </w:r>
      <w:r w:rsidR="00AA6CE0">
        <w:rPr>
          <w:rFonts w:cs="Times New Roman"/>
          <w:sz w:val="22"/>
          <w:szCs w:val="22"/>
        </w:rPr>
        <w:t xml:space="preserve">. </w:t>
      </w:r>
      <w:r w:rsidRPr="000476C6">
        <w:rPr>
          <w:rFonts w:cs="Times New Roman"/>
          <w:sz w:val="22"/>
          <w:szCs w:val="22"/>
        </w:rPr>
        <w:t>142</w:t>
      </w:r>
    </w:p>
  </w:footnote>
  <w:footnote w:id="17">
    <w:p w14:paraId="419F9076" w14:textId="1832869B" w:rsidR="00C70D0C" w:rsidRPr="000476C6" w:rsidRDefault="00C70D0C" w:rsidP="002A2F8E">
      <w:pPr>
        <w:pStyle w:val="FootnoteText"/>
        <w:spacing w:after="120"/>
        <w:rPr>
          <w:sz w:val="22"/>
          <w:szCs w:val="22"/>
        </w:rPr>
      </w:pPr>
      <w:r w:rsidRPr="000476C6">
        <w:rPr>
          <w:rStyle w:val="FootnoteReference"/>
          <w:sz w:val="22"/>
          <w:szCs w:val="22"/>
        </w:rPr>
        <w:footnoteRef/>
      </w:r>
      <w:r w:rsidRPr="000476C6">
        <w:rPr>
          <w:sz w:val="22"/>
          <w:szCs w:val="22"/>
        </w:rPr>
        <w:t xml:space="preserve"> Rabobank Australia Limited, </w:t>
      </w:r>
      <w:r w:rsidRPr="000476C6">
        <w:rPr>
          <w:i/>
          <w:iCs/>
          <w:sz w:val="22"/>
          <w:szCs w:val="22"/>
        </w:rPr>
        <w:t xml:space="preserve">2019 Annual Report, </w:t>
      </w:r>
      <w:r w:rsidR="00AA6CE0">
        <w:rPr>
          <w:i/>
          <w:iCs/>
          <w:sz w:val="22"/>
          <w:szCs w:val="22"/>
        </w:rPr>
        <w:t xml:space="preserve">p. </w:t>
      </w:r>
      <w:r w:rsidRPr="000476C6">
        <w:rPr>
          <w:i/>
          <w:iCs/>
          <w:sz w:val="22"/>
          <w:szCs w:val="22"/>
        </w:rPr>
        <w:t>I</w:t>
      </w:r>
      <w:r w:rsidRPr="000476C6">
        <w:rPr>
          <w:sz w:val="22"/>
          <w:szCs w:val="22"/>
        </w:rPr>
        <w:t xml:space="preserve">7; IBISWorld, </w:t>
      </w:r>
      <w:r w:rsidRPr="000476C6">
        <w:rPr>
          <w:i/>
          <w:iCs/>
          <w:sz w:val="22"/>
          <w:szCs w:val="22"/>
        </w:rPr>
        <w:t xml:space="preserve">Rabobank Australia Limited, </w:t>
      </w:r>
      <w:r w:rsidRPr="000476C6">
        <w:rPr>
          <w:sz w:val="22"/>
          <w:szCs w:val="22"/>
        </w:rPr>
        <w:t xml:space="preserve">Australian Company Profiles; Rabobank, </w:t>
      </w:r>
      <w:r w:rsidRPr="000476C6">
        <w:rPr>
          <w:i/>
          <w:iCs/>
          <w:sz w:val="22"/>
          <w:szCs w:val="22"/>
        </w:rPr>
        <w:t>2020 Interim Report</w:t>
      </w:r>
      <w:r w:rsidRPr="000476C6">
        <w:rPr>
          <w:sz w:val="22"/>
          <w:szCs w:val="22"/>
        </w:rPr>
        <w:t>, p</w:t>
      </w:r>
      <w:r w:rsidR="00AA6CE0">
        <w:rPr>
          <w:sz w:val="22"/>
          <w:szCs w:val="22"/>
        </w:rPr>
        <w:t xml:space="preserve">. </w:t>
      </w:r>
      <w:r w:rsidRPr="000476C6">
        <w:rPr>
          <w:sz w:val="22"/>
          <w:szCs w:val="22"/>
        </w:rPr>
        <w:t>20.</w:t>
      </w:r>
    </w:p>
  </w:footnote>
  <w:footnote w:id="18">
    <w:p w14:paraId="2175DC4E" w14:textId="77777777" w:rsidR="00C70D0C" w:rsidRPr="000476C6" w:rsidRDefault="00C70D0C" w:rsidP="002A2F8E">
      <w:pPr>
        <w:pStyle w:val="FootnoteText"/>
        <w:spacing w:after="120"/>
        <w:rPr>
          <w:sz w:val="22"/>
          <w:szCs w:val="22"/>
        </w:rPr>
      </w:pPr>
      <w:r w:rsidRPr="000476C6">
        <w:rPr>
          <w:rStyle w:val="FootnoteReference"/>
          <w:sz w:val="22"/>
          <w:szCs w:val="22"/>
        </w:rPr>
        <w:footnoteRef/>
      </w:r>
      <w:r w:rsidRPr="000476C6">
        <w:rPr>
          <w:sz w:val="22"/>
          <w:szCs w:val="22"/>
        </w:rPr>
        <w:t xml:space="preserve"> </w:t>
      </w:r>
      <w:r w:rsidRPr="000B2D8E">
        <w:rPr>
          <w:i/>
          <w:iCs/>
          <w:sz w:val="22"/>
          <w:szCs w:val="22"/>
        </w:rPr>
        <w:t>Rabobank Annual Review</w:t>
      </w:r>
      <w:r w:rsidRPr="000476C6">
        <w:rPr>
          <w:sz w:val="22"/>
          <w:szCs w:val="22"/>
        </w:rPr>
        <w:t xml:space="preserve">, </w:t>
      </w:r>
      <w:r>
        <w:rPr>
          <w:sz w:val="22"/>
          <w:szCs w:val="22"/>
        </w:rPr>
        <w:t>p</w:t>
      </w:r>
      <w:r w:rsidRPr="000476C6">
        <w:rPr>
          <w:sz w:val="22"/>
          <w:szCs w:val="22"/>
        </w:rPr>
        <w:t xml:space="preserve">77. </w:t>
      </w:r>
    </w:p>
  </w:footnote>
  <w:footnote w:id="19">
    <w:p w14:paraId="01982EBE" w14:textId="154F650E" w:rsidR="00C70D0C" w:rsidRPr="000476C6" w:rsidRDefault="00C70D0C" w:rsidP="002A2F8E">
      <w:pPr>
        <w:pStyle w:val="FootnoteText"/>
        <w:spacing w:after="120"/>
        <w:rPr>
          <w:sz w:val="22"/>
          <w:szCs w:val="22"/>
        </w:rPr>
      </w:pPr>
      <w:r w:rsidRPr="000476C6">
        <w:rPr>
          <w:rStyle w:val="FootnoteReference"/>
          <w:sz w:val="22"/>
          <w:szCs w:val="22"/>
        </w:rPr>
        <w:footnoteRef/>
      </w:r>
      <w:r w:rsidRPr="000476C6">
        <w:rPr>
          <w:sz w:val="22"/>
          <w:szCs w:val="22"/>
        </w:rPr>
        <w:t xml:space="preserve"> IBISWorld, </w:t>
      </w:r>
      <w:r w:rsidRPr="000476C6">
        <w:rPr>
          <w:i/>
          <w:iCs/>
          <w:sz w:val="22"/>
          <w:szCs w:val="22"/>
        </w:rPr>
        <w:t xml:space="preserve">Westpac Banking Corporation, </w:t>
      </w:r>
      <w:r w:rsidRPr="000476C6">
        <w:rPr>
          <w:sz w:val="22"/>
          <w:szCs w:val="22"/>
        </w:rPr>
        <w:t xml:space="preserve">Australian Company Profiles; Westpac, </w:t>
      </w:r>
      <w:r w:rsidRPr="000476C6">
        <w:rPr>
          <w:i/>
          <w:iCs/>
          <w:sz w:val="22"/>
          <w:szCs w:val="22"/>
        </w:rPr>
        <w:t>Global Presence</w:t>
      </w:r>
      <w:r w:rsidRPr="000476C6">
        <w:rPr>
          <w:sz w:val="22"/>
          <w:szCs w:val="22"/>
        </w:rPr>
        <w:t>, &lt;</w:t>
      </w:r>
      <w:hyperlink r:id="rId5" w:history="1">
        <w:r w:rsidRPr="000476C6">
          <w:rPr>
            <w:rStyle w:val="Hyperlink"/>
            <w:sz w:val="22"/>
            <w:szCs w:val="22"/>
          </w:rPr>
          <w:t>https://www.westpac.com.au/corporate-banking/corporate-institutional/global-presence/</w:t>
        </w:r>
      </w:hyperlink>
      <w:r w:rsidRPr="000476C6">
        <w:rPr>
          <w:sz w:val="22"/>
          <w:szCs w:val="22"/>
        </w:rPr>
        <w:t xml:space="preserve">&gt;; Westpac, </w:t>
      </w:r>
      <w:r w:rsidRPr="000476C6">
        <w:rPr>
          <w:i/>
          <w:iCs/>
          <w:sz w:val="22"/>
          <w:szCs w:val="22"/>
        </w:rPr>
        <w:t>2020 Annual Report</w:t>
      </w:r>
      <w:r w:rsidRPr="000476C6">
        <w:rPr>
          <w:sz w:val="22"/>
          <w:szCs w:val="22"/>
        </w:rPr>
        <w:t>, p</w:t>
      </w:r>
      <w:r w:rsidR="00AA6CE0">
        <w:rPr>
          <w:sz w:val="22"/>
          <w:szCs w:val="22"/>
        </w:rPr>
        <w:t xml:space="preserve">. </w:t>
      </w:r>
      <w:r w:rsidRPr="000476C6">
        <w:rPr>
          <w:sz w:val="22"/>
          <w:szCs w:val="22"/>
        </w:rPr>
        <w:t>249.</w:t>
      </w:r>
    </w:p>
  </w:footnote>
  <w:footnote w:id="20">
    <w:p w14:paraId="4645E8DE" w14:textId="087911DE" w:rsidR="00C70D0C" w:rsidRPr="00447D2D" w:rsidRDefault="00C70D0C" w:rsidP="002A2F8E">
      <w:pPr>
        <w:pStyle w:val="FootnoteText"/>
        <w:rPr>
          <w:rFonts w:cs="Times New Roman"/>
          <w:sz w:val="22"/>
          <w:szCs w:val="22"/>
        </w:rPr>
      </w:pPr>
      <w:r w:rsidRPr="00BE39AE">
        <w:rPr>
          <w:rStyle w:val="FootnoteReference"/>
        </w:rPr>
        <w:footnoteRef/>
      </w:r>
      <w:r w:rsidRPr="00447D2D">
        <w:rPr>
          <w:rFonts w:cs="Times New Roman"/>
          <w:sz w:val="22"/>
          <w:szCs w:val="22"/>
        </w:rPr>
        <w:t xml:space="preserve"> Adjusted from N</w:t>
      </w:r>
      <w:r>
        <w:rPr>
          <w:rFonts w:cs="Times New Roman"/>
          <w:sz w:val="22"/>
          <w:szCs w:val="22"/>
        </w:rPr>
        <w:t>.</w:t>
      </w:r>
      <w:r w:rsidRPr="00447D2D">
        <w:rPr>
          <w:rFonts w:cs="Times New Roman"/>
          <w:sz w:val="22"/>
          <w:szCs w:val="22"/>
        </w:rPr>
        <w:t xml:space="preserve"> </w:t>
      </w:r>
      <w:r w:rsidRPr="00447D2D">
        <w:rPr>
          <w:rFonts w:cs="Times New Roman"/>
          <w:sz w:val="22"/>
          <w:szCs w:val="22"/>
          <w:lang w:val="en-US"/>
        </w:rPr>
        <w:t>Amos, R</w:t>
      </w:r>
      <w:r>
        <w:rPr>
          <w:rFonts w:cs="Times New Roman"/>
          <w:sz w:val="22"/>
          <w:szCs w:val="22"/>
          <w:lang w:val="en-US"/>
        </w:rPr>
        <w:t>.</w:t>
      </w:r>
      <w:r w:rsidRPr="00447D2D">
        <w:rPr>
          <w:rFonts w:cs="Times New Roman"/>
          <w:sz w:val="22"/>
          <w:szCs w:val="22"/>
          <w:lang w:val="en-US"/>
        </w:rPr>
        <w:t xml:space="preserve"> Sullivan, H</w:t>
      </w:r>
      <w:r>
        <w:rPr>
          <w:rFonts w:cs="Times New Roman"/>
          <w:sz w:val="22"/>
          <w:szCs w:val="22"/>
          <w:lang w:val="en-US"/>
        </w:rPr>
        <w:t>.</w:t>
      </w:r>
      <w:r w:rsidRPr="00447D2D">
        <w:rPr>
          <w:rFonts w:cs="Times New Roman"/>
          <w:sz w:val="22"/>
          <w:szCs w:val="22"/>
          <w:lang w:val="en-US"/>
        </w:rPr>
        <w:t xml:space="preserve"> van de Weerd, </w:t>
      </w:r>
      <w:r w:rsidRPr="00447D2D">
        <w:rPr>
          <w:rFonts w:cs="Times New Roman"/>
          <w:i/>
          <w:iCs/>
          <w:sz w:val="22"/>
          <w:szCs w:val="22"/>
          <w:lang w:val="en-US"/>
        </w:rPr>
        <w:t>The Business Benchmark on Farm Animal Welfare Methodology Report</w:t>
      </w:r>
      <w:r w:rsidRPr="00447D2D">
        <w:rPr>
          <w:rFonts w:cs="Times New Roman"/>
          <w:sz w:val="22"/>
          <w:szCs w:val="22"/>
          <w:lang w:val="en-US"/>
        </w:rPr>
        <w:t xml:space="preserve"> (2019)</w:t>
      </w:r>
      <w:r>
        <w:rPr>
          <w:rFonts w:cs="Times New Roman"/>
          <w:sz w:val="22"/>
          <w:szCs w:val="22"/>
          <w:lang w:val="en-US"/>
        </w:rPr>
        <w:t xml:space="preserve">, available at </w:t>
      </w:r>
      <w:hyperlink r:id="rId6" w:history="1">
        <w:r w:rsidRPr="00DA7C17">
          <w:rPr>
            <w:rStyle w:val="Hyperlink"/>
            <w:rFonts w:cs="Times New Roman"/>
            <w:sz w:val="22"/>
            <w:szCs w:val="22"/>
            <w:lang w:val="en-US"/>
          </w:rPr>
          <w:t>https://www.bbfaw.com/media/1790/bbfaw_methodology_report_2019.pdf</w:t>
        </w:r>
      </w:hyperlink>
      <w:r>
        <w:rPr>
          <w:rFonts w:cs="Times New Roman"/>
          <w:sz w:val="22"/>
          <w:szCs w:val="22"/>
          <w:lang w:val="en-US"/>
        </w:rPr>
        <w:t xml:space="preserve"> </w:t>
      </w:r>
    </w:p>
  </w:footnote>
  <w:footnote w:id="21">
    <w:p w14:paraId="03036F2F" w14:textId="77777777" w:rsidR="00C70D0C" w:rsidRPr="00447D2D" w:rsidRDefault="00C70D0C" w:rsidP="002A2F8E">
      <w:pPr>
        <w:pStyle w:val="FootnoteText"/>
        <w:rPr>
          <w:sz w:val="22"/>
          <w:szCs w:val="22"/>
        </w:rPr>
      </w:pPr>
      <w:r w:rsidRPr="00447D2D">
        <w:rPr>
          <w:rStyle w:val="FootnoteReference"/>
          <w:sz w:val="22"/>
          <w:szCs w:val="22"/>
        </w:rPr>
        <w:footnoteRef/>
      </w:r>
      <w:r w:rsidRPr="00447D2D">
        <w:rPr>
          <w:sz w:val="22"/>
          <w:szCs w:val="22"/>
        </w:rPr>
        <w:t xml:space="preserve"> There were 37 questions in the BBFAW but the other questions were judged as to be not applicable to banks or in the case of most of the later questions the banks did not provide any information to answer them, do they have been omitted from this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2BB"/>
    <w:multiLevelType w:val="hybridMultilevel"/>
    <w:tmpl w:val="74D6BDB4"/>
    <w:lvl w:ilvl="0" w:tplc="23C0C34E">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8E"/>
    <w:rsid w:val="000F32FB"/>
    <w:rsid w:val="0017759E"/>
    <w:rsid w:val="001879EA"/>
    <w:rsid w:val="002A2F8E"/>
    <w:rsid w:val="0037247B"/>
    <w:rsid w:val="004D5212"/>
    <w:rsid w:val="00590009"/>
    <w:rsid w:val="005D40B2"/>
    <w:rsid w:val="005F2C35"/>
    <w:rsid w:val="006600EC"/>
    <w:rsid w:val="006B5F4F"/>
    <w:rsid w:val="007A52DD"/>
    <w:rsid w:val="00815FB3"/>
    <w:rsid w:val="008372F4"/>
    <w:rsid w:val="008F0155"/>
    <w:rsid w:val="008F1ECD"/>
    <w:rsid w:val="0097198A"/>
    <w:rsid w:val="00AA6CE0"/>
    <w:rsid w:val="00AD23F9"/>
    <w:rsid w:val="00C70D0C"/>
    <w:rsid w:val="00F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264"/>
  <w15:chartTrackingRefBased/>
  <w15:docId w15:val="{0A3290C2-A96A-448F-858D-FDBD1ECA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8E"/>
    <w:pPr>
      <w:spacing w:after="120" w:line="360" w:lineRule="auto"/>
    </w:pPr>
    <w:rPr>
      <w:rFonts w:ascii="Times New Roman" w:hAnsi="Times New Roman"/>
      <w:lang w:val="en-AU"/>
    </w:rPr>
  </w:style>
  <w:style w:type="paragraph" w:styleId="Heading1">
    <w:name w:val="heading 1"/>
    <w:basedOn w:val="Normal"/>
    <w:next w:val="Normal"/>
    <w:link w:val="Heading1Char"/>
    <w:uiPriority w:val="9"/>
    <w:qFormat/>
    <w:rsid w:val="002A2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unhideWhenUsed/>
    <w:qFormat/>
    <w:rsid w:val="002A2F8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A2F8E"/>
    <w:rPr>
      <w:rFonts w:ascii="Times New Roman" w:hAnsi="Times New Roman"/>
      <w:b/>
      <w:bCs/>
      <w:lang w:val="en-AU"/>
    </w:rPr>
  </w:style>
  <w:style w:type="paragraph" w:styleId="ListParagraph">
    <w:name w:val="List Paragraph"/>
    <w:basedOn w:val="Normal"/>
    <w:uiPriority w:val="34"/>
    <w:qFormat/>
    <w:rsid w:val="002A2F8E"/>
    <w:pPr>
      <w:ind w:left="720"/>
      <w:contextualSpacing/>
    </w:pPr>
  </w:style>
  <w:style w:type="paragraph" w:styleId="FootnoteText">
    <w:name w:val="footnote text"/>
    <w:basedOn w:val="Normal"/>
    <w:link w:val="FootnoteTextChar"/>
    <w:uiPriority w:val="99"/>
    <w:unhideWhenUsed/>
    <w:rsid w:val="002A2F8E"/>
    <w:pPr>
      <w:spacing w:after="0" w:line="240" w:lineRule="auto"/>
    </w:pPr>
    <w:rPr>
      <w:sz w:val="20"/>
      <w:szCs w:val="20"/>
    </w:rPr>
  </w:style>
  <w:style w:type="character" w:customStyle="1" w:styleId="FootnoteTextChar">
    <w:name w:val="Footnote Text Char"/>
    <w:basedOn w:val="DefaultParagraphFont"/>
    <w:link w:val="FootnoteText"/>
    <w:uiPriority w:val="99"/>
    <w:rsid w:val="002A2F8E"/>
    <w:rPr>
      <w:rFonts w:ascii="Times New Roman" w:hAnsi="Times New Roman"/>
      <w:sz w:val="20"/>
      <w:szCs w:val="20"/>
      <w:lang w:val="en-AU"/>
    </w:rPr>
  </w:style>
  <w:style w:type="character" w:styleId="FootnoteReference">
    <w:name w:val="footnote reference"/>
    <w:basedOn w:val="DefaultParagraphFont"/>
    <w:uiPriority w:val="99"/>
    <w:semiHidden/>
    <w:unhideWhenUsed/>
    <w:rsid w:val="002A2F8E"/>
    <w:rPr>
      <w:vertAlign w:val="superscript"/>
    </w:rPr>
  </w:style>
  <w:style w:type="paragraph" w:styleId="Header">
    <w:name w:val="header"/>
    <w:basedOn w:val="Normal"/>
    <w:link w:val="HeaderChar"/>
    <w:uiPriority w:val="99"/>
    <w:unhideWhenUsed/>
    <w:rsid w:val="002A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8E"/>
    <w:rPr>
      <w:rFonts w:ascii="Times New Roman" w:hAnsi="Times New Roman"/>
      <w:lang w:val="en-AU"/>
    </w:rPr>
  </w:style>
  <w:style w:type="character" w:styleId="Hyperlink">
    <w:name w:val="Hyperlink"/>
    <w:basedOn w:val="DefaultParagraphFont"/>
    <w:uiPriority w:val="99"/>
    <w:unhideWhenUsed/>
    <w:rsid w:val="002A2F8E"/>
    <w:rPr>
      <w:color w:val="0000FF"/>
      <w:u w:val="single"/>
    </w:rPr>
  </w:style>
  <w:style w:type="character" w:styleId="CommentReference">
    <w:name w:val="annotation reference"/>
    <w:basedOn w:val="DefaultParagraphFont"/>
    <w:unhideWhenUsed/>
    <w:rsid w:val="002A2F8E"/>
    <w:rPr>
      <w:sz w:val="16"/>
      <w:szCs w:val="16"/>
    </w:rPr>
  </w:style>
  <w:style w:type="paragraph" w:styleId="CommentText">
    <w:name w:val="annotation text"/>
    <w:basedOn w:val="Normal"/>
    <w:link w:val="CommentTextChar"/>
    <w:unhideWhenUsed/>
    <w:rsid w:val="002A2F8E"/>
    <w:pPr>
      <w:spacing w:line="240" w:lineRule="auto"/>
    </w:pPr>
    <w:rPr>
      <w:sz w:val="20"/>
      <w:szCs w:val="20"/>
    </w:rPr>
  </w:style>
  <w:style w:type="character" w:customStyle="1" w:styleId="CommentTextChar">
    <w:name w:val="Comment Text Char"/>
    <w:basedOn w:val="DefaultParagraphFont"/>
    <w:link w:val="CommentText"/>
    <w:rsid w:val="002A2F8E"/>
    <w:rPr>
      <w:rFonts w:ascii="Times New Roman" w:hAnsi="Times New Roman"/>
      <w:sz w:val="20"/>
      <w:szCs w:val="20"/>
      <w:lang w:val="en-AU"/>
    </w:rPr>
  </w:style>
  <w:style w:type="table" w:styleId="TableGrid">
    <w:name w:val="Table Grid"/>
    <w:basedOn w:val="TableNormal"/>
    <w:uiPriority w:val="39"/>
    <w:rsid w:val="002A2F8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Hdng1">
    <w:name w:val="TEL Hdng 1"/>
    <w:basedOn w:val="Heading1"/>
    <w:link w:val="TELHdng1Char"/>
    <w:qFormat/>
    <w:rsid w:val="002A2F8E"/>
    <w:pPr>
      <w:pageBreakBefore/>
      <w:spacing w:line="240" w:lineRule="auto"/>
    </w:pPr>
    <w:rPr>
      <w:rFonts w:ascii="Times New Roman" w:hAnsi="Times New Roman" w:cs="Times New Roman"/>
      <w:b/>
      <w:bCs/>
      <w:caps/>
      <w:sz w:val="28"/>
      <w:szCs w:val="28"/>
    </w:rPr>
  </w:style>
  <w:style w:type="character" w:customStyle="1" w:styleId="TELHdng1Char">
    <w:name w:val="TEL Hdng 1 Char"/>
    <w:basedOn w:val="Heading1Char"/>
    <w:link w:val="TELHdng1"/>
    <w:rsid w:val="002A2F8E"/>
    <w:rPr>
      <w:rFonts w:ascii="Times New Roman" w:eastAsiaTheme="majorEastAsia" w:hAnsi="Times New Roman" w:cs="Times New Roman"/>
      <w:b/>
      <w:bCs/>
      <w:caps/>
      <w:color w:val="2F5496" w:themeColor="accent1" w:themeShade="BF"/>
      <w:sz w:val="28"/>
      <w:szCs w:val="28"/>
      <w:lang w:val="en-AU"/>
    </w:rPr>
  </w:style>
  <w:style w:type="paragraph" w:customStyle="1" w:styleId="TELnormal">
    <w:name w:val="TEL normal"/>
    <w:basedOn w:val="Normal"/>
    <w:link w:val="TELnormalChar"/>
    <w:qFormat/>
    <w:rsid w:val="002A2F8E"/>
    <w:pPr>
      <w:jc w:val="both"/>
    </w:pPr>
    <w:rPr>
      <w:rFonts w:cstheme="minorHAnsi"/>
      <w:sz w:val="24"/>
    </w:rPr>
  </w:style>
  <w:style w:type="character" w:customStyle="1" w:styleId="TELnormalChar">
    <w:name w:val="TEL normal Char"/>
    <w:basedOn w:val="DefaultParagraphFont"/>
    <w:link w:val="TELnormal"/>
    <w:rsid w:val="002A2F8E"/>
    <w:rPr>
      <w:rFonts w:ascii="Times New Roman" w:hAnsi="Times New Roman" w:cstheme="minorHAnsi"/>
      <w:sz w:val="24"/>
      <w:lang w:val="en-AU"/>
    </w:rPr>
  </w:style>
  <w:style w:type="paragraph" w:customStyle="1" w:styleId="EndNoteBibliography">
    <w:name w:val="EndNote Bibliography"/>
    <w:basedOn w:val="Normal"/>
    <w:link w:val="EndNoteBibliographyChar"/>
    <w:rsid w:val="002A2F8E"/>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A2F8E"/>
    <w:rPr>
      <w:rFonts w:ascii="Times New Roman" w:hAnsi="Times New Roman" w:cs="Times New Roman"/>
      <w:noProof/>
    </w:rPr>
  </w:style>
  <w:style w:type="paragraph" w:customStyle="1" w:styleId="TELTableheading">
    <w:name w:val="TEL Table heading"/>
    <w:basedOn w:val="TELnormal"/>
    <w:qFormat/>
    <w:rsid w:val="002A2F8E"/>
    <w:pPr>
      <w:keepNext/>
      <w:keepLines/>
    </w:pPr>
    <w:rPr>
      <w:b/>
      <w:bCs/>
      <w:lang w:eastAsia="en-AU"/>
    </w:rPr>
  </w:style>
  <w:style w:type="character" w:customStyle="1" w:styleId="Heading1Char">
    <w:name w:val="Heading 1 Char"/>
    <w:basedOn w:val="DefaultParagraphFont"/>
    <w:link w:val="Heading1"/>
    <w:uiPriority w:val="9"/>
    <w:rsid w:val="002A2F8E"/>
    <w:rPr>
      <w:rFonts w:asciiTheme="majorHAnsi" w:eastAsiaTheme="majorEastAsia" w:hAnsiTheme="majorHAnsi" w:cstheme="majorBidi"/>
      <w:color w:val="2F5496" w:themeColor="accent1" w:themeShade="BF"/>
      <w:sz w:val="32"/>
      <w:szCs w:val="32"/>
      <w:lang w:val="en-AU"/>
    </w:rPr>
  </w:style>
  <w:style w:type="paragraph" w:styleId="BalloonText">
    <w:name w:val="Balloon Text"/>
    <w:basedOn w:val="Normal"/>
    <w:link w:val="BalloonTextChar"/>
    <w:uiPriority w:val="99"/>
    <w:semiHidden/>
    <w:unhideWhenUsed/>
    <w:rsid w:val="00AD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F9"/>
    <w:rPr>
      <w:rFonts w:ascii="Segoe UI" w:hAnsi="Segoe UI" w:cs="Segoe UI"/>
      <w:sz w:val="18"/>
      <w:szCs w:val="18"/>
      <w:lang w:val="en-AU"/>
    </w:rPr>
  </w:style>
  <w:style w:type="character" w:styleId="UnresolvedMention">
    <w:name w:val="Unresolved Mention"/>
    <w:basedOn w:val="DefaultParagraphFont"/>
    <w:uiPriority w:val="99"/>
    <w:semiHidden/>
    <w:unhideWhenUsed/>
    <w:rsid w:val="00590009"/>
    <w:rPr>
      <w:color w:val="605E5C"/>
      <w:shd w:val="clear" w:color="auto" w:fill="E1DFDD"/>
    </w:rPr>
  </w:style>
  <w:style w:type="character" w:styleId="FollowedHyperlink">
    <w:name w:val="FollowedHyperlink"/>
    <w:basedOn w:val="DefaultParagraphFont"/>
    <w:uiPriority w:val="99"/>
    <w:semiHidden/>
    <w:unhideWhenUsed/>
    <w:rsid w:val="00AA6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kaust.com.au/support/corporate-reports" TargetMode="External"/><Relationship Id="rId18" Type="http://schemas.openxmlformats.org/officeDocument/2006/relationships/hyperlink" Target="https://www.bankaust.com.au/support/corporate-reports" TargetMode="External"/><Relationship Id="rId26" Type="http://schemas.openxmlformats.org/officeDocument/2006/relationships/hyperlink" Target="https://www.commbank.com.au/about-us/investors/annual-reports.html" TargetMode="External"/><Relationship Id="rId39" Type="http://schemas.openxmlformats.org/officeDocument/2006/relationships/hyperlink" Target="https://www.nab.com.au/about-us/social-impact/shareholders/performance-and-reporting" TargetMode="External"/><Relationship Id="rId3" Type="http://schemas.openxmlformats.org/officeDocument/2006/relationships/settings" Target="settings.xml"/><Relationship Id="rId21" Type="http://schemas.openxmlformats.org/officeDocument/2006/relationships/hyperlink" Target="https://www.bendigoadelaide.com.au/investor-centre/reports/" TargetMode="External"/><Relationship Id="rId34" Type="http://schemas.openxmlformats.org/officeDocument/2006/relationships/hyperlink" Target="https://www.nab.com.au/about-us/social-impact/shareholders/performance-and-reporting" TargetMode="External"/><Relationship Id="rId42" Type="http://schemas.openxmlformats.org/officeDocument/2006/relationships/hyperlink" Target="https://www.cdp.net/en/responses/19051" TargetMode="External"/><Relationship Id="rId47" Type="http://schemas.openxmlformats.org/officeDocument/2006/relationships/hyperlink" Target="https://www.westpac.com.au/about-westpac/investor-centre/financial-information/annual-reports-archive/" TargetMode="External"/><Relationship Id="rId50" Type="http://schemas.openxmlformats.org/officeDocument/2006/relationships/theme" Target="theme/theme1.xml"/><Relationship Id="rId7" Type="http://schemas.openxmlformats.org/officeDocument/2006/relationships/hyperlink" Target="https://www.anz.com/content/dam/anzcom/shareholder/2015_annual_report.pdf" TargetMode="External"/><Relationship Id="rId12" Type="http://schemas.openxmlformats.org/officeDocument/2006/relationships/hyperlink" Target="https://www.bankaust.com.au/support/corporate-report-2015" TargetMode="External"/><Relationship Id="rId17" Type="http://schemas.openxmlformats.org/officeDocument/2006/relationships/hyperlink" Target="https://www.bankaust.com.au/support/corporate-reports" TargetMode="External"/><Relationship Id="rId25" Type="http://schemas.openxmlformats.org/officeDocument/2006/relationships/hyperlink" Target="https://www.commbank.com.au/about-us/investors/annual-reports.html" TargetMode="External"/><Relationship Id="rId33" Type="http://schemas.openxmlformats.org/officeDocument/2006/relationships/hyperlink" Target="https://www.nab.com.au/about-us/social-impact/shareholders/performance-and-reporting" TargetMode="External"/><Relationship Id="rId38" Type="http://schemas.openxmlformats.org/officeDocument/2006/relationships/hyperlink" Target="https://www.nab.com.au/about-us/social-impact/shareholders/performance-and-reporting" TargetMode="External"/><Relationship Id="rId46" Type="http://schemas.openxmlformats.org/officeDocument/2006/relationships/hyperlink" Target="https://www.westpac.com.au/content/dam/public/wbc/documents/pdf/aw/sustainability/WBC-climate-change-position-statement-2023.pdf" TargetMode="External"/><Relationship Id="rId2" Type="http://schemas.openxmlformats.org/officeDocument/2006/relationships/styles" Target="styles.xml"/><Relationship Id="rId16" Type="http://schemas.openxmlformats.org/officeDocument/2006/relationships/hyperlink" Target="https://www.bankaust.com.au/support/corporate-reports" TargetMode="External"/><Relationship Id="rId20" Type="http://schemas.openxmlformats.org/officeDocument/2006/relationships/hyperlink" Target="https://www.bendigoadelaide.com.au/investor-centre/reports/" TargetMode="External"/><Relationship Id="rId29" Type="http://schemas.openxmlformats.org/officeDocument/2006/relationships/hyperlink" Target="https://www.commbank.com.au/content/dam/commbank/assets/about/opportunity-initiatives/FY16-Assessed-emissions-report.pdf" TargetMode="External"/><Relationship Id="rId41" Type="http://schemas.openxmlformats.org/officeDocument/2006/relationships/hyperlink" Target="https://www.nab.com.au/content/dam/nabrwd/documents/reports/corporate/2018-national-carbon-offset-standar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z.com.au/content/dam/anzcom/shareholder/ANZ-2020-ESG-Supplement.pdf" TargetMode="External"/><Relationship Id="rId24" Type="http://schemas.openxmlformats.org/officeDocument/2006/relationships/hyperlink" Target="https://www.commbank.com.au/content/dam/commbank/about-us/docs/sustainability-2015-CBA-CDP-submission.pdf" TargetMode="External"/><Relationship Id="rId32" Type="http://schemas.openxmlformats.org/officeDocument/2006/relationships/hyperlink" Target="https://www.nab.com.au/about-us/social-impact/shareholders/performance-and-reporting" TargetMode="External"/><Relationship Id="rId37" Type="http://schemas.openxmlformats.org/officeDocument/2006/relationships/hyperlink" Target="https://www.nab.com.au/about-us/social-impact/shareholders/performance-and-reporting" TargetMode="External"/><Relationship Id="rId40" Type="http://schemas.openxmlformats.org/officeDocument/2006/relationships/hyperlink" Target="https://www.nab.com.au/content/dam/nabrwd/documents/reports/corporate/animal-welfare-principles.pdf" TargetMode="External"/><Relationship Id="rId45" Type="http://schemas.openxmlformats.org/officeDocument/2006/relationships/hyperlink" Target="https://www.westpac.com.au/about-westpac/investor-centre/financial-information/annual-reports-archive/" TargetMode="External"/><Relationship Id="rId5" Type="http://schemas.openxmlformats.org/officeDocument/2006/relationships/footnotes" Target="footnotes.xml"/><Relationship Id="rId15" Type="http://schemas.openxmlformats.org/officeDocument/2006/relationships/hyperlink" Target="https://www.bankaust.com.au/support/corporate-reports" TargetMode="External"/><Relationship Id="rId23" Type="http://schemas.openxmlformats.org/officeDocument/2006/relationships/hyperlink" Target="https://www.commbank.com.au/about-us/investors/annual-reports.html" TargetMode="External"/><Relationship Id="rId28" Type="http://schemas.openxmlformats.org/officeDocument/2006/relationships/hyperlink" Target="https://www.commbank.com.au/about-us/investors/annual-reports.html" TargetMode="External"/><Relationship Id="rId36" Type="http://schemas.openxmlformats.org/officeDocument/2006/relationships/hyperlink" Target="https://www.nab.com.au/about-us/social-impact/shareholders/performance-and-reporting" TargetMode="External"/><Relationship Id="rId49" Type="http://schemas.openxmlformats.org/officeDocument/2006/relationships/fontTable" Target="fontTable.xml"/><Relationship Id="rId10" Type="http://schemas.openxmlformats.org/officeDocument/2006/relationships/hyperlink" Target="https://www.anz.com/content/dam/anzcom/shareholder/ANZ-2020-Annual-Report.pdf" TargetMode="External"/><Relationship Id="rId19" Type="http://schemas.openxmlformats.org/officeDocument/2006/relationships/hyperlink" Target="https://www.bendigoadelaide.com.au/globalassets/documents/bendigoadelaide/governance/policies/climate-change-policy.pdf" TargetMode="External"/><Relationship Id="rId31" Type="http://schemas.openxmlformats.org/officeDocument/2006/relationships/hyperlink" Target="https://www.nab.com.au/about-us/social-impact/shareholders/performance-and-reporting" TargetMode="External"/><Relationship Id="rId44" Type="http://schemas.openxmlformats.org/officeDocument/2006/relationships/hyperlink" Target="https://www.cdp.net/en/responses/19051" TargetMode="External"/><Relationship Id="rId4" Type="http://schemas.openxmlformats.org/officeDocument/2006/relationships/webSettings" Target="webSettings.xml"/><Relationship Id="rId9" Type="http://schemas.openxmlformats.org/officeDocument/2006/relationships/hyperlink" Target="https://www.anz.com.au/content/dam/anzcom/shareholder/ANZ-2019-ESG-Supplement.pdf" TargetMode="External"/><Relationship Id="rId14" Type="http://schemas.openxmlformats.org/officeDocument/2006/relationships/hyperlink" Target="https://www.bankaust.com.au/support/corporate-reports" TargetMode="External"/><Relationship Id="rId22" Type="http://schemas.openxmlformats.org/officeDocument/2006/relationships/hyperlink" Target="https://www.commbank.com.au/content/dam/commbank/about-us/shareholders/pdfs/2009-asx/Commonwealth_Bank_Sustainability_Report_2009.pdf" TargetMode="External"/><Relationship Id="rId27" Type="http://schemas.openxmlformats.org/officeDocument/2006/relationships/hyperlink" Target="https://www.commbank.com.au/content/dam/commbank/about-us/docs/2019-cdp-submission.pdf" TargetMode="External"/><Relationship Id="rId30" Type="http://schemas.openxmlformats.org/officeDocument/2006/relationships/hyperlink" Target="https://www.nab.com.au/about-us/social-impact/shareholders/performance-and-reporting" TargetMode="External"/><Relationship Id="rId35" Type="http://schemas.openxmlformats.org/officeDocument/2006/relationships/hyperlink" Target="https://www.nab.com.au/about-us/social-impact/shareholders/performance-and-reporting" TargetMode="External"/><Relationship Id="rId43" Type="http://schemas.openxmlformats.org/officeDocument/2006/relationships/hyperlink" Target="https://www.cdp.net/en/responses/19051" TargetMode="External"/><Relationship Id="rId48" Type="http://schemas.openxmlformats.org/officeDocument/2006/relationships/hyperlink" Target="https://www.westpac.com.au/content/dam/public/wbc/documents/pdf/aw/sustainability/WBC_2020_sustainability_performance_report.pdf" TargetMode="External"/><Relationship Id="rId8" Type="http://schemas.openxmlformats.org/officeDocument/2006/relationships/hyperlink" Target="https://www.anz.com/content/dam/anzcom/shareholder/ANZ-2019-Annual-Repor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uralbank.com.au/about-us/our-history/" TargetMode="External"/><Relationship Id="rId2" Type="http://schemas.openxmlformats.org/officeDocument/2006/relationships/hyperlink" Target="https://www.ric.gov.au/about" TargetMode="External"/><Relationship Id="rId1" Type="http://schemas.openxmlformats.org/officeDocument/2006/relationships/hyperlink" Target="https://www.bankaust.com.au/about-us/" TargetMode="External"/><Relationship Id="rId6" Type="http://schemas.openxmlformats.org/officeDocument/2006/relationships/hyperlink" Target="https://www.bbfaw.com/media/1790/bbfaw_methodology_report_2019.pdf" TargetMode="External"/><Relationship Id="rId5" Type="http://schemas.openxmlformats.org/officeDocument/2006/relationships/hyperlink" Target="https://www.westpac.com.au/corporate-banking/corporate-institutional/global-presence/" TargetMode="External"/><Relationship Id="rId4" Type="http://schemas.openxmlformats.org/officeDocument/2006/relationships/hyperlink" Target="https://www.commbank.com.au/about-us/our-company/international-bran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Parker</dc:creator>
  <cp:keywords/>
  <dc:description/>
  <cp:lastModifiedBy>Christine Parker</cp:lastModifiedBy>
  <cp:revision>7</cp:revision>
  <dcterms:created xsi:type="dcterms:W3CDTF">2022-01-14T09:24:00Z</dcterms:created>
  <dcterms:modified xsi:type="dcterms:W3CDTF">2022-01-15T02:25:00Z</dcterms:modified>
</cp:coreProperties>
</file>