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B1" w:rsidRPr="00984804" w:rsidRDefault="00B73EB1" w:rsidP="00B73EB1">
      <w:pPr>
        <w:pStyle w:val="NoSpacing"/>
        <w:rPr>
          <w:rFonts w:ascii="Times New Roman" w:hAnsi="Times New Roman"/>
        </w:rPr>
      </w:pPr>
      <w:r w:rsidRPr="00984804">
        <w:rPr>
          <w:rFonts w:ascii="Times New Roman" w:hAnsi="Times New Roman"/>
        </w:rPr>
        <w:t>Transnational Environmental Law</w:t>
      </w:r>
    </w:p>
    <w:p w:rsidR="00B73EB1" w:rsidRPr="00984804" w:rsidRDefault="00B73EB1" w:rsidP="00B73EB1">
      <w:pPr>
        <w:pStyle w:val="NoSpacing"/>
        <w:rPr>
          <w:rFonts w:ascii="Times New Roman" w:hAnsi="Times New Roman"/>
          <w:sz w:val="32"/>
          <w:szCs w:val="32"/>
        </w:rPr>
      </w:pPr>
      <w:r w:rsidRPr="00984804">
        <w:rPr>
          <w:rFonts w:ascii="Times New Roman" w:hAnsi="Times New Roman"/>
          <w:sz w:val="32"/>
          <w:szCs w:val="32"/>
        </w:rPr>
        <w:t>Mind the Compliance Gap: How Insights from International Human Rights Mechanisms Can Help to Implement the Convention on Biological Diversity</w:t>
      </w:r>
    </w:p>
    <w:p w:rsidR="00B73EB1" w:rsidRPr="00984804" w:rsidRDefault="00B73EB1" w:rsidP="00B73EB1">
      <w:pPr>
        <w:pStyle w:val="NoSpacing"/>
        <w:rPr>
          <w:rFonts w:ascii="Times New Roman" w:hAnsi="Times New Roman"/>
        </w:rPr>
      </w:pPr>
      <w:r w:rsidRPr="00984804">
        <w:rPr>
          <w:rFonts w:ascii="Times New Roman" w:hAnsi="Times New Roman"/>
        </w:rPr>
        <w:t>Niak Sian Koh,</w:t>
      </w:r>
      <w:r w:rsidRPr="00984804">
        <w:rPr>
          <w:rStyle w:val="FootnoteReference"/>
          <w:rFonts w:ascii="Times New Roman" w:hAnsi="Times New Roman"/>
          <w:lang w:val="en-GB"/>
        </w:rPr>
        <w:t xml:space="preserve"> </w:t>
      </w:r>
      <w:r w:rsidRPr="00984804">
        <w:rPr>
          <w:rFonts w:ascii="Times New Roman" w:hAnsi="Times New Roman"/>
        </w:rPr>
        <w:t>Claudia Ituarte-Lima and Thomas Hahn</w:t>
      </w:r>
    </w:p>
    <w:p w:rsidR="00D73B48" w:rsidRDefault="00B73EB1" w:rsidP="00D73B48">
      <w:pPr>
        <w:rPr>
          <w:rFonts w:ascii="Times New Roman" w:hAnsi="Times New Roman"/>
          <w:b/>
          <w:sz w:val="24"/>
          <w:lang w:val="en-US"/>
        </w:rPr>
      </w:pPr>
      <w:r w:rsidRPr="004D51E7">
        <w:rPr>
          <w:rFonts w:ascii="Times New Roman" w:hAnsi="Times New Roman"/>
          <w:b/>
          <w:sz w:val="24"/>
          <w:lang w:val="en-US"/>
        </w:rPr>
        <w:t>Supplementary Material</w:t>
      </w:r>
      <w:r w:rsidDel="00B73EB1">
        <w:rPr>
          <w:rFonts w:ascii="Times New Roman" w:hAnsi="Times New Roman"/>
          <w:b/>
          <w:sz w:val="24"/>
          <w:lang w:val="en-US"/>
        </w:rPr>
        <w:t xml:space="preserve"> </w:t>
      </w:r>
      <w:r w:rsidR="001B367B">
        <w:rPr>
          <w:rFonts w:ascii="Times New Roman" w:hAnsi="Times New Roman"/>
          <w:b/>
          <w:sz w:val="24"/>
          <w:lang w:val="en-US"/>
        </w:rPr>
        <w:t>(for online publication only)</w:t>
      </w:r>
    </w:p>
    <w:p w:rsidR="00D73B48" w:rsidRDefault="00B73EB1" w:rsidP="00D068E8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lang w:val="en-US"/>
        </w:rPr>
        <w:t>_____________________________________________________________________________</w:t>
      </w:r>
    </w:p>
    <w:p w:rsidR="00B73EB1" w:rsidRDefault="00B73EB1" w:rsidP="00D068E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73B48" w:rsidRPr="00D73B48" w:rsidRDefault="00D73B48" w:rsidP="00D068E8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D73B48">
        <w:rPr>
          <w:rFonts w:ascii="Times New Roman" w:hAnsi="Times New Roman"/>
          <w:sz w:val="24"/>
          <w:szCs w:val="24"/>
          <w:lang w:val="en-GB"/>
        </w:rPr>
        <w:t>&lt;CAPTION&gt;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Box </w:t>
      </w:r>
      <w:r w:rsidR="00B73EB1">
        <w:rPr>
          <w:rFonts w:ascii="Times New Roman" w:hAnsi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Pr="00D73B48">
        <w:rPr>
          <w:rFonts w:ascii="Times New Roman" w:hAnsi="Times New Roman"/>
          <w:sz w:val="24"/>
          <w:szCs w:val="24"/>
          <w:lang w:val="en-GB"/>
        </w:rPr>
        <w:t>&lt;en</w:t>
      </w:r>
      <w:bookmarkStart w:id="0" w:name="_GoBack"/>
      <w:bookmarkEnd w:id="0"/>
      <w:r w:rsidRPr="00D73B48">
        <w:rPr>
          <w:rFonts w:ascii="Times New Roman" w:hAnsi="Times New Roman"/>
          <w:sz w:val="24"/>
          <w:szCs w:val="24"/>
          <w:lang w:val="en-GB"/>
        </w:rPr>
        <w:t xml:space="preserve"> space&gt;</w:t>
      </w:r>
      <w:r w:rsidR="003F7E77" w:rsidRPr="00D73B48">
        <w:rPr>
          <w:rFonts w:ascii="Times New Roman" w:hAnsi="Times New Roman"/>
          <w:sz w:val="24"/>
          <w:szCs w:val="24"/>
          <w:lang w:val="en-GB"/>
        </w:rPr>
        <w:t xml:space="preserve">Semi-structured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D73B48">
        <w:rPr>
          <w:rFonts w:ascii="Times New Roman" w:hAnsi="Times New Roman"/>
          <w:sz w:val="24"/>
          <w:szCs w:val="24"/>
          <w:lang w:val="en-GB"/>
        </w:rPr>
        <w:t xml:space="preserve">nterview </w:t>
      </w:r>
      <w:r>
        <w:rPr>
          <w:rFonts w:ascii="Times New Roman" w:hAnsi="Times New Roman"/>
          <w:sz w:val="24"/>
          <w:szCs w:val="24"/>
          <w:lang w:val="en-GB"/>
        </w:rPr>
        <w:t>G</w:t>
      </w:r>
      <w:r w:rsidRPr="00D73B48">
        <w:rPr>
          <w:rFonts w:ascii="Times New Roman" w:hAnsi="Times New Roman"/>
          <w:sz w:val="24"/>
          <w:szCs w:val="24"/>
          <w:lang w:val="en-GB"/>
        </w:rPr>
        <w:t xml:space="preserve">uide </w:t>
      </w:r>
      <w:r w:rsidR="003F7E77" w:rsidRPr="00D73B48">
        <w:rPr>
          <w:rFonts w:ascii="Times New Roman" w:hAnsi="Times New Roman"/>
          <w:sz w:val="24"/>
          <w:szCs w:val="24"/>
          <w:lang w:val="en-GB"/>
        </w:rPr>
        <w:t xml:space="preserve">with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73B48">
        <w:rPr>
          <w:rFonts w:ascii="Times New Roman" w:hAnsi="Times New Roman"/>
          <w:sz w:val="24"/>
          <w:szCs w:val="24"/>
          <w:lang w:val="en-GB"/>
        </w:rPr>
        <w:t xml:space="preserve">iodiversity 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D73B48">
        <w:rPr>
          <w:rFonts w:ascii="Times New Roman" w:hAnsi="Times New Roman"/>
          <w:sz w:val="24"/>
          <w:szCs w:val="24"/>
          <w:lang w:val="en-GB"/>
        </w:rPr>
        <w:t xml:space="preserve">xperts </w:t>
      </w:r>
      <w:r w:rsidR="003F7E77" w:rsidRPr="00D73B48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3F7E77" w:rsidRPr="00D73B48">
        <w:rPr>
          <w:rFonts w:ascii="Times New Roman" w:eastAsia="Times New Roman" w:hAnsi="Times New Roman"/>
          <w:bCs/>
          <w:sz w:val="24"/>
          <w:szCs w:val="24"/>
          <w:lang w:val="en-GB"/>
        </w:rPr>
        <w:t>CBD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3F7E77" w:rsidRPr="00D73B48">
        <w:rPr>
          <w:rFonts w:ascii="Times New Roman" w:eastAsia="Times New Roman" w:hAnsi="Times New Roman"/>
          <w:bCs/>
          <w:sz w:val="24"/>
          <w:szCs w:val="24"/>
          <w:lang w:val="en-GB"/>
        </w:rPr>
        <w:t>COP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-</w:t>
      </w:r>
      <w:r w:rsidR="003F7E77" w:rsidRPr="00D73B48">
        <w:rPr>
          <w:rFonts w:ascii="Times New Roman" w:eastAsia="Times New Roman" w:hAnsi="Times New Roman"/>
          <w:bCs/>
          <w:sz w:val="24"/>
          <w:szCs w:val="24"/>
          <w:lang w:val="en-GB"/>
        </w:rPr>
        <w:t>14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F7E77" w:rsidRPr="00004BEC" w:rsidTr="00607E16">
        <w:tc>
          <w:tcPr>
            <w:tcW w:w="9062" w:type="dxa"/>
          </w:tcPr>
          <w:p w:rsidR="003F7E77" w:rsidRDefault="003F7E77" w:rsidP="00D0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your understanding of safeguards within the context of the CBD?</w:t>
            </w:r>
          </w:p>
          <w:p w:rsidR="003F7E77" w:rsidRDefault="003F7E77" w:rsidP="00D068E8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7E77" w:rsidRDefault="003F7E77" w:rsidP="00D0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do you think the use of ‘safeguards’ in the CBD has changed over time?</w:t>
            </w:r>
          </w:p>
          <w:p w:rsidR="003F7E77" w:rsidRDefault="003F7E77" w:rsidP="00D068E8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7E77" w:rsidRDefault="003F7E77" w:rsidP="00D0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know of any examples of safeguards being used in response to biodiversity conservation policies? </w:t>
            </w:r>
            <w:r>
              <w:rPr>
                <w:rFonts w:ascii="Times New Roman" w:hAnsi="Times New Roman"/>
                <w:sz w:val="24"/>
                <w:szCs w:val="24"/>
              </w:rPr>
              <w:t>What about in the context of innovative financing mechanisms?</w:t>
            </w:r>
          </w:p>
          <w:p w:rsidR="003F7E77" w:rsidRDefault="003F7E77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77" w:rsidRDefault="003F7E77" w:rsidP="00D0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you been involved in a biodiversity conservation or sustainable use project that has used safeguards? </w:t>
            </w:r>
            <w:r>
              <w:rPr>
                <w:rFonts w:ascii="Times New Roman" w:hAnsi="Times New Roman"/>
                <w:sz w:val="24"/>
                <w:szCs w:val="24"/>
              </w:rPr>
              <w:t>What was your role?</w:t>
            </w:r>
          </w:p>
          <w:p w:rsidR="003F7E77" w:rsidRDefault="003F7E77" w:rsidP="00D068E8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77" w:rsidRDefault="003F7E77" w:rsidP="00D0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did the use of safeguards influence the project’s impacts on protecting biodiversity or people’s livelihoods?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Was there any improvement on the outcomes? </w:t>
            </w:r>
          </w:p>
          <w:p w:rsidR="003F7E77" w:rsidRDefault="003F7E77" w:rsidP="00D068E8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77" w:rsidRDefault="003F7E77" w:rsidP="00D0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challenges were faced in implementing these safeguards? </w:t>
            </w:r>
          </w:p>
          <w:p w:rsidR="003F7E77" w:rsidRDefault="003F7E77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7E77" w:rsidRDefault="003F7E77" w:rsidP="00D0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would you suggest as next steps for improving the use of safeguards?</w:t>
            </w:r>
          </w:p>
          <w:p w:rsidR="003F7E77" w:rsidRDefault="003F7E77" w:rsidP="00D068E8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7E77" w:rsidRDefault="003F7E77" w:rsidP="00D0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there anything else you think the CBD discussions should focus on, besides safeguarding conventional conservation tools?</w:t>
            </w:r>
          </w:p>
          <w:p w:rsidR="003F7E77" w:rsidRDefault="003F7E77" w:rsidP="00D068E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F7E77" w:rsidRDefault="003F7E77" w:rsidP="00D068E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B73EB1" w:rsidRDefault="00B73EB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br w:type="page"/>
      </w:r>
    </w:p>
    <w:p w:rsidR="003F7E77" w:rsidRPr="00D068E8" w:rsidRDefault="00D73B48" w:rsidP="00D068E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D068E8">
        <w:rPr>
          <w:rFonts w:ascii="Times New Roman" w:hAnsi="Times New Roman"/>
          <w:sz w:val="24"/>
          <w:szCs w:val="24"/>
          <w:lang w:val="en-GB"/>
        </w:rPr>
        <w:lastRenderedPageBreak/>
        <w:t>&lt;CAPTION&gt;</w:t>
      </w:r>
      <w:r w:rsidR="003F7E77" w:rsidRPr="00D068E8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B73EB1">
        <w:rPr>
          <w:rFonts w:ascii="Times New Roman" w:hAnsi="Times New Roman"/>
          <w:b/>
          <w:sz w:val="24"/>
          <w:szCs w:val="24"/>
          <w:lang w:val="en-GB"/>
        </w:rPr>
        <w:t>S1</w:t>
      </w:r>
      <w:r>
        <w:rPr>
          <w:rFonts w:ascii="Times New Roman" w:hAnsi="Times New Roman"/>
          <w:sz w:val="24"/>
          <w:szCs w:val="24"/>
          <w:lang w:val="en-GB"/>
        </w:rPr>
        <w:t>&lt;en space&gt;</w:t>
      </w:r>
      <w:r w:rsidR="003F7E77" w:rsidRPr="00D068E8">
        <w:rPr>
          <w:rFonts w:ascii="Times New Roman" w:hAnsi="Times New Roman"/>
          <w:sz w:val="24"/>
          <w:szCs w:val="24"/>
          <w:lang w:val="en-GB"/>
        </w:rPr>
        <w:t xml:space="preserve"> Excerpts </w:t>
      </w:r>
      <w:r>
        <w:rPr>
          <w:rFonts w:ascii="Times New Roman" w:hAnsi="Times New Roman"/>
          <w:sz w:val="24"/>
          <w:szCs w:val="24"/>
          <w:lang w:val="en-GB"/>
        </w:rPr>
        <w:t>from</w:t>
      </w:r>
      <w:r w:rsidRPr="00D068E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</w:t>
      </w:r>
      <w:r w:rsidRPr="00D068E8">
        <w:rPr>
          <w:rFonts w:ascii="Times New Roman" w:hAnsi="Times New Roman"/>
          <w:sz w:val="24"/>
          <w:szCs w:val="24"/>
          <w:lang w:val="en-GB"/>
        </w:rPr>
        <w:t xml:space="preserve">bstacles </w:t>
      </w:r>
      <w:r w:rsidR="003F7E77" w:rsidRPr="00D068E8">
        <w:rPr>
          <w:rFonts w:ascii="Times New Roman" w:hAnsi="Times New Roman"/>
          <w:sz w:val="24"/>
          <w:szCs w:val="24"/>
          <w:lang w:val="en-GB"/>
        </w:rPr>
        <w:t xml:space="preserve">in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D068E8">
        <w:rPr>
          <w:rFonts w:ascii="Times New Roman" w:hAnsi="Times New Roman"/>
          <w:sz w:val="24"/>
          <w:szCs w:val="24"/>
          <w:lang w:val="en-GB"/>
        </w:rPr>
        <w:t xml:space="preserve">mplementing </w:t>
      </w:r>
      <w:r w:rsidR="003F7E77" w:rsidRPr="00D068E8">
        <w:rPr>
          <w:rFonts w:ascii="Times New Roman" w:hAnsi="Times New Roman"/>
          <w:sz w:val="24"/>
          <w:szCs w:val="24"/>
          <w:lang w:val="en-GB"/>
        </w:rPr>
        <w:t>the Aichi Targets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1524"/>
        <w:gridCol w:w="7538"/>
      </w:tblGrid>
      <w:tr w:rsidR="003F7E77" w:rsidRPr="00004BEC" w:rsidTr="00607E16">
        <w:tc>
          <w:tcPr>
            <w:tcW w:w="1524" w:type="dxa"/>
          </w:tcPr>
          <w:p w:rsidR="003F7E77" w:rsidRDefault="003F7E77" w:rsidP="00D068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Obstacle</w:t>
            </w:r>
          </w:p>
        </w:tc>
        <w:tc>
          <w:tcPr>
            <w:tcW w:w="7538" w:type="dxa"/>
          </w:tcPr>
          <w:p w:rsidR="003F7E77" w:rsidRDefault="003F7E77" w:rsidP="00D068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Excerpts from Parties’ </w:t>
            </w:r>
            <w:r w:rsidR="00D73B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National Reports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 the CBD</w:t>
            </w:r>
          </w:p>
        </w:tc>
      </w:tr>
      <w:tr w:rsidR="003F7E77" w:rsidRPr="00004BEC" w:rsidTr="00607E16">
        <w:tc>
          <w:tcPr>
            <w:tcW w:w="1524" w:type="dxa"/>
          </w:tcPr>
          <w:p w:rsidR="003F7E77" w:rsidRDefault="003F7E77" w:rsidP="00D06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Lack of institutional capacity</w:t>
            </w:r>
          </w:p>
        </w:tc>
        <w:tc>
          <w:tcPr>
            <w:tcW w:w="7538" w:type="dxa"/>
          </w:tcPr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Brazil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Insufficient legal framework and institutional arrangement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low compliance with legislation regulating environmental standards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low coordinatio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n of government agencies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Egypt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Implementation of the NBSAP should not be the sole responsibility of the Ministry of Environment but of all governmental institutions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inability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to retain trained staff and under-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funding for conservation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Ethiopia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Lack of adequate capacity, commitment, organizational set-up and incentives to implement 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land use policy properly.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Fiji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Insufficient implementation of e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nvironmental regulations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unregulated 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developments.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Kenya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Deforestation problems linked to poor policy implementation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weak institutional frameworks 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and poor resource governance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Lao PDR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Need to improve enforcement of laws for protected ar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eas and habitat management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enforcement of laws for project developers i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n the energy and mining sector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need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to monitor environmental impacts of investments and enfo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rce the polluter pays principle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Madagascar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Undertaking a decentralization of forest management to local communities, but limited capacity and funds for actors 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to implement decentralization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Malaysia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Needs effective and strategic coordination across all level of governments to implement revised NBSAP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previous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biodiversity policy had no implementation timeline and did not delegate implementation duties to relevant agencies, resulting in lack 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of ownership and accountability.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Mongolia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Lack of implementation of law on illegal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fishing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Montenegro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Insufficient coverage of monitoring programmes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as a result of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financial restrictions an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d insufficient human resources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lack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capacity for sustainable 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>planning and forest management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stronger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coordination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national level is needed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various institutions were not involved in reporting progress on implementation measures.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South Africa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Limited capacity and financial resources to revise</w:t>
            </w:r>
            <w:r w:rsidR="006E16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biodiversity strategies.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South Sudan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Inadequate financial resources, legal and regulatory frameworks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weak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coordination between state and national governments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(for example,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State Director General of Agriculture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 is responsible for forestry services, reports only to the State Minister of Agriculture without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including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South Sudan Dir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ector General of Forestry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Sri Lanka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Limited capacity, both financial and human, to implement biodiversity conservati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on legislation and policies.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Sweden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Challenge in disseminating knowledge to all agencies, companies and persons involved in the implementation of CBD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insufficient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knowledge about appropriate management practices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shortage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agency manpower to reduce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rate of habitat loss.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F7E77" w:rsidRPr="00004BEC" w:rsidTr="00607E16">
        <w:tc>
          <w:tcPr>
            <w:tcW w:w="1524" w:type="dxa"/>
          </w:tcPr>
          <w:p w:rsidR="003F7E77" w:rsidRDefault="003F7E77" w:rsidP="00D068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Poor </w:t>
            </w:r>
            <w:r w:rsidR="00BF32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ecological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monitoring with insufficient data </w:t>
            </w:r>
          </w:p>
        </w:tc>
        <w:tc>
          <w:tcPr>
            <w:tcW w:w="7538" w:type="dxa"/>
          </w:tcPr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Brazil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Previous national report lacked adequate indicators and monitoring system for the biodiversity targets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lack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systematic biodiver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sity data for monitoring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Egypt</w:t>
            </w:r>
            <w:r w:rsidR="00D73B48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Poor documentation on the performance of protected areas in maintaining populations of their key species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lack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assessment on the status 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of the existing protected areas.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Ethiopia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Lack of data and systematic monitoring to track outcomes of participatory forest management activities, despite observable differences in reduced illegal timber cutting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lack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monitoring of the implementation strategy on the statu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 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trends of invasive species.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Mongolia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Lack of an integrated monitoring dat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abase for habitats and species.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Montenegro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Key problems in planning and executing annual monitoring programmes include lack of baseline data for certai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n areas, habitats and species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Norway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Current monitoring system is not comprehensive for species or geographical coverage.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Seychelles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Poor information sharing of bio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diversity data between agencies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South Africa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Challenge to develop indicators with GEF to measure the impact of funding pr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ovided for mainstreaming work.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Sri Lanka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Biodiversity Conservation Action Plan (BCAP) developed in 1998 does not prescribe specific targets or a timeline by which certain objectives are to be met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lack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cohesive and comprehensive monitoring mechanisms has led to challenges in measuring actual 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progress in conservation areas.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Sweden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Data on the valuable areas and structures of lakes, watercourses, coastal areas and corresponding landscape analyses are not available to 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the same degree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habitat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loss and degradation caused by unclear criteria for the achievement of sustainable use at the ecosys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tem level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Malaysia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Lack of cohesive monitoring mechanisms and indi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cators for measuring progress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3F7E77" w:rsidRPr="00004BEC" w:rsidTr="00607E16">
        <w:tc>
          <w:tcPr>
            <w:tcW w:w="1524" w:type="dxa"/>
          </w:tcPr>
          <w:p w:rsidR="003F7E77" w:rsidRDefault="003F7E77" w:rsidP="00D06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Difficulty in integrating environmental policies into sectors</w:t>
            </w:r>
          </w:p>
        </w:tc>
        <w:tc>
          <w:tcPr>
            <w:tcW w:w="7538" w:type="dxa"/>
          </w:tcPr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Egypt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Lack of effective institutional mechanisms for integrating biodiversity issues in broader national development policies to ensure coordination, cross-sectoral policy integra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tion and budgetary allocations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Norway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Little coordination of environmental considerations into economic instruments for a better joint management 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of biodiversity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cross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-cutting measures are needed in priority policy areas related to biodiversity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public administration needs to integrate biodiversity concerns into activities 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in various sectors of society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South Africa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Mainstreaming biodiversity across sectors requires institutional changes of 7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10 years, which is often beyond the lifetime of typical proj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ects or funding lifecycle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measuring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outcomes of mainstreaming is difficult, particularly if the intended outcome is avoided loss of biodiversity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avoided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loss is not as easy to measure as p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rotection or restoration.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6" w:hanging="206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Sri Lanka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Biodiversity concerns are not adequately integrated into the plans, policies and programmes of the agencies of the development sector (i.e., urban, harbour, tourism, mining, energy, road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and telecommunication networks).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F7E77" w:rsidRDefault="003F7E77" w:rsidP="00D068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Sweden</w:t>
            </w:r>
            <w:r w:rsidR="001B367B">
              <w:rPr>
                <w:rFonts w:ascii="Times New Roman" w:hAnsi="Times New Roman"/>
                <w:sz w:val="24"/>
                <w:szCs w:val="24"/>
                <w:lang w:val="en-GB"/>
              </w:rPr>
              <w:t>&lt;en space&gt;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targeting of environmental performance in sectors, without adding administrative burden or losing flexibility for enterprises to find individual smart solutio</w:t>
            </w:r>
            <w:r w:rsidR="00A17D9F">
              <w:rPr>
                <w:rFonts w:ascii="Times New Roman" w:hAnsi="Times New Roman"/>
                <w:sz w:val="24"/>
                <w:szCs w:val="24"/>
                <w:lang w:val="en-GB"/>
              </w:rPr>
              <w:t>ns, is a challenge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3F7E77" w:rsidRPr="00D068E8" w:rsidRDefault="00D73B48">
      <w:pPr>
        <w:spacing w:line="240" w:lineRule="auto"/>
        <w:rPr>
          <w:rFonts w:ascii="Times New Roman" w:hAnsi="Times New Roman"/>
          <w:lang w:val="en-GB"/>
        </w:rPr>
      </w:pPr>
      <w:r w:rsidRPr="00D068E8">
        <w:rPr>
          <w:rFonts w:ascii="Times New Roman" w:hAnsi="Times New Roman"/>
          <w:i/>
          <w:lang w:val="en-GB"/>
        </w:rPr>
        <w:t>Source</w:t>
      </w:r>
      <w:r>
        <w:rPr>
          <w:rFonts w:ascii="Times New Roman" w:hAnsi="Times New Roman"/>
          <w:lang w:val="en-GB"/>
        </w:rPr>
        <w:t>&lt;en space&gt;</w:t>
      </w:r>
      <w:r w:rsidRPr="00D068E8">
        <w:rPr>
          <w:rFonts w:ascii="Times New Roman" w:hAnsi="Times New Roman"/>
          <w:lang w:val="en-GB"/>
        </w:rPr>
        <w:t>Fifth (or most recent) national reports of parties to the CBD.</w:t>
      </w:r>
    </w:p>
    <w:p w:rsidR="003F7E77" w:rsidRPr="003F7E77" w:rsidRDefault="003F7E77">
      <w:pPr>
        <w:rPr>
          <w:lang w:val="en-GB"/>
        </w:rPr>
      </w:pPr>
    </w:p>
    <w:sectPr w:rsidR="003F7E77" w:rsidRPr="003F7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C0F"/>
    <w:multiLevelType w:val="multilevel"/>
    <w:tmpl w:val="17374C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A1B23"/>
    <w:multiLevelType w:val="multilevel"/>
    <w:tmpl w:val="1F3A1B2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8077F"/>
    <w:multiLevelType w:val="multilevel"/>
    <w:tmpl w:val="724807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C"/>
    <w:rsid w:val="00004BEC"/>
    <w:rsid w:val="00032E0C"/>
    <w:rsid w:val="000B0881"/>
    <w:rsid w:val="001114D0"/>
    <w:rsid w:val="001B367B"/>
    <w:rsid w:val="003012AB"/>
    <w:rsid w:val="00326A58"/>
    <w:rsid w:val="003F7E77"/>
    <w:rsid w:val="00470080"/>
    <w:rsid w:val="0048682C"/>
    <w:rsid w:val="004D51E7"/>
    <w:rsid w:val="00524B83"/>
    <w:rsid w:val="00616731"/>
    <w:rsid w:val="00624E37"/>
    <w:rsid w:val="006E167C"/>
    <w:rsid w:val="008865B1"/>
    <w:rsid w:val="008A69F1"/>
    <w:rsid w:val="00994D6C"/>
    <w:rsid w:val="00A17D9F"/>
    <w:rsid w:val="00AE0CD1"/>
    <w:rsid w:val="00B05433"/>
    <w:rsid w:val="00B73EB1"/>
    <w:rsid w:val="00BF3222"/>
    <w:rsid w:val="00C323CD"/>
    <w:rsid w:val="00D068E8"/>
    <w:rsid w:val="00D73B48"/>
    <w:rsid w:val="00E16740"/>
    <w:rsid w:val="00F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8B18C-E2B8-408D-9AC4-1A4FC0A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0C"/>
    <w:rPr>
      <w:rFonts w:ascii="Calibri" w:eastAsia="Calibri" w:hAnsi="Calibri" w:cs="Times New Roman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E0C"/>
    <w:pPr>
      <w:keepNext/>
      <w:keepLines/>
      <w:spacing w:before="240"/>
      <w:outlineLvl w:val="0"/>
    </w:pPr>
    <w:rPr>
      <w:rFonts w:ascii="Calibri Light" w:eastAsia="SimSun" w:hAnsi="Calibri Light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32E0C"/>
    <w:rPr>
      <w:rFonts w:ascii="Calibri Light" w:eastAsia="SimSun" w:hAnsi="Calibri Light" w:cs="Times New Roman"/>
      <w:color w:val="2E75B5"/>
      <w:sz w:val="32"/>
      <w:szCs w:val="32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032E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4D51E7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B1"/>
    <w:rPr>
      <w:rFonts w:ascii="Segoe UI" w:eastAsia="Calibri" w:hAnsi="Segoe UI" w:cs="Segoe UI"/>
      <w:sz w:val="18"/>
      <w:szCs w:val="18"/>
      <w:lang w:val="sv-SE" w:eastAsia="sv-SE"/>
    </w:rPr>
  </w:style>
  <w:style w:type="paragraph" w:styleId="NoSpacing">
    <w:name w:val="No Spacing"/>
    <w:uiPriority w:val="1"/>
    <w:qFormat/>
    <w:rsid w:val="00B73EB1"/>
    <w:rPr>
      <w:rFonts w:ascii="Calibri" w:eastAsia="Calibri" w:hAnsi="Calibri" w:cs="Times New Roman"/>
      <w:lang w:val="sv-SE" w:eastAsia="sv-SE"/>
    </w:rPr>
  </w:style>
  <w:style w:type="character" w:styleId="FootnoteReference">
    <w:name w:val="footnote reference"/>
    <w:basedOn w:val="DefaultParagraphFont"/>
    <w:link w:val="BVIfnrChar"/>
    <w:unhideWhenUsed/>
    <w:qFormat/>
    <w:rsid w:val="00B73EB1"/>
    <w:rPr>
      <w:vertAlign w:val="superscript"/>
    </w:rPr>
  </w:style>
  <w:style w:type="paragraph" w:customStyle="1" w:styleId="BVIfnrChar">
    <w:name w:val="BVI fnr Char"/>
    <w:basedOn w:val="Normal"/>
    <w:link w:val="FootnoteReference"/>
    <w:qFormat/>
    <w:rsid w:val="00B73EB1"/>
    <w:pPr>
      <w:spacing w:line="240" w:lineRule="exact"/>
      <w:jc w:val="both"/>
    </w:pPr>
    <w:rPr>
      <w:rFonts w:asciiTheme="minorHAnsi" w:eastAsiaTheme="minorHAnsi" w:hAnsiTheme="minorHAnsi" w:cstheme="minorBidi"/>
      <w:vertAlign w:val="super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McElwain</cp:lastModifiedBy>
  <cp:revision>2</cp:revision>
  <dcterms:created xsi:type="dcterms:W3CDTF">2021-05-17T17:40:00Z</dcterms:created>
  <dcterms:modified xsi:type="dcterms:W3CDTF">2021-05-17T17:40:00Z</dcterms:modified>
</cp:coreProperties>
</file>