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8F75DF" w14:textId="0AED9152" w:rsidR="00A85EF7" w:rsidRDefault="000835AC">
      <w:pPr>
        <w:jc w:val="center"/>
        <w:rPr>
          <w:b/>
        </w:rPr>
      </w:pPr>
      <w:r>
        <w:rPr>
          <w:b/>
        </w:rPr>
        <w:t xml:space="preserve">Supplementary Material for the Manuscript titled </w:t>
      </w:r>
    </w:p>
    <w:p w14:paraId="56ECB115" w14:textId="77777777" w:rsidR="005E0826" w:rsidRDefault="005E0826">
      <w:pPr>
        <w:jc w:val="center"/>
        <w:rPr>
          <w:b/>
        </w:rPr>
      </w:pPr>
    </w:p>
    <w:p w14:paraId="598F75E0" w14:textId="77777777" w:rsidR="00A85EF7" w:rsidRPr="005E0826" w:rsidRDefault="000835AC">
      <w:pPr>
        <w:jc w:val="center"/>
        <w:rPr>
          <w:b/>
        </w:rPr>
      </w:pPr>
      <w:r w:rsidRPr="005E0826">
        <w:rPr>
          <w:b/>
        </w:rPr>
        <w:t xml:space="preserve">“Measuring Subjective Stress among Young People in Hong Kong: </w:t>
      </w:r>
    </w:p>
    <w:p w14:paraId="598F75E1" w14:textId="77777777" w:rsidR="00A85EF7" w:rsidRPr="005E0826" w:rsidRDefault="000835AC">
      <w:pPr>
        <w:jc w:val="center"/>
        <w:rPr>
          <w:b/>
        </w:rPr>
      </w:pPr>
      <w:r w:rsidRPr="005E0826">
        <w:rPr>
          <w:b/>
        </w:rPr>
        <w:t xml:space="preserve">Validation and Predictive Utility of the Single-item Subjective Level of Stress (SLS-1) </w:t>
      </w:r>
    </w:p>
    <w:p w14:paraId="598F75E2" w14:textId="77777777" w:rsidR="00A85EF7" w:rsidRPr="005E0826" w:rsidRDefault="000835AC">
      <w:pPr>
        <w:jc w:val="center"/>
        <w:rPr>
          <w:b/>
        </w:rPr>
      </w:pPr>
      <w:r w:rsidRPr="005E0826">
        <w:rPr>
          <w:b/>
        </w:rPr>
        <w:t>in Epidemiological and Longitudinal Community Samples”</w:t>
      </w:r>
    </w:p>
    <w:p w14:paraId="598F75E3" w14:textId="5664B179" w:rsidR="00A85EF7" w:rsidRDefault="00A85EF7">
      <w:pPr>
        <w:spacing w:line="300" w:lineRule="auto"/>
        <w:rPr>
          <w:vertAlign w:val="superscript"/>
        </w:rPr>
      </w:pPr>
    </w:p>
    <w:p w14:paraId="6FF95C46" w14:textId="77777777" w:rsidR="005E0826" w:rsidRDefault="005E0826">
      <w:pPr>
        <w:spacing w:line="300" w:lineRule="auto"/>
        <w:rPr>
          <w:vertAlign w:val="superscript"/>
        </w:rPr>
      </w:pPr>
    </w:p>
    <w:p w14:paraId="598F75E4" w14:textId="77777777" w:rsidR="00A85EF7" w:rsidRDefault="000835AC">
      <w:pPr>
        <w:widowControl w:val="0"/>
        <w:spacing w:line="240" w:lineRule="auto"/>
        <w:rPr>
          <w:vertAlign w:val="superscript"/>
        </w:rPr>
      </w:pPr>
      <w:r>
        <w:t>Stephanie MY Wong</w:t>
      </w:r>
      <w:r>
        <w:rPr>
          <w:vertAlign w:val="superscript"/>
        </w:rPr>
        <w:t>1</w:t>
      </w:r>
      <w:r>
        <w:t>, Bess YH Lam</w:t>
      </w:r>
      <w:r>
        <w:rPr>
          <w:vertAlign w:val="superscript"/>
        </w:rPr>
        <w:t>1</w:t>
      </w:r>
      <w:r>
        <w:t>, Corine SM Wong</w:t>
      </w:r>
      <w:r>
        <w:rPr>
          <w:vertAlign w:val="superscript"/>
        </w:rPr>
        <w:t>1</w:t>
      </w:r>
      <w:r>
        <w:t>, Hattie PY Lee</w:t>
      </w:r>
      <w:r>
        <w:rPr>
          <w:vertAlign w:val="superscript"/>
        </w:rPr>
        <w:t>1</w:t>
      </w:r>
      <w:r>
        <w:t>, Gloria HY Wong</w:t>
      </w:r>
      <w:r>
        <w:rPr>
          <w:vertAlign w:val="superscript"/>
        </w:rPr>
        <w:t>2</w:t>
      </w:r>
      <w:r>
        <w:t>, Simon SY Lui</w:t>
      </w:r>
      <w:r>
        <w:rPr>
          <w:vertAlign w:val="superscript"/>
        </w:rPr>
        <w:t>1</w:t>
      </w:r>
      <w:r>
        <w:t>, KT Chan</w:t>
      </w:r>
      <w:r>
        <w:rPr>
          <w:vertAlign w:val="superscript"/>
        </w:rPr>
        <w:t>1</w:t>
      </w:r>
      <w:r>
        <w:t>, Michael TH Wong</w:t>
      </w:r>
      <w:r>
        <w:rPr>
          <w:vertAlign w:val="superscript"/>
        </w:rPr>
        <w:t>1</w:t>
      </w:r>
      <w:r>
        <w:t>, Sherry KW Chan</w:t>
      </w:r>
      <w:r>
        <w:rPr>
          <w:vertAlign w:val="superscript"/>
        </w:rPr>
        <w:t>1,3</w:t>
      </w:r>
      <w:r>
        <w:t>, WC Chang</w:t>
      </w:r>
      <w:r>
        <w:rPr>
          <w:vertAlign w:val="superscript"/>
        </w:rPr>
        <w:t>1,3</w:t>
      </w:r>
      <w:r>
        <w:t>, Edwin HM Lee</w:t>
      </w:r>
      <w:r>
        <w:rPr>
          <w:vertAlign w:val="superscript"/>
        </w:rPr>
        <w:t>1</w:t>
      </w:r>
      <w:r>
        <w:t>, YN Suen</w:t>
      </w:r>
      <w:r>
        <w:rPr>
          <w:vertAlign w:val="superscript"/>
        </w:rPr>
        <w:t>1</w:t>
      </w:r>
      <w:r>
        <w:t>, Christy LM Hui</w:t>
      </w:r>
      <w:r>
        <w:rPr>
          <w:vertAlign w:val="superscript"/>
        </w:rPr>
        <w:t>1*</w:t>
      </w:r>
      <w:r>
        <w:t>, Eric YH Chen</w:t>
      </w:r>
      <w:r>
        <w:rPr>
          <w:vertAlign w:val="superscript"/>
        </w:rPr>
        <w:t>1,3</w:t>
      </w:r>
    </w:p>
    <w:p w14:paraId="598F75E5" w14:textId="77777777" w:rsidR="00A85EF7" w:rsidRDefault="00A85EF7"/>
    <w:p w14:paraId="598F75E6" w14:textId="77777777" w:rsidR="00A85EF7" w:rsidRDefault="000835AC">
      <w:pPr>
        <w:widowControl w:val="0"/>
        <w:spacing w:line="240" w:lineRule="auto"/>
        <w:rPr>
          <w:sz w:val="20"/>
          <w:szCs w:val="20"/>
        </w:rPr>
      </w:pPr>
      <w:r>
        <w:rPr>
          <w:sz w:val="20"/>
          <w:szCs w:val="20"/>
          <w:vertAlign w:val="superscript"/>
        </w:rPr>
        <w:t xml:space="preserve">1 </w:t>
      </w:r>
      <w:r>
        <w:rPr>
          <w:sz w:val="20"/>
          <w:szCs w:val="20"/>
        </w:rPr>
        <w:t>Department of Psychiatry, LKS Faculty of Medicine, University of Hong Kong, Hong Kong</w:t>
      </w:r>
    </w:p>
    <w:p w14:paraId="598F75E7" w14:textId="77777777" w:rsidR="00A85EF7" w:rsidRDefault="000835AC">
      <w:pPr>
        <w:rPr>
          <w:sz w:val="20"/>
          <w:szCs w:val="20"/>
        </w:rPr>
      </w:pPr>
      <w:r>
        <w:rPr>
          <w:sz w:val="20"/>
          <w:szCs w:val="20"/>
          <w:vertAlign w:val="superscript"/>
        </w:rPr>
        <w:t xml:space="preserve">2 </w:t>
      </w:r>
      <w:r>
        <w:rPr>
          <w:sz w:val="20"/>
          <w:szCs w:val="20"/>
        </w:rPr>
        <w:t>Department of Social Work and Social Administration, University of Hong Kong, Hong Kong</w:t>
      </w:r>
    </w:p>
    <w:p w14:paraId="598F75E8" w14:textId="77777777" w:rsidR="00A85EF7" w:rsidRDefault="000835AC">
      <w:pPr>
        <w:rPr>
          <w:sz w:val="20"/>
          <w:szCs w:val="20"/>
        </w:rPr>
      </w:pPr>
      <w:r>
        <w:rPr>
          <w:sz w:val="20"/>
          <w:szCs w:val="20"/>
          <w:vertAlign w:val="superscript"/>
        </w:rPr>
        <w:t xml:space="preserve">3 </w:t>
      </w:r>
      <w:r>
        <w:rPr>
          <w:sz w:val="20"/>
          <w:szCs w:val="20"/>
        </w:rPr>
        <w:t>Key Laboratory of Brain and Cognitive Sciences, University of Hong Kong, Hong Kong</w:t>
      </w:r>
    </w:p>
    <w:p w14:paraId="598F75E9" w14:textId="4C55EA28" w:rsidR="00A85EF7" w:rsidRDefault="00A85EF7">
      <w:pPr>
        <w:rPr>
          <w:sz w:val="20"/>
          <w:szCs w:val="20"/>
        </w:rPr>
      </w:pPr>
    </w:p>
    <w:p w14:paraId="1704DCC5" w14:textId="77777777" w:rsidR="005E0826" w:rsidRDefault="005E0826">
      <w:pPr>
        <w:rPr>
          <w:sz w:val="20"/>
          <w:szCs w:val="20"/>
        </w:rPr>
      </w:pPr>
    </w:p>
    <w:p w14:paraId="598F75EA" w14:textId="77777777" w:rsidR="00A85EF7" w:rsidRPr="005E0826" w:rsidRDefault="000835AC">
      <w:r w:rsidRPr="005E0826">
        <w:t xml:space="preserve">*Corresponding author: </w:t>
      </w:r>
    </w:p>
    <w:p w14:paraId="598F75EB" w14:textId="77777777" w:rsidR="00A85EF7" w:rsidRPr="005E0826" w:rsidRDefault="000835AC">
      <w:r w:rsidRPr="005E0826">
        <w:t xml:space="preserve">Dr Christy Lai Ming Hui </w:t>
      </w:r>
    </w:p>
    <w:p w14:paraId="598F75EC" w14:textId="77777777" w:rsidR="00A85EF7" w:rsidRPr="005E0826" w:rsidRDefault="000835AC">
      <w:r w:rsidRPr="005E0826">
        <w:t>(Associate Professor, Department of Psychiatry, University of Hong Kong)</w:t>
      </w:r>
    </w:p>
    <w:p w14:paraId="0E8A60F8" w14:textId="77777777" w:rsidR="005E0826" w:rsidRPr="005E0826" w:rsidRDefault="005E0826"/>
    <w:p w14:paraId="598F75EE" w14:textId="77777777" w:rsidR="00A85EF7" w:rsidRPr="005E0826" w:rsidRDefault="000835AC">
      <w:r w:rsidRPr="005E0826">
        <w:t xml:space="preserve">Address: Department of Psychiatry, University of Hong Kong, 2/F New Clinical Building, Queen Mary Hospital, </w:t>
      </w:r>
      <w:proofErr w:type="spellStart"/>
      <w:r w:rsidRPr="005E0826">
        <w:t>Pokfulam</w:t>
      </w:r>
      <w:proofErr w:type="spellEnd"/>
      <w:r w:rsidRPr="005E0826">
        <w:t xml:space="preserve"> Road, Hong Kong</w:t>
      </w:r>
    </w:p>
    <w:p w14:paraId="598F75EF" w14:textId="77777777" w:rsidR="00A85EF7" w:rsidRPr="005E0826" w:rsidRDefault="000835AC">
      <w:r w:rsidRPr="005E0826">
        <w:t xml:space="preserve">Email: </w:t>
      </w:r>
      <w:hyperlink r:id="rId6">
        <w:r w:rsidRPr="005E0826">
          <w:rPr>
            <w:color w:val="1155CC"/>
            <w:u w:val="single"/>
          </w:rPr>
          <w:t>christy@lmhui.com</w:t>
        </w:r>
      </w:hyperlink>
      <w:r w:rsidRPr="005E0826">
        <w:t xml:space="preserve"> </w:t>
      </w:r>
    </w:p>
    <w:p w14:paraId="598F75F0" w14:textId="77777777" w:rsidR="00A85EF7" w:rsidRPr="005E0826" w:rsidRDefault="000835AC">
      <w:r w:rsidRPr="005E0826">
        <w:t>Number: (852) 2255 3064</w:t>
      </w:r>
    </w:p>
    <w:p w14:paraId="598F75F1" w14:textId="77777777" w:rsidR="00A85EF7" w:rsidRDefault="00A85EF7"/>
    <w:p w14:paraId="598F75F2" w14:textId="77777777" w:rsidR="00A85EF7" w:rsidRDefault="000835AC">
      <w:r>
        <w:br w:type="page"/>
      </w:r>
    </w:p>
    <w:p w14:paraId="598F75F3" w14:textId="77777777" w:rsidR="00A85EF7" w:rsidRDefault="00A85EF7"/>
    <w:p w14:paraId="598F75F4" w14:textId="77777777" w:rsidR="00A85EF7" w:rsidRDefault="000835AC">
      <w:pPr>
        <w:rPr>
          <w:b/>
        </w:rPr>
      </w:pPr>
      <w:r>
        <w:rPr>
          <w:b/>
        </w:rPr>
        <w:t>Table of Content</w:t>
      </w:r>
    </w:p>
    <w:p w14:paraId="598F75F5" w14:textId="77777777" w:rsidR="00A85EF7" w:rsidRDefault="00A85EF7">
      <w:pPr>
        <w:rPr>
          <w:b/>
        </w:rPr>
      </w:pPr>
    </w:p>
    <w:sdt>
      <w:sdtPr>
        <w:id w:val="-140272909"/>
        <w:docPartObj>
          <w:docPartGallery w:val="Table of Contents"/>
          <w:docPartUnique/>
        </w:docPartObj>
      </w:sdtPr>
      <w:sdtEndPr/>
      <w:sdtContent>
        <w:p w14:paraId="56556F84" w14:textId="675E2DBA" w:rsidR="00ED102F" w:rsidRDefault="000835AC">
          <w:pPr>
            <w:pStyle w:val="TOC2"/>
            <w:tabs>
              <w:tab w:val="right" w:pos="9630"/>
            </w:tabs>
            <w:rPr>
              <w:noProof/>
            </w:rPr>
          </w:pPr>
          <w:r>
            <w:fldChar w:fldCharType="begin"/>
          </w:r>
          <w:r>
            <w:instrText xml:space="preserve"> TOC \h \u \z </w:instrText>
          </w:r>
          <w:r>
            <w:fldChar w:fldCharType="separate"/>
          </w:r>
          <w:hyperlink w:anchor="_Toc71493583" w:history="1">
            <w:r w:rsidR="00ED102F" w:rsidRPr="005C6A90">
              <w:rPr>
                <w:rStyle w:val="Hyperlink"/>
                <w:noProof/>
              </w:rPr>
              <w:t>Supplementary Material S1. Flow chart of participants in Study 2.</w:t>
            </w:r>
            <w:r w:rsidR="00ED102F">
              <w:rPr>
                <w:noProof/>
                <w:webHidden/>
              </w:rPr>
              <w:tab/>
            </w:r>
            <w:r w:rsidR="00ED102F">
              <w:rPr>
                <w:noProof/>
                <w:webHidden/>
              </w:rPr>
              <w:fldChar w:fldCharType="begin"/>
            </w:r>
            <w:r w:rsidR="00ED102F">
              <w:rPr>
                <w:noProof/>
                <w:webHidden/>
              </w:rPr>
              <w:instrText xml:space="preserve"> PAGEREF _Toc71493583 \h </w:instrText>
            </w:r>
            <w:r w:rsidR="00ED102F">
              <w:rPr>
                <w:noProof/>
                <w:webHidden/>
              </w:rPr>
            </w:r>
            <w:r w:rsidR="00ED102F">
              <w:rPr>
                <w:noProof/>
                <w:webHidden/>
              </w:rPr>
              <w:fldChar w:fldCharType="separate"/>
            </w:r>
            <w:r w:rsidR="00ED102F">
              <w:rPr>
                <w:noProof/>
                <w:webHidden/>
              </w:rPr>
              <w:t>3</w:t>
            </w:r>
            <w:r w:rsidR="00ED102F">
              <w:rPr>
                <w:noProof/>
                <w:webHidden/>
              </w:rPr>
              <w:fldChar w:fldCharType="end"/>
            </w:r>
          </w:hyperlink>
        </w:p>
        <w:p w14:paraId="26A40607" w14:textId="4276D2BD" w:rsidR="00ED102F" w:rsidRDefault="00ED102F">
          <w:pPr>
            <w:pStyle w:val="TOC2"/>
            <w:tabs>
              <w:tab w:val="right" w:pos="9630"/>
            </w:tabs>
            <w:rPr>
              <w:noProof/>
            </w:rPr>
          </w:pPr>
          <w:hyperlink w:anchor="_Toc71493584" w:history="1">
            <w:r w:rsidRPr="005C6A90">
              <w:rPr>
                <w:rStyle w:val="Hyperlink"/>
                <w:noProof/>
              </w:rPr>
              <w:t>Supplementary Material S2. Calculations of content and face validity of the SLS-1.</w:t>
            </w:r>
            <w:r>
              <w:rPr>
                <w:noProof/>
                <w:webHidden/>
              </w:rPr>
              <w:tab/>
            </w:r>
            <w:r>
              <w:rPr>
                <w:noProof/>
                <w:webHidden/>
              </w:rPr>
              <w:fldChar w:fldCharType="begin"/>
            </w:r>
            <w:r>
              <w:rPr>
                <w:noProof/>
                <w:webHidden/>
              </w:rPr>
              <w:instrText xml:space="preserve"> PAGEREF _Toc71493584 \h </w:instrText>
            </w:r>
            <w:r>
              <w:rPr>
                <w:noProof/>
                <w:webHidden/>
              </w:rPr>
            </w:r>
            <w:r>
              <w:rPr>
                <w:noProof/>
                <w:webHidden/>
              </w:rPr>
              <w:fldChar w:fldCharType="separate"/>
            </w:r>
            <w:r>
              <w:rPr>
                <w:noProof/>
                <w:webHidden/>
              </w:rPr>
              <w:t>4</w:t>
            </w:r>
            <w:r>
              <w:rPr>
                <w:noProof/>
                <w:webHidden/>
              </w:rPr>
              <w:fldChar w:fldCharType="end"/>
            </w:r>
          </w:hyperlink>
        </w:p>
        <w:p w14:paraId="7D8803AB" w14:textId="0F8AF229" w:rsidR="00ED102F" w:rsidRDefault="00ED102F">
          <w:pPr>
            <w:pStyle w:val="TOC2"/>
            <w:tabs>
              <w:tab w:val="right" w:pos="9630"/>
            </w:tabs>
            <w:rPr>
              <w:noProof/>
            </w:rPr>
          </w:pPr>
          <w:hyperlink w:anchor="_Toc71493585" w:history="1">
            <w:r w:rsidRPr="005C6A90">
              <w:rPr>
                <w:rStyle w:val="Hyperlink"/>
                <w:noProof/>
              </w:rPr>
              <w:t>Supplementary Material S3. Subgroup analysis in participants in the longitudinal community youth sample (Study 2) aged between 15 and 24 years (n=242).</w:t>
            </w:r>
            <w:r>
              <w:rPr>
                <w:noProof/>
                <w:webHidden/>
              </w:rPr>
              <w:tab/>
            </w:r>
            <w:r>
              <w:rPr>
                <w:noProof/>
                <w:webHidden/>
              </w:rPr>
              <w:fldChar w:fldCharType="begin"/>
            </w:r>
            <w:r>
              <w:rPr>
                <w:noProof/>
                <w:webHidden/>
              </w:rPr>
              <w:instrText xml:space="preserve"> PAGEREF _Toc71493585 \h </w:instrText>
            </w:r>
            <w:r>
              <w:rPr>
                <w:noProof/>
                <w:webHidden/>
              </w:rPr>
            </w:r>
            <w:r>
              <w:rPr>
                <w:noProof/>
                <w:webHidden/>
              </w:rPr>
              <w:fldChar w:fldCharType="separate"/>
            </w:r>
            <w:r>
              <w:rPr>
                <w:noProof/>
                <w:webHidden/>
              </w:rPr>
              <w:t>5</w:t>
            </w:r>
            <w:r>
              <w:rPr>
                <w:noProof/>
                <w:webHidden/>
              </w:rPr>
              <w:fldChar w:fldCharType="end"/>
            </w:r>
          </w:hyperlink>
        </w:p>
        <w:p w14:paraId="6601C21C" w14:textId="06783C7C" w:rsidR="00ED102F" w:rsidRDefault="00ED102F">
          <w:pPr>
            <w:pStyle w:val="TOC3"/>
            <w:tabs>
              <w:tab w:val="right" w:pos="9630"/>
            </w:tabs>
            <w:rPr>
              <w:noProof/>
            </w:rPr>
          </w:pPr>
          <w:hyperlink w:anchor="_Toc71493586" w:history="1">
            <w:r w:rsidRPr="005C6A90">
              <w:rPr>
                <w:rStyle w:val="Hyperlink"/>
                <w:noProof/>
              </w:rPr>
              <w:t>Table S1.</w:t>
            </w:r>
            <w:r>
              <w:rPr>
                <w:noProof/>
                <w:webHidden/>
              </w:rPr>
              <w:tab/>
            </w:r>
            <w:r>
              <w:rPr>
                <w:noProof/>
                <w:webHidden/>
              </w:rPr>
              <w:fldChar w:fldCharType="begin"/>
            </w:r>
            <w:r>
              <w:rPr>
                <w:noProof/>
                <w:webHidden/>
              </w:rPr>
              <w:instrText xml:space="preserve"> PAGEREF _Toc71493586 \h </w:instrText>
            </w:r>
            <w:r>
              <w:rPr>
                <w:noProof/>
                <w:webHidden/>
              </w:rPr>
            </w:r>
            <w:r>
              <w:rPr>
                <w:noProof/>
                <w:webHidden/>
              </w:rPr>
              <w:fldChar w:fldCharType="separate"/>
            </w:r>
            <w:r>
              <w:rPr>
                <w:noProof/>
                <w:webHidden/>
              </w:rPr>
              <w:t>6</w:t>
            </w:r>
            <w:r>
              <w:rPr>
                <w:noProof/>
                <w:webHidden/>
              </w:rPr>
              <w:fldChar w:fldCharType="end"/>
            </w:r>
          </w:hyperlink>
        </w:p>
        <w:p w14:paraId="6C80AA46" w14:textId="3AF711C9" w:rsidR="00ED102F" w:rsidRDefault="00ED102F">
          <w:pPr>
            <w:pStyle w:val="TOC2"/>
            <w:tabs>
              <w:tab w:val="right" w:pos="9630"/>
            </w:tabs>
            <w:rPr>
              <w:noProof/>
            </w:rPr>
          </w:pPr>
          <w:hyperlink w:anchor="_Toc71493587" w:history="1">
            <w:r w:rsidRPr="005C6A90">
              <w:rPr>
                <w:rStyle w:val="Hyperlink"/>
                <w:noProof/>
              </w:rPr>
              <w:t>Supplementary Material S4. Relationship between the SLS-1 and other related factors of depressive and anxiety symptoms a</w:t>
            </w:r>
            <w:r w:rsidRPr="005C6A90">
              <w:rPr>
                <w:rStyle w:val="Hyperlink"/>
                <w:noProof/>
              </w:rPr>
              <w:t>n</w:t>
            </w:r>
            <w:r w:rsidRPr="005C6A90">
              <w:rPr>
                <w:rStyle w:val="Hyperlink"/>
                <w:noProof/>
              </w:rPr>
              <w:t>d their associations with symptom outcomes.</w:t>
            </w:r>
            <w:r>
              <w:rPr>
                <w:noProof/>
                <w:webHidden/>
              </w:rPr>
              <w:tab/>
            </w:r>
            <w:r>
              <w:rPr>
                <w:noProof/>
                <w:webHidden/>
              </w:rPr>
              <w:fldChar w:fldCharType="begin"/>
            </w:r>
            <w:r>
              <w:rPr>
                <w:noProof/>
                <w:webHidden/>
              </w:rPr>
              <w:instrText xml:space="preserve"> PAGEREF _Toc71493587 \h </w:instrText>
            </w:r>
            <w:r>
              <w:rPr>
                <w:noProof/>
                <w:webHidden/>
              </w:rPr>
            </w:r>
            <w:r>
              <w:rPr>
                <w:noProof/>
                <w:webHidden/>
              </w:rPr>
              <w:fldChar w:fldCharType="separate"/>
            </w:r>
            <w:r>
              <w:rPr>
                <w:noProof/>
                <w:webHidden/>
              </w:rPr>
              <w:t>7</w:t>
            </w:r>
            <w:r>
              <w:rPr>
                <w:noProof/>
                <w:webHidden/>
              </w:rPr>
              <w:fldChar w:fldCharType="end"/>
            </w:r>
          </w:hyperlink>
        </w:p>
        <w:p w14:paraId="1F11342C" w14:textId="75028A1B" w:rsidR="00ED102F" w:rsidRDefault="00ED102F">
          <w:pPr>
            <w:pStyle w:val="TOC3"/>
            <w:tabs>
              <w:tab w:val="right" w:pos="9630"/>
            </w:tabs>
            <w:rPr>
              <w:noProof/>
            </w:rPr>
          </w:pPr>
          <w:hyperlink w:anchor="_Toc71493588" w:history="1">
            <w:r w:rsidRPr="005C6A90">
              <w:rPr>
                <w:rStyle w:val="Hyperlink"/>
                <w:noProof/>
              </w:rPr>
              <w:t>Table S2.</w:t>
            </w:r>
            <w:r>
              <w:rPr>
                <w:noProof/>
                <w:webHidden/>
              </w:rPr>
              <w:tab/>
            </w:r>
            <w:r>
              <w:rPr>
                <w:noProof/>
                <w:webHidden/>
              </w:rPr>
              <w:fldChar w:fldCharType="begin"/>
            </w:r>
            <w:r>
              <w:rPr>
                <w:noProof/>
                <w:webHidden/>
              </w:rPr>
              <w:instrText xml:space="preserve"> PAGEREF _Toc71493588 \h </w:instrText>
            </w:r>
            <w:r>
              <w:rPr>
                <w:noProof/>
                <w:webHidden/>
              </w:rPr>
            </w:r>
            <w:r>
              <w:rPr>
                <w:noProof/>
                <w:webHidden/>
              </w:rPr>
              <w:fldChar w:fldCharType="separate"/>
            </w:r>
            <w:r>
              <w:rPr>
                <w:noProof/>
                <w:webHidden/>
              </w:rPr>
              <w:t>8</w:t>
            </w:r>
            <w:r>
              <w:rPr>
                <w:noProof/>
                <w:webHidden/>
              </w:rPr>
              <w:fldChar w:fldCharType="end"/>
            </w:r>
          </w:hyperlink>
        </w:p>
        <w:p w14:paraId="598F75FB" w14:textId="720B2F75" w:rsidR="00A85EF7" w:rsidRDefault="000835AC">
          <w:pPr>
            <w:tabs>
              <w:tab w:val="right" w:pos="9637"/>
            </w:tabs>
            <w:spacing w:before="60" w:after="80" w:line="240" w:lineRule="auto"/>
            <w:ind w:left="360"/>
            <w:rPr>
              <w:color w:val="000000"/>
            </w:rPr>
          </w:pPr>
          <w:r>
            <w:fldChar w:fldCharType="end"/>
          </w:r>
        </w:p>
      </w:sdtContent>
    </w:sdt>
    <w:p w14:paraId="598F75FC" w14:textId="77777777" w:rsidR="00A85EF7" w:rsidRDefault="00A85EF7"/>
    <w:p w14:paraId="598F75FD" w14:textId="77777777" w:rsidR="00A85EF7" w:rsidRDefault="00A85EF7"/>
    <w:p w14:paraId="598F75FE" w14:textId="77777777" w:rsidR="00A85EF7" w:rsidRDefault="000835AC">
      <w:r>
        <w:br w:type="page"/>
      </w:r>
    </w:p>
    <w:p w14:paraId="598F75FF" w14:textId="77777777" w:rsidR="00A85EF7" w:rsidRDefault="000835AC">
      <w:pPr>
        <w:pStyle w:val="Heading2"/>
      </w:pPr>
      <w:bookmarkStart w:id="0" w:name="_Toc71493583"/>
      <w:r>
        <w:lastRenderedPageBreak/>
        <w:t>Supplementary Material S1. Flow chart of participants in Study 2.</w:t>
      </w:r>
      <w:bookmarkEnd w:id="0"/>
    </w:p>
    <w:p w14:paraId="598F7600" w14:textId="77777777" w:rsidR="00A85EF7" w:rsidRDefault="00A85EF7"/>
    <w:p w14:paraId="598F7601" w14:textId="416B7A0C" w:rsidR="00A85EF7" w:rsidRDefault="000835AC">
      <w:r>
        <w:t xml:space="preserve">Figure S1 presents the flow of participants in Study 2 over the 12-month period. The flow chart shows the number of participants at the four assessment time points (baseline, 3-month and 6-month, and 12-month), including those who were not included in the current analyses for reasons of follow-up assessments not due </w:t>
      </w:r>
      <w:r w:rsidR="006D5080">
        <w:t xml:space="preserve">or </w:t>
      </w:r>
      <w:r>
        <w:t>loss to follow-up (Figure S1).</w:t>
      </w:r>
    </w:p>
    <w:p w14:paraId="598F7602" w14:textId="77777777" w:rsidR="00A85EF7" w:rsidRDefault="00A85EF7"/>
    <w:p w14:paraId="598F7603" w14:textId="105736F8" w:rsidR="00A85EF7" w:rsidRDefault="005864DB">
      <w:pPr>
        <w:jc w:val="center"/>
      </w:pPr>
      <w:r>
        <w:rPr>
          <w:noProof/>
        </w:rPr>
        <w:drawing>
          <wp:inline distT="0" distB="0" distL="0" distR="0" wp14:anchorId="7CE49198" wp14:editId="67B27BB0">
            <wp:extent cx="4508500" cy="538480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08500" cy="5384800"/>
                    </a:xfrm>
                    <a:prstGeom prst="rect">
                      <a:avLst/>
                    </a:prstGeom>
                  </pic:spPr>
                </pic:pic>
              </a:graphicData>
            </a:graphic>
          </wp:inline>
        </w:drawing>
      </w:r>
    </w:p>
    <w:p w14:paraId="598F7604" w14:textId="77777777" w:rsidR="00A85EF7" w:rsidRDefault="00A85EF7">
      <w:pPr>
        <w:jc w:val="center"/>
        <w:rPr>
          <w:sz w:val="20"/>
          <w:szCs w:val="20"/>
        </w:rPr>
      </w:pPr>
    </w:p>
    <w:p w14:paraId="598F7605" w14:textId="77777777" w:rsidR="00A85EF7" w:rsidRDefault="000835AC">
      <w:pPr>
        <w:ind w:left="1417" w:right="842"/>
        <w:rPr>
          <w:sz w:val="20"/>
          <w:szCs w:val="20"/>
        </w:rPr>
      </w:pPr>
      <w:r>
        <w:rPr>
          <w:b/>
          <w:sz w:val="20"/>
          <w:szCs w:val="20"/>
        </w:rPr>
        <w:t>Figure S1.</w:t>
      </w:r>
      <w:r>
        <w:rPr>
          <w:sz w:val="20"/>
          <w:szCs w:val="20"/>
        </w:rPr>
        <w:t xml:space="preserve"> Flow chart of participants over the 12-month period in the longitudinal community study (Study 2)</w:t>
      </w:r>
    </w:p>
    <w:p w14:paraId="598F7606" w14:textId="77777777" w:rsidR="00A85EF7" w:rsidRDefault="00A85EF7"/>
    <w:p w14:paraId="598F7607" w14:textId="06B607D5" w:rsidR="00A85EF7" w:rsidRDefault="000835AC">
      <w:r>
        <w:br w:type="page"/>
      </w:r>
    </w:p>
    <w:p w14:paraId="598F7608" w14:textId="77777777" w:rsidR="00A85EF7" w:rsidRDefault="000835AC">
      <w:pPr>
        <w:pStyle w:val="Heading2"/>
      </w:pPr>
      <w:bookmarkStart w:id="1" w:name="_Toc71493584"/>
      <w:r>
        <w:lastRenderedPageBreak/>
        <w:t>Supplementary Material S2. Calculations of content and face validity of the SLS-1.</w:t>
      </w:r>
      <w:bookmarkEnd w:id="1"/>
      <w:r>
        <w:t xml:space="preserve"> </w:t>
      </w:r>
    </w:p>
    <w:p w14:paraId="598F7609" w14:textId="77777777" w:rsidR="00A85EF7" w:rsidRDefault="00A85EF7"/>
    <w:p w14:paraId="598F760A" w14:textId="1644BA81" w:rsidR="00A85EF7" w:rsidRDefault="000835AC">
      <w:r>
        <w:t>A panel was formed with eight mental health experts (psychiatrists and senior researchers of the project team) and 12 laypersons (young people not involved in the current work) to assess the content and face validity of the SLS-1 using an anonymous online questionnaire.</w:t>
      </w:r>
    </w:p>
    <w:p w14:paraId="598F760B" w14:textId="77777777" w:rsidR="00A85EF7" w:rsidRDefault="00A85EF7"/>
    <w:p w14:paraId="598F760C" w14:textId="5D1D0266" w:rsidR="00A85EF7" w:rsidRDefault="000835AC">
      <w:r>
        <w:t xml:space="preserve">Content validity of the SLS-1 using the item-level content validity index (I-CVI; Polit &amp; Beck, 2006) for item relevance and content validity ratio (CVR; </w:t>
      </w:r>
      <w:proofErr w:type="spellStart"/>
      <w:r>
        <w:t>Lawshe</w:t>
      </w:r>
      <w:proofErr w:type="spellEnd"/>
      <w:r>
        <w:t xml:space="preserve">, 1975) for item essentiality. Each panel member was first asked to rate the SLS-1 on a 4-point Likert scale from 1 (not relevant) to 4 (very relevant). The number of ratings of “relevant” or “very relevant” was divided by the number of panel members to yield the I-CVI (Polit &amp; Beck, 2006). On a scale from 1 (not necessary) to 3 (essential), </w:t>
      </w:r>
      <w:r w:rsidRPr="00853C9F">
        <w:t>the CVR was computed using the formula (N</w:t>
      </w:r>
      <w:r w:rsidRPr="00853C9F">
        <w:rPr>
          <w:vertAlign w:val="subscript"/>
        </w:rPr>
        <w:t>e</w:t>
      </w:r>
      <w:r w:rsidRPr="00853C9F">
        <w:t xml:space="preserve"> - N/2)/(N/2), where N</w:t>
      </w:r>
      <w:r w:rsidRPr="00853C9F">
        <w:rPr>
          <w:vertAlign w:val="subscript"/>
        </w:rPr>
        <w:t>e</w:t>
      </w:r>
      <w:r w:rsidRPr="00853C9F">
        <w:rPr>
          <w:rFonts w:eastAsia="Arial Unicode MS"/>
        </w:rPr>
        <w:t xml:space="preserve"> denotes the number of times the item was rated as “essential” (</w:t>
      </w:r>
      <w:proofErr w:type="spellStart"/>
      <w:r w:rsidRPr="00853C9F">
        <w:rPr>
          <w:rFonts w:eastAsia="Arial Unicode MS"/>
        </w:rPr>
        <w:t>Lawshe</w:t>
      </w:r>
      <w:proofErr w:type="spellEnd"/>
      <w:r w:rsidRPr="00853C9F">
        <w:rPr>
          <w:rFonts w:eastAsia="Arial Unicode MS"/>
        </w:rPr>
        <w:t>, 1975). For item face validity, panel members were asked to rate the SLS-1 from 1 (not important) to (very important) to compute an impact score (proportion of panel members rating “important” or “very important” as multiplied by the mean level of importance; Lacasse</w:t>
      </w:r>
      <w:r w:rsidR="00DC2586">
        <w:rPr>
          <w:rFonts w:eastAsia="Arial Unicode MS"/>
        </w:rPr>
        <w:t xml:space="preserve"> et al.</w:t>
      </w:r>
      <w:r w:rsidRPr="00853C9F">
        <w:rPr>
          <w:rFonts w:eastAsia="Arial Unicode MS"/>
        </w:rPr>
        <w:t>, 2002). The item was recommended to be retained upon meeting the criteria of (</w:t>
      </w:r>
      <w:proofErr w:type="spellStart"/>
      <w:r w:rsidRPr="00853C9F">
        <w:rPr>
          <w:rFonts w:eastAsia="Arial Unicode MS"/>
        </w:rPr>
        <w:t>i</w:t>
      </w:r>
      <w:proofErr w:type="spellEnd"/>
      <w:r w:rsidRPr="00853C9F">
        <w:rPr>
          <w:rFonts w:eastAsia="Arial Unicode MS"/>
        </w:rPr>
        <w:t>) I-CVI≥0.78, (Polit &amp; Beck, 2006)</w:t>
      </w:r>
      <w:r w:rsidR="00853C9F">
        <w:rPr>
          <w:rFonts w:eastAsia="Arial Unicode MS"/>
        </w:rPr>
        <w:t>,</w:t>
      </w:r>
      <w:r w:rsidRPr="00853C9F">
        <w:rPr>
          <w:rFonts w:eastAsia="Arial Unicode MS"/>
        </w:rPr>
        <w:t xml:space="preserve"> (ii) CVR≥0.62 (</w:t>
      </w:r>
      <w:proofErr w:type="spellStart"/>
      <w:r w:rsidRPr="00853C9F">
        <w:rPr>
          <w:rFonts w:eastAsia="Arial Unicode MS"/>
        </w:rPr>
        <w:t>Lawshe</w:t>
      </w:r>
      <w:proofErr w:type="spellEnd"/>
      <w:r w:rsidRPr="00853C9F">
        <w:rPr>
          <w:rFonts w:eastAsia="Arial Unicode MS"/>
        </w:rPr>
        <w:t>, 1975), and (iii) impact score≥1.5 (Lacasse et al., 2002).</w:t>
      </w:r>
    </w:p>
    <w:p w14:paraId="598F760D" w14:textId="77777777" w:rsidR="00A85EF7" w:rsidRDefault="00A85EF7"/>
    <w:p w14:paraId="598F760E" w14:textId="77777777" w:rsidR="00A85EF7" w:rsidRDefault="000835AC">
      <w:r>
        <w:br w:type="page"/>
      </w:r>
    </w:p>
    <w:p w14:paraId="598F760F" w14:textId="77777777" w:rsidR="00A85EF7" w:rsidRDefault="000835AC">
      <w:pPr>
        <w:pStyle w:val="Heading2"/>
      </w:pPr>
      <w:bookmarkStart w:id="2" w:name="_Toc71493585"/>
      <w:r>
        <w:lastRenderedPageBreak/>
        <w:t>Supplementary Material S3. Subgroup analysis in participants in the longitudinal community youth sample (Study 2) aged between 15 and 24 years (n=242).</w:t>
      </w:r>
      <w:bookmarkEnd w:id="2"/>
    </w:p>
    <w:p w14:paraId="598F7610" w14:textId="77777777" w:rsidR="00A85EF7" w:rsidRDefault="00A85EF7"/>
    <w:p w14:paraId="598F7611" w14:textId="77777777" w:rsidR="00A85EF7" w:rsidRDefault="000835AC">
      <w:pPr>
        <w:spacing w:line="240" w:lineRule="auto"/>
        <w:rPr>
          <w:b/>
          <w:i/>
        </w:rPr>
      </w:pPr>
      <w:r>
        <w:rPr>
          <w:b/>
          <w:i/>
        </w:rPr>
        <w:t>Sample characteristic</w:t>
      </w:r>
    </w:p>
    <w:p w14:paraId="598F7612" w14:textId="266D8EEC" w:rsidR="00A85EF7" w:rsidRDefault="000835AC">
      <w:pPr>
        <w:spacing w:line="240" w:lineRule="auto"/>
      </w:pPr>
      <w:r>
        <w:t xml:space="preserve">Ninety-four percent of participants in Study 2 were between </w:t>
      </w:r>
      <w:r w:rsidR="00573C7E">
        <w:t xml:space="preserve">the ages of </w:t>
      </w:r>
      <w:r>
        <w:t xml:space="preserve">15 and 24 (n=242). Of this subgroup, 57% (n=138) aged between 15 and 19 years and 43% (n=104) aged between 20 and 25 years. Fifty-seven percent (n=139) were female. Regarding their highest level of education, 52.9% (n=128) reported secondary education and 47.1% (n=114) reported tertiary education. The mean level of stress in this subgroup was 6.17 (SD=1.90). </w:t>
      </w:r>
    </w:p>
    <w:p w14:paraId="598F7613" w14:textId="77777777" w:rsidR="00A85EF7" w:rsidRDefault="00A85EF7">
      <w:pPr>
        <w:spacing w:line="240" w:lineRule="auto"/>
      </w:pPr>
    </w:p>
    <w:p w14:paraId="598F7614" w14:textId="3733CD24" w:rsidR="00A85EF7" w:rsidRDefault="000835AC">
      <w:pPr>
        <w:spacing w:line="240" w:lineRule="auto"/>
      </w:pPr>
      <w:r>
        <w:t>As in the analyses performed for the full Study 2 sample in the main text, further analyses were performed in participants with complete follow-up data available at 3-month and 6-month (n=173; 71.5%) as well as at 12-month (n=80; 33.1%). Similarly, no significant differences in demographic characteristics (including age and gender)</w:t>
      </w:r>
      <w:r w:rsidR="00831C03">
        <w:t xml:space="preserve"> and scores on the </w:t>
      </w:r>
      <w:r>
        <w:t>SLS-1</w:t>
      </w:r>
      <w:r w:rsidR="00831C03">
        <w:t xml:space="preserve"> and other comparison measures</w:t>
      </w:r>
      <w:r>
        <w:t xml:space="preserve"> (including K6, DASS-D, DASS-D, DASS-S, PHQ-9, GAD-7, WHO-5, WAIS-III Information, and BFI conscientiousness) were observed between those </w:t>
      </w:r>
      <w:r w:rsidR="00831C03">
        <w:t xml:space="preserve">with and without </w:t>
      </w:r>
      <w:r>
        <w:t>12-month follow-up data at the time of analysis (all p&lt;0.05).</w:t>
      </w:r>
    </w:p>
    <w:p w14:paraId="598F7615" w14:textId="77777777" w:rsidR="00A85EF7" w:rsidRDefault="000835AC">
      <w:pPr>
        <w:spacing w:line="240" w:lineRule="auto"/>
      </w:pPr>
      <w:r>
        <w:t xml:space="preserve"> </w:t>
      </w:r>
    </w:p>
    <w:p w14:paraId="598F7616" w14:textId="77777777" w:rsidR="00A85EF7" w:rsidRDefault="000835AC">
      <w:pPr>
        <w:spacing w:line="240" w:lineRule="auto"/>
        <w:rPr>
          <w:b/>
          <w:i/>
        </w:rPr>
      </w:pPr>
      <w:r>
        <w:rPr>
          <w:b/>
          <w:i/>
        </w:rPr>
        <w:t>Relationship between SLS-1 score and other mental health measures at baseline</w:t>
      </w:r>
    </w:p>
    <w:p w14:paraId="598F7617" w14:textId="79A8DE6A" w:rsidR="00A85EF7" w:rsidRDefault="000835AC">
      <w:pPr>
        <w:spacing w:line="240" w:lineRule="auto"/>
      </w:pPr>
      <w:r>
        <w:t xml:space="preserve">The relationship between SLS-1 scores and baseline mental health measures were </w:t>
      </w:r>
      <w:proofErr w:type="gramStart"/>
      <w:r>
        <w:t>similar to</w:t>
      </w:r>
      <w:proofErr w:type="gramEnd"/>
      <w:r>
        <w:t xml:space="preserve"> those found in Study 1 </w:t>
      </w:r>
      <w:r w:rsidR="006D4B27">
        <w:t>and in</w:t>
      </w:r>
      <w:r>
        <w:t xml:space="preserve"> the full </w:t>
      </w:r>
      <w:r w:rsidR="006D4B27">
        <w:t xml:space="preserve">Study 2 </w:t>
      </w:r>
      <w:r>
        <w:t xml:space="preserve">sample. </w:t>
      </w:r>
    </w:p>
    <w:p w14:paraId="598F7618" w14:textId="77777777" w:rsidR="00A85EF7" w:rsidRDefault="00A85EF7">
      <w:pPr>
        <w:spacing w:line="240" w:lineRule="auto"/>
      </w:pPr>
    </w:p>
    <w:p w14:paraId="598F7619" w14:textId="77777777" w:rsidR="00A85EF7" w:rsidRDefault="000835AC">
      <w:pPr>
        <w:spacing w:line="240" w:lineRule="auto"/>
      </w:pPr>
      <w:r>
        <w:t>The stress item was significantly correlated with K6 (ρ=0.50), DASS-D (ρ=0.48), DASS-A (ρ=0.37), DASS-S (ρ=0.47), PHQ-9 (ρ=0.44), GAD-7 (ρ=0.55), and WHO-5 (ρ=-0.40), all p&lt;0.001. No significant associations were found between SLS-1 and the Information subtest (ρ=0.09, p=0.18) and BFI conscientiousness (ρ=0.01, p=0.91). Weak correlations were observed between stress and resilience (ρ=-0.22, p=0.001).</w:t>
      </w:r>
    </w:p>
    <w:p w14:paraId="598F761A" w14:textId="77777777" w:rsidR="00A85EF7" w:rsidRDefault="00A85EF7">
      <w:pPr>
        <w:spacing w:line="240" w:lineRule="auto"/>
      </w:pPr>
    </w:p>
    <w:p w14:paraId="598F761B" w14:textId="056ED808" w:rsidR="00A85EF7" w:rsidRDefault="000835AC">
      <w:pPr>
        <w:spacing w:line="240" w:lineRule="auto"/>
      </w:pPr>
      <w:r>
        <w:t xml:space="preserve">In the regression model for PHQ-9, after controlling for age and gender, resilience in </w:t>
      </w:r>
      <w:r w:rsidR="004D570D">
        <w:t xml:space="preserve">Block 2 </w:t>
      </w:r>
      <w:r>
        <w:t xml:space="preserve">explained 13% of the variance. When stress was added in </w:t>
      </w:r>
      <w:r w:rsidR="004D570D">
        <w:t>Block 3</w:t>
      </w:r>
      <w:r>
        <w:t>, the variance significantly increased to 27% (ΔF=46.4, p&lt;0.001). In the model for GAD-7, resilience explained 18.3% of the variance after controlling for age and gender, while the SLS-1 explained an additional variance of 21.7% (ΔF=86.9, p&lt;0.001).</w:t>
      </w:r>
    </w:p>
    <w:p w14:paraId="598F761C" w14:textId="77777777" w:rsidR="00A85EF7" w:rsidRDefault="00A85EF7">
      <w:pPr>
        <w:spacing w:line="240" w:lineRule="auto"/>
      </w:pPr>
    </w:p>
    <w:p w14:paraId="598F761F" w14:textId="6309DFBE" w:rsidR="00A85EF7" w:rsidRPr="00E11247" w:rsidRDefault="000835AC">
      <w:pPr>
        <w:spacing w:line="240" w:lineRule="auto"/>
        <w:rPr>
          <w:b/>
          <w:i/>
        </w:rPr>
      </w:pPr>
      <w:r>
        <w:rPr>
          <w:b/>
          <w:i/>
        </w:rPr>
        <w:t>Associations between baseline stress level and long-term symptom outcomes</w:t>
      </w:r>
    </w:p>
    <w:p w14:paraId="598F7620" w14:textId="50E1319F" w:rsidR="00A85EF7" w:rsidRDefault="000835AC">
      <w:pPr>
        <w:spacing w:line="240" w:lineRule="auto"/>
      </w:pPr>
      <w:r>
        <w:t>As in findings for the full sample in Study 2, significant correlations were found in this subgroup between baseline SLS-1 and depressive, anxiety, and stress symptoms at</w:t>
      </w:r>
      <w:r w:rsidR="00005963" w:rsidRPr="00005963">
        <w:t xml:space="preserve"> 3-month, 6-month, and 12-month follow-up</w:t>
      </w:r>
      <w:r w:rsidR="00005963">
        <w:t>.</w:t>
      </w:r>
      <w:r>
        <w:t xml:space="preserve"> Table S1 presents the Spearman’s correlation coefficients. Separate regression models accounting for age and gender revealed that baseline SLS-1 score remained to be a significant predictor of each of the symptom outcomes at </w:t>
      </w:r>
      <w:r w:rsidR="00005963">
        <w:t>all three</w:t>
      </w:r>
      <w:r>
        <w:t xml:space="preserve"> follow-up</w:t>
      </w:r>
      <w:r w:rsidR="00005963">
        <w:t xml:space="preserve"> time points</w:t>
      </w:r>
      <w:r>
        <w:t xml:space="preserve"> (all p&lt;0.05).</w:t>
      </w:r>
    </w:p>
    <w:p w14:paraId="598F7621" w14:textId="77777777" w:rsidR="00A85EF7" w:rsidRDefault="00A85EF7">
      <w:pPr>
        <w:spacing w:line="240" w:lineRule="auto"/>
      </w:pPr>
    </w:p>
    <w:p w14:paraId="598F7622" w14:textId="77777777" w:rsidR="00A85EF7" w:rsidRDefault="000835AC">
      <w:pPr>
        <w:spacing w:line="240" w:lineRule="auto"/>
      </w:pPr>
      <w:r>
        <w:br w:type="page"/>
      </w:r>
    </w:p>
    <w:p w14:paraId="598F7623" w14:textId="77777777" w:rsidR="00A85EF7" w:rsidRDefault="000835AC">
      <w:pPr>
        <w:pStyle w:val="Heading3"/>
      </w:pPr>
      <w:bookmarkStart w:id="3" w:name="_Toc71493586"/>
      <w:r>
        <w:lastRenderedPageBreak/>
        <w:t>Table S1.</w:t>
      </w:r>
      <w:bookmarkEnd w:id="3"/>
      <w:r>
        <w:t xml:space="preserve"> </w:t>
      </w:r>
    </w:p>
    <w:p w14:paraId="598F7624" w14:textId="6C1AFDB4" w:rsidR="00A85EF7" w:rsidRDefault="000835AC">
      <w:pPr>
        <w:spacing w:line="240" w:lineRule="auto"/>
        <w:ind w:left="283" w:right="275"/>
      </w:pPr>
      <w:r>
        <w:t>Association between baseline SLS-1 score and DASS</w:t>
      </w:r>
      <w:r w:rsidR="00391BCB">
        <w:t>-21</w:t>
      </w:r>
      <w:r>
        <w:t xml:space="preserve"> sub-scales, PHQ-9, and GAD-7 at 3-month, 6-month, and 12-month follow-up in participants of the longitudinal community youth study aged between 15 and 24 years</w:t>
      </w:r>
    </w:p>
    <w:p w14:paraId="598F7625" w14:textId="77777777" w:rsidR="00A85EF7" w:rsidRDefault="00A85EF7">
      <w:pPr>
        <w:spacing w:line="240" w:lineRule="auto"/>
      </w:pPr>
    </w:p>
    <w:tbl>
      <w:tblPr>
        <w:tblStyle w:val="a"/>
        <w:tblW w:w="91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607"/>
        <w:gridCol w:w="1304"/>
        <w:gridCol w:w="1304"/>
        <w:gridCol w:w="1304"/>
        <w:gridCol w:w="1304"/>
        <w:gridCol w:w="1304"/>
      </w:tblGrid>
      <w:tr w:rsidR="00A85EF7" w14:paraId="598F762C" w14:textId="77777777">
        <w:trPr>
          <w:trHeight w:val="555"/>
          <w:jc w:val="center"/>
        </w:trPr>
        <w:tc>
          <w:tcPr>
            <w:tcW w:w="2607" w:type="dxa"/>
            <w:tcBorders>
              <w:top w:val="single" w:sz="8" w:space="0" w:color="000000"/>
              <w:left w:val="single" w:sz="8" w:space="0" w:color="FFFFFF"/>
              <w:bottom w:val="single" w:sz="8" w:space="0" w:color="000000"/>
              <w:right w:val="single" w:sz="8" w:space="0" w:color="FFFFFF"/>
            </w:tcBorders>
            <w:shd w:val="clear" w:color="auto" w:fill="EDF5F0"/>
            <w:tcMar>
              <w:top w:w="40" w:type="dxa"/>
              <w:left w:w="40" w:type="dxa"/>
              <w:bottom w:w="40" w:type="dxa"/>
              <w:right w:w="40" w:type="dxa"/>
            </w:tcMar>
            <w:vAlign w:val="bottom"/>
          </w:tcPr>
          <w:p w14:paraId="598F7626" w14:textId="310AAC01" w:rsidR="00A85EF7" w:rsidRDefault="00391BCB">
            <w:pPr>
              <w:widowControl w:val="0"/>
              <w:spacing w:line="240" w:lineRule="auto"/>
              <w:rPr>
                <w:sz w:val="20"/>
                <w:szCs w:val="20"/>
              </w:rPr>
            </w:pPr>
            <w:r>
              <w:rPr>
                <w:sz w:val="20"/>
                <w:szCs w:val="20"/>
              </w:rPr>
              <w:t xml:space="preserve"> </w:t>
            </w:r>
            <w:r w:rsidR="000835AC">
              <w:rPr>
                <w:sz w:val="20"/>
                <w:szCs w:val="20"/>
              </w:rPr>
              <w:t>Time point</w:t>
            </w:r>
          </w:p>
        </w:tc>
        <w:tc>
          <w:tcPr>
            <w:tcW w:w="1303" w:type="dxa"/>
            <w:tcBorders>
              <w:top w:val="single" w:sz="8" w:space="0" w:color="000000"/>
              <w:left w:val="single" w:sz="8" w:space="0" w:color="FFFFFF"/>
              <w:bottom w:val="single" w:sz="8" w:space="0" w:color="000000"/>
              <w:right w:val="single" w:sz="8" w:space="0" w:color="FFFFFF"/>
            </w:tcBorders>
            <w:shd w:val="clear" w:color="auto" w:fill="EDF5F0"/>
            <w:tcMar>
              <w:top w:w="40" w:type="dxa"/>
              <w:left w:w="40" w:type="dxa"/>
              <w:bottom w:w="40" w:type="dxa"/>
              <w:right w:w="40" w:type="dxa"/>
            </w:tcMar>
            <w:vAlign w:val="bottom"/>
          </w:tcPr>
          <w:p w14:paraId="598F7627" w14:textId="77777777" w:rsidR="00A85EF7" w:rsidRDefault="000835AC">
            <w:pPr>
              <w:widowControl w:val="0"/>
              <w:spacing w:line="240" w:lineRule="auto"/>
              <w:jc w:val="center"/>
              <w:rPr>
                <w:sz w:val="20"/>
                <w:szCs w:val="20"/>
              </w:rPr>
            </w:pPr>
            <w:r>
              <w:rPr>
                <w:sz w:val="20"/>
                <w:szCs w:val="20"/>
              </w:rPr>
              <w:t>DASS-D</w:t>
            </w:r>
          </w:p>
        </w:tc>
        <w:tc>
          <w:tcPr>
            <w:tcW w:w="1303" w:type="dxa"/>
            <w:tcBorders>
              <w:top w:val="single" w:sz="8" w:space="0" w:color="000000"/>
              <w:left w:val="single" w:sz="8" w:space="0" w:color="FFFFFF"/>
              <w:bottom w:val="single" w:sz="8" w:space="0" w:color="000000"/>
              <w:right w:val="single" w:sz="8" w:space="0" w:color="FFFFFF"/>
            </w:tcBorders>
            <w:shd w:val="clear" w:color="auto" w:fill="EDF5F0"/>
            <w:tcMar>
              <w:top w:w="40" w:type="dxa"/>
              <w:left w:w="40" w:type="dxa"/>
              <w:bottom w:w="40" w:type="dxa"/>
              <w:right w:w="40" w:type="dxa"/>
            </w:tcMar>
            <w:vAlign w:val="bottom"/>
          </w:tcPr>
          <w:p w14:paraId="598F7628" w14:textId="77777777" w:rsidR="00A85EF7" w:rsidRDefault="000835AC">
            <w:pPr>
              <w:widowControl w:val="0"/>
              <w:spacing w:line="240" w:lineRule="auto"/>
              <w:jc w:val="center"/>
              <w:rPr>
                <w:sz w:val="20"/>
                <w:szCs w:val="20"/>
              </w:rPr>
            </w:pPr>
            <w:r>
              <w:rPr>
                <w:sz w:val="20"/>
                <w:szCs w:val="20"/>
              </w:rPr>
              <w:t>DASS-A</w:t>
            </w:r>
          </w:p>
        </w:tc>
        <w:tc>
          <w:tcPr>
            <w:tcW w:w="1303" w:type="dxa"/>
            <w:tcBorders>
              <w:top w:val="single" w:sz="8" w:space="0" w:color="000000"/>
              <w:left w:val="single" w:sz="8" w:space="0" w:color="FFFFFF"/>
              <w:bottom w:val="single" w:sz="8" w:space="0" w:color="000000"/>
              <w:right w:val="single" w:sz="8" w:space="0" w:color="FFFFFF"/>
            </w:tcBorders>
            <w:shd w:val="clear" w:color="auto" w:fill="EDF5F0"/>
            <w:tcMar>
              <w:top w:w="40" w:type="dxa"/>
              <w:left w:w="40" w:type="dxa"/>
              <w:bottom w:w="40" w:type="dxa"/>
              <w:right w:w="40" w:type="dxa"/>
            </w:tcMar>
            <w:vAlign w:val="bottom"/>
          </w:tcPr>
          <w:p w14:paraId="598F7629" w14:textId="77777777" w:rsidR="00A85EF7" w:rsidRDefault="000835AC">
            <w:pPr>
              <w:widowControl w:val="0"/>
              <w:spacing w:line="240" w:lineRule="auto"/>
              <w:jc w:val="center"/>
              <w:rPr>
                <w:sz w:val="20"/>
                <w:szCs w:val="20"/>
              </w:rPr>
            </w:pPr>
            <w:r>
              <w:rPr>
                <w:sz w:val="20"/>
                <w:szCs w:val="20"/>
              </w:rPr>
              <w:t>DASS-S</w:t>
            </w:r>
          </w:p>
        </w:tc>
        <w:tc>
          <w:tcPr>
            <w:tcW w:w="1303" w:type="dxa"/>
            <w:tcBorders>
              <w:top w:val="single" w:sz="8" w:space="0" w:color="000000"/>
              <w:left w:val="single" w:sz="8" w:space="0" w:color="FFFFFF"/>
              <w:bottom w:val="single" w:sz="8" w:space="0" w:color="000000"/>
              <w:right w:val="single" w:sz="8" w:space="0" w:color="FFFFFF"/>
            </w:tcBorders>
            <w:shd w:val="clear" w:color="auto" w:fill="EDF5F0"/>
            <w:tcMar>
              <w:top w:w="40" w:type="dxa"/>
              <w:left w:w="40" w:type="dxa"/>
              <w:bottom w:w="40" w:type="dxa"/>
              <w:right w:w="40" w:type="dxa"/>
            </w:tcMar>
            <w:vAlign w:val="bottom"/>
          </w:tcPr>
          <w:p w14:paraId="598F762A" w14:textId="77777777" w:rsidR="00A85EF7" w:rsidRDefault="000835AC">
            <w:pPr>
              <w:widowControl w:val="0"/>
              <w:spacing w:line="240" w:lineRule="auto"/>
              <w:jc w:val="center"/>
              <w:rPr>
                <w:sz w:val="20"/>
                <w:szCs w:val="20"/>
              </w:rPr>
            </w:pPr>
            <w:r>
              <w:rPr>
                <w:sz w:val="20"/>
                <w:szCs w:val="20"/>
              </w:rPr>
              <w:t>PHQ-9</w:t>
            </w:r>
          </w:p>
        </w:tc>
        <w:tc>
          <w:tcPr>
            <w:tcW w:w="1303" w:type="dxa"/>
            <w:tcBorders>
              <w:top w:val="single" w:sz="8" w:space="0" w:color="000000"/>
              <w:left w:val="single" w:sz="8" w:space="0" w:color="FFFFFF"/>
              <w:bottom w:val="single" w:sz="8" w:space="0" w:color="000000"/>
              <w:right w:val="single" w:sz="8" w:space="0" w:color="FFFFFF"/>
            </w:tcBorders>
            <w:shd w:val="clear" w:color="auto" w:fill="EDF5F0"/>
            <w:tcMar>
              <w:top w:w="40" w:type="dxa"/>
              <w:left w:w="40" w:type="dxa"/>
              <w:bottom w:w="40" w:type="dxa"/>
              <w:right w:w="40" w:type="dxa"/>
            </w:tcMar>
            <w:vAlign w:val="bottom"/>
          </w:tcPr>
          <w:p w14:paraId="598F762B" w14:textId="77777777" w:rsidR="00A85EF7" w:rsidRDefault="000835AC">
            <w:pPr>
              <w:widowControl w:val="0"/>
              <w:spacing w:line="240" w:lineRule="auto"/>
              <w:jc w:val="center"/>
              <w:rPr>
                <w:sz w:val="20"/>
                <w:szCs w:val="20"/>
              </w:rPr>
            </w:pPr>
            <w:r>
              <w:rPr>
                <w:sz w:val="20"/>
                <w:szCs w:val="20"/>
              </w:rPr>
              <w:t>GAD-7</w:t>
            </w:r>
          </w:p>
        </w:tc>
      </w:tr>
      <w:tr w:rsidR="00A85EF7" w14:paraId="598F7633" w14:textId="77777777">
        <w:trPr>
          <w:trHeight w:val="555"/>
          <w:jc w:val="center"/>
        </w:trPr>
        <w:tc>
          <w:tcPr>
            <w:tcW w:w="2607" w:type="dxa"/>
            <w:tcBorders>
              <w:top w:val="single" w:sz="8" w:space="0" w:color="000000"/>
              <w:left w:val="single" w:sz="8" w:space="0" w:color="FFFFFF"/>
              <w:bottom w:val="single" w:sz="8" w:space="0" w:color="FFFFFF"/>
              <w:right w:val="nil"/>
            </w:tcBorders>
            <w:shd w:val="clear" w:color="auto" w:fill="auto"/>
            <w:tcMar>
              <w:top w:w="40" w:type="dxa"/>
              <w:left w:w="40" w:type="dxa"/>
              <w:bottom w:w="40" w:type="dxa"/>
              <w:right w:w="40" w:type="dxa"/>
            </w:tcMar>
            <w:vAlign w:val="center"/>
          </w:tcPr>
          <w:p w14:paraId="598F762D" w14:textId="65DB81AD" w:rsidR="00A85EF7" w:rsidRDefault="00391BCB">
            <w:pPr>
              <w:widowControl w:val="0"/>
              <w:spacing w:line="240" w:lineRule="auto"/>
              <w:rPr>
                <w:sz w:val="10"/>
                <w:szCs w:val="10"/>
              </w:rPr>
            </w:pPr>
            <w:r>
              <w:rPr>
                <w:sz w:val="20"/>
                <w:szCs w:val="20"/>
              </w:rPr>
              <w:t xml:space="preserve"> </w:t>
            </w:r>
            <w:r w:rsidR="000835AC">
              <w:rPr>
                <w:sz w:val="20"/>
                <w:szCs w:val="20"/>
              </w:rPr>
              <w:t>3-month follow-up (n=173)</w:t>
            </w:r>
          </w:p>
        </w:tc>
        <w:tc>
          <w:tcPr>
            <w:tcW w:w="1303" w:type="dxa"/>
            <w:tcBorders>
              <w:top w:val="single" w:sz="8" w:space="0" w:color="000000"/>
              <w:left w:val="nil"/>
              <w:bottom w:val="nil"/>
              <w:right w:val="nil"/>
            </w:tcBorders>
            <w:tcMar>
              <w:top w:w="40" w:type="dxa"/>
              <w:left w:w="40" w:type="dxa"/>
              <w:bottom w:w="40" w:type="dxa"/>
              <w:right w:w="40" w:type="dxa"/>
            </w:tcMar>
            <w:vAlign w:val="center"/>
          </w:tcPr>
          <w:p w14:paraId="598F762E" w14:textId="77777777" w:rsidR="00A85EF7" w:rsidRDefault="000835AC">
            <w:pPr>
              <w:widowControl w:val="0"/>
              <w:jc w:val="center"/>
              <w:rPr>
                <w:sz w:val="20"/>
                <w:szCs w:val="20"/>
              </w:rPr>
            </w:pPr>
            <w:r>
              <w:rPr>
                <w:sz w:val="20"/>
                <w:szCs w:val="20"/>
              </w:rPr>
              <w:t>0.37***</w:t>
            </w:r>
          </w:p>
        </w:tc>
        <w:tc>
          <w:tcPr>
            <w:tcW w:w="1303" w:type="dxa"/>
            <w:tcBorders>
              <w:top w:val="single" w:sz="8" w:space="0" w:color="000000"/>
              <w:left w:val="nil"/>
              <w:bottom w:val="nil"/>
              <w:right w:val="nil"/>
            </w:tcBorders>
            <w:tcMar>
              <w:top w:w="40" w:type="dxa"/>
              <w:left w:w="40" w:type="dxa"/>
              <w:bottom w:w="40" w:type="dxa"/>
              <w:right w:w="40" w:type="dxa"/>
            </w:tcMar>
            <w:vAlign w:val="center"/>
          </w:tcPr>
          <w:p w14:paraId="598F762F" w14:textId="77777777" w:rsidR="00A85EF7" w:rsidRDefault="000835AC">
            <w:pPr>
              <w:widowControl w:val="0"/>
              <w:jc w:val="center"/>
              <w:rPr>
                <w:sz w:val="20"/>
                <w:szCs w:val="20"/>
              </w:rPr>
            </w:pPr>
            <w:r>
              <w:rPr>
                <w:sz w:val="20"/>
                <w:szCs w:val="20"/>
              </w:rPr>
              <w:t>0.35***</w:t>
            </w:r>
          </w:p>
        </w:tc>
        <w:tc>
          <w:tcPr>
            <w:tcW w:w="1303" w:type="dxa"/>
            <w:tcBorders>
              <w:top w:val="single" w:sz="8" w:space="0" w:color="000000"/>
              <w:left w:val="nil"/>
              <w:bottom w:val="nil"/>
              <w:right w:val="nil"/>
            </w:tcBorders>
            <w:tcMar>
              <w:top w:w="40" w:type="dxa"/>
              <w:left w:w="40" w:type="dxa"/>
              <w:bottom w:w="40" w:type="dxa"/>
              <w:right w:w="40" w:type="dxa"/>
            </w:tcMar>
            <w:vAlign w:val="center"/>
          </w:tcPr>
          <w:p w14:paraId="598F7630" w14:textId="77777777" w:rsidR="00A85EF7" w:rsidRDefault="000835AC">
            <w:pPr>
              <w:widowControl w:val="0"/>
              <w:jc w:val="center"/>
              <w:rPr>
                <w:sz w:val="20"/>
                <w:szCs w:val="20"/>
              </w:rPr>
            </w:pPr>
            <w:r>
              <w:rPr>
                <w:sz w:val="20"/>
                <w:szCs w:val="20"/>
              </w:rPr>
              <w:t>0.36***</w:t>
            </w:r>
          </w:p>
        </w:tc>
        <w:tc>
          <w:tcPr>
            <w:tcW w:w="1303" w:type="dxa"/>
            <w:tcBorders>
              <w:top w:val="single" w:sz="8" w:space="0" w:color="000000"/>
              <w:left w:val="nil"/>
              <w:bottom w:val="nil"/>
              <w:right w:val="nil"/>
            </w:tcBorders>
            <w:tcMar>
              <w:top w:w="40" w:type="dxa"/>
              <w:left w:w="40" w:type="dxa"/>
              <w:bottom w:w="40" w:type="dxa"/>
              <w:right w:w="40" w:type="dxa"/>
            </w:tcMar>
            <w:vAlign w:val="center"/>
          </w:tcPr>
          <w:p w14:paraId="598F7631" w14:textId="77777777" w:rsidR="00A85EF7" w:rsidRDefault="000835AC">
            <w:pPr>
              <w:widowControl w:val="0"/>
              <w:jc w:val="center"/>
              <w:rPr>
                <w:sz w:val="20"/>
                <w:szCs w:val="20"/>
              </w:rPr>
            </w:pPr>
            <w:r>
              <w:rPr>
                <w:sz w:val="20"/>
                <w:szCs w:val="20"/>
              </w:rPr>
              <w:t>0.34***</w:t>
            </w:r>
          </w:p>
        </w:tc>
        <w:tc>
          <w:tcPr>
            <w:tcW w:w="1303" w:type="dxa"/>
            <w:tcBorders>
              <w:top w:val="single" w:sz="8" w:space="0" w:color="000000"/>
              <w:left w:val="nil"/>
              <w:bottom w:val="nil"/>
              <w:right w:val="nil"/>
            </w:tcBorders>
            <w:tcMar>
              <w:top w:w="40" w:type="dxa"/>
              <w:left w:w="40" w:type="dxa"/>
              <w:bottom w:w="40" w:type="dxa"/>
              <w:right w:w="40" w:type="dxa"/>
            </w:tcMar>
            <w:vAlign w:val="center"/>
          </w:tcPr>
          <w:p w14:paraId="598F7632" w14:textId="77777777" w:rsidR="00A85EF7" w:rsidRDefault="000835AC">
            <w:pPr>
              <w:widowControl w:val="0"/>
              <w:jc w:val="center"/>
              <w:rPr>
                <w:sz w:val="20"/>
                <w:szCs w:val="20"/>
              </w:rPr>
            </w:pPr>
            <w:r>
              <w:rPr>
                <w:sz w:val="20"/>
                <w:szCs w:val="20"/>
              </w:rPr>
              <w:t>0.40***</w:t>
            </w:r>
          </w:p>
        </w:tc>
      </w:tr>
      <w:tr w:rsidR="00A85EF7" w14:paraId="598F763A" w14:textId="77777777">
        <w:trPr>
          <w:trHeight w:val="555"/>
          <w:jc w:val="center"/>
        </w:trPr>
        <w:tc>
          <w:tcPr>
            <w:tcW w:w="2607" w:type="dxa"/>
            <w:tcBorders>
              <w:top w:val="single" w:sz="8" w:space="0" w:color="FFFFFF"/>
              <w:left w:val="single" w:sz="8" w:space="0" w:color="FFFFFF"/>
              <w:bottom w:val="single" w:sz="8" w:space="0" w:color="FFFFFF"/>
              <w:right w:val="nil"/>
            </w:tcBorders>
            <w:shd w:val="clear" w:color="auto" w:fill="EDF5F0"/>
            <w:tcMar>
              <w:top w:w="40" w:type="dxa"/>
              <w:left w:w="40" w:type="dxa"/>
              <w:bottom w:w="40" w:type="dxa"/>
              <w:right w:w="40" w:type="dxa"/>
            </w:tcMar>
            <w:vAlign w:val="center"/>
          </w:tcPr>
          <w:p w14:paraId="598F7634" w14:textId="01757A42" w:rsidR="00A85EF7" w:rsidRDefault="00391BCB">
            <w:pPr>
              <w:widowControl w:val="0"/>
              <w:spacing w:line="240" w:lineRule="auto"/>
              <w:rPr>
                <w:sz w:val="10"/>
                <w:szCs w:val="10"/>
              </w:rPr>
            </w:pPr>
            <w:r>
              <w:rPr>
                <w:sz w:val="20"/>
                <w:szCs w:val="20"/>
              </w:rPr>
              <w:t xml:space="preserve"> </w:t>
            </w:r>
            <w:r w:rsidR="000835AC">
              <w:rPr>
                <w:sz w:val="20"/>
                <w:szCs w:val="20"/>
              </w:rPr>
              <w:t>6-month follow-up (n=173)</w:t>
            </w:r>
          </w:p>
        </w:tc>
        <w:tc>
          <w:tcPr>
            <w:tcW w:w="1303" w:type="dxa"/>
            <w:tcBorders>
              <w:top w:val="nil"/>
              <w:left w:val="nil"/>
              <w:bottom w:val="nil"/>
              <w:right w:val="nil"/>
            </w:tcBorders>
            <w:shd w:val="clear" w:color="auto" w:fill="EDF5F0"/>
            <w:tcMar>
              <w:top w:w="40" w:type="dxa"/>
              <w:left w:w="40" w:type="dxa"/>
              <w:bottom w:w="40" w:type="dxa"/>
              <w:right w:w="40" w:type="dxa"/>
            </w:tcMar>
            <w:vAlign w:val="center"/>
          </w:tcPr>
          <w:p w14:paraId="598F7635" w14:textId="77777777" w:rsidR="00A85EF7" w:rsidRDefault="000835AC">
            <w:pPr>
              <w:widowControl w:val="0"/>
              <w:jc w:val="center"/>
              <w:rPr>
                <w:sz w:val="20"/>
                <w:szCs w:val="20"/>
              </w:rPr>
            </w:pPr>
            <w:r>
              <w:rPr>
                <w:sz w:val="20"/>
                <w:szCs w:val="20"/>
              </w:rPr>
              <w:t>0.30***</w:t>
            </w:r>
          </w:p>
        </w:tc>
        <w:tc>
          <w:tcPr>
            <w:tcW w:w="1303" w:type="dxa"/>
            <w:tcBorders>
              <w:top w:val="nil"/>
              <w:left w:val="nil"/>
              <w:bottom w:val="nil"/>
              <w:right w:val="nil"/>
            </w:tcBorders>
            <w:shd w:val="clear" w:color="auto" w:fill="EDF5F0"/>
            <w:tcMar>
              <w:top w:w="40" w:type="dxa"/>
              <w:left w:w="40" w:type="dxa"/>
              <w:bottom w:w="40" w:type="dxa"/>
              <w:right w:w="40" w:type="dxa"/>
            </w:tcMar>
            <w:vAlign w:val="center"/>
          </w:tcPr>
          <w:p w14:paraId="598F7636" w14:textId="77777777" w:rsidR="00A85EF7" w:rsidRDefault="000835AC">
            <w:pPr>
              <w:widowControl w:val="0"/>
              <w:jc w:val="center"/>
              <w:rPr>
                <w:sz w:val="20"/>
                <w:szCs w:val="20"/>
              </w:rPr>
            </w:pPr>
            <w:r>
              <w:rPr>
                <w:sz w:val="20"/>
                <w:szCs w:val="20"/>
              </w:rPr>
              <w:t>0.26***</w:t>
            </w:r>
          </w:p>
        </w:tc>
        <w:tc>
          <w:tcPr>
            <w:tcW w:w="1303" w:type="dxa"/>
            <w:tcBorders>
              <w:top w:val="nil"/>
              <w:left w:val="nil"/>
              <w:bottom w:val="nil"/>
              <w:right w:val="nil"/>
            </w:tcBorders>
            <w:shd w:val="clear" w:color="auto" w:fill="EDF5F0"/>
            <w:tcMar>
              <w:top w:w="40" w:type="dxa"/>
              <w:left w:w="40" w:type="dxa"/>
              <w:bottom w:w="40" w:type="dxa"/>
              <w:right w:w="40" w:type="dxa"/>
            </w:tcMar>
            <w:vAlign w:val="center"/>
          </w:tcPr>
          <w:p w14:paraId="598F7637" w14:textId="77777777" w:rsidR="00A85EF7" w:rsidRDefault="000835AC">
            <w:pPr>
              <w:widowControl w:val="0"/>
              <w:jc w:val="center"/>
              <w:rPr>
                <w:sz w:val="20"/>
                <w:szCs w:val="20"/>
              </w:rPr>
            </w:pPr>
            <w:r>
              <w:rPr>
                <w:sz w:val="20"/>
                <w:szCs w:val="20"/>
              </w:rPr>
              <w:t>0.30***</w:t>
            </w:r>
          </w:p>
        </w:tc>
        <w:tc>
          <w:tcPr>
            <w:tcW w:w="1303" w:type="dxa"/>
            <w:tcBorders>
              <w:top w:val="nil"/>
              <w:left w:val="nil"/>
              <w:bottom w:val="nil"/>
              <w:right w:val="nil"/>
            </w:tcBorders>
            <w:shd w:val="clear" w:color="auto" w:fill="EDF5F0"/>
            <w:tcMar>
              <w:top w:w="40" w:type="dxa"/>
              <w:left w:w="40" w:type="dxa"/>
              <w:bottom w:w="40" w:type="dxa"/>
              <w:right w:w="40" w:type="dxa"/>
            </w:tcMar>
            <w:vAlign w:val="center"/>
          </w:tcPr>
          <w:p w14:paraId="598F7638" w14:textId="77777777" w:rsidR="00A85EF7" w:rsidRDefault="000835AC">
            <w:pPr>
              <w:widowControl w:val="0"/>
              <w:jc w:val="center"/>
              <w:rPr>
                <w:sz w:val="20"/>
                <w:szCs w:val="20"/>
              </w:rPr>
            </w:pPr>
            <w:r>
              <w:rPr>
                <w:sz w:val="20"/>
                <w:szCs w:val="20"/>
              </w:rPr>
              <w:t>0.27***</w:t>
            </w:r>
          </w:p>
        </w:tc>
        <w:tc>
          <w:tcPr>
            <w:tcW w:w="1303" w:type="dxa"/>
            <w:tcBorders>
              <w:top w:val="nil"/>
              <w:left w:val="nil"/>
              <w:bottom w:val="nil"/>
              <w:right w:val="nil"/>
            </w:tcBorders>
            <w:shd w:val="clear" w:color="auto" w:fill="EDF5F0"/>
            <w:tcMar>
              <w:top w:w="40" w:type="dxa"/>
              <w:left w:w="40" w:type="dxa"/>
              <w:bottom w:w="40" w:type="dxa"/>
              <w:right w:w="40" w:type="dxa"/>
            </w:tcMar>
            <w:vAlign w:val="center"/>
          </w:tcPr>
          <w:p w14:paraId="598F7639" w14:textId="77777777" w:rsidR="00A85EF7" w:rsidRDefault="000835AC">
            <w:pPr>
              <w:widowControl w:val="0"/>
              <w:jc w:val="center"/>
              <w:rPr>
                <w:sz w:val="20"/>
                <w:szCs w:val="20"/>
              </w:rPr>
            </w:pPr>
            <w:r>
              <w:rPr>
                <w:sz w:val="20"/>
                <w:szCs w:val="20"/>
              </w:rPr>
              <w:t>0.33***</w:t>
            </w:r>
          </w:p>
        </w:tc>
      </w:tr>
      <w:tr w:rsidR="00A85EF7" w14:paraId="598F7641" w14:textId="77777777">
        <w:trPr>
          <w:trHeight w:val="555"/>
          <w:jc w:val="center"/>
        </w:trPr>
        <w:tc>
          <w:tcPr>
            <w:tcW w:w="2607" w:type="dxa"/>
            <w:tcBorders>
              <w:top w:val="single" w:sz="8" w:space="0" w:color="FFFFFF"/>
              <w:left w:val="single" w:sz="8" w:space="0" w:color="FFFFFF"/>
              <w:bottom w:val="single" w:sz="8" w:space="0" w:color="000000"/>
              <w:right w:val="nil"/>
            </w:tcBorders>
            <w:shd w:val="clear" w:color="auto" w:fill="auto"/>
            <w:tcMar>
              <w:top w:w="40" w:type="dxa"/>
              <w:left w:w="40" w:type="dxa"/>
              <w:bottom w:w="40" w:type="dxa"/>
              <w:right w:w="40" w:type="dxa"/>
            </w:tcMar>
            <w:vAlign w:val="center"/>
          </w:tcPr>
          <w:p w14:paraId="598F763B" w14:textId="12DFEBEE" w:rsidR="00A85EF7" w:rsidRDefault="00391BCB">
            <w:pPr>
              <w:widowControl w:val="0"/>
              <w:spacing w:line="240" w:lineRule="auto"/>
              <w:rPr>
                <w:sz w:val="10"/>
                <w:szCs w:val="10"/>
              </w:rPr>
            </w:pPr>
            <w:r>
              <w:rPr>
                <w:sz w:val="20"/>
                <w:szCs w:val="20"/>
              </w:rPr>
              <w:t xml:space="preserve"> </w:t>
            </w:r>
            <w:r w:rsidR="000835AC">
              <w:rPr>
                <w:sz w:val="20"/>
                <w:szCs w:val="20"/>
              </w:rPr>
              <w:t>12-month follow-up (n=80)</w:t>
            </w:r>
          </w:p>
        </w:tc>
        <w:tc>
          <w:tcPr>
            <w:tcW w:w="1303" w:type="dxa"/>
            <w:tcBorders>
              <w:top w:val="nil"/>
              <w:left w:val="nil"/>
              <w:bottom w:val="nil"/>
              <w:right w:val="nil"/>
            </w:tcBorders>
            <w:tcMar>
              <w:top w:w="40" w:type="dxa"/>
              <w:left w:w="40" w:type="dxa"/>
              <w:bottom w:w="40" w:type="dxa"/>
              <w:right w:w="40" w:type="dxa"/>
            </w:tcMar>
            <w:vAlign w:val="center"/>
          </w:tcPr>
          <w:p w14:paraId="598F763C" w14:textId="77777777" w:rsidR="00A85EF7" w:rsidRDefault="000835AC">
            <w:pPr>
              <w:widowControl w:val="0"/>
              <w:jc w:val="center"/>
              <w:rPr>
                <w:sz w:val="20"/>
                <w:szCs w:val="20"/>
              </w:rPr>
            </w:pPr>
            <w:r>
              <w:rPr>
                <w:sz w:val="20"/>
                <w:szCs w:val="20"/>
              </w:rPr>
              <w:t>0.27*</w:t>
            </w:r>
          </w:p>
        </w:tc>
        <w:tc>
          <w:tcPr>
            <w:tcW w:w="1303" w:type="dxa"/>
            <w:tcBorders>
              <w:top w:val="nil"/>
              <w:left w:val="nil"/>
              <w:bottom w:val="nil"/>
              <w:right w:val="nil"/>
            </w:tcBorders>
            <w:tcMar>
              <w:top w:w="40" w:type="dxa"/>
              <w:left w:w="40" w:type="dxa"/>
              <w:bottom w:w="40" w:type="dxa"/>
              <w:right w:w="40" w:type="dxa"/>
            </w:tcMar>
            <w:vAlign w:val="center"/>
          </w:tcPr>
          <w:p w14:paraId="598F763D" w14:textId="77777777" w:rsidR="00A85EF7" w:rsidRDefault="000835AC">
            <w:pPr>
              <w:widowControl w:val="0"/>
              <w:jc w:val="center"/>
              <w:rPr>
                <w:sz w:val="20"/>
                <w:szCs w:val="20"/>
              </w:rPr>
            </w:pPr>
            <w:r>
              <w:rPr>
                <w:sz w:val="20"/>
                <w:szCs w:val="20"/>
              </w:rPr>
              <w:t>0.35**</w:t>
            </w:r>
          </w:p>
        </w:tc>
        <w:tc>
          <w:tcPr>
            <w:tcW w:w="1303" w:type="dxa"/>
            <w:tcBorders>
              <w:top w:val="nil"/>
              <w:left w:val="nil"/>
              <w:bottom w:val="nil"/>
              <w:right w:val="nil"/>
            </w:tcBorders>
            <w:tcMar>
              <w:top w:w="40" w:type="dxa"/>
              <w:left w:w="40" w:type="dxa"/>
              <w:bottom w:w="40" w:type="dxa"/>
              <w:right w:w="40" w:type="dxa"/>
            </w:tcMar>
            <w:vAlign w:val="center"/>
          </w:tcPr>
          <w:p w14:paraId="598F763E" w14:textId="77777777" w:rsidR="00A85EF7" w:rsidRDefault="000835AC">
            <w:pPr>
              <w:widowControl w:val="0"/>
              <w:jc w:val="center"/>
              <w:rPr>
                <w:sz w:val="20"/>
                <w:szCs w:val="20"/>
              </w:rPr>
            </w:pPr>
            <w:r>
              <w:rPr>
                <w:sz w:val="20"/>
                <w:szCs w:val="20"/>
              </w:rPr>
              <w:t>0.36**</w:t>
            </w:r>
          </w:p>
        </w:tc>
        <w:tc>
          <w:tcPr>
            <w:tcW w:w="1303" w:type="dxa"/>
            <w:tcBorders>
              <w:top w:val="nil"/>
              <w:left w:val="nil"/>
              <w:bottom w:val="nil"/>
              <w:right w:val="nil"/>
            </w:tcBorders>
            <w:tcMar>
              <w:top w:w="40" w:type="dxa"/>
              <w:left w:w="40" w:type="dxa"/>
              <w:bottom w:w="40" w:type="dxa"/>
              <w:right w:w="40" w:type="dxa"/>
            </w:tcMar>
            <w:vAlign w:val="center"/>
          </w:tcPr>
          <w:p w14:paraId="598F763F" w14:textId="77777777" w:rsidR="00A85EF7" w:rsidRDefault="000835AC">
            <w:pPr>
              <w:widowControl w:val="0"/>
              <w:jc w:val="center"/>
              <w:rPr>
                <w:sz w:val="20"/>
                <w:szCs w:val="20"/>
              </w:rPr>
            </w:pPr>
            <w:r>
              <w:rPr>
                <w:sz w:val="20"/>
                <w:szCs w:val="20"/>
              </w:rPr>
              <w:t>0.23*</w:t>
            </w:r>
          </w:p>
        </w:tc>
        <w:tc>
          <w:tcPr>
            <w:tcW w:w="1303" w:type="dxa"/>
            <w:tcBorders>
              <w:top w:val="nil"/>
              <w:left w:val="nil"/>
              <w:bottom w:val="nil"/>
              <w:right w:val="nil"/>
            </w:tcBorders>
            <w:tcMar>
              <w:top w:w="40" w:type="dxa"/>
              <w:left w:w="40" w:type="dxa"/>
              <w:bottom w:w="40" w:type="dxa"/>
              <w:right w:w="40" w:type="dxa"/>
            </w:tcMar>
            <w:vAlign w:val="center"/>
          </w:tcPr>
          <w:p w14:paraId="598F7640" w14:textId="77777777" w:rsidR="00A85EF7" w:rsidRDefault="000835AC">
            <w:pPr>
              <w:widowControl w:val="0"/>
              <w:jc w:val="center"/>
              <w:rPr>
                <w:sz w:val="20"/>
                <w:szCs w:val="20"/>
              </w:rPr>
            </w:pPr>
            <w:r>
              <w:rPr>
                <w:sz w:val="20"/>
                <w:szCs w:val="20"/>
              </w:rPr>
              <w:t>0.42***</w:t>
            </w:r>
          </w:p>
        </w:tc>
      </w:tr>
      <w:tr w:rsidR="00A85EF7" w14:paraId="598F7644" w14:textId="77777777">
        <w:trPr>
          <w:trHeight w:val="945"/>
          <w:jc w:val="center"/>
        </w:trPr>
        <w:tc>
          <w:tcPr>
            <w:tcW w:w="9122" w:type="dxa"/>
            <w:gridSpan w:val="6"/>
            <w:tcBorders>
              <w:top w:val="single" w:sz="8" w:space="0" w:color="000000"/>
              <w:left w:val="single" w:sz="8" w:space="0" w:color="FFFFFF"/>
              <w:bottom w:val="single" w:sz="8" w:space="0" w:color="FFFFFF"/>
              <w:right w:val="single" w:sz="8" w:space="0" w:color="FFFFFF"/>
            </w:tcBorders>
            <w:shd w:val="clear" w:color="auto" w:fill="auto"/>
            <w:tcMar>
              <w:top w:w="40" w:type="dxa"/>
              <w:left w:w="40" w:type="dxa"/>
              <w:bottom w:w="40" w:type="dxa"/>
              <w:right w:w="40" w:type="dxa"/>
            </w:tcMar>
            <w:vAlign w:val="bottom"/>
          </w:tcPr>
          <w:p w14:paraId="598F7642" w14:textId="7831C778" w:rsidR="00A85EF7" w:rsidRDefault="000835AC">
            <w:pPr>
              <w:widowControl w:val="0"/>
              <w:spacing w:line="240" w:lineRule="auto"/>
              <w:rPr>
                <w:sz w:val="20"/>
                <w:szCs w:val="20"/>
              </w:rPr>
            </w:pPr>
            <w:r>
              <w:rPr>
                <w:sz w:val="20"/>
                <w:szCs w:val="20"/>
              </w:rPr>
              <w:t>DASS-A=Anxiety subscale of the Depression Anxiety Stress Scales (DASS</w:t>
            </w:r>
            <w:r w:rsidR="00391BCB">
              <w:rPr>
                <w:sz w:val="20"/>
                <w:szCs w:val="20"/>
              </w:rPr>
              <w:t>-21</w:t>
            </w:r>
            <w:r>
              <w:rPr>
                <w:sz w:val="20"/>
                <w:szCs w:val="20"/>
              </w:rPr>
              <w:t>); DASS-D=Depression subscale of the DASS</w:t>
            </w:r>
            <w:r w:rsidR="00391BCB">
              <w:rPr>
                <w:sz w:val="20"/>
                <w:szCs w:val="20"/>
              </w:rPr>
              <w:t>-21</w:t>
            </w:r>
            <w:r>
              <w:rPr>
                <w:sz w:val="20"/>
                <w:szCs w:val="20"/>
              </w:rPr>
              <w:t>; DASS-S=Stress subscale of the DASS</w:t>
            </w:r>
            <w:r w:rsidR="00391BCB">
              <w:rPr>
                <w:sz w:val="20"/>
                <w:szCs w:val="20"/>
              </w:rPr>
              <w:t>-21</w:t>
            </w:r>
            <w:r>
              <w:rPr>
                <w:sz w:val="20"/>
                <w:szCs w:val="20"/>
              </w:rPr>
              <w:t>; GAD-7=General Anxiety Disorder-7; PHQ-9=Patient Health Questionnaire-9; SLS-1=Single-item Subjective Level of Stress.</w:t>
            </w:r>
          </w:p>
          <w:p w14:paraId="598F7643" w14:textId="77777777" w:rsidR="00A85EF7" w:rsidRDefault="000835AC">
            <w:pPr>
              <w:widowControl w:val="0"/>
              <w:spacing w:line="240" w:lineRule="auto"/>
              <w:rPr>
                <w:sz w:val="20"/>
                <w:szCs w:val="20"/>
              </w:rPr>
            </w:pPr>
            <w:r>
              <w:rPr>
                <w:sz w:val="20"/>
                <w:szCs w:val="20"/>
              </w:rPr>
              <w:t>*p&lt;0.05, **p&lt;0.01, ***p&lt;0.001.</w:t>
            </w:r>
          </w:p>
        </w:tc>
      </w:tr>
    </w:tbl>
    <w:p w14:paraId="598F7645" w14:textId="77777777" w:rsidR="00A85EF7" w:rsidRDefault="00A85EF7">
      <w:pPr>
        <w:spacing w:line="240" w:lineRule="auto"/>
      </w:pPr>
    </w:p>
    <w:p w14:paraId="598F7646" w14:textId="77777777" w:rsidR="00A85EF7" w:rsidRDefault="000835AC">
      <w:pPr>
        <w:spacing w:line="240" w:lineRule="auto"/>
      </w:pPr>
      <w:r>
        <w:t xml:space="preserve"> </w:t>
      </w:r>
    </w:p>
    <w:p w14:paraId="598F7647" w14:textId="77777777" w:rsidR="00A85EF7" w:rsidRDefault="00A85EF7">
      <w:pPr>
        <w:sectPr w:rsidR="00A85EF7">
          <w:headerReference w:type="even" r:id="rId8"/>
          <w:headerReference w:type="default" r:id="rId9"/>
          <w:footerReference w:type="even" r:id="rId10"/>
          <w:footerReference w:type="default" r:id="rId11"/>
          <w:headerReference w:type="first" r:id="rId12"/>
          <w:footerReference w:type="first" r:id="rId13"/>
          <w:pgSz w:w="11906" w:h="16838"/>
          <w:pgMar w:top="1133" w:right="1133" w:bottom="1133" w:left="1133" w:header="720" w:footer="720" w:gutter="0"/>
          <w:pgNumType w:start="1"/>
          <w:cols w:space="720"/>
          <w:titlePg/>
        </w:sectPr>
      </w:pPr>
    </w:p>
    <w:p w14:paraId="598F7648" w14:textId="77777777" w:rsidR="00A85EF7" w:rsidRDefault="000835AC">
      <w:pPr>
        <w:pStyle w:val="Heading2"/>
      </w:pPr>
      <w:bookmarkStart w:id="4" w:name="_Toc71493587"/>
      <w:r>
        <w:lastRenderedPageBreak/>
        <w:t>Supplementary Material S4. Relationship between the SLS-1 and other related factors of depressive and anxiety symptoms and their associations with symptom outcomes.</w:t>
      </w:r>
      <w:bookmarkEnd w:id="4"/>
      <w:r>
        <w:t xml:space="preserve"> </w:t>
      </w:r>
    </w:p>
    <w:p w14:paraId="598F7649" w14:textId="77777777" w:rsidR="00A85EF7" w:rsidRDefault="00A85EF7"/>
    <w:p w14:paraId="598F764A" w14:textId="16293A7E" w:rsidR="00A85EF7" w:rsidRDefault="000835AC">
      <w:r>
        <w:t>In addition to the analyses presented in the main text, further analyses were performed to consider the influence of other potentially related factors of symptom outcomes, including (</w:t>
      </w:r>
      <w:proofErr w:type="spellStart"/>
      <w:r>
        <w:t>i</w:t>
      </w:r>
      <w:proofErr w:type="spellEnd"/>
      <w:r>
        <w:t xml:space="preserve">) prior history of mental or neurodevelopmental disorder, (ii) monthly household income, and (iii) number of parents in the household, as well as K6 (as a key measure of distress), on depressive and anxiety symptoms in the epidemiological youth sample (sample of Study 1). </w:t>
      </w:r>
    </w:p>
    <w:p w14:paraId="598F764B" w14:textId="77777777" w:rsidR="00A85EF7" w:rsidRPr="000C5154" w:rsidRDefault="00A85EF7"/>
    <w:p w14:paraId="598F764C" w14:textId="77777777" w:rsidR="00A85EF7" w:rsidRPr="000C5154" w:rsidRDefault="000835AC">
      <w:r w:rsidRPr="000C5154">
        <w:rPr>
          <w:rFonts w:eastAsia="Arial Unicode MS"/>
        </w:rPr>
        <w:t xml:space="preserve">In the epidemiological sample of young people (Study 1), information on monthly household income was available from 53.5% (n=773) of the participants. The reported household income was as follows: &lt;$10000 in 6.3% (n=49), $10,000–$29,999 in 40.2% (n=311), $30000–$59999 in 33.5% (n=259), $60000–$99999 in 13.2% (n=102), ≥$100000 in 6.7% (n=52). Seventy-one percent of the participants (n=1032) reported having two parents in the household, 21.1% (n=305) reported living with one parent, and 7.5% (n=108) lived on their own. </w:t>
      </w:r>
      <w:r w:rsidRPr="000C5154">
        <w:t>Nine percent (n=132) reported having received a prior diagnosis of mental or neurodevelopmental disorder.</w:t>
      </w:r>
    </w:p>
    <w:p w14:paraId="598F764D" w14:textId="77777777" w:rsidR="00A85EF7" w:rsidRPr="000C5154" w:rsidRDefault="00A85EF7"/>
    <w:p w14:paraId="598F764E" w14:textId="46D7C3A2" w:rsidR="00A85EF7" w:rsidRDefault="000835AC">
      <w:r>
        <w:t>Separate hierarchical regression analyses were performed with age and gender in Block 1, and the variables of interest, including SLS-1, prior history of mental or neurodevelopmental disorder, K6, as well as monthly household income and number of parents in the household in Block 2, to determine their associations with depressive (PHQ-9) and anxiety (GAD-7) symptoms. Table S2 presents the standardised beta coefficient of the SLS-1</w:t>
      </w:r>
      <w:r w:rsidR="00F50748">
        <w:t xml:space="preserve">, </w:t>
      </w:r>
      <w:r>
        <w:t>K6</w:t>
      </w:r>
      <w:r w:rsidR="00F50748">
        <w:t>, and other sociodemographic variables</w:t>
      </w:r>
      <w:r>
        <w:t xml:space="preserve"> in the final block of the separate hierarchical regression models</w:t>
      </w:r>
      <w:r w:rsidR="00D74E1D">
        <w:t xml:space="preserve"> (</w:t>
      </w:r>
      <w:r>
        <w:t>after accounting for age and gender</w:t>
      </w:r>
      <w:r w:rsidR="00D74E1D">
        <w:t>)</w:t>
      </w:r>
      <w:r>
        <w:t xml:space="preserve"> as well as the resulting </w:t>
      </w:r>
      <w:r>
        <w:rPr>
          <w:i/>
        </w:rPr>
        <w:t>R</w:t>
      </w:r>
      <w:r>
        <w:t>-square change after their inclusion in the model.</w:t>
      </w:r>
    </w:p>
    <w:p w14:paraId="598F764F" w14:textId="77777777" w:rsidR="00A85EF7" w:rsidRDefault="00A85EF7"/>
    <w:p w14:paraId="598F7650" w14:textId="065C5415" w:rsidR="00A85EF7" w:rsidRDefault="00395146">
      <w:r>
        <w:t>H</w:t>
      </w:r>
      <w:r w:rsidR="000835AC">
        <w:t xml:space="preserve">igher monthly household income and number of parents in the household </w:t>
      </w:r>
      <w:r>
        <w:t>showed</w:t>
      </w:r>
      <w:r w:rsidR="000835AC">
        <w:t xml:space="preserve"> weak</w:t>
      </w:r>
      <w:r>
        <w:t xml:space="preserve"> negative </w:t>
      </w:r>
      <w:r w:rsidR="000835AC">
        <w:t>correlat</w:t>
      </w:r>
      <w:r>
        <w:t>ions</w:t>
      </w:r>
      <w:r w:rsidR="000835AC">
        <w:t xml:space="preserve"> with depressive symptoms (monthly household income: ρ=-0.08; number of parents in the household: ρ=-0.09), with no significant correlations observed with anxiety symptoms. Meanwhile, as expected, prior history of mental or neurodevelopmental disorder was associated with both depressive and anxiety symptoms (ρ=0.21</w:t>
      </w:r>
      <w:r w:rsidR="00743332">
        <w:t xml:space="preserve"> </w:t>
      </w:r>
      <w:r w:rsidR="000835AC">
        <w:t xml:space="preserve">for both) and led to an </w:t>
      </w:r>
      <w:r w:rsidR="000835AC">
        <w:rPr>
          <w:i/>
        </w:rPr>
        <w:t>R</w:t>
      </w:r>
      <w:r w:rsidR="000835AC">
        <w:t xml:space="preserve">-square change of 0.05 and 0.04, respectively. As a measure of distress symptoms, K6 was strongly correlated with both depressive and anxiety symptoms (ρ=0.74 and ρ=0.78) and led to an </w:t>
      </w:r>
      <w:r w:rsidR="000835AC">
        <w:rPr>
          <w:i/>
        </w:rPr>
        <w:t>R</w:t>
      </w:r>
      <w:r w:rsidR="000835AC">
        <w:t>-square change of 0.55 and 0.60. The SLS-1, as a measure of subjective stress, showed to be reliably correlated with both depressive and anxiety symptom dimensions</w:t>
      </w:r>
      <w:r w:rsidR="003230E3">
        <w:t xml:space="preserve"> (</w:t>
      </w:r>
      <w:r w:rsidR="000835AC">
        <w:t>with moderate correlation coefficients</w:t>
      </w:r>
      <w:r w:rsidR="003230E3">
        <w:t xml:space="preserve"> of </w:t>
      </w:r>
      <w:r w:rsidR="000835AC">
        <w:t xml:space="preserve">ρ=0.36 and ρ=0.44) and </w:t>
      </w:r>
      <w:r w:rsidR="00045336">
        <w:t xml:space="preserve">led to </w:t>
      </w:r>
      <w:r w:rsidR="000835AC">
        <w:t xml:space="preserve">an </w:t>
      </w:r>
      <w:r w:rsidR="000835AC">
        <w:rPr>
          <w:i/>
        </w:rPr>
        <w:t>R</w:t>
      </w:r>
      <w:r w:rsidR="000835AC">
        <w:t>-square change of 0.13 and 0.20. These findings provided further support for the validity of the SLS-1 as a measure of subjective stress and an indicator of other mental health outcomes.</w:t>
      </w:r>
    </w:p>
    <w:p w14:paraId="598F7651" w14:textId="77777777" w:rsidR="00A85EF7" w:rsidRDefault="000835AC">
      <w:r>
        <w:br w:type="page"/>
      </w:r>
    </w:p>
    <w:p w14:paraId="598F7652" w14:textId="77777777" w:rsidR="00A85EF7" w:rsidRDefault="000835AC">
      <w:pPr>
        <w:pStyle w:val="Heading3"/>
        <w:ind w:left="0"/>
      </w:pPr>
      <w:bookmarkStart w:id="5" w:name="_Toc71493588"/>
      <w:r>
        <w:lastRenderedPageBreak/>
        <w:t>Table S2.</w:t>
      </w:r>
      <w:bookmarkEnd w:id="5"/>
    </w:p>
    <w:p w14:paraId="598F7653" w14:textId="77777777" w:rsidR="00A85EF7" w:rsidRDefault="000835AC">
      <w:r>
        <w:t xml:space="preserve">Overview of the standardised beta coefficients and </w:t>
      </w:r>
      <w:r>
        <w:rPr>
          <w:i/>
        </w:rPr>
        <w:t>R</w:t>
      </w:r>
      <w:r>
        <w:t xml:space="preserve">-square change of SLS-1, prior history of disorder, K6, and other sociodemographic variables in the separate hierarchical regression models for PHQ-9 and GAD-7, respectively. </w:t>
      </w:r>
    </w:p>
    <w:tbl>
      <w:tblPr>
        <w:tblStyle w:val="a0"/>
        <w:tblW w:w="9608" w:type="dxa"/>
        <w:tblBorders>
          <w:top w:val="nil"/>
          <w:left w:val="nil"/>
          <w:bottom w:val="nil"/>
          <w:right w:val="nil"/>
          <w:insideH w:val="nil"/>
          <w:insideV w:val="nil"/>
        </w:tblBorders>
        <w:tblLayout w:type="fixed"/>
        <w:tblLook w:val="0600" w:firstRow="0" w:lastRow="0" w:firstColumn="0" w:lastColumn="0" w:noHBand="1" w:noVBand="1"/>
      </w:tblPr>
      <w:tblGrid>
        <w:gridCol w:w="3233"/>
        <w:gridCol w:w="1539"/>
        <w:gridCol w:w="1540"/>
        <w:gridCol w:w="215"/>
        <w:gridCol w:w="1539"/>
        <w:gridCol w:w="1542"/>
      </w:tblGrid>
      <w:tr w:rsidR="00A85EF7" w14:paraId="598F7658" w14:textId="77777777" w:rsidTr="0040396A">
        <w:trPr>
          <w:trHeight w:val="220"/>
        </w:trPr>
        <w:tc>
          <w:tcPr>
            <w:tcW w:w="3233" w:type="dxa"/>
            <w:tcBorders>
              <w:top w:val="single" w:sz="8" w:space="0" w:color="000000"/>
              <w:left w:val="nil"/>
              <w:bottom w:val="nil"/>
              <w:right w:val="nil"/>
            </w:tcBorders>
            <w:shd w:val="clear" w:color="auto" w:fill="EDF5F0"/>
            <w:tcMar>
              <w:top w:w="0" w:type="dxa"/>
              <w:left w:w="0" w:type="dxa"/>
              <w:bottom w:w="0" w:type="dxa"/>
              <w:right w:w="0" w:type="dxa"/>
            </w:tcMar>
            <w:vAlign w:val="bottom"/>
          </w:tcPr>
          <w:p w14:paraId="598F7654" w14:textId="77777777" w:rsidR="00A85EF7" w:rsidRDefault="00A85EF7">
            <w:pPr>
              <w:widowControl w:val="0"/>
              <w:rPr>
                <w:sz w:val="20"/>
                <w:szCs w:val="20"/>
              </w:rPr>
            </w:pPr>
          </w:p>
        </w:tc>
        <w:tc>
          <w:tcPr>
            <w:tcW w:w="3079" w:type="dxa"/>
            <w:gridSpan w:val="2"/>
            <w:tcBorders>
              <w:top w:val="single" w:sz="8" w:space="0" w:color="000000"/>
              <w:left w:val="nil"/>
              <w:bottom w:val="single" w:sz="8" w:space="0" w:color="000000"/>
              <w:right w:val="nil"/>
            </w:tcBorders>
            <w:shd w:val="clear" w:color="auto" w:fill="EDF5F0"/>
            <w:tcMar>
              <w:top w:w="0" w:type="dxa"/>
              <w:left w:w="0" w:type="dxa"/>
              <w:bottom w:w="0" w:type="dxa"/>
              <w:right w:w="0" w:type="dxa"/>
            </w:tcMar>
            <w:vAlign w:val="bottom"/>
          </w:tcPr>
          <w:p w14:paraId="598F7655" w14:textId="77777777" w:rsidR="00A85EF7" w:rsidRDefault="000835AC">
            <w:pPr>
              <w:widowControl w:val="0"/>
              <w:jc w:val="center"/>
              <w:rPr>
                <w:sz w:val="20"/>
                <w:szCs w:val="20"/>
              </w:rPr>
            </w:pPr>
            <w:r>
              <w:rPr>
                <w:sz w:val="20"/>
                <w:szCs w:val="20"/>
              </w:rPr>
              <w:t>PHQ-9</w:t>
            </w:r>
          </w:p>
        </w:tc>
        <w:tc>
          <w:tcPr>
            <w:tcW w:w="215" w:type="dxa"/>
            <w:tcBorders>
              <w:top w:val="single" w:sz="8" w:space="0" w:color="000000"/>
              <w:left w:val="nil"/>
              <w:bottom w:val="nil"/>
              <w:right w:val="nil"/>
            </w:tcBorders>
            <w:shd w:val="clear" w:color="auto" w:fill="EDF5F0"/>
            <w:tcMar>
              <w:top w:w="0" w:type="dxa"/>
              <w:left w:w="0" w:type="dxa"/>
              <w:bottom w:w="0" w:type="dxa"/>
              <w:right w:w="0" w:type="dxa"/>
            </w:tcMar>
            <w:vAlign w:val="bottom"/>
          </w:tcPr>
          <w:p w14:paraId="598F7656" w14:textId="77777777" w:rsidR="00A85EF7" w:rsidRDefault="00A85EF7">
            <w:pPr>
              <w:widowControl w:val="0"/>
              <w:rPr>
                <w:sz w:val="20"/>
                <w:szCs w:val="20"/>
              </w:rPr>
            </w:pPr>
          </w:p>
        </w:tc>
        <w:tc>
          <w:tcPr>
            <w:tcW w:w="3079" w:type="dxa"/>
            <w:gridSpan w:val="2"/>
            <w:tcBorders>
              <w:top w:val="single" w:sz="8" w:space="0" w:color="000000"/>
              <w:left w:val="nil"/>
              <w:bottom w:val="single" w:sz="8" w:space="0" w:color="000000"/>
              <w:right w:val="nil"/>
            </w:tcBorders>
            <w:shd w:val="clear" w:color="auto" w:fill="EDF5F0"/>
            <w:tcMar>
              <w:top w:w="0" w:type="dxa"/>
              <w:left w:w="0" w:type="dxa"/>
              <w:bottom w:w="0" w:type="dxa"/>
              <w:right w:w="0" w:type="dxa"/>
            </w:tcMar>
            <w:vAlign w:val="bottom"/>
          </w:tcPr>
          <w:p w14:paraId="598F7657" w14:textId="77777777" w:rsidR="00A85EF7" w:rsidRDefault="000835AC">
            <w:pPr>
              <w:widowControl w:val="0"/>
              <w:jc w:val="center"/>
              <w:rPr>
                <w:sz w:val="20"/>
                <w:szCs w:val="20"/>
              </w:rPr>
            </w:pPr>
            <w:r>
              <w:rPr>
                <w:sz w:val="20"/>
                <w:szCs w:val="20"/>
              </w:rPr>
              <w:t>GAD-7</w:t>
            </w:r>
          </w:p>
        </w:tc>
      </w:tr>
      <w:tr w:rsidR="00A85EF7" w14:paraId="598F765F" w14:textId="77777777" w:rsidTr="0040396A">
        <w:trPr>
          <w:trHeight w:val="275"/>
        </w:trPr>
        <w:tc>
          <w:tcPr>
            <w:tcW w:w="3233" w:type="dxa"/>
            <w:tcBorders>
              <w:top w:val="nil"/>
              <w:left w:val="nil"/>
              <w:bottom w:val="single" w:sz="8" w:space="0" w:color="000000"/>
              <w:right w:val="nil"/>
            </w:tcBorders>
            <w:shd w:val="clear" w:color="auto" w:fill="EDF5F0"/>
            <w:tcMar>
              <w:top w:w="113" w:type="dxa"/>
              <w:left w:w="113" w:type="dxa"/>
              <w:bottom w:w="113" w:type="dxa"/>
              <w:right w:w="113" w:type="dxa"/>
            </w:tcMar>
            <w:vAlign w:val="bottom"/>
          </w:tcPr>
          <w:p w14:paraId="598F7659" w14:textId="77777777" w:rsidR="00A85EF7" w:rsidRDefault="000835AC">
            <w:pPr>
              <w:widowControl w:val="0"/>
              <w:rPr>
                <w:sz w:val="20"/>
                <w:szCs w:val="20"/>
              </w:rPr>
            </w:pPr>
            <w:r>
              <w:rPr>
                <w:sz w:val="20"/>
                <w:szCs w:val="20"/>
              </w:rPr>
              <w:t>Variables</w:t>
            </w:r>
          </w:p>
        </w:tc>
        <w:tc>
          <w:tcPr>
            <w:tcW w:w="1539" w:type="dxa"/>
            <w:tcBorders>
              <w:top w:val="single" w:sz="8" w:space="0" w:color="000000"/>
              <w:left w:val="nil"/>
              <w:bottom w:val="single" w:sz="8" w:space="0" w:color="000000"/>
              <w:right w:val="nil"/>
            </w:tcBorders>
            <w:shd w:val="clear" w:color="auto" w:fill="EDF5F0"/>
            <w:tcMar>
              <w:top w:w="0" w:type="dxa"/>
              <w:left w:w="0" w:type="dxa"/>
              <w:bottom w:w="0" w:type="dxa"/>
              <w:right w:w="0" w:type="dxa"/>
            </w:tcMar>
            <w:vAlign w:val="bottom"/>
          </w:tcPr>
          <w:p w14:paraId="598F765A" w14:textId="77777777" w:rsidR="00A85EF7" w:rsidRDefault="000835AC">
            <w:pPr>
              <w:widowControl w:val="0"/>
              <w:jc w:val="center"/>
              <w:rPr>
                <w:sz w:val="20"/>
                <w:szCs w:val="20"/>
              </w:rPr>
            </w:pPr>
            <w:r>
              <w:rPr>
                <w:i/>
                <w:sz w:val="20"/>
                <w:szCs w:val="20"/>
              </w:rPr>
              <w:t>β</w:t>
            </w:r>
          </w:p>
        </w:tc>
        <w:tc>
          <w:tcPr>
            <w:tcW w:w="1539" w:type="dxa"/>
            <w:tcBorders>
              <w:top w:val="single" w:sz="8" w:space="0" w:color="000000"/>
              <w:left w:val="nil"/>
              <w:bottom w:val="single" w:sz="8" w:space="0" w:color="000000"/>
              <w:right w:val="nil"/>
            </w:tcBorders>
            <w:shd w:val="clear" w:color="auto" w:fill="EDF5F0"/>
            <w:tcMar>
              <w:top w:w="0" w:type="dxa"/>
              <w:left w:w="0" w:type="dxa"/>
              <w:bottom w:w="0" w:type="dxa"/>
              <w:right w:w="0" w:type="dxa"/>
            </w:tcMar>
            <w:vAlign w:val="bottom"/>
          </w:tcPr>
          <w:p w14:paraId="598F765B" w14:textId="77777777" w:rsidR="00A85EF7" w:rsidRDefault="000835AC">
            <w:pPr>
              <w:widowControl w:val="0"/>
              <w:jc w:val="center"/>
              <w:rPr>
                <w:sz w:val="20"/>
                <w:szCs w:val="20"/>
              </w:rPr>
            </w:pPr>
            <w:r>
              <w:rPr>
                <w:i/>
                <w:sz w:val="20"/>
                <w:szCs w:val="20"/>
              </w:rPr>
              <w:t>R</w:t>
            </w:r>
            <w:r>
              <w:rPr>
                <w:sz w:val="20"/>
                <w:szCs w:val="20"/>
                <w:vertAlign w:val="superscript"/>
              </w:rPr>
              <w:t>2</w:t>
            </w:r>
            <w:r>
              <w:rPr>
                <w:sz w:val="20"/>
                <w:szCs w:val="20"/>
              </w:rPr>
              <w:t xml:space="preserve"> Change</w:t>
            </w:r>
          </w:p>
        </w:tc>
        <w:tc>
          <w:tcPr>
            <w:tcW w:w="215" w:type="dxa"/>
            <w:tcBorders>
              <w:top w:val="nil"/>
              <w:left w:val="nil"/>
              <w:bottom w:val="single" w:sz="8" w:space="0" w:color="000000"/>
              <w:right w:val="nil"/>
            </w:tcBorders>
            <w:shd w:val="clear" w:color="auto" w:fill="EDF5F0"/>
            <w:tcMar>
              <w:top w:w="0" w:type="dxa"/>
              <w:left w:w="0" w:type="dxa"/>
              <w:bottom w:w="0" w:type="dxa"/>
              <w:right w:w="0" w:type="dxa"/>
            </w:tcMar>
            <w:vAlign w:val="bottom"/>
          </w:tcPr>
          <w:p w14:paraId="598F765C" w14:textId="77777777" w:rsidR="00A85EF7" w:rsidRDefault="00A85EF7">
            <w:pPr>
              <w:widowControl w:val="0"/>
              <w:rPr>
                <w:sz w:val="20"/>
                <w:szCs w:val="20"/>
              </w:rPr>
            </w:pPr>
          </w:p>
        </w:tc>
        <w:tc>
          <w:tcPr>
            <w:tcW w:w="1539" w:type="dxa"/>
            <w:tcBorders>
              <w:top w:val="single" w:sz="8" w:space="0" w:color="000000"/>
              <w:left w:val="nil"/>
              <w:bottom w:val="single" w:sz="8" w:space="0" w:color="000000"/>
              <w:right w:val="nil"/>
            </w:tcBorders>
            <w:shd w:val="clear" w:color="auto" w:fill="EDF5F0"/>
            <w:tcMar>
              <w:top w:w="0" w:type="dxa"/>
              <w:left w:w="0" w:type="dxa"/>
              <w:bottom w:w="0" w:type="dxa"/>
              <w:right w:w="0" w:type="dxa"/>
            </w:tcMar>
            <w:vAlign w:val="bottom"/>
          </w:tcPr>
          <w:p w14:paraId="598F765D" w14:textId="77777777" w:rsidR="00A85EF7" w:rsidRDefault="000835AC">
            <w:pPr>
              <w:widowControl w:val="0"/>
              <w:jc w:val="center"/>
              <w:rPr>
                <w:sz w:val="20"/>
                <w:szCs w:val="20"/>
              </w:rPr>
            </w:pPr>
            <w:r>
              <w:rPr>
                <w:i/>
                <w:sz w:val="20"/>
                <w:szCs w:val="20"/>
              </w:rPr>
              <w:t>β</w:t>
            </w:r>
          </w:p>
        </w:tc>
        <w:tc>
          <w:tcPr>
            <w:tcW w:w="1539" w:type="dxa"/>
            <w:tcBorders>
              <w:top w:val="single" w:sz="8" w:space="0" w:color="000000"/>
              <w:left w:val="nil"/>
              <w:bottom w:val="single" w:sz="8" w:space="0" w:color="000000"/>
              <w:right w:val="nil"/>
            </w:tcBorders>
            <w:shd w:val="clear" w:color="auto" w:fill="EDF5F0"/>
            <w:tcMar>
              <w:top w:w="0" w:type="dxa"/>
              <w:left w:w="0" w:type="dxa"/>
              <w:bottom w:w="0" w:type="dxa"/>
              <w:right w:w="0" w:type="dxa"/>
            </w:tcMar>
            <w:vAlign w:val="bottom"/>
          </w:tcPr>
          <w:p w14:paraId="598F765E" w14:textId="77777777" w:rsidR="00A85EF7" w:rsidRDefault="000835AC">
            <w:pPr>
              <w:widowControl w:val="0"/>
              <w:jc w:val="center"/>
              <w:rPr>
                <w:sz w:val="20"/>
                <w:szCs w:val="20"/>
              </w:rPr>
            </w:pPr>
            <w:r>
              <w:rPr>
                <w:i/>
                <w:sz w:val="20"/>
                <w:szCs w:val="20"/>
              </w:rPr>
              <w:t>R</w:t>
            </w:r>
            <w:r>
              <w:rPr>
                <w:sz w:val="20"/>
                <w:szCs w:val="20"/>
                <w:vertAlign w:val="superscript"/>
              </w:rPr>
              <w:t>2</w:t>
            </w:r>
            <w:r>
              <w:rPr>
                <w:sz w:val="20"/>
                <w:szCs w:val="20"/>
              </w:rPr>
              <w:t xml:space="preserve"> Change</w:t>
            </w:r>
          </w:p>
        </w:tc>
      </w:tr>
      <w:tr w:rsidR="00A85EF7" w14:paraId="598F7666" w14:textId="77777777" w:rsidTr="0040396A">
        <w:trPr>
          <w:trHeight w:val="349"/>
        </w:trPr>
        <w:tc>
          <w:tcPr>
            <w:tcW w:w="3233" w:type="dxa"/>
            <w:tcBorders>
              <w:top w:val="single" w:sz="8" w:space="0" w:color="000000"/>
              <w:left w:val="nil"/>
              <w:bottom w:val="single" w:sz="8" w:space="0" w:color="FFFFFF"/>
              <w:right w:val="nil"/>
            </w:tcBorders>
            <w:shd w:val="clear" w:color="auto" w:fill="auto"/>
            <w:tcMar>
              <w:top w:w="113" w:type="dxa"/>
              <w:left w:w="113" w:type="dxa"/>
              <w:bottom w:w="113" w:type="dxa"/>
              <w:right w:w="113" w:type="dxa"/>
            </w:tcMar>
            <w:vAlign w:val="center"/>
          </w:tcPr>
          <w:p w14:paraId="598F7660" w14:textId="77777777" w:rsidR="00A85EF7" w:rsidRDefault="000835AC">
            <w:pPr>
              <w:widowControl w:val="0"/>
              <w:rPr>
                <w:sz w:val="4"/>
                <w:szCs w:val="4"/>
              </w:rPr>
            </w:pPr>
            <w:r>
              <w:rPr>
                <w:sz w:val="20"/>
                <w:szCs w:val="20"/>
              </w:rPr>
              <w:t>SLS-1</w:t>
            </w:r>
          </w:p>
        </w:tc>
        <w:tc>
          <w:tcPr>
            <w:tcW w:w="1539" w:type="dxa"/>
            <w:tcBorders>
              <w:top w:val="single" w:sz="8" w:space="0" w:color="000000"/>
              <w:left w:val="nil"/>
              <w:bottom w:val="single" w:sz="8" w:space="0" w:color="FFFFFF"/>
              <w:right w:val="nil"/>
            </w:tcBorders>
            <w:shd w:val="clear" w:color="auto" w:fill="auto"/>
            <w:tcMar>
              <w:top w:w="0" w:type="dxa"/>
              <w:left w:w="0" w:type="dxa"/>
              <w:bottom w:w="0" w:type="dxa"/>
              <w:right w:w="0" w:type="dxa"/>
            </w:tcMar>
            <w:vAlign w:val="center"/>
          </w:tcPr>
          <w:p w14:paraId="598F7661" w14:textId="77777777" w:rsidR="00A85EF7" w:rsidRDefault="000835AC">
            <w:pPr>
              <w:widowControl w:val="0"/>
              <w:jc w:val="center"/>
              <w:rPr>
                <w:sz w:val="20"/>
                <w:szCs w:val="20"/>
              </w:rPr>
            </w:pPr>
            <w:r>
              <w:rPr>
                <w:sz w:val="20"/>
                <w:szCs w:val="20"/>
              </w:rPr>
              <w:t>0.36***</w:t>
            </w:r>
          </w:p>
        </w:tc>
        <w:tc>
          <w:tcPr>
            <w:tcW w:w="1539" w:type="dxa"/>
            <w:tcBorders>
              <w:top w:val="single" w:sz="8" w:space="0" w:color="000000"/>
              <w:left w:val="nil"/>
              <w:bottom w:val="single" w:sz="8" w:space="0" w:color="FFFFFF"/>
              <w:right w:val="nil"/>
            </w:tcBorders>
            <w:shd w:val="clear" w:color="auto" w:fill="auto"/>
            <w:tcMar>
              <w:top w:w="0" w:type="dxa"/>
              <w:left w:w="0" w:type="dxa"/>
              <w:bottom w:w="0" w:type="dxa"/>
              <w:right w:w="0" w:type="dxa"/>
            </w:tcMar>
            <w:vAlign w:val="center"/>
          </w:tcPr>
          <w:p w14:paraId="598F7662" w14:textId="77777777" w:rsidR="00A85EF7" w:rsidRDefault="000835AC">
            <w:pPr>
              <w:widowControl w:val="0"/>
              <w:jc w:val="center"/>
              <w:rPr>
                <w:sz w:val="20"/>
                <w:szCs w:val="20"/>
              </w:rPr>
            </w:pPr>
            <w:r>
              <w:rPr>
                <w:sz w:val="20"/>
                <w:szCs w:val="20"/>
              </w:rPr>
              <w:t>0.13***</w:t>
            </w:r>
          </w:p>
        </w:tc>
        <w:tc>
          <w:tcPr>
            <w:tcW w:w="215" w:type="dxa"/>
            <w:tcBorders>
              <w:top w:val="single" w:sz="8" w:space="0" w:color="000000"/>
              <w:left w:val="nil"/>
              <w:bottom w:val="single" w:sz="8" w:space="0" w:color="FFFFFF"/>
              <w:right w:val="nil"/>
            </w:tcBorders>
            <w:shd w:val="clear" w:color="auto" w:fill="auto"/>
            <w:tcMar>
              <w:top w:w="0" w:type="dxa"/>
              <w:left w:w="0" w:type="dxa"/>
              <w:bottom w:w="0" w:type="dxa"/>
              <w:right w:w="0" w:type="dxa"/>
            </w:tcMar>
            <w:vAlign w:val="center"/>
          </w:tcPr>
          <w:p w14:paraId="598F7663" w14:textId="77777777" w:rsidR="00A85EF7" w:rsidRDefault="00A85EF7">
            <w:pPr>
              <w:widowControl w:val="0"/>
              <w:rPr>
                <w:sz w:val="20"/>
                <w:szCs w:val="20"/>
              </w:rPr>
            </w:pPr>
          </w:p>
        </w:tc>
        <w:tc>
          <w:tcPr>
            <w:tcW w:w="1539" w:type="dxa"/>
            <w:tcBorders>
              <w:top w:val="single" w:sz="8" w:space="0" w:color="000000"/>
              <w:left w:val="nil"/>
              <w:bottom w:val="single" w:sz="8" w:space="0" w:color="FFFFFF"/>
              <w:right w:val="nil"/>
            </w:tcBorders>
            <w:shd w:val="clear" w:color="auto" w:fill="auto"/>
            <w:tcMar>
              <w:top w:w="0" w:type="dxa"/>
              <w:left w:w="0" w:type="dxa"/>
              <w:bottom w:w="0" w:type="dxa"/>
              <w:right w:w="0" w:type="dxa"/>
            </w:tcMar>
            <w:vAlign w:val="center"/>
          </w:tcPr>
          <w:p w14:paraId="598F7664" w14:textId="77777777" w:rsidR="00A85EF7" w:rsidRDefault="000835AC">
            <w:pPr>
              <w:widowControl w:val="0"/>
              <w:jc w:val="center"/>
              <w:rPr>
                <w:sz w:val="20"/>
                <w:szCs w:val="20"/>
              </w:rPr>
            </w:pPr>
            <w:r>
              <w:rPr>
                <w:sz w:val="20"/>
                <w:szCs w:val="20"/>
              </w:rPr>
              <w:t>0.44***</w:t>
            </w:r>
          </w:p>
        </w:tc>
        <w:tc>
          <w:tcPr>
            <w:tcW w:w="1539" w:type="dxa"/>
            <w:tcBorders>
              <w:top w:val="single" w:sz="8" w:space="0" w:color="000000"/>
              <w:left w:val="nil"/>
              <w:bottom w:val="single" w:sz="8" w:space="0" w:color="FFFFFF"/>
              <w:right w:val="nil"/>
            </w:tcBorders>
            <w:shd w:val="clear" w:color="auto" w:fill="auto"/>
            <w:tcMar>
              <w:top w:w="0" w:type="dxa"/>
              <w:left w:w="0" w:type="dxa"/>
              <w:bottom w:w="0" w:type="dxa"/>
              <w:right w:w="0" w:type="dxa"/>
            </w:tcMar>
            <w:vAlign w:val="center"/>
          </w:tcPr>
          <w:p w14:paraId="598F7665" w14:textId="77777777" w:rsidR="00A85EF7" w:rsidRDefault="000835AC">
            <w:pPr>
              <w:widowControl w:val="0"/>
              <w:jc w:val="center"/>
              <w:rPr>
                <w:sz w:val="20"/>
                <w:szCs w:val="20"/>
              </w:rPr>
            </w:pPr>
            <w:r>
              <w:rPr>
                <w:sz w:val="20"/>
                <w:szCs w:val="20"/>
              </w:rPr>
              <w:t>0.20***</w:t>
            </w:r>
          </w:p>
        </w:tc>
      </w:tr>
      <w:tr w:rsidR="00A85EF7" w14:paraId="598F766D" w14:textId="77777777" w:rsidTr="0040396A">
        <w:trPr>
          <w:trHeight w:val="277"/>
        </w:trPr>
        <w:tc>
          <w:tcPr>
            <w:tcW w:w="3233" w:type="dxa"/>
            <w:tcBorders>
              <w:top w:val="nil"/>
              <w:left w:val="nil"/>
              <w:bottom w:val="nil"/>
              <w:right w:val="nil"/>
            </w:tcBorders>
            <w:shd w:val="clear" w:color="auto" w:fill="EDF5F0"/>
            <w:tcMar>
              <w:top w:w="113" w:type="dxa"/>
              <w:left w:w="113" w:type="dxa"/>
              <w:bottom w:w="113" w:type="dxa"/>
              <w:right w:w="113" w:type="dxa"/>
            </w:tcMar>
            <w:vAlign w:val="center"/>
          </w:tcPr>
          <w:p w14:paraId="598F7667" w14:textId="77777777" w:rsidR="00A85EF7" w:rsidRDefault="000835AC">
            <w:pPr>
              <w:widowControl w:val="0"/>
              <w:rPr>
                <w:sz w:val="8"/>
                <w:szCs w:val="8"/>
              </w:rPr>
            </w:pPr>
            <w:r>
              <w:rPr>
                <w:sz w:val="20"/>
                <w:szCs w:val="20"/>
              </w:rPr>
              <w:t>Prior history of mental or neurodevelopmental disorder</w:t>
            </w:r>
          </w:p>
        </w:tc>
        <w:tc>
          <w:tcPr>
            <w:tcW w:w="1539" w:type="dxa"/>
            <w:tcBorders>
              <w:top w:val="nil"/>
              <w:left w:val="nil"/>
              <w:bottom w:val="nil"/>
              <w:right w:val="nil"/>
            </w:tcBorders>
            <w:shd w:val="clear" w:color="auto" w:fill="EDF5F0"/>
            <w:tcMar>
              <w:top w:w="0" w:type="dxa"/>
              <w:left w:w="0" w:type="dxa"/>
              <w:bottom w:w="0" w:type="dxa"/>
              <w:right w:w="0" w:type="dxa"/>
            </w:tcMar>
            <w:vAlign w:val="center"/>
          </w:tcPr>
          <w:p w14:paraId="598F7668" w14:textId="77777777" w:rsidR="00A85EF7" w:rsidRDefault="000835AC">
            <w:pPr>
              <w:widowControl w:val="0"/>
              <w:jc w:val="center"/>
              <w:rPr>
                <w:sz w:val="20"/>
                <w:szCs w:val="20"/>
              </w:rPr>
            </w:pPr>
            <w:r>
              <w:rPr>
                <w:sz w:val="20"/>
                <w:szCs w:val="20"/>
              </w:rPr>
              <w:t>0.21***</w:t>
            </w:r>
          </w:p>
        </w:tc>
        <w:tc>
          <w:tcPr>
            <w:tcW w:w="1539" w:type="dxa"/>
            <w:tcBorders>
              <w:top w:val="nil"/>
              <w:left w:val="nil"/>
              <w:bottom w:val="nil"/>
              <w:right w:val="nil"/>
            </w:tcBorders>
            <w:shd w:val="clear" w:color="auto" w:fill="EDF5F0"/>
            <w:tcMar>
              <w:top w:w="0" w:type="dxa"/>
              <w:left w:w="0" w:type="dxa"/>
              <w:bottom w:w="0" w:type="dxa"/>
              <w:right w:w="0" w:type="dxa"/>
            </w:tcMar>
            <w:vAlign w:val="center"/>
          </w:tcPr>
          <w:p w14:paraId="598F7669" w14:textId="77777777" w:rsidR="00A85EF7" w:rsidRDefault="000835AC">
            <w:pPr>
              <w:widowControl w:val="0"/>
              <w:jc w:val="center"/>
              <w:rPr>
                <w:sz w:val="20"/>
                <w:szCs w:val="20"/>
              </w:rPr>
            </w:pPr>
            <w:r>
              <w:rPr>
                <w:sz w:val="20"/>
                <w:szCs w:val="20"/>
              </w:rPr>
              <w:t>0.05***</w:t>
            </w:r>
          </w:p>
        </w:tc>
        <w:tc>
          <w:tcPr>
            <w:tcW w:w="215" w:type="dxa"/>
            <w:tcBorders>
              <w:top w:val="nil"/>
              <w:left w:val="nil"/>
              <w:bottom w:val="nil"/>
              <w:right w:val="nil"/>
            </w:tcBorders>
            <w:shd w:val="clear" w:color="auto" w:fill="EDF5F0"/>
            <w:tcMar>
              <w:top w:w="0" w:type="dxa"/>
              <w:left w:w="0" w:type="dxa"/>
              <w:bottom w:w="0" w:type="dxa"/>
              <w:right w:w="0" w:type="dxa"/>
            </w:tcMar>
            <w:vAlign w:val="center"/>
          </w:tcPr>
          <w:p w14:paraId="598F766A" w14:textId="77777777" w:rsidR="00A85EF7" w:rsidRDefault="00A85EF7">
            <w:pPr>
              <w:widowControl w:val="0"/>
              <w:rPr>
                <w:sz w:val="20"/>
                <w:szCs w:val="20"/>
              </w:rPr>
            </w:pPr>
          </w:p>
        </w:tc>
        <w:tc>
          <w:tcPr>
            <w:tcW w:w="1539" w:type="dxa"/>
            <w:tcBorders>
              <w:top w:val="nil"/>
              <w:left w:val="nil"/>
              <w:bottom w:val="nil"/>
              <w:right w:val="nil"/>
            </w:tcBorders>
            <w:shd w:val="clear" w:color="auto" w:fill="EDF5F0"/>
            <w:tcMar>
              <w:top w:w="0" w:type="dxa"/>
              <w:left w:w="0" w:type="dxa"/>
              <w:bottom w:w="0" w:type="dxa"/>
              <w:right w:w="0" w:type="dxa"/>
            </w:tcMar>
            <w:vAlign w:val="center"/>
          </w:tcPr>
          <w:p w14:paraId="598F766B" w14:textId="77777777" w:rsidR="00A85EF7" w:rsidRDefault="000835AC">
            <w:pPr>
              <w:widowControl w:val="0"/>
              <w:jc w:val="center"/>
              <w:rPr>
                <w:sz w:val="20"/>
                <w:szCs w:val="20"/>
              </w:rPr>
            </w:pPr>
            <w:r>
              <w:rPr>
                <w:sz w:val="20"/>
                <w:szCs w:val="20"/>
              </w:rPr>
              <w:t>0.21***</w:t>
            </w:r>
          </w:p>
        </w:tc>
        <w:tc>
          <w:tcPr>
            <w:tcW w:w="1539" w:type="dxa"/>
            <w:tcBorders>
              <w:top w:val="nil"/>
              <w:left w:val="nil"/>
              <w:bottom w:val="nil"/>
              <w:right w:val="nil"/>
            </w:tcBorders>
            <w:shd w:val="clear" w:color="auto" w:fill="EDF5F0"/>
            <w:tcMar>
              <w:top w:w="0" w:type="dxa"/>
              <w:left w:w="0" w:type="dxa"/>
              <w:bottom w:w="0" w:type="dxa"/>
              <w:right w:w="0" w:type="dxa"/>
            </w:tcMar>
            <w:vAlign w:val="center"/>
          </w:tcPr>
          <w:p w14:paraId="598F766C" w14:textId="77777777" w:rsidR="00A85EF7" w:rsidRDefault="000835AC">
            <w:pPr>
              <w:widowControl w:val="0"/>
              <w:jc w:val="center"/>
              <w:rPr>
                <w:sz w:val="20"/>
                <w:szCs w:val="20"/>
              </w:rPr>
            </w:pPr>
            <w:r>
              <w:rPr>
                <w:sz w:val="20"/>
                <w:szCs w:val="20"/>
              </w:rPr>
              <w:t>0.04***</w:t>
            </w:r>
          </w:p>
        </w:tc>
      </w:tr>
      <w:tr w:rsidR="00A85EF7" w14:paraId="598F7674" w14:textId="77777777" w:rsidTr="0040396A">
        <w:trPr>
          <w:trHeight w:val="277"/>
        </w:trPr>
        <w:tc>
          <w:tcPr>
            <w:tcW w:w="3233" w:type="dxa"/>
            <w:tcBorders>
              <w:top w:val="nil"/>
              <w:left w:val="nil"/>
              <w:bottom w:val="nil"/>
              <w:right w:val="nil"/>
            </w:tcBorders>
            <w:shd w:val="clear" w:color="auto" w:fill="auto"/>
            <w:tcMar>
              <w:top w:w="113" w:type="dxa"/>
              <w:left w:w="113" w:type="dxa"/>
              <w:bottom w:w="113" w:type="dxa"/>
              <w:right w:w="113" w:type="dxa"/>
            </w:tcMar>
            <w:vAlign w:val="center"/>
          </w:tcPr>
          <w:p w14:paraId="598F766E" w14:textId="77777777" w:rsidR="00A85EF7" w:rsidRDefault="000835AC">
            <w:pPr>
              <w:widowControl w:val="0"/>
              <w:rPr>
                <w:sz w:val="8"/>
                <w:szCs w:val="8"/>
              </w:rPr>
            </w:pPr>
            <w:r>
              <w:rPr>
                <w:sz w:val="20"/>
                <w:szCs w:val="20"/>
              </w:rPr>
              <w:t>K6</w:t>
            </w:r>
          </w:p>
        </w:tc>
        <w:tc>
          <w:tcPr>
            <w:tcW w:w="1539" w:type="dxa"/>
            <w:tcBorders>
              <w:top w:val="nil"/>
              <w:left w:val="nil"/>
              <w:bottom w:val="nil"/>
              <w:right w:val="nil"/>
            </w:tcBorders>
            <w:shd w:val="clear" w:color="auto" w:fill="auto"/>
            <w:tcMar>
              <w:top w:w="0" w:type="dxa"/>
              <w:left w:w="0" w:type="dxa"/>
              <w:bottom w:w="0" w:type="dxa"/>
              <w:right w:w="0" w:type="dxa"/>
            </w:tcMar>
            <w:vAlign w:val="center"/>
          </w:tcPr>
          <w:p w14:paraId="598F766F" w14:textId="77777777" w:rsidR="00A85EF7" w:rsidRDefault="000835AC">
            <w:pPr>
              <w:widowControl w:val="0"/>
              <w:jc w:val="center"/>
              <w:rPr>
                <w:sz w:val="20"/>
                <w:szCs w:val="20"/>
              </w:rPr>
            </w:pPr>
            <w:r>
              <w:rPr>
                <w:sz w:val="20"/>
                <w:szCs w:val="20"/>
              </w:rPr>
              <w:t>0.74***</w:t>
            </w:r>
          </w:p>
        </w:tc>
        <w:tc>
          <w:tcPr>
            <w:tcW w:w="1539" w:type="dxa"/>
            <w:tcBorders>
              <w:top w:val="nil"/>
              <w:left w:val="nil"/>
              <w:bottom w:val="nil"/>
              <w:right w:val="nil"/>
            </w:tcBorders>
            <w:shd w:val="clear" w:color="auto" w:fill="auto"/>
            <w:tcMar>
              <w:top w:w="0" w:type="dxa"/>
              <w:left w:w="0" w:type="dxa"/>
              <w:bottom w:w="0" w:type="dxa"/>
              <w:right w:w="0" w:type="dxa"/>
            </w:tcMar>
            <w:vAlign w:val="center"/>
          </w:tcPr>
          <w:p w14:paraId="598F7670" w14:textId="77777777" w:rsidR="00A85EF7" w:rsidRDefault="000835AC">
            <w:pPr>
              <w:widowControl w:val="0"/>
              <w:jc w:val="center"/>
              <w:rPr>
                <w:sz w:val="20"/>
                <w:szCs w:val="20"/>
              </w:rPr>
            </w:pPr>
            <w:r>
              <w:rPr>
                <w:sz w:val="20"/>
                <w:szCs w:val="20"/>
              </w:rPr>
              <w:t>0.55***</w:t>
            </w:r>
          </w:p>
        </w:tc>
        <w:tc>
          <w:tcPr>
            <w:tcW w:w="215" w:type="dxa"/>
            <w:tcBorders>
              <w:top w:val="nil"/>
              <w:left w:val="nil"/>
              <w:bottom w:val="nil"/>
              <w:right w:val="nil"/>
            </w:tcBorders>
            <w:shd w:val="clear" w:color="auto" w:fill="auto"/>
            <w:tcMar>
              <w:top w:w="0" w:type="dxa"/>
              <w:left w:w="0" w:type="dxa"/>
              <w:bottom w:w="0" w:type="dxa"/>
              <w:right w:w="0" w:type="dxa"/>
            </w:tcMar>
            <w:vAlign w:val="center"/>
          </w:tcPr>
          <w:p w14:paraId="598F7671" w14:textId="77777777" w:rsidR="00A85EF7" w:rsidRDefault="00A85EF7">
            <w:pPr>
              <w:widowControl w:val="0"/>
              <w:rPr>
                <w:sz w:val="20"/>
                <w:szCs w:val="20"/>
              </w:rPr>
            </w:pPr>
          </w:p>
        </w:tc>
        <w:tc>
          <w:tcPr>
            <w:tcW w:w="1539" w:type="dxa"/>
            <w:tcBorders>
              <w:top w:val="nil"/>
              <w:left w:val="nil"/>
              <w:bottom w:val="nil"/>
              <w:right w:val="nil"/>
            </w:tcBorders>
            <w:shd w:val="clear" w:color="auto" w:fill="auto"/>
            <w:tcMar>
              <w:top w:w="0" w:type="dxa"/>
              <w:left w:w="0" w:type="dxa"/>
              <w:bottom w:w="0" w:type="dxa"/>
              <w:right w:w="0" w:type="dxa"/>
            </w:tcMar>
            <w:vAlign w:val="center"/>
          </w:tcPr>
          <w:p w14:paraId="598F7672" w14:textId="77777777" w:rsidR="00A85EF7" w:rsidRDefault="000835AC">
            <w:pPr>
              <w:widowControl w:val="0"/>
              <w:jc w:val="center"/>
              <w:rPr>
                <w:sz w:val="20"/>
                <w:szCs w:val="20"/>
              </w:rPr>
            </w:pPr>
            <w:r>
              <w:rPr>
                <w:sz w:val="20"/>
                <w:szCs w:val="20"/>
              </w:rPr>
              <w:t>0.78***</w:t>
            </w:r>
          </w:p>
        </w:tc>
        <w:tc>
          <w:tcPr>
            <w:tcW w:w="1539" w:type="dxa"/>
            <w:tcBorders>
              <w:top w:val="nil"/>
              <w:left w:val="nil"/>
              <w:bottom w:val="nil"/>
              <w:right w:val="nil"/>
            </w:tcBorders>
            <w:shd w:val="clear" w:color="auto" w:fill="auto"/>
            <w:tcMar>
              <w:top w:w="0" w:type="dxa"/>
              <w:left w:w="0" w:type="dxa"/>
              <w:bottom w:w="0" w:type="dxa"/>
              <w:right w:w="0" w:type="dxa"/>
            </w:tcMar>
            <w:vAlign w:val="center"/>
          </w:tcPr>
          <w:p w14:paraId="598F7673" w14:textId="77777777" w:rsidR="00A85EF7" w:rsidRDefault="000835AC">
            <w:pPr>
              <w:widowControl w:val="0"/>
              <w:jc w:val="center"/>
              <w:rPr>
                <w:sz w:val="20"/>
                <w:szCs w:val="20"/>
              </w:rPr>
            </w:pPr>
            <w:r>
              <w:rPr>
                <w:sz w:val="20"/>
                <w:szCs w:val="20"/>
              </w:rPr>
              <w:t>0.60***</w:t>
            </w:r>
          </w:p>
        </w:tc>
      </w:tr>
      <w:tr w:rsidR="00A85EF7" w14:paraId="598F767B" w14:textId="77777777" w:rsidTr="0040396A">
        <w:trPr>
          <w:trHeight w:val="487"/>
        </w:trPr>
        <w:tc>
          <w:tcPr>
            <w:tcW w:w="3233" w:type="dxa"/>
            <w:tcBorders>
              <w:top w:val="single" w:sz="8" w:space="0" w:color="FFFFFF"/>
              <w:left w:val="nil"/>
              <w:bottom w:val="nil"/>
              <w:right w:val="nil"/>
            </w:tcBorders>
            <w:shd w:val="clear" w:color="auto" w:fill="EDF5F0"/>
            <w:tcMar>
              <w:top w:w="113" w:type="dxa"/>
              <w:left w:w="113" w:type="dxa"/>
              <w:bottom w:w="113" w:type="dxa"/>
              <w:right w:w="113" w:type="dxa"/>
            </w:tcMar>
            <w:vAlign w:val="center"/>
          </w:tcPr>
          <w:p w14:paraId="598F7675" w14:textId="77777777" w:rsidR="00A85EF7" w:rsidRDefault="000835AC">
            <w:pPr>
              <w:widowControl w:val="0"/>
              <w:rPr>
                <w:sz w:val="8"/>
                <w:szCs w:val="8"/>
              </w:rPr>
            </w:pPr>
            <w:r>
              <w:rPr>
                <w:sz w:val="20"/>
                <w:szCs w:val="20"/>
              </w:rPr>
              <w:t>Monthly household income</w:t>
            </w:r>
          </w:p>
        </w:tc>
        <w:tc>
          <w:tcPr>
            <w:tcW w:w="1539" w:type="dxa"/>
            <w:tcBorders>
              <w:top w:val="single" w:sz="8" w:space="0" w:color="FFFFFF"/>
              <w:left w:val="nil"/>
              <w:bottom w:val="nil"/>
              <w:right w:val="nil"/>
            </w:tcBorders>
            <w:shd w:val="clear" w:color="auto" w:fill="EDF5F0"/>
            <w:tcMar>
              <w:top w:w="0" w:type="dxa"/>
              <w:left w:w="0" w:type="dxa"/>
              <w:bottom w:w="0" w:type="dxa"/>
              <w:right w:w="0" w:type="dxa"/>
            </w:tcMar>
            <w:vAlign w:val="center"/>
          </w:tcPr>
          <w:p w14:paraId="598F7676" w14:textId="77777777" w:rsidR="00A85EF7" w:rsidRDefault="000835AC">
            <w:pPr>
              <w:widowControl w:val="0"/>
              <w:jc w:val="center"/>
              <w:rPr>
                <w:sz w:val="20"/>
                <w:szCs w:val="20"/>
              </w:rPr>
            </w:pPr>
            <w:r>
              <w:rPr>
                <w:sz w:val="20"/>
                <w:szCs w:val="20"/>
              </w:rPr>
              <w:t>-0.08*</w:t>
            </w:r>
          </w:p>
        </w:tc>
        <w:tc>
          <w:tcPr>
            <w:tcW w:w="1539" w:type="dxa"/>
            <w:tcBorders>
              <w:top w:val="single" w:sz="8" w:space="0" w:color="FFFFFF"/>
              <w:left w:val="nil"/>
              <w:bottom w:val="nil"/>
              <w:right w:val="nil"/>
            </w:tcBorders>
            <w:shd w:val="clear" w:color="auto" w:fill="EDF5F0"/>
            <w:tcMar>
              <w:top w:w="0" w:type="dxa"/>
              <w:left w:w="0" w:type="dxa"/>
              <w:bottom w:w="0" w:type="dxa"/>
              <w:right w:w="0" w:type="dxa"/>
            </w:tcMar>
            <w:vAlign w:val="center"/>
          </w:tcPr>
          <w:p w14:paraId="598F7677" w14:textId="77777777" w:rsidR="00A85EF7" w:rsidRDefault="000835AC">
            <w:pPr>
              <w:widowControl w:val="0"/>
              <w:jc w:val="center"/>
              <w:rPr>
                <w:sz w:val="20"/>
                <w:szCs w:val="20"/>
              </w:rPr>
            </w:pPr>
            <w:r>
              <w:rPr>
                <w:sz w:val="20"/>
                <w:szCs w:val="20"/>
              </w:rPr>
              <w:t>0.01**</w:t>
            </w:r>
          </w:p>
        </w:tc>
        <w:tc>
          <w:tcPr>
            <w:tcW w:w="215" w:type="dxa"/>
            <w:tcBorders>
              <w:top w:val="single" w:sz="8" w:space="0" w:color="FFFFFF"/>
              <w:left w:val="nil"/>
              <w:bottom w:val="nil"/>
              <w:right w:val="nil"/>
            </w:tcBorders>
            <w:shd w:val="clear" w:color="auto" w:fill="EDF5F0"/>
            <w:tcMar>
              <w:top w:w="0" w:type="dxa"/>
              <w:left w:w="0" w:type="dxa"/>
              <w:bottom w:w="0" w:type="dxa"/>
              <w:right w:w="0" w:type="dxa"/>
            </w:tcMar>
            <w:vAlign w:val="center"/>
          </w:tcPr>
          <w:p w14:paraId="598F7678" w14:textId="77777777" w:rsidR="00A85EF7" w:rsidRDefault="00A85EF7">
            <w:pPr>
              <w:widowControl w:val="0"/>
              <w:rPr>
                <w:sz w:val="20"/>
                <w:szCs w:val="20"/>
              </w:rPr>
            </w:pPr>
          </w:p>
        </w:tc>
        <w:tc>
          <w:tcPr>
            <w:tcW w:w="1539" w:type="dxa"/>
            <w:tcBorders>
              <w:top w:val="single" w:sz="8" w:space="0" w:color="FFFFFF"/>
              <w:left w:val="nil"/>
              <w:bottom w:val="nil"/>
              <w:right w:val="nil"/>
            </w:tcBorders>
            <w:shd w:val="clear" w:color="auto" w:fill="EDF5F0"/>
            <w:tcMar>
              <w:top w:w="0" w:type="dxa"/>
              <w:left w:w="0" w:type="dxa"/>
              <w:bottom w:w="0" w:type="dxa"/>
              <w:right w:w="0" w:type="dxa"/>
            </w:tcMar>
            <w:vAlign w:val="center"/>
          </w:tcPr>
          <w:p w14:paraId="598F7679" w14:textId="77777777" w:rsidR="00A85EF7" w:rsidRDefault="000835AC">
            <w:pPr>
              <w:widowControl w:val="0"/>
              <w:jc w:val="center"/>
              <w:rPr>
                <w:sz w:val="20"/>
                <w:szCs w:val="20"/>
              </w:rPr>
            </w:pPr>
            <w:r>
              <w:rPr>
                <w:sz w:val="20"/>
                <w:szCs w:val="20"/>
              </w:rPr>
              <w:t>-0.02</w:t>
            </w:r>
          </w:p>
        </w:tc>
        <w:tc>
          <w:tcPr>
            <w:tcW w:w="1539" w:type="dxa"/>
            <w:tcBorders>
              <w:top w:val="single" w:sz="8" w:space="0" w:color="FFFFFF"/>
              <w:left w:val="nil"/>
              <w:bottom w:val="nil"/>
              <w:right w:val="nil"/>
            </w:tcBorders>
            <w:shd w:val="clear" w:color="auto" w:fill="EDF5F0"/>
            <w:tcMar>
              <w:top w:w="0" w:type="dxa"/>
              <w:left w:w="0" w:type="dxa"/>
              <w:bottom w:w="0" w:type="dxa"/>
              <w:right w:w="0" w:type="dxa"/>
            </w:tcMar>
            <w:vAlign w:val="center"/>
          </w:tcPr>
          <w:p w14:paraId="598F767A" w14:textId="77777777" w:rsidR="00A85EF7" w:rsidRDefault="000835AC">
            <w:pPr>
              <w:widowControl w:val="0"/>
              <w:jc w:val="center"/>
              <w:rPr>
                <w:sz w:val="20"/>
                <w:szCs w:val="20"/>
              </w:rPr>
            </w:pPr>
            <w:r>
              <w:rPr>
                <w:sz w:val="20"/>
                <w:szCs w:val="20"/>
              </w:rPr>
              <w:t>0.00</w:t>
            </w:r>
          </w:p>
        </w:tc>
      </w:tr>
      <w:tr w:rsidR="00A85EF7" w14:paraId="598F7682" w14:textId="77777777" w:rsidTr="0040396A">
        <w:trPr>
          <w:trHeight w:val="340"/>
        </w:trPr>
        <w:tc>
          <w:tcPr>
            <w:tcW w:w="3233" w:type="dxa"/>
            <w:tcBorders>
              <w:top w:val="nil"/>
              <w:left w:val="nil"/>
              <w:bottom w:val="nil"/>
              <w:right w:val="nil"/>
            </w:tcBorders>
            <w:shd w:val="clear" w:color="auto" w:fill="auto"/>
            <w:tcMar>
              <w:top w:w="113" w:type="dxa"/>
              <w:left w:w="113" w:type="dxa"/>
              <w:bottom w:w="113" w:type="dxa"/>
              <w:right w:w="113" w:type="dxa"/>
            </w:tcMar>
            <w:vAlign w:val="center"/>
          </w:tcPr>
          <w:p w14:paraId="598F767C" w14:textId="77777777" w:rsidR="00A85EF7" w:rsidRDefault="000835AC">
            <w:pPr>
              <w:widowControl w:val="0"/>
              <w:rPr>
                <w:sz w:val="20"/>
                <w:szCs w:val="20"/>
              </w:rPr>
            </w:pPr>
            <w:r>
              <w:rPr>
                <w:sz w:val="20"/>
                <w:szCs w:val="20"/>
              </w:rPr>
              <w:t>Number of parents in the household</w:t>
            </w:r>
          </w:p>
        </w:tc>
        <w:tc>
          <w:tcPr>
            <w:tcW w:w="1539" w:type="dxa"/>
            <w:tcBorders>
              <w:top w:val="nil"/>
              <w:left w:val="nil"/>
              <w:bottom w:val="nil"/>
              <w:right w:val="nil"/>
            </w:tcBorders>
            <w:shd w:val="clear" w:color="auto" w:fill="auto"/>
            <w:tcMar>
              <w:top w:w="0" w:type="dxa"/>
              <w:left w:w="0" w:type="dxa"/>
              <w:bottom w:w="0" w:type="dxa"/>
              <w:right w:w="0" w:type="dxa"/>
            </w:tcMar>
            <w:vAlign w:val="center"/>
          </w:tcPr>
          <w:p w14:paraId="598F767D" w14:textId="77777777" w:rsidR="00A85EF7" w:rsidRDefault="000835AC">
            <w:pPr>
              <w:widowControl w:val="0"/>
              <w:jc w:val="center"/>
              <w:rPr>
                <w:sz w:val="20"/>
                <w:szCs w:val="20"/>
              </w:rPr>
            </w:pPr>
            <w:r>
              <w:rPr>
                <w:sz w:val="20"/>
                <w:szCs w:val="20"/>
              </w:rPr>
              <w:t>-0.09**</w:t>
            </w:r>
          </w:p>
        </w:tc>
        <w:tc>
          <w:tcPr>
            <w:tcW w:w="1539" w:type="dxa"/>
            <w:tcBorders>
              <w:top w:val="nil"/>
              <w:left w:val="nil"/>
              <w:bottom w:val="nil"/>
              <w:right w:val="nil"/>
            </w:tcBorders>
            <w:shd w:val="clear" w:color="auto" w:fill="auto"/>
            <w:tcMar>
              <w:top w:w="0" w:type="dxa"/>
              <w:left w:w="0" w:type="dxa"/>
              <w:bottom w:w="0" w:type="dxa"/>
              <w:right w:w="0" w:type="dxa"/>
            </w:tcMar>
            <w:vAlign w:val="center"/>
          </w:tcPr>
          <w:p w14:paraId="598F767E" w14:textId="77777777" w:rsidR="00A85EF7" w:rsidRDefault="000835AC">
            <w:pPr>
              <w:widowControl w:val="0"/>
              <w:jc w:val="center"/>
              <w:rPr>
                <w:sz w:val="20"/>
                <w:szCs w:val="20"/>
              </w:rPr>
            </w:pPr>
            <w:r>
              <w:rPr>
                <w:sz w:val="20"/>
                <w:szCs w:val="20"/>
              </w:rPr>
              <w:t>0.01**</w:t>
            </w:r>
          </w:p>
        </w:tc>
        <w:tc>
          <w:tcPr>
            <w:tcW w:w="215" w:type="dxa"/>
            <w:tcBorders>
              <w:top w:val="nil"/>
              <w:left w:val="nil"/>
              <w:bottom w:val="nil"/>
              <w:right w:val="nil"/>
            </w:tcBorders>
            <w:shd w:val="clear" w:color="auto" w:fill="auto"/>
            <w:tcMar>
              <w:top w:w="0" w:type="dxa"/>
              <w:left w:w="0" w:type="dxa"/>
              <w:bottom w:w="0" w:type="dxa"/>
              <w:right w:w="0" w:type="dxa"/>
            </w:tcMar>
            <w:vAlign w:val="center"/>
          </w:tcPr>
          <w:p w14:paraId="598F767F" w14:textId="77777777" w:rsidR="00A85EF7" w:rsidRDefault="00A85EF7">
            <w:pPr>
              <w:widowControl w:val="0"/>
              <w:rPr>
                <w:sz w:val="20"/>
                <w:szCs w:val="20"/>
              </w:rPr>
            </w:pPr>
          </w:p>
        </w:tc>
        <w:tc>
          <w:tcPr>
            <w:tcW w:w="1539" w:type="dxa"/>
            <w:tcBorders>
              <w:top w:val="nil"/>
              <w:left w:val="nil"/>
              <w:bottom w:val="nil"/>
              <w:right w:val="nil"/>
            </w:tcBorders>
            <w:shd w:val="clear" w:color="auto" w:fill="auto"/>
            <w:tcMar>
              <w:top w:w="0" w:type="dxa"/>
              <w:left w:w="0" w:type="dxa"/>
              <w:bottom w:w="0" w:type="dxa"/>
              <w:right w:w="0" w:type="dxa"/>
            </w:tcMar>
            <w:vAlign w:val="center"/>
          </w:tcPr>
          <w:p w14:paraId="598F7680" w14:textId="77777777" w:rsidR="00A85EF7" w:rsidRDefault="000835AC">
            <w:pPr>
              <w:widowControl w:val="0"/>
              <w:jc w:val="center"/>
              <w:rPr>
                <w:sz w:val="20"/>
                <w:szCs w:val="20"/>
              </w:rPr>
            </w:pPr>
            <w:r>
              <w:rPr>
                <w:sz w:val="20"/>
                <w:szCs w:val="20"/>
              </w:rPr>
              <w:t>-0.05</w:t>
            </w:r>
          </w:p>
        </w:tc>
        <w:tc>
          <w:tcPr>
            <w:tcW w:w="1539" w:type="dxa"/>
            <w:tcBorders>
              <w:top w:val="nil"/>
              <w:left w:val="nil"/>
              <w:bottom w:val="nil"/>
              <w:right w:val="nil"/>
            </w:tcBorders>
            <w:shd w:val="clear" w:color="auto" w:fill="auto"/>
            <w:tcMar>
              <w:top w:w="0" w:type="dxa"/>
              <w:left w:w="0" w:type="dxa"/>
              <w:bottom w:w="0" w:type="dxa"/>
              <w:right w:w="0" w:type="dxa"/>
            </w:tcMar>
            <w:vAlign w:val="center"/>
          </w:tcPr>
          <w:p w14:paraId="598F7681" w14:textId="77777777" w:rsidR="00A85EF7" w:rsidRDefault="000835AC">
            <w:pPr>
              <w:widowControl w:val="0"/>
              <w:jc w:val="center"/>
              <w:rPr>
                <w:sz w:val="20"/>
                <w:szCs w:val="20"/>
              </w:rPr>
            </w:pPr>
            <w:r>
              <w:rPr>
                <w:sz w:val="20"/>
                <w:szCs w:val="20"/>
              </w:rPr>
              <w:t>0.00</w:t>
            </w:r>
          </w:p>
        </w:tc>
      </w:tr>
      <w:tr w:rsidR="00A85EF7" w14:paraId="598F7684" w14:textId="77777777" w:rsidTr="0040396A">
        <w:trPr>
          <w:trHeight w:val="192"/>
        </w:trPr>
        <w:tc>
          <w:tcPr>
            <w:tcW w:w="9608" w:type="dxa"/>
            <w:gridSpan w:val="6"/>
            <w:tcBorders>
              <w:top w:val="single" w:sz="8" w:space="0" w:color="000000"/>
              <w:left w:val="nil"/>
              <w:bottom w:val="nil"/>
              <w:right w:val="nil"/>
            </w:tcBorders>
            <w:shd w:val="clear" w:color="auto" w:fill="auto"/>
            <w:tcMar>
              <w:top w:w="40" w:type="dxa"/>
              <w:left w:w="0" w:type="dxa"/>
              <w:bottom w:w="40" w:type="dxa"/>
              <w:right w:w="0" w:type="dxa"/>
            </w:tcMar>
            <w:vAlign w:val="bottom"/>
          </w:tcPr>
          <w:p w14:paraId="598F7683" w14:textId="77777777" w:rsidR="00A85EF7" w:rsidRDefault="000835AC">
            <w:pPr>
              <w:widowControl w:val="0"/>
              <w:rPr>
                <w:sz w:val="20"/>
                <w:szCs w:val="20"/>
              </w:rPr>
            </w:pPr>
            <w:r>
              <w:rPr>
                <w:sz w:val="20"/>
                <w:szCs w:val="20"/>
              </w:rPr>
              <w:t>Spearman’s rho coefficients (ρ) are presented. K6=6-item Kessler Psychological Distress Scale; GAD-7=General Anxiety Disorder-7; PHQ-9=Patient Health Questionnaire-9; SLS-1=Single-item Subjective Level of Stress. *p&lt;0.05, **p&lt;0.01, ***p&lt;0.001.</w:t>
            </w:r>
          </w:p>
        </w:tc>
      </w:tr>
    </w:tbl>
    <w:p w14:paraId="598F7685" w14:textId="77777777" w:rsidR="00A85EF7" w:rsidRDefault="000835AC">
      <w:r>
        <w:br w:type="page"/>
      </w:r>
    </w:p>
    <w:p w14:paraId="598F7686" w14:textId="77777777" w:rsidR="00A85EF7" w:rsidRDefault="000835AC">
      <w:pPr>
        <w:rPr>
          <w:b/>
        </w:rPr>
      </w:pPr>
      <w:r>
        <w:rPr>
          <w:b/>
        </w:rPr>
        <w:lastRenderedPageBreak/>
        <w:t>References</w:t>
      </w:r>
    </w:p>
    <w:p w14:paraId="598F7688" w14:textId="77777777" w:rsidR="00A85EF7" w:rsidRDefault="000835AC" w:rsidP="0041309A">
      <w:pPr>
        <w:spacing w:line="240" w:lineRule="auto"/>
        <w:ind w:left="720" w:hanging="720"/>
      </w:pPr>
      <w:r>
        <w:rPr>
          <w:b/>
        </w:rPr>
        <w:t xml:space="preserve">Lacasse Y, Godbout C and </w:t>
      </w:r>
      <w:proofErr w:type="spellStart"/>
      <w:r>
        <w:rPr>
          <w:b/>
        </w:rPr>
        <w:t>Sériès</w:t>
      </w:r>
      <w:proofErr w:type="spellEnd"/>
      <w:r>
        <w:rPr>
          <w:b/>
        </w:rPr>
        <w:t xml:space="preserve"> F</w:t>
      </w:r>
      <w:r>
        <w:t xml:space="preserve"> (2002) Health-related quality of life in obstructive sleep apnoea. </w:t>
      </w:r>
      <w:r>
        <w:rPr>
          <w:i/>
        </w:rPr>
        <w:t xml:space="preserve">The European Respiratory Journal </w:t>
      </w:r>
      <w:r>
        <w:rPr>
          <w:b/>
        </w:rPr>
        <w:t>19</w:t>
      </w:r>
      <w:r>
        <w:t>, 499-503.</w:t>
      </w:r>
    </w:p>
    <w:p w14:paraId="598F7689" w14:textId="77777777" w:rsidR="00A85EF7" w:rsidRDefault="000835AC" w:rsidP="0041309A">
      <w:pPr>
        <w:spacing w:line="240" w:lineRule="auto"/>
        <w:ind w:left="720" w:hanging="720"/>
        <w:rPr>
          <w:b/>
        </w:rPr>
      </w:pPr>
      <w:proofErr w:type="spellStart"/>
      <w:r>
        <w:rPr>
          <w:b/>
        </w:rPr>
        <w:t>Lawshe</w:t>
      </w:r>
      <w:proofErr w:type="spellEnd"/>
      <w:r>
        <w:rPr>
          <w:b/>
        </w:rPr>
        <w:t xml:space="preserve"> CH</w:t>
      </w:r>
      <w:r>
        <w:t xml:space="preserve"> (1975) A quantitative approach to content validity. </w:t>
      </w:r>
      <w:r>
        <w:rPr>
          <w:i/>
        </w:rPr>
        <w:t xml:space="preserve">Personnel Psychology </w:t>
      </w:r>
      <w:r>
        <w:rPr>
          <w:b/>
        </w:rPr>
        <w:t>28</w:t>
      </w:r>
      <w:r>
        <w:t>, 563-575.</w:t>
      </w:r>
    </w:p>
    <w:p w14:paraId="598F768A" w14:textId="77777777" w:rsidR="00A85EF7" w:rsidRDefault="000835AC" w:rsidP="0041309A">
      <w:pPr>
        <w:spacing w:line="240" w:lineRule="auto"/>
        <w:ind w:left="720" w:hanging="720"/>
      </w:pPr>
      <w:r>
        <w:rPr>
          <w:b/>
        </w:rPr>
        <w:t>Polit DF and Beck CT</w:t>
      </w:r>
      <w:r>
        <w:t xml:space="preserve"> (2006) The content validity index: Are you sure you know what's being reported? Critique and recommendations. </w:t>
      </w:r>
      <w:r>
        <w:rPr>
          <w:i/>
        </w:rPr>
        <w:t xml:space="preserve">Research in Nursing &amp; Health </w:t>
      </w:r>
      <w:r>
        <w:rPr>
          <w:b/>
        </w:rPr>
        <w:t>29</w:t>
      </w:r>
      <w:r>
        <w:t>, 489-497.</w:t>
      </w:r>
    </w:p>
    <w:p w14:paraId="598F768B" w14:textId="0D059FFE" w:rsidR="00A85EF7" w:rsidRDefault="00A85EF7"/>
    <w:sectPr w:rsidR="00A85EF7" w:rsidSect="00B75F3F">
      <w:pgSz w:w="11906" w:h="16838"/>
      <w:pgMar w:top="1133" w:right="1133" w:bottom="113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F7709" w14:textId="77777777" w:rsidR="00EB14BC" w:rsidRDefault="000835AC">
      <w:pPr>
        <w:spacing w:line="240" w:lineRule="auto"/>
      </w:pPr>
      <w:r>
        <w:separator/>
      </w:r>
    </w:p>
  </w:endnote>
  <w:endnote w:type="continuationSeparator" w:id="0">
    <w:p w14:paraId="598F770B" w14:textId="77777777" w:rsidR="00EB14BC" w:rsidRDefault="00083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A00CF" w14:textId="77777777" w:rsidR="00ED102F" w:rsidRDefault="00ED1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F7703" w14:textId="119B5F5A" w:rsidR="00A85EF7" w:rsidRDefault="000835AC">
    <w:pPr>
      <w:jc w:val="center"/>
      <w:rPr>
        <w:sz w:val="20"/>
        <w:szCs w:val="20"/>
      </w:rPr>
    </w:pPr>
    <w:r>
      <w:rPr>
        <w:sz w:val="20"/>
        <w:szCs w:val="20"/>
      </w:rPr>
      <w:fldChar w:fldCharType="begin"/>
    </w:r>
    <w:r>
      <w:rPr>
        <w:sz w:val="20"/>
        <w:szCs w:val="20"/>
      </w:rPr>
      <w:instrText>PAGE</w:instrText>
    </w:r>
    <w:r>
      <w:rPr>
        <w:sz w:val="20"/>
        <w:szCs w:val="20"/>
      </w:rPr>
      <w:fldChar w:fldCharType="separate"/>
    </w:r>
    <w:r w:rsidR="00FE35B8">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3EA8D" w14:textId="77777777" w:rsidR="00ED102F" w:rsidRDefault="00ED1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F7705" w14:textId="77777777" w:rsidR="00EB14BC" w:rsidRDefault="000835AC">
      <w:pPr>
        <w:spacing w:line="240" w:lineRule="auto"/>
      </w:pPr>
      <w:r>
        <w:separator/>
      </w:r>
    </w:p>
  </w:footnote>
  <w:footnote w:type="continuationSeparator" w:id="0">
    <w:p w14:paraId="598F7707" w14:textId="77777777" w:rsidR="00EB14BC" w:rsidRDefault="000835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3DC9" w14:textId="77777777" w:rsidR="00FE35B8" w:rsidRDefault="00FE3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F7701" w14:textId="1CBF0313" w:rsidR="00A85EF7" w:rsidRDefault="000835AC">
    <w:pPr>
      <w:jc w:val="right"/>
      <w:rPr>
        <w:sz w:val="16"/>
        <w:szCs w:val="16"/>
      </w:rPr>
    </w:pPr>
    <w:proofErr w:type="spellStart"/>
    <w:r>
      <w:rPr>
        <w:sz w:val="16"/>
        <w:szCs w:val="16"/>
      </w:rPr>
      <w:t>Suppl</w:t>
    </w:r>
    <w:proofErr w:type="spellEnd"/>
    <w:r>
      <w:rPr>
        <w:sz w:val="16"/>
        <w:szCs w:val="16"/>
      </w:rPr>
      <w:t xml:space="preserve"> Material. Wong et al. (2021) Measuring Subjective Stress among Young People in Hong Kong</w:t>
    </w:r>
  </w:p>
  <w:p w14:paraId="66E5C000" w14:textId="77777777" w:rsidR="00DC2586" w:rsidRDefault="00DC2586">
    <w:pPr>
      <w:jc w:val="right"/>
      <w:rPr>
        <w:sz w:val="16"/>
        <w:szCs w:val="16"/>
      </w:rPr>
    </w:pPr>
  </w:p>
  <w:p w14:paraId="598F7702" w14:textId="77777777" w:rsidR="00A85EF7" w:rsidRDefault="00A85EF7">
    <w:pP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2FBC" w14:textId="77777777" w:rsidR="00FE35B8" w:rsidRDefault="00FE35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F7"/>
    <w:rsid w:val="00005963"/>
    <w:rsid w:val="00035CFA"/>
    <w:rsid w:val="00045336"/>
    <w:rsid w:val="000835AC"/>
    <w:rsid w:val="000C5154"/>
    <w:rsid w:val="001D623E"/>
    <w:rsid w:val="003230E3"/>
    <w:rsid w:val="00391BCB"/>
    <w:rsid w:val="00395146"/>
    <w:rsid w:val="003D52EC"/>
    <w:rsid w:val="0040396A"/>
    <w:rsid w:val="0041309A"/>
    <w:rsid w:val="004D570D"/>
    <w:rsid w:val="00505BC5"/>
    <w:rsid w:val="005172B8"/>
    <w:rsid w:val="00573C7E"/>
    <w:rsid w:val="005864DB"/>
    <w:rsid w:val="005E0826"/>
    <w:rsid w:val="00673629"/>
    <w:rsid w:val="006D4B27"/>
    <w:rsid w:val="006D5080"/>
    <w:rsid w:val="00743332"/>
    <w:rsid w:val="00831C03"/>
    <w:rsid w:val="00853C9F"/>
    <w:rsid w:val="00A02E9E"/>
    <w:rsid w:val="00A85EF7"/>
    <w:rsid w:val="00B75F3F"/>
    <w:rsid w:val="00D74E1D"/>
    <w:rsid w:val="00DC2586"/>
    <w:rsid w:val="00DF1E18"/>
    <w:rsid w:val="00E11247"/>
    <w:rsid w:val="00E27570"/>
    <w:rsid w:val="00EB14BC"/>
    <w:rsid w:val="00ED102F"/>
    <w:rsid w:val="00F50748"/>
    <w:rsid w:val="00FD0188"/>
    <w:rsid w:val="00FE35B8"/>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8F75DF"/>
  <w15:docId w15:val="{616D40B0-EF5D-8747-A2B3-07AC3C0C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unhideWhenUsed/>
    <w:qFormat/>
    <w:pPr>
      <w:keepNext/>
      <w:keepLines/>
      <w:spacing w:line="240" w:lineRule="auto"/>
      <w:ind w:left="283" w:right="275"/>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E35B8"/>
    <w:pPr>
      <w:tabs>
        <w:tab w:val="center" w:pos="4513"/>
        <w:tab w:val="right" w:pos="9026"/>
      </w:tabs>
      <w:spacing w:line="240" w:lineRule="auto"/>
    </w:pPr>
  </w:style>
  <w:style w:type="character" w:customStyle="1" w:styleId="HeaderChar">
    <w:name w:val="Header Char"/>
    <w:basedOn w:val="DefaultParagraphFont"/>
    <w:link w:val="Header"/>
    <w:uiPriority w:val="99"/>
    <w:rsid w:val="00FE35B8"/>
  </w:style>
  <w:style w:type="paragraph" w:styleId="Footer">
    <w:name w:val="footer"/>
    <w:basedOn w:val="Normal"/>
    <w:link w:val="FooterChar"/>
    <w:uiPriority w:val="99"/>
    <w:unhideWhenUsed/>
    <w:rsid w:val="00FE35B8"/>
    <w:pPr>
      <w:tabs>
        <w:tab w:val="center" w:pos="4513"/>
        <w:tab w:val="right" w:pos="9026"/>
      </w:tabs>
      <w:spacing w:line="240" w:lineRule="auto"/>
    </w:pPr>
  </w:style>
  <w:style w:type="character" w:customStyle="1" w:styleId="FooterChar">
    <w:name w:val="Footer Char"/>
    <w:basedOn w:val="DefaultParagraphFont"/>
    <w:link w:val="Footer"/>
    <w:uiPriority w:val="99"/>
    <w:rsid w:val="00FE35B8"/>
  </w:style>
  <w:style w:type="paragraph" w:styleId="TOC2">
    <w:name w:val="toc 2"/>
    <w:basedOn w:val="Normal"/>
    <w:next w:val="Normal"/>
    <w:autoRedefine/>
    <w:uiPriority w:val="39"/>
    <w:unhideWhenUsed/>
    <w:rsid w:val="00ED102F"/>
    <w:pPr>
      <w:spacing w:after="100"/>
      <w:ind w:left="220"/>
    </w:pPr>
  </w:style>
  <w:style w:type="paragraph" w:styleId="TOC3">
    <w:name w:val="toc 3"/>
    <w:basedOn w:val="Normal"/>
    <w:next w:val="Normal"/>
    <w:autoRedefine/>
    <w:uiPriority w:val="39"/>
    <w:unhideWhenUsed/>
    <w:rsid w:val="00ED102F"/>
    <w:pPr>
      <w:spacing w:after="100"/>
      <w:ind w:left="440"/>
    </w:pPr>
  </w:style>
  <w:style w:type="character" w:styleId="Hyperlink">
    <w:name w:val="Hyperlink"/>
    <w:basedOn w:val="DefaultParagraphFont"/>
    <w:uiPriority w:val="99"/>
    <w:unhideWhenUsed/>
    <w:rsid w:val="00ED1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y@lmhui.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1766</Words>
  <Characters>10067</Characters>
  <Application>Microsoft Office Word</Application>
  <DocSecurity>0</DocSecurity>
  <Lines>83</Lines>
  <Paragraphs>23</Paragraphs>
  <ScaleCrop>false</ScaleCrop>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Wong Ming Yin Stephanie</cp:lastModifiedBy>
  <cp:revision>36</cp:revision>
  <dcterms:created xsi:type="dcterms:W3CDTF">2021-05-09T10:15:00Z</dcterms:created>
  <dcterms:modified xsi:type="dcterms:W3CDTF">2021-05-09T14:59:00Z</dcterms:modified>
</cp:coreProperties>
</file>