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3B1" w:rsidRDefault="00F74FC7">
      <w:pPr>
        <w:pStyle w:val="Sous-titre"/>
        <w:spacing w:after="0" w:line="360" w:lineRule="auto"/>
        <w:jc w:val="left"/>
        <w:rPr>
          <w:b/>
          <w:lang w:val="en-GB"/>
        </w:rPr>
      </w:pPr>
      <w:r>
        <w:rPr>
          <w:b/>
          <w:lang w:val="en-GB"/>
        </w:rPr>
        <w:t>e-methods: Formulas applied to calculate the effect sizes</w:t>
      </w:r>
    </w:p>
    <w:p w:rsidR="007A23B1" w:rsidRDefault="007A23B1">
      <w:pPr>
        <w:spacing w:after="0" w:line="360" w:lineRule="auto"/>
        <w:jc w:val="both"/>
        <w:rPr>
          <w:rFonts w:ascii="Times New Roman" w:hAnsi="Times New Roman"/>
          <w:sz w:val="24"/>
          <w:lang w:val="en-US"/>
        </w:rPr>
      </w:pPr>
    </w:p>
    <w:p w:rsidR="007A23B1" w:rsidRDefault="007A23B1">
      <w:pPr>
        <w:spacing w:after="0" w:line="360" w:lineRule="auto"/>
        <w:jc w:val="both"/>
        <w:rPr>
          <w:rFonts w:ascii="Times New Roman" w:hAnsi="Times New Roman"/>
          <w:sz w:val="24"/>
          <w:lang w:val="en-US"/>
        </w:rPr>
      </w:pPr>
    </w:p>
    <w:p w:rsidR="007A23B1" w:rsidRDefault="00F74FC7">
      <w:pPr>
        <w:spacing w:after="0" w:line="360" w:lineRule="auto"/>
        <w:jc w:val="both"/>
        <w:rPr>
          <w:rFonts w:ascii="Times New Roman" w:hAnsi="Times New Roman"/>
          <w:sz w:val="24"/>
          <w:lang w:val="en-US"/>
        </w:rPr>
      </w:pPr>
      <w:r>
        <w:rPr>
          <w:rFonts w:ascii="Times New Roman" w:hAnsi="Times New Roman"/>
          <w:sz w:val="24"/>
          <w:lang w:val="en-US"/>
        </w:rPr>
        <w:t xml:space="preserve">For binary outcomes, Cohen’s d values (and variance) were derived from odds ratios with formulas (1) and (2): </w:t>
      </w:r>
    </w:p>
    <w:p w:rsidR="007A23B1" w:rsidRDefault="007A23B1">
      <w:pPr>
        <w:spacing w:after="0" w:line="360" w:lineRule="auto"/>
        <w:jc w:val="both"/>
        <w:rPr>
          <w:rFonts w:ascii="Times New Roman" w:hAnsi="Times New Roman"/>
          <w:sz w:val="24"/>
          <w:lang w:val="en-US"/>
        </w:rPr>
      </w:pPr>
    </w:p>
    <w:p w:rsidR="007A23B1" w:rsidRDefault="00F74FC7">
      <w:pPr>
        <w:spacing w:after="0" w:line="360" w:lineRule="auto"/>
        <w:jc w:val="both"/>
        <w:rPr>
          <w:rFonts w:ascii="Times New Roman" w:hAnsi="Times New Roman"/>
          <w:sz w:val="24"/>
          <w:lang w:val="en-US"/>
        </w:rPr>
      </w:pPr>
      <w:r>
        <w:rPr>
          <w:rFonts w:ascii="Times New Roman" w:hAnsi="Times New Roman"/>
          <w:sz w:val="24"/>
          <w:lang w:val="en-US"/>
        </w:rPr>
        <w:t>(1)</w:t>
      </w:r>
      <w:r>
        <w:rPr>
          <w:noProof/>
        </w:rPr>
        <w:drawing>
          <wp:inline distT="0" distB="0" distL="0" distR="0">
            <wp:extent cx="1857375" cy="377190"/>
            <wp:effectExtent l="0" t="0" r="0" b="0"/>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pic:cNvPicPr>
                      <a:picLocks noChangeAspect="1" noChangeArrowheads="1"/>
                    </pic:cNvPicPr>
                  </pic:nvPicPr>
                  <pic:blipFill>
                    <a:blip r:embed="rId4"/>
                    <a:stretch>
                      <a:fillRect/>
                    </a:stretch>
                  </pic:blipFill>
                  <pic:spPr bwMode="auto">
                    <a:xfrm>
                      <a:off x="0" y="0"/>
                      <a:ext cx="1857375" cy="377190"/>
                    </a:xfrm>
                    <a:prstGeom prst="rect">
                      <a:avLst/>
                    </a:prstGeom>
                  </pic:spPr>
                </pic:pic>
              </a:graphicData>
            </a:graphic>
          </wp:inline>
        </w:drawing>
      </w:r>
      <w:r>
        <w:rPr>
          <w:rFonts w:ascii="Times New Roman" w:hAnsi="Times New Roman"/>
          <w:sz w:val="24"/>
          <w:lang w:val="en-US"/>
        </w:rPr>
        <w:t xml:space="preserve"> and,</w:t>
      </w:r>
    </w:p>
    <w:p w:rsidR="007A23B1" w:rsidRDefault="007A23B1">
      <w:pPr>
        <w:spacing w:after="0" w:line="360" w:lineRule="auto"/>
        <w:jc w:val="both"/>
        <w:rPr>
          <w:rFonts w:ascii="Times New Roman" w:hAnsi="Times New Roman"/>
          <w:sz w:val="24"/>
          <w:lang w:val="en-US"/>
        </w:rPr>
      </w:pPr>
    </w:p>
    <w:p w:rsidR="007A23B1" w:rsidRDefault="00F74FC7">
      <w:pPr>
        <w:spacing w:after="0" w:line="360" w:lineRule="auto"/>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t>(2)</w:t>
      </w:r>
      <w:r>
        <w:rPr>
          <w:noProof/>
        </w:rPr>
        <w:drawing>
          <wp:inline distT="0" distB="0" distL="0" distR="0">
            <wp:extent cx="1904365" cy="4616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5"/>
                    <a:stretch>
                      <a:fillRect/>
                    </a:stretch>
                  </pic:blipFill>
                  <pic:spPr bwMode="auto">
                    <a:xfrm>
                      <a:off x="0" y="0"/>
                      <a:ext cx="1904365" cy="461645"/>
                    </a:xfrm>
                    <a:prstGeom prst="rect">
                      <a:avLst/>
                    </a:prstGeom>
                  </pic:spPr>
                </pic:pic>
              </a:graphicData>
            </a:graphic>
          </wp:inline>
        </w:drawing>
      </w:r>
      <w:r>
        <w:rPr>
          <w:rFonts w:ascii="Times New Roman" w:hAnsi="Times New Roman" w:cs="Times New Roman"/>
          <w:sz w:val="24"/>
          <w:szCs w:val="24"/>
          <w:lang w:val="en-US" w:eastAsia="fr-FR"/>
        </w:rPr>
        <w:t xml:space="preserve">where V stands for variance </w:t>
      </w:r>
      <w:r>
        <w:fldChar w:fldCharType="begin"/>
      </w:r>
      <w:r w:rsidRPr="00F74FC7">
        <w:rPr>
          <w:rFonts w:ascii="Times New Roman" w:hAnsi="Times New Roman" w:cs="Times New Roman"/>
          <w:sz w:val="24"/>
          <w:szCs w:val="24"/>
          <w:lang w:val="en-US"/>
        </w:rPr>
        <w:instrText>ADDIN ZOTERO_ITEM CSL_CITATION {"citationID":"qwSV5oC1","properties":{"formattedCitation":"\\super 12\\nosupersub{}","plainCitation":"12","noteIndex":0},"citationItems":[{"id":"QE0LpcHO/YxPAhezm","uris":["http://zotero.org/users/2847701/items/92GG4M77"],"uri":["http://zotero.org/users/2847701/items/92GG4M77"],"itemData":{"id":418,"type":"book","title":"Introduction to meta-analysis","publisher":"John Wiley &amp; Sons","publisher-place":"Chichester, U.K","number-of-pages":"421","source":"Library of Congress ISBN","event-place":"Chichester, U.K","abstract":"This text provides a concise and clearly presented discussion of all the elements in a meta-analysis. It is illustrated with worked examples throughout, with visual explanations, using screenshots from Excel spreadsheets and computer programs such as Comprehensive Meta-Analysis (CMA) or Strata","ISBN":"978-0-470-05724-7","call-number":"R853.M48 I58 2009","note":"OCLC: ocn263294996","editor":[{"family":"Borenstein","given":"Michael"}],"issued":{"date-parts":[["2009"]]}}}],"schema":"https://github.com/citation-style-language/schema/raw/master/csl-citation.json"}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vertAlign w:val="superscript"/>
          <w:lang w:val="en-US"/>
        </w:rPr>
        <w:t>12</w:t>
      </w:r>
      <w:r>
        <w:rPr>
          <w:rFonts w:ascii="Times New Roman" w:hAnsi="Times New Roman" w:cs="Times New Roman"/>
          <w:sz w:val="24"/>
          <w:szCs w:val="24"/>
        </w:rPr>
        <w:fldChar w:fldCharType="end"/>
      </w:r>
      <w:r>
        <w:rPr>
          <w:rFonts w:ascii="Times New Roman" w:hAnsi="Times New Roman" w:cs="Times New Roman"/>
          <w:sz w:val="24"/>
          <w:szCs w:val="24"/>
          <w:lang w:val="en-US" w:eastAsia="fr-FR"/>
        </w:rPr>
        <w:t xml:space="preserve">. </w:t>
      </w:r>
    </w:p>
    <w:p w:rsidR="007A23B1" w:rsidRDefault="007A23B1">
      <w:pPr>
        <w:spacing w:after="0" w:line="360" w:lineRule="auto"/>
        <w:jc w:val="both"/>
        <w:rPr>
          <w:rFonts w:ascii="Times New Roman" w:hAnsi="Times New Roman" w:cs="Times New Roman"/>
          <w:sz w:val="24"/>
          <w:szCs w:val="24"/>
          <w:lang w:val="en-US" w:eastAsia="fr-FR"/>
        </w:rPr>
      </w:pPr>
    </w:p>
    <w:p w:rsidR="007A23B1" w:rsidRDefault="00F74FC7">
      <w:pPr>
        <w:spacing w:after="0" w:line="360" w:lineRule="auto"/>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For </w:t>
      </w:r>
      <w:proofErr w:type="spellStart"/>
      <w:r>
        <w:rPr>
          <w:rFonts w:ascii="Times New Roman" w:hAnsi="Times New Roman" w:cs="Times New Roman"/>
          <w:sz w:val="24"/>
          <w:szCs w:val="24"/>
          <w:lang w:val="en-US" w:eastAsia="fr-FR"/>
        </w:rPr>
        <w:t>quantitatives</w:t>
      </w:r>
      <w:proofErr w:type="spellEnd"/>
      <w:r>
        <w:rPr>
          <w:rFonts w:ascii="Times New Roman" w:hAnsi="Times New Roman" w:cs="Times New Roman"/>
          <w:sz w:val="24"/>
          <w:szCs w:val="24"/>
          <w:lang w:val="en-US" w:eastAsia="fr-FR"/>
        </w:rPr>
        <w:t xml:space="preserve"> outcomes, Cohen’s d values (and their variance) were derived from raw means and standard deviations with formulas (3), (4) and (5</w:t>
      </w:r>
      <w:proofErr w:type="gramStart"/>
      <w:r>
        <w:rPr>
          <w:rFonts w:ascii="Times New Roman" w:hAnsi="Times New Roman" w:cs="Times New Roman"/>
          <w:sz w:val="24"/>
          <w:szCs w:val="24"/>
          <w:lang w:val="en-US" w:eastAsia="fr-FR"/>
        </w:rPr>
        <w:t>) :</w:t>
      </w:r>
      <w:proofErr w:type="gramEnd"/>
    </w:p>
    <w:p w:rsidR="007A23B1" w:rsidRDefault="007A23B1">
      <w:pPr>
        <w:spacing w:after="0" w:line="360" w:lineRule="auto"/>
        <w:jc w:val="both"/>
        <w:rPr>
          <w:rFonts w:ascii="Times New Roman" w:hAnsi="Times New Roman" w:cs="Times New Roman"/>
          <w:sz w:val="24"/>
          <w:szCs w:val="24"/>
          <w:lang w:val="en-US" w:eastAsia="fr-FR"/>
        </w:rPr>
      </w:pPr>
    </w:p>
    <w:p w:rsidR="007A23B1" w:rsidRDefault="00F74FC7">
      <w:pPr>
        <w:spacing w:after="0" w:line="360" w:lineRule="auto"/>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(3) </w:t>
      </w:r>
      <m:oMath>
        <m:r>
          <w:rPr>
            <w:rFonts w:ascii="Cambria Math" w:hAnsi="Cambria Math"/>
          </w:rPr>
          <m:t>d</m:t>
        </m:r>
        <m:r>
          <w:rPr>
            <w:rFonts w:ascii="Cambria Math" w:hAnsi="Cambria Math"/>
            <w:lang w:val="en-US"/>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Mean</m:t>
                    </m:r>
                  </m:e>
                  <m:sub>
                    <m:r>
                      <w:rPr>
                        <w:rFonts w:ascii="Cambria Math" w:hAnsi="Cambria Math"/>
                        <w:lang w:val="en-US"/>
                      </w:rPr>
                      <m:t>1</m:t>
                    </m:r>
                  </m:sub>
                </m:sSub>
                <m:r>
                  <w:rPr>
                    <w:rFonts w:ascii="Cambria Math" w:hAnsi="Cambria Math"/>
                    <w:lang w:val="en-US"/>
                  </w:rPr>
                  <m:t>-</m:t>
                </m:r>
                <m:sSub>
                  <m:sSubPr>
                    <m:ctrlPr>
                      <w:rPr>
                        <w:rFonts w:ascii="Cambria Math" w:hAnsi="Cambria Math"/>
                      </w:rPr>
                    </m:ctrlPr>
                  </m:sSubPr>
                  <m:e>
                    <m:r>
                      <w:rPr>
                        <w:rFonts w:ascii="Cambria Math" w:hAnsi="Cambria Math"/>
                      </w:rPr>
                      <m:t>Mean</m:t>
                    </m:r>
                  </m:e>
                  <m:sub>
                    <m:r>
                      <w:rPr>
                        <w:rFonts w:ascii="Cambria Math" w:hAnsi="Cambria Math"/>
                        <w:lang w:val="en-US"/>
                      </w:rPr>
                      <m:t>2</m:t>
                    </m:r>
                  </m:sub>
                </m:sSub>
              </m:e>
            </m:d>
          </m:num>
          <m:den>
            <m:sSub>
              <m:sSubPr>
                <m:ctrlPr>
                  <w:rPr>
                    <w:rFonts w:ascii="Cambria Math" w:hAnsi="Cambria Math"/>
                  </w:rPr>
                </m:ctrlPr>
              </m:sSubPr>
              <m:e>
                <m:r>
                  <w:rPr>
                    <w:rFonts w:ascii="Cambria Math" w:hAnsi="Cambria Math"/>
                  </w:rPr>
                  <m:t>S</m:t>
                </m:r>
              </m:e>
              <m:sub>
                <m:r>
                  <w:rPr>
                    <w:rFonts w:ascii="Cambria Math" w:hAnsi="Cambria Math"/>
                  </w:rPr>
                  <m:t>pooled</m:t>
                </m:r>
              </m:sub>
            </m:sSub>
          </m:den>
        </m:f>
      </m:oMath>
      <w:r>
        <w:rPr>
          <w:rFonts w:ascii="Times New Roman" w:hAnsi="Times New Roman" w:cs="Times New Roman"/>
          <w:sz w:val="24"/>
          <w:szCs w:val="24"/>
          <w:lang w:val="en-US" w:eastAsia="fr-FR"/>
        </w:rPr>
        <w:t xml:space="preserve"> ,</w:t>
      </w:r>
    </w:p>
    <w:p w:rsidR="007A23B1" w:rsidRDefault="007A23B1">
      <w:pPr>
        <w:spacing w:after="0" w:line="360" w:lineRule="auto"/>
        <w:jc w:val="both"/>
        <w:rPr>
          <w:rFonts w:ascii="Times New Roman" w:hAnsi="Times New Roman" w:cs="Times New Roman"/>
          <w:sz w:val="24"/>
          <w:szCs w:val="24"/>
          <w:lang w:val="en-US" w:eastAsia="fr-FR"/>
        </w:rPr>
      </w:pPr>
    </w:p>
    <w:p w:rsidR="007A23B1" w:rsidRDefault="00F74FC7">
      <w:pPr>
        <w:spacing w:after="0" w:line="360" w:lineRule="auto"/>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(4) </w:t>
      </w:r>
      <m:oMath>
        <m:sSub>
          <m:sSubPr>
            <m:ctrlPr>
              <w:rPr>
                <w:rFonts w:ascii="Cambria Math" w:hAnsi="Cambria Math"/>
              </w:rPr>
            </m:ctrlPr>
          </m:sSubPr>
          <m:e>
            <m:r>
              <w:rPr>
                <w:rFonts w:ascii="Cambria Math" w:hAnsi="Cambria Math"/>
              </w:rPr>
              <m:t>S</m:t>
            </m:r>
          </m:e>
          <m:sub>
            <m:r>
              <w:rPr>
                <w:rFonts w:ascii="Cambria Math" w:hAnsi="Cambria Math"/>
              </w:rPr>
              <m:t>pooled</m:t>
            </m:r>
          </m:sub>
        </m:sSub>
        <m:r>
          <w:rPr>
            <w:rFonts w:ascii="Cambria Math" w:hAnsi="Cambria Math"/>
            <w:lang w:val="en-US"/>
          </w:rPr>
          <m:t>=</m:t>
        </m:r>
        <m:rad>
          <m:radPr>
            <m:degHide m:val="1"/>
            <m:ctrlPr>
              <w:rPr>
                <w:rFonts w:ascii="Cambria Math" w:hAnsi="Cambria Math"/>
              </w:rPr>
            </m:ctrlPr>
          </m:radPr>
          <m:deg/>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lang w:val="en-US"/>
                          </w:rPr>
                          <m:t>1</m:t>
                        </m:r>
                      </m:sub>
                    </m:sSub>
                    <m:r>
                      <w:rPr>
                        <w:rFonts w:ascii="Cambria Math" w:hAnsi="Cambria Math"/>
                        <w:lang w:val="en-US"/>
                      </w:rPr>
                      <m:t>-1</m:t>
                    </m:r>
                  </m:e>
                </m:d>
                <m:sSubSup>
                  <m:sSubSupPr>
                    <m:ctrlPr>
                      <w:rPr>
                        <w:rFonts w:ascii="Cambria Math" w:hAnsi="Cambria Math"/>
                      </w:rPr>
                    </m:ctrlPr>
                  </m:sSubSupPr>
                  <m:e>
                    <m:r>
                      <w:rPr>
                        <w:rFonts w:ascii="Cambria Math" w:hAnsi="Cambria Math"/>
                      </w:rPr>
                      <m:t>S</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lang w:val="en-US"/>
                          </w:rPr>
                          <m:t>2</m:t>
                        </m:r>
                      </m:sub>
                    </m:sSub>
                    <m:r>
                      <w:rPr>
                        <w:rFonts w:ascii="Cambria Math" w:hAnsi="Cambria Math"/>
                        <w:lang w:val="en-US"/>
                      </w:rPr>
                      <m:t>-1</m:t>
                    </m:r>
                  </m:e>
                </m:d>
                <m:sSubSup>
                  <m:sSubSupPr>
                    <m:ctrlPr>
                      <w:rPr>
                        <w:rFonts w:ascii="Cambria Math" w:hAnsi="Cambria Math"/>
                      </w:rPr>
                    </m:ctrlPr>
                  </m:sSubSupPr>
                  <m:e>
                    <m:r>
                      <w:rPr>
                        <w:rFonts w:ascii="Cambria Math" w:hAnsi="Cambria Math"/>
                      </w:rPr>
                      <m:t>S</m:t>
                    </m:r>
                  </m:e>
                  <m:sub>
                    <m:r>
                      <w:rPr>
                        <w:rFonts w:ascii="Cambria Math" w:hAnsi="Cambria Math"/>
                        <w:lang w:val="en-US"/>
                      </w:rPr>
                      <m:t>2</m:t>
                    </m:r>
                  </m:sub>
                  <m:sup>
                    <m:r>
                      <w:rPr>
                        <w:rFonts w:ascii="Cambria Math" w:hAnsi="Cambria Math"/>
                        <w:lang w:val="en-US"/>
                      </w:rPr>
                      <m:t>2</m:t>
                    </m:r>
                  </m:sup>
                </m:sSubSup>
              </m:num>
              <m:den>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lang w:val="en-US"/>
                          </w:rPr>
                          <m:t>1</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2</m:t>
                        </m:r>
                      </m:sub>
                    </m:sSub>
                    <m:r>
                      <w:rPr>
                        <w:rFonts w:ascii="Cambria Math" w:hAnsi="Cambria Math"/>
                        <w:lang w:val="en-US"/>
                      </w:rPr>
                      <m:t>-2</m:t>
                    </m:r>
                  </m:e>
                </m:d>
              </m:den>
            </m:f>
          </m:e>
        </m:rad>
      </m:oMath>
      <w:r>
        <w:rPr>
          <w:rFonts w:ascii="Times New Roman" w:hAnsi="Times New Roman" w:cs="Times New Roman"/>
          <w:sz w:val="24"/>
          <w:szCs w:val="24"/>
          <w:lang w:val="en-US" w:eastAsia="fr-FR"/>
        </w:rPr>
        <w:t xml:space="preserve"> where n and S</w:t>
      </w:r>
      <w:r>
        <w:rPr>
          <w:rFonts w:ascii="Times New Roman" w:hAnsi="Times New Roman" w:cs="Times New Roman"/>
          <w:sz w:val="24"/>
          <w:szCs w:val="24"/>
          <w:vertAlign w:val="superscript"/>
          <w:lang w:val="en-US" w:eastAsia="fr-FR"/>
        </w:rPr>
        <w:t>2</w:t>
      </w:r>
      <w:r>
        <w:rPr>
          <w:rFonts w:ascii="Times New Roman" w:hAnsi="Times New Roman" w:cs="Times New Roman"/>
          <w:sz w:val="24"/>
          <w:szCs w:val="24"/>
          <w:lang w:val="en-US" w:eastAsia="fr-FR"/>
        </w:rPr>
        <w:t xml:space="preserve"> stand for the number of subjects and the variance for each group. </w:t>
      </w:r>
    </w:p>
    <w:p w:rsidR="007A23B1" w:rsidRDefault="007A23B1">
      <w:pPr>
        <w:spacing w:after="0" w:line="360" w:lineRule="auto"/>
        <w:jc w:val="both"/>
        <w:rPr>
          <w:rFonts w:ascii="Times New Roman" w:hAnsi="Times New Roman" w:cs="Times New Roman"/>
          <w:sz w:val="24"/>
          <w:szCs w:val="24"/>
          <w:lang w:val="en-US" w:eastAsia="fr-FR"/>
        </w:rPr>
      </w:pPr>
    </w:p>
    <w:p w:rsidR="007A23B1" w:rsidRDefault="00F74FC7">
      <w:pPr>
        <w:spacing w:after="0" w:line="360" w:lineRule="auto"/>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(5) </w:t>
      </w:r>
      <m:oMath>
        <m:sSub>
          <m:sSubPr>
            <m:ctrlPr>
              <w:rPr>
                <w:rFonts w:ascii="Cambria Math" w:hAnsi="Cambria Math"/>
              </w:rPr>
            </m:ctrlPr>
          </m:sSubPr>
          <m:e>
            <m:r>
              <w:rPr>
                <w:rFonts w:ascii="Cambria Math" w:hAnsi="Cambria Math"/>
              </w:rPr>
              <m:t>V</m:t>
            </m:r>
          </m:e>
          <m:sub>
            <m:r>
              <w:rPr>
                <w:rFonts w:ascii="Cambria Math" w:hAnsi="Cambria Math"/>
              </w:rPr>
              <m:t>d</m:t>
            </m:r>
          </m:sub>
        </m:sSub>
        <m:r>
          <w:rPr>
            <w:rFonts w:ascii="Cambria Math" w:hAnsi="Cambria Math"/>
            <w:lang w:val="en-US"/>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lang w:val="en-US"/>
                  </w:rPr>
                  <m:t>1</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2</m:t>
                </m:r>
              </m:sub>
            </m:sSub>
          </m:num>
          <m:den>
            <m:sSub>
              <m:sSubPr>
                <m:ctrlPr>
                  <w:rPr>
                    <w:rFonts w:ascii="Cambria Math" w:hAnsi="Cambria Math"/>
                  </w:rPr>
                </m:ctrlPr>
              </m:sSubPr>
              <m:e>
                <m:r>
                  <w:rPr>
                    <w:rFonts w:ascii="Cambria Math" w:hAnsi="Cambria Math"/>
                  </w:rPr>
                  <m:t>n</m:t>
                </m:r>
              </m:e>
              <m:sub>
                <m:r>
                  <w:rPr>
                    <w:rFonts w:ascii="Cambria Math" w:hAnsi="Cambria Math"/>
                    <w:lang w:val="en-US"/>
                  </w:rPr>
                  <m:t>1</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2</m:t>
                </m:r>
              </m:sub>
            </m:sSub>
          </m:den>
        </m:f>
        <m:r>
          <w:rPr>
            <w:rFonts w:ascii="Cambria Math" w:hAnsi="Cambria Math"/>
            <w:lang w:val="en-US"/>
          </w:rPr>
          <m:t>+</m:t>
        </m:r>
        <m:f>
          <m:fPr>
            <m:ctrlPr>
              <w:rPr>
                <w:rFonts w:ascii="Cambria Math" w:hAnsi="Cambria Math"/>
              </w:rPr>
            </m:ctrlPr>
          </m:fPr>
          <m:num>
            <m:sSup>
              <m:sSupPr>
                <m:ctrlPr>
                  <w:rPr>
                    <w:rFonts w:ascii="Cambria Math" w:hAnsi="Cambria Math"/>
                  </w:rPr>
                </m:ctrlPr>
              </m:sSupPr>
              <m:e>
                <m:r>
                  <w:rPr>
                    <w:rFonts w:ascii="Cambria Math" w:hAnsi="Cambria Math"/>
                  </w:rPr>
                  <m:t>d</m:t>
                </m:r>
              </m:e>
              <m:sup>
                <m:r>
                  <w:rPr>
                    <w:rFonts w:ascii="Cambria Math" w:hAnsi="Cambria Math"/>
                    <w:lang w:val="en-US"/>
                  </w:rPr>
                  <m:t>2</m:t>
                </m:r>
              </m:sup>
            </m:sSup>
          </m:num>
          <m:den>
            <m:r>
              <w:rPr>
                <w:rFonts w:ascii="Cambria Math" w:hAnsi="Cambria Math"/>
                <w:lang w:val="en-US"/>
              </w:rPr>
              <m:t>2</m:t>
            </m:r>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lang w:val="en-US"/>
                      </w:rPr>
                      <m:t>1</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2</m:t>
                    </m:r>
                  </m:sub>
                </m:sSub>
              </m:e>
            </m:d>
          </m:den>
        </m:f>
      </m:oMath>
    </w:p>
    <w:p w:rsidR="007A23B1" w:rsidRDefault="007A23B1">
      <w:pPr>
        <w:spacing w:after="0" w:line="360" w:lineRule="auto"/>
        <w:jc w:val="both"/>
        <w:rPr>
          <w:rFonts w:ascii="Times New Roman" w:hAnsi="Times New Roman" w:cs="Times New Roman"/>
          <w:sz w:val="24"/>
          <w:szCs w:val="24"/>
          <w:lang w:val="en-US" w:eastAsia="fr-FR"/>
        </w:rPr>
      </w:pPr>
    </w:p>
    <w:p w:rsidR="007A23B1" w:rsidRDefault="00F74FC7">
      <w:pPr>
        <w:spacing w:after="0" w:line="360" w:lineRule="auto"/>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When only partial results </w:t>
      </w:r>
      <w:proofErr w:type="spellStart"/>
      <w:r>
        <w:rPr>
          <w:rFonts w:ascii="Times New Roman" w:hAnsi="Times New Roman" w:cs="Times New Roman"/>
          <w:sz w:val="24"/>
          <w:szCs w:val="24"/>
          <w:lang w:val="en-US" w:eastAsia="fr-FR"/>
        </w:rPr>
        <w:t>where</w:t>
      </w:r>
      <w:proofErr w:type="spellEnd"/>
      <w:r>
        <w:rPr>
          <w:rFonts w:ascii="Times New Roman" w:hAnsi="Times New Roman" w:cs="Times New Roman"/>
          <w:sz w:val="24"/>
          <w:szCs w:val="24"/>
          <w:lang w:val="en-US" w:eastAsia="fr-FR"/>
        </w:rPr>
        <w:t xml:space="preserve"> available, pooled variance and differences in means were calculated from the 95% CI with formula (6):</w:t>
      </w:r>
    </w:p>
    <w:p w:rsidR="007A23B1" w:rsidRDefault="007A23B1">
      <w:pPr>
        <w:spacing w:after="0" w:line="360" w:lineRule="auto"/>
        <w:jc w:val="both"/>
        <w:rPr>
          <w:rFonts w:ascii="Times New Roman" w:hAnsi="Times New Roman" w:cs="Times New Roman"/>
          <w:sz w:val="24"/>
          <w:szCs w:val="24"/>
          <w:lang w:val="en-US" w:eastAsia="fr-FR"/>
        </w:rPr>
      </w:pPr>
    </w:p>
    <w:p w:rsidR="007A23B1" w:rsidRDefault="00F74FC7">
      <w:pPr>
        <w:spacing w:after="0" w:line="360" w:lineRule="auto"/>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(6) </w:t>
      </w:r>
      <m:oMath>
        <m:sSub>
          <m:sSubPr>
            <m:ctrlPr>
              <w:rPr>
                <w:rFonts w:ascii="Cambria Math" w:hAnsi="Cambria Math"/>
              </w:rPr>
            </m:ctrlPr>
          </m:sSubPr>
          <m:e>
            <m:r>
              <w:rPr>
                <w:rFonts w:ascii="Cambria Math" w:hAnsi="Cambria Math"/>
              </w:rPr>
              <m:t>S</m:t>
            </m:r>
          </m:e>
          <m:sub>
            <m:r>
              <w:rPr>
                <w:rFonts w:ascii="Cambria Math" w:hAnsi="Cambria Math"/>
              </w:rPr>
              <m:t>pooled</m:t>
            </m:r>
          </m:sub>
        </m:sSub>
        <m:r>
          <w:rPr>
            <w:rFonts w:ascii="Cambria Math" w:hAnsi="Cambria Math"/>
            <w:lang w:val="en-US"/>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lang w:val="en-US"/>
                      </w:rPr>
                      <m:t>95</m:t>
                    </m:r>
                    <m:r>
                      <m:rPr>
                        <m:lit/>
                        <m:nor/>
                      </m:rPr>
                      <w:rPr>
                        <w:rFonts w:ascii="Cambria Math" w:hAnsi="Cambria Math"/>
                        <w:lang w:val="en-US"/>
                      </w:rPr>
                      <m:t>%</m:t>
                    </m:r>
                    <m:r>
                      <w:rPr>
                        <w:rFonts w:ascii="Cambria Math" w:hAnsi="Cambria Math"/>
                      </w:rPr>
                      <m:t>IC</m:t>
                    </m:r>
                  </m:e>
                  <m:sub>
                    <m:r>
                      <w:rPr>
                        <w:rFonts w:ascii="Cambria Math" w:hAnsi="Cambria Math"/>
                        <w:lang w:val="en-US"/>
                      </w:rPr>
                      <m:t>h</m:t>
                    </m:r>
                  </m:sub>
                </m:sSub>
                <m:r>
                  <w:rPr>
                    <w:rFonts w:ascii="Cambria Math" w:hAnsi="Cambria Math"/>
                    <w:lang w:val="en-US"/>
                  </w:rPr>
                  <m:t>-</m:t>
                </m:r>
                <m:sSub>
                  <m:sSubPr>
                    <m:ctrlPr>
                      <w:rPr>
                        <w:rFonts w:ascii="Cambria Math" w:hAnsi="Cambria Math"/>
                      </w:rPr>
                    </m:ctrlPr>
                  </m:sSubPr>
                  <m:e>
                    <m:r>
                      <w:rPr>
                        <w:rFonts w:ascii="Cambria Math" w:hAnsi="Cambria Math"/>
                        <w:lang w:val="en-US"/>
                      </w:rPr>
                      <m:t>95</m:t>
                    </m:r>
                    <m:r>
                      <m:rPr>
                        <m:lit/>
                        <m:nor/>
                      </m:rPr>
                      <w:rPr>
                        <w:rFonts w:ascii="Cambria Math" w:hAnsi="Cambria Math"/>
                        <w:lang w:val="en-US"/>
                      </w:rPr>
                      <m:t>%</m:t>
                    </m:r>
                    <m:r>
                      <w:rPr>
                        <w:rFonts w:ascii="Cambria Math" w:hAnsi="Cambria Math"/>
                      </w:rPr>
                      <m:t>IC</m:t>
                    </m:r>
                  </m:e>
                  <m:sub>
                    <m:r>
                      <w:rPr>
                        <w:rFonts w:ascii="Cambria Math" w:hAnsi="Cambria Math"/>
                      </w:rPr>
                      <m:t>l</m:t>
                    </m:r>
                  </m:sub>
                </m:sSub>
              </m:num>
              <m:den>
                <m:r>
                  <w:rPr>
                    <w:rFonts w:ascii="Cambria Math" w:hAnsi="Cambria Math"/>
                    <w:lang w:val="en-US"/>
                  </w:rPr>
                  <m:t>2</m:t>
                </m:r>
              </m:den>
            </m:f>
          </m:num>
          <m:den>
            <m:f>
              <m:fPr>
                <m:ctrlPr>
                  <w:rPr>
                    <w:rFonts w:ascii="Cambria Math" w:hAnsi="Cambria Math"/>
                  </w:rPr>
                </m:ctrlPr>
              </m:fPr>
              <m:num>
                <m:r>
                  <w:rPr>
                    <w:rFonts w:ascii="Cambria Math" w:hAnsi="Cambria Math"/>
                    <w:lang w:val="en-US"/>
                  </w:rPr>
                  <m:t>1.96</m:t>
                </m:r>
              </m:num>
              <m:den>
                <m:rad>
                  <m:radPr>
                    <m:degHide m:val="1"/>
                    <m:ctrlPr>
                      <w:rPr>
                        <w:rFonts w:ascii="Cambria Math" w:hAnsi="Cambria Math"/>
                      </w:rPr>
                    </m:ctrlPr>
                  </m:radPr>
                  <m:deg/>
                  <m:e>
                    <m:sSub>
                      <m:sSubPr>
                        <m:ctrlPr>
                          <w:rPr>
                            <w:rFonts w:ascii="Cambria Math" w:hAnsi="Cambria Math"/>
                          </w:rPr>
                        </m:ctrlPr>
                      </m:sSubPr>
                      <m:e>
                        <m:r>
                          <w:rPr>
                            <w:rFonts w:ascii="Cambria Math" w:hAnsi="Cambria Math"/>
                          </w:rPr>
                          <m:t>n</m:t>
                        </m:r>
                      </m:e>
                      <m:sub>
                        <m:r>
                          <w:rPr>
                            <w:rFonts w:ascii="Cambria Math" w:hAnsi="Cambria Math"/>
                          </w:rPr>
                          <m:t>total</m:t>
                        </m:r>
                      </m:sub>
                    </m:sSub>
                  </m:e>
                </m:rad>
              </m:den>
            </m:f>
          </m:den>
        </m:f>
      </m:oMath>
      <w:r>
        <w:rPr>
          <w:rFonts w:ascii="Times New Roman" w:hAnsi="Times New Roman" w:cs="Times New Roman"/>
          <w:sz w:val="24"/>
          <w:szCs w:val="24"/>
          <w:lang w:val="en-US" w:eastAsia="fr-FR"/>
        </w:rPr>
        <w:t xml:space="preserve"> where 95% </w:t>
      </w:r>
      <w:proofErr w:type="spellStart"/>
      <w:r>
        <w:rPr>
          <w:rFonts w:ascii="Times New Roman" w:hAnsi="Times New Roman" w:cs="Times New Roman"/>
          <w:sz w:val="24"/>
          <w:szCs w:val="24"/>
          <w:lang w:val="en-US" w:eastAsia="fr-FR"/>
        </w:rPr>
        <w:t>IC</w:t>
      </w:r>
      <w:r>
        <w:rPr>
          <w:rFonts w:ascii="Times New Roman" w:hAnsi="Times New Roman" w:cs="Times New Roman"/>
          <w:sz w:val="24"/>
          <w:szCs w:val="24"/>
          <w:vertAlign w:val="subscript"/>
          <w:lang w:val="en-US" w:eastAsia="fr-FR"/>
        </w:rPr>
        <w:t>h</w:t>
      </w:r>
      <w:proofErr w:type="spellEnd"/>
      <w:r>
        <w:rPr>
          <w:rFonts w:ascii="Times New Roman" w:hAnsi="Times New Roman" w:cs="Times New Roman"/>
          <w:sz w:val="24"/>
          <w:szCs w:val="24"/>
          <w:lang w:val="en-US" w:eastAsia="fr-FR"/>
        </w:rPr>
        <w:t xml:space="preserve"> and </w:t>
      </w:r>
      <w:proofErr w:type="spellStart"/>
      <w:r>
        <w:rPr>
          <w:rFonts w:ascii="Times New Roman" w:hAnsi="Times New Roman" w:cs="Times New Roman"/>
          <w:sz w:val="24"/>
          <w:szCs w:val="24"/>
          <w:lang w:val="en-US" w:eastAsia="fr-FR"/>
        </w:rPr>
        <w:t>IC</w:t>
      </w:r>
      <w:r>
        <w:rPr>
          <w:rFonts w:ascii="Times New Roman" w:hAnsi="Times New Roman" w:cs="Times New Roman"/>
          <w:sz w:val="24"/>
          <w:szCs w:val="24"/>
          <w:vertAlign w:val="subscript"/>
          <w:lang w:val="en-US" w:eastAsia="fr-FR"/>
        </w:rPr>
        <w:t>l</w:t>
      </w:r>
      <w:proofErr w:type="spellEnd"/>
      <w:r>
        <w:rPr>
          <w:rFonts w:ascii="Times New Roman" w:hAnsi="Times New Roman" w:cs="Times New Roman"/>
          <w:sz w:val="24"/>
          <w:szCs w:val="24"/>
          <w:lang w:val="en-US" w:eastAsia="fr-FR"/>
        </w:rPr>
        <w:t xml:space="preserve"> stand for high and low boundaries of 95% IC and </w:t>
      </w:r>
      <w:proofErr w:type="spellStart"/>
      <w:r>
        <w:rPr>
          <w:rFonts w:ascii="Times New Roman" w:hAnsi="Times New Roman" w:cs="Times New Roman"/>
          <w:sz w:val="24"/>
          <w:szCs w:val="24"/>
          <w:lang w:val="en-US" w:eastAsia="fr-FR"/>
        </w:rPr>
        <w:t>n</w:t>
      </w:r>
      <w:r>
        <w:rPr>
          <w:rFonts w:ascii="Times New Roman" w:hAnsi="Times New Roman" w:cs="Times New Roman"/>
          <w:sz w:val="24"/>
          <w:szCs w:val="24"/>
          <w:vertAlign w:val="subscript"/>
          <w:lang w:val="en-US" w:eastAsia="fr-FR"/>
        </w:rPr>
        <w:t>total</w:t>
      </w:r>
      <w:proofErr w:type="spellEnd"/>
      <w:r>
        <w:rPr>
          <w:rFonts w:ascii="Times New Roman" w:hAnsi="Times New Roman" w:cs="Times New Roman"/>
          <w:sz w:val="24"/>
          <w:szCs w:val="24"/>
          <w:lang w:val="en-US" w:eastAsia="fr-FR"/>
        </w:rPr>
        <w:t xml:space="preserve"> is the total number of subjects.</w:t>
      </w:r>
    </w:p>
    <w:p w:rsidR="007A23B1" w:rsidRDefault="007A23B1">
      <w:pPr>
        <w:spacing w:after="0" w:line="360" w:lineRule="auto"/>
        <w:jc w:val="both"/>
        <w:rPr>
          <w:rFonts w:ascii="Times New Roman" w:hAnsi="Times New Roman" w:cs="Times New Roman"/>
          <w:sz w:val="24"/>
          <w:szCs w:val="24"/>
          <w:lang w:val="en-US" w:eastAsia="fr-FR"/>
        </w:rPr>
      </w:pPr>
    </w:p>
    <w:p w:rsidR="007A23B1" w:rsidRDefault="00F74FC7">
      <w:pPr>
        <w:spacing w:after="0" w:line="360" w:lineRule="auto"/>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When only differences in means or individual means and numbers of subject were available, pooled variance was calculated from p-values using formula (7): </w:t>
      </w:r>
    </w:p>
    <w:p w:rsidR="007A23B1" w:rsidRDefault="007A23B1">
      <w:pPr>
        <w:spacing w:after="0" w:line="360" w:lineRule="auto"/>
        <w:jc w:val="both"/>
        <w:rPr>
          <w:rFonts w:ascii="Times New Roman" w:hAnsi="Times New Roman" w:cs="Times New Roman"/>
          <w:sz w:val="24"/>
          <w:szCs w:val="24"/>
          <w:lang w:val="en-US" w:eastAsia="fr-FR"/>
        </w:rPr>
      </w:pPr>
    </w:p>
    <w:p w:rsidR="007A23B1" w:rsidRDefault="00F74FC7">
      <w:pPr>
        <w:spacing w:after="0" w:line="360" w:lineRule="auto"/>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(7) </w:t>
      </w:r>
      <m:oMath>
        <m:sSub>
          <m:sSubPr>
            <m:ctrlPr>
              <w:rPr>
                <w:rFonts w:ascii="Cambria Math" w:hAnsi="Cambria Math"/>
              </w:rPr>
            </m:ctrlPr>
          </m:sSubPr>
          <m:e>
            <m:r>
              <w:rPr>
                <w:rFonts w:ascii="Cambria Math" w:hAnsi="Cambria Math"/>
              </w:rPr>
              <m:t>S</m:t>
            </m:r>
          </m:e>
          <m:sub>
            <m:r>
              <w:rPr>
                <w:rFonts w:ascii="Cambria Math" w:hAnsi="Cambria Math"/>
              </w:rPr>
              <m:t>pooled</m:t>
            </m:r>
          </m:sub>
        </m:sSub>
        <m:r>
          <w:rPr>
            <w:rFonts w:ascii="Cambria Math" w:hAnsi="Cambria Math"/>
            <w:lang w:val="en-US"/>
          </w:rPr>
          <m:t>=</m:t>
        </m:r>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Mean</m:t>
                    </m:r>
                  </m:e>
                  <m:sub>
                    <m:r>
                      <w:rPr>
                        <w:rFonts w:ascii="Cambria Math" w:hAnsi="Cambria Math"/>
                        <w:lang w:val="en-US"/>
                      </w:rPr>
                      <m:t>1</m:t>
                    </m:r>
                  </m:sub>
                </m:sSub>
                <m:r>
                  <w:rPr>
                    <w:rFonts w:ascii="Cambria Math" w:hAnsi="Cambria Math"/>
                    <w:lang w:val="en-US"/>
                  </w:rPr>
                  <m:t>-</m:t>
                </m:r>
                <m:sSub>
                  <m:sSubPr>
                    <m:ctrlPr>
                      <w:rPr>
                        <w:rFonts w:ascii="Cambria Math" w:hAnsi="Cambria Math"/>
                      </w:rPr>
                    </m:ctrlPr>
                  </m:sSubPr>
                  <m:e>
                    <m:r>
                      <w:rPr>
                        <w:rFonts w:ascii="Cambria Math" w:hAnsi="Cambria Math"/>
                      </w:rPr>
                      <m:t>Mean</m:t>
                    </m:r>
                  </m:e>
                  <m:sub>
                    <m:r>
                      <w:rPr>
                        <w:rFonts w:ascii="Cambria Math" w:hAnsi="Cambria Math"/>
                        <w:lang w:val="en-US"/>
                      </w:rPr>
                      <m:t>2</m:t>
                    </m:r>
                  </m:sub>
                </m:sSub>
              </m:e>
            </m:d>
          </m:num>
          <m:den>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n</m:t>
                    </m:r>
                  </m:sub>
                </m:sSub>
                <m:d>
                  <m:dPr>
                    <m:ctrlPr>
                      <w:rPr>
                        <w:rFonts w:ascii="Cambria Math" w:hAnsi="Cambria Math"/>
                      </w:rPr>
                    </m:ctrlPr>
                  </m:dPr>
                  <m:e>
                    <m:r>
                      <w:rPr>
                        <w:rFonts w:ascii="Cambria Math" w:hAnsi="Cambria Math"/>
                        <w:lang w:val="en-US"/>
                      </w:rPr>
                      <m:t>1-</m:t>
                    </m:r>
                    <m:r>
                      <w:rPr>
                        <w:rFonts w:ascii="Cambria Math" w:hAnsi="Cambria Math"/>
                      </w:rPr>
                      <m:t>pvalue</m:t>
                    </m:r>
                  </m:e>
                </m:d>
              </m:num>
              <m:den>
                <m:rad>
                  <m:radPr>
                    <m:degHide m:val="1"/>
                    <m:ctrlPr>
                      <w:rPr>
                        <w:rFonts w:ascii="Cambria Math" w:hAnsi="Cambria Math"/>
                      </w:rPr>
                    </m:ctrlPr>
                  </m:radPr>
                  <m:deg/>
                  <m:e>
                    <m:sSub>
                      <m:sSubPr>
                        <m:ctrlPr>
                          <w:rPr>
                            <w:rFonts w:ascii="Cambria Math" w:hAnsi="Cambria Math"/>
                          </w:rPr>
                        </m:ctrlPr>
                      </m:sSubPr>
                      <m:e>
                        <m:r>
                          <w:rPr>
                            <w:rFonts w:ascii="Cambria Math" w:hAnsi="Cambria Math"/>
                          </w:rPr>
                          <m:t>n</m:t>
                        </m:r>
                      </m:e>
                      <m:sub>
                        <m:r>
                          <w:rPr>
                            <w:rFonts w:ascii="Cambria Math" w:hAnsi="Cambria Math"/>
                          </w:rPr>
                          <m:t>total</m:t>
                        </m:r>
                      </m:sub>
                    </m:sSub>
                  </m:e>
                </m:rad>
              </m:den>
            </m:f>
          </m:den>
        </m:f>
      </m:oMath>
      <w:r>
        <w:rPr>
          <w:rFonts w:ascii="Times New Roman" w:hAnsi="Times New Roman" w:cs="Times New Roman"/>
          <w:sz w:val="24"/>
          <w:szCs w:val="24"/>
          <w:lang w:val="en-US" w:eastAsia="fr-FR"/>
        </w:rPr>
        <w:t xml:space="preserve"> where </w:t>
      </w:r>
      <w:proofErr w:type="gramStart"/>
      <w:r>
        <w:rPr>
          <w:rFonts w:ascii="Times New Roman" w:hAnsi="Times New Roman" w:cs="Times New Roman"/>
          <w:sz w:val="24"/>
          <w:szCs w:val="24"/>
          <w:lang w:val="en-US" w:eastAsia="fr-FR"/>
        </w:rPr>
        <w:t>Q</w:t>
      </w:r>
      <w:r>
        <w:rPr>
          <w:rFonts w:ascii="Times New Roman" w:hAnsi="Times New Roman" w:cs="Times New Roman"/>
          <w:sz w:val="24"/>
          <w:szCs w:val="24"/>
          <w:vertAlign w:val="subscript"/>
          <w:lang w:val="en-US" w:eastAsia="fr-FR"/>
        </w:rPr>
        <w:t>n</w:t>
      </w:r>
      <w:r>
        <w:rPr>
          <w:rFonts w:ascii="Times New Roman" w:hAnsi="Times New Roman" w:cs="Times New Roman"/>
          <w:sz w:val="24"/>
          <w:szCs w:val="24"/>
          <w:lang w:val="en-US" w:eastAsia="fr-FR"/>
        </w:rPr>
        <w:t>(</w:t>
      </w:r>
      <w:proofErr w:type="gramEnd"/>
      <w:r>
        <w:rPr>
          <w:rFonts w:ascii="Times New Roman" w:hAnsi="Times New Roman" w:cs="Times New Roman"/>
          <w:sz w:val="24"/>
          <w:szCs w:val="24"/>
          <w:lang w:val="en-US" w:eastAsia="fr-FR"/>
        </w:rPr>
        <w:t>) stands for the quantile function for normal distribution. When the p value was approximate, we used the highest possible value, and 0.05 when results were qualified as significant without mention of a p-value.</w:t>
      </w:r>
    </w:p>
    <w:p w:rsidR="007A23B1" w:rsidRDefault="00F74FC7">
      <w:pPr>
        <w:suppressAutoHyphens w:val="0"/>
        <w:spacing w:after="0" w:line="240" w:lineRule="auto"/>
        <w:rPr>
          <w:lang w:val="en-US"/>
        </w:rPr>
      </w:pPr>
      <w:r w:rsidRPr="00450345">
        <w:rPr>
          <w:lang w:val="en-US"/>
        </w:rPr>
        <w:br w:type="page"/>
      </w:r>
    </w:p>
    <w:p w:rsidR="007A23B1" w:rsidRDefault="00F74FC7">
      <w:pPr>
        <w:pStyle w:val="Sous-titre"/>
        <w:spacing w:after="0" w:line="360" w:lineRule="auto"/>
        <w:jc w:val="left"/>
        <w:rPr>
          <w:b/>
          <w:lang w:val="en-GB"/>
        </w:rPr>
      </w:pPr>
      <w:r>
        <w:rPr>
          <w:b/>
          <w:lang w:val="en-GB"/>
        </w:rPr>
        <w:lastRenderedPageBreak/>
        <w:t>e-results: Other characteristics of the evidence presented in the EPARs</w:t>
      </w:r>
    </w:p>
    <w:p w:rsidR="007A23B1" w:rsidRDefault="007A23B1">
      <w:pPr>
        <w:rPr>
          <w:lang w:val="en-GB"/>
        </w:rPr>
      </w:pPr>
    </w:p>
    <w:p w:rsidR="007A23B1" w:rsidRDefault="00F74FC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15/27 (56%) evaluations reported an assessment of risk of bias in the studies included (without using any specific tool). A risk of bias was identified in 13 of these 15 evaluations (see </w:t>
      </w:r>
      <w:r>
        <w:rPr>
          <w:rFonts w:ascii="Times New Roman" w:hAnsi="Times New Roman" w:cs="Times New Roman"/>
          <w:b/>
          <w:sz w:val="24"/>
          <w:szCs w:val="24"/>
          <w:lang w:val="en-US"/>
        </w:rPr>
        <w:t xml:space="preserve">web appendix, e-Table 3 </w:t>
      </w:r>
      <w:r>
        <w:rPr>
          <w:rFonts w:ascii="Times New Roman" w:hAnsi="Times New Roman" w:cs="Times New Roman"/>
          <w:sz w:val="24"/>
          <w:szCs w:val="24"/>
          <w:lang w:val="en-US"/>
        </w:rPr>
        <w:t>for a more detailed description).</w:t>
      </w:r>
    </w:p>
    <w:p w:rsidR="007A23B1" w:rsidRDefault="00F74FC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5/27 (19 %) approved evaluations identified a safety issue and 6/27 (22%) identified a possible safety issue</w:t>
      </w:r>
      <w:r w:rsidR="00B4241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4241A" w:rsidRPr="00B4241A">
        <w:rPr>
          <w:rFonts w:ascii="Times New Roman" w:hAnsi="Times New Roman" w:cs="Times New Roman"/>
          <w:sz w:val="24"/>
          <w:szCs w:val="24"/>
          <w:lang w:val="en-US"/>
        </w:rPr>
        <w:t>As the dis</w:t>
      </w:r>
      <w:bookmarkStart w:id="0" w:name="_GoBack"/>
      <w:bookmarkEnd w:id="0"/>
      <w:r w:rsidR="00B4241A" w:rsidRPr="00B4241A">
        <w:rPr>
          <w:rFonts w:ascii="Times New Roman" w:hAnsi="Times New Roman" w:cs="Times New Roman"/>
          <w:sz w:val="24"/>
          <w:szCs w:val="24"/>
          <w:lang w:val="en-US"/>
        </w:rPr>
        <w:t xml:space="preserve">tinction between safety and tolerability issues was somewhat arbitrary and may differ across all EPARs, details are presented in the </w:t>
      </w:r>
      <w:r w:rsidR="00B4241A" w:rsidRPr="00B4241A">
        <w:rPr>
          <w:rFonts w:ascii="Times New Roman" w:hAnsi="Times New Roman" w:cs="Times New Roman"/>
          <w:b/>
          <w:sz w:val="24"/>
          <w:szCs w:val="24"/>
          <w:lang w:val="en-US"/>
        </w:rPr>
        <w:t>web-appendix, e-Table 4</w:t>
      </w:r>
      <w:r w:rsidR="00B4241A" w:rsidRPr="00B4241A">
        <w:rPr>
          <w:rFonts w:ascii="Times New Roman" w:hAnsi="Times New Roman" w:cs="Times New Roman"/>
          <w:sz w:val="24"/>
          <w:szCs w:val="24"/>
          <w:lang w:val="en-US"/>
        </w:rPr>
        <w:t>, including the description of any adverse events reported in the EPARs.</w:t>
      </w:r>
    </w:p>
    <w:p w:rsidR="007A23B1" w:rsidRDefault="00F74FC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9/27 (33%) evaluations leading to approval identified a tolerance issue and 3/27 (11%) identified a possible tolerance issue (details are presented in </w:t>
      </w:r>
      <w:r>
        <w:rPr>
          <w:rFonts w:ascii="Times New Roman" w:hAnsi="Times New Roman" w:cs="Times New Roman"/>
          <w:b/>
          <w:sz w:val="24"/>
          <w:szCs w:val="24"/>
          <w:lang w:val="en-US"/>
        </w:rPr>
        <w:t>web-appendix, e-Table 4</w:t>
      </w:r>
      <w:r>
        <w:rPr>
          <w:rFonts w:ascii="Times New Roman" w:hAnsi="Times New Roman" w:cs="Times New Roman"/>
          <w:sz w:val="24"/>
          <w:szCs w:val="24"/>
          <w:lang w:val="en-US"/>
        </w:rPr>
        <w:t>).</w:t>
      </w:r>
    </w:p>
    <w:p w:rsidR="007A23B1" w:rsidRDefault="00F74FC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25/27 (93%) approvals were not based on subgroup analyses (among these, 17 presented subgroup analyses without using them to define the target population). 2/27 (7%) were based on </w:t>
      </w:r>
      <w:r>
        <w:rPr>
          <w:rFonts w:ascii="Times New Roman" w:hAnsi="Times New Roman" w:cs="Times New Roman"/>
          <w:i/>
          <w:sz w:val="24"/>
          <w:szCs w:val="24"/>
          <w:lang w:val="en-US"/>
        </w:rPr>
        <w:t xml:space="preserve">a posteriori </w:t>
      </w:r>
      <w:r>
        <w:rPr>
          <w:rFonts w:ascii="Times New Roman" w:hAnsi="Times New Roman" w:cs="Times New Roman"/>
          <w:sz w:val="24"/>
          <w:szCs w:val="24"/>
          <w:lang w:val="en-US"/>
        </w:rPr>
        <w:t xml:space="preserve">subgroup analyses (for paliperidone (O), in depressive expression of schizoaffective disorder and for </w:t>
      </w:r>
      <w:proofErr w:type="spellStart"/>
      <w:r>
        <w:rPr>
          <w:rFonts w:ascii="Times New Roman" w:hAnsi="Times New Roman" w:cs="Times New Roman"/>
          <w:sz w:val="24"/>
          <w:szCs w:val="24"/>
          <w:lang w:val="en-US"/>
        </w:rPr>
        <w:t>nalmefene</w:t>
      </w:r>
      <w:proofErr w:type="spellEnd"/>
      <w:r>
        <w:rPr>
          <w:rFonts w:ascii="Times New Roman" w:hAnsi="Times New Roman" w:cs="Times New Roman"/>
          <w:sz w:val="24"/>
          <w:szCs w:val="24"/>
          <w:lang w:val="en-US"/>
        </w:rPr>
        <w:t xml:space="preserve"> (O) in alcohol use disorder). Details of outcomes presented in these approvals are presented in </w:t>
      </w:r>
      <w:r>
        <w:rPr>
          <w:rFonts w:ascii="Times New Roman" w:hAnsi="Times New Roman" w:cs="Times New Roman"/>
          <w:b/>
          <w:sz w:val="24"/>
          <w:szCs w:val="24"/>
          <w:lang w:val="en-US"/>
        </w:rPr>
        <w:t>web appendix, e-Table 2</w:t>
      </w:r>
      <w:r>
        <w:rPr>
          <w:rFonts w:ascii="Times New Roman" w:hAnsi="Times New Roman" w:cs="Times New Roman"/>
          <w:sz w:val="24"/>
          <w:szCs w:val="24"/>
          <w:lang w:val="en-US"/>
        </w:rPr>
        <w:t xml:space="preserve">. </w:t>
      </w:r>
    </w:p>
    <w:p w:rsidR="007A23B1" w:rsidRDefault="007A23B1">
      <w:pPr>
        <w:spacing w:after="0" w:line="360" w:lineRule="auto"/>
        <w:jc w:val="both"/>
        <w:rPr>
          <w:rFonts w:ascii="Times New Roman" w:hAnsi="Times New Roman" w:cs="Times New Roman"/>
          <w:sz w:val="24"/>
          <w:szCs w:val="24"/>
          <w:lang w:val="en-US"/>
        </w:rPr>
      </w:pPr>
    </w:p>
    <w:p w:rsidR="007A23B1" w:rsidRPr="00B4241A" w:rsidRDefault="00F74FC7">
      <w:pPr>
        <w:spacing w:after="0" w:line="360" w:lineRule="auto"/>
        <w:jc w:val="both"/>
        <w:rPr>
          <w:rFonts w:ascii="Times New Roman" w:hAnsi="Times New Roman"/>
          <w:sz w:val="24"/>
          <w:lang w:val="en-US"/>
        </w:rPr>
      </w:pPr>
      <w:r>
        <w:rPr>
          <w:rFonts w:ascii="Times New Roman" w:hAnsi="Times New Roman" w:cs="Times New Roman"/>
          <w:sz w:val="24"/>
          <w:szCs w:val="24"/>
          <w:lang w:val="en-US"/>
        </w:rPr>
        <w:t>16/27 (59%) approvals were granted alongside a requirement for specific post-marketing studies. For 5/27 (19 %) evaluations, the CHMP asked another scientific group to decide (such as the Psychiatric Scientific Advisory Group, the Central Nervous System Scientific Advisory Group, the Bio-Statistics Working Group or an internal expert working group). Expression of divergent positions within the Committee for Medicinal Products for Human Use in the EMA were reported in 2 approvals (</w:t>
      </w:r>
      <w:proofErr w:type="spellStart"/>
      <w:r>
        <w:rPr>
          <w:rFonts w:ascii="Times New Roman" w:hAnsi="Times New Roman" w:cs="Times New Roman"/>
          <w:sz w:val="24"/>
          <w:szCs w:val="24"/>
          <w:lang w:val="en-US"/>
        </w:rPr>
        <w:t>nalmefene</w:t>
      </w:r>
      <w:proofErr w:type="spellEnd"/>
      <w:r>
        <w:rPr>
          <w:rFonts w:ascii="Times New Roman" w:hAnsi="Times New Roman" w:cs="Times New Roman"/>
          <w:sz w:val="24"/>
          <w:szCs w:val="24"/>
          <w:lang w:val="en-US"/>
        </w:rPr>
        <w:t xml:space="preserve"> (O), in alcohol use disorders and agomelatine (O), for major depressive episode). For </w:t>
      </w:r>
      <w:proofErr w:type="spellStart"/>
      <w:r>
        <w:rPr>
          <w:rFonts w:ascii="Times New Roman" w:hAnsi="Times New Roman" w:cs="Times New Roman"/>
          <w:sz w:val="24"/>
          <w:szCs w:val="24"/>
          <w:lang w:val="en-US"/>
        </w:rPr>
        <w:t>nalmefene</w:t>
      </w:r>
      <w:proofErr w:type="spellEnd"/>
      <w:r>
        <w:rPr>
          <w:rFonts w:ascii="Times New Roman" w:hAnsi="Times New Roman" w:cs="Times New Roman"/>
          <w:sz w:val="24"/>
          <w:szCs w:val="24"/>
          <w:lang w:val="en-US"/>
        </w:rPr>
        <w:t>, the divergent opinion was that the treatment effect was modest, the target population was defined post-hoc, the number of withdrawals was high, the results of the various sensitivity analyses were inconsistent, and there was no direct evidence of harm reduction with the drug. For agomelatine, the divergent opi</w:t>
      </w:r>
      <w:r w:rsidRPr="00B4241A">
        <w:rPr>
          <w:rFonts w:ascii="Times New Roman" w:hAnsi="Times New Roman" w:cs="Times New Roman"/>
          <w:sz w:val="24"/>
          <w:szCs w:val="24"/>
          <w:lang w:val="en-US"/>
        </w:rPr>
        <w:t xml:space="preserve">nion stated that efficacy was not consistently demonstrated and the safety risk was unquantified. </w:t>
      </w:r>
    </w:p>
    <w:p w:rsidR="00F74FC7" w:rsidRPr="00F74FC7" w:rsidRDefault="006108F2">
      <w:pPr>
        <w:rPr>
          <w:rFonts w:ascii="Times New Roman" w:hAnsi="Times New Roman" w:cs="Times New Roman"/>
          <w:sz w:val="24"/>
          <w:szCs w:val="24"/>
          <w:lang w:val="en-US"/>
        </w:rPr>
      </w:pPr>
      <w:r w:rsidRPr="00B4241A">
        <w:rPr>
          <w:rFonts w:ascii="Times New Roman" w:hAnsi="Times New Roman" w:cs="Times New Roman"/>
          <w:sz w:val="24"/>
          <w:szCs w:val="24"/>
          <w:lang w:val="en-US"/>
        </w:rPr>
        <w:t xml:space="preserve">The number of trials included in each approval is summarized in the </w:t>
      </w:r>
      <w:r w:rsidRPr="00B4241A">
        <w:rPr>
          <w:rFonts w:ascii="Times New Roman" w:hAnsi="Times New Roman" w:cs="Times New Roman"/>
          <w:b/>
          <w:sz w:val="24"/>
          <w:szCs w:val="24"/>
          <w:lang w:val="en-US"/>
        </w:rPr>
        <w:t>web appendix, e-Table 6</w:t>
      </w:r>
      <w:r w:rsidRPr="00B4241A">
        <w:rPr>
          <w:rFonts w:ascii="Times New Roman" w:hAnsi="Times New Roman" w:cs="Times New Roman"/>
          <w:sz w:val="24"/>
          <w:szCs w:val="24"/>
          <w:lang w:val="en-US"/>
        </w:rPr>
        <w:t>.</w:t>
      </w:r>
      <w:r w:rsidR="00F74FC7" w:rsidRPr="00F74FC7">
        <w:rPr>
          <w:rFonts w:ascii="Times New Roman" w:hAnsi="Times New Roman" w:cs="Times New Roman"/>
          <w:sz w:val="24"/>
          <w:szCs w:val="24"/>
          <w:lang w:val="en-US"/>
        </w:rPr>
        <w:t xml:space="preserve"> </w:t>
      </w:r>
    </w:p>
    <w:p w:rsidR="007A23B1" w:rsidRDefault="007A23B1">
      <w:pPr>
        <w:rPr>
          <w:lang w:val="en-US"/>
        </w:rPr>
      </w:pPr>
    </w:p>
    <w:tbl>
      <w:tblPr>
        <w:tblW w:w="5000" w:type="pct"/>
        <w:tblLook w:val="04A0" w:firstRow="1" w:lastRow="0" w:firstColumn="1" w:lastColumn="0" w:noHBand="0" w:noVBand="1"/>
      </w:tblPr>
      <w:tblGrid>
        <w:gridCol w:w="3739"/>
        <w:gridCol w:w="2329"/>
        <w:gridCol w:w="2149"/>
        <w:gridCol w:w="2261"/>
        <w:gridCol w:w="2261"/>
        <w:gridCol w:w="2330"/>
      </w:tblGrid>
      <w:tr w:rsidR="007A23B1" w:rsidRPr="00B4241A">
        <w:trPr>
          <w:trHeight w:val="56"/>
        </w:trPr>
        <w:tc>
          <w:tcPr>
            <w:tcW w:w="3686" w:type="dxa"/>
            <w:tcBorders>
              <w:top w:val="single" w:sz="4" w:space="0" w:color="000000"/>
              <w:left w:val="single" w:sz="4" w:space="0" w:color="000000"/>
              <w:bottom w:val="single" w:sz="8" w:space="0" w:color="5B9BD5"/>
            </w:tcBorders>
            <w:shd w:val="clear" w:color="auto" w:fill="D9D9D9" w:themeFill="background1" w:themeFillShade="D9"/>
          </w:tcPr>
          <w:p w:rsidR="007A23B1" w:rsidRDefault="00F74FC7">
            <w:pPr>
              <w:pageBreakBefore/>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lastRenderedPageBreak/>
              <w:t>Primary outcome</w:t>
            </w:r>
          </w:p>
        </w:tc>
        <w:tc>
          <w:tcPr>
            <w:tcW w:w="2296" w:type="dxa"/>
            <w:tcBorders>
              <w:top w:val="single" w:sz="4" w:space="0" w:color="000000"/>
              <w:bottom w:val="single" w:sz="8" w:space="0" w:color="5B9BD5"/>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Evaluations with evidence of superiority against active comparator</w:t>
            </w:r>
          </w:p>
        </w:tc>
        <w:tc>
          <w:tcPr>
            <w:tcW w:w="2118" w:type="dxa"/>
            <w:tcBorders>
              <w:top w:val="single" w:sz="4" w:space="0" w:color="000000"/>
              <w:bottom w:val="single" w:sz="8" w:space="0" w:color="5B9BD5"/>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Evaluations with evidence of superiority against placebo</w:t>
            </w:r>
          </w:p>
        </w:tc>
        <w:tc>
          <w:tcPr>
            <w:tcW w:w="2228" w:type="dxa"/>
            <w:tcBorders>
              <w:top w:val="single" w:sz="4" w:space="0" w:color="000000"/>
              <w:bottom w:val="single" w:sz="8" w:space="0" w:color="5B9BD5"/>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themeColor="text1"/>
                <w:sz w:val="20"/>
                <w:lang w:val="en-GB"/>
              </w:rPr>
            </w:pPr>
            <w:r>
              <w:rPr>
                <w:rFonts w:ascii="Times New Roman" w:hAnsi="Times New Roman"/>
                <w:b/>
                <w:color w:val="000000" w:themeColor="text1"/>
                <w:sz w:val="20"/>
                <w:lang w:val="en-GB"/>
              </w:rPr>
              <w:t>Evaluations with evidence of non-inferiority against active comparator</w:t>
            </w:r>
          </w:p>
        </w:tc>
        <w:tc>
          <w:tcPr>
            <w:tcW w:w="2228" w:type="dxa"/>
            <w:tcBorders>
              <w:top w:val="single" w:sz="4" w:space="0" w:color="000000"/>
              <w:bottom w:val="single" w:sz="8" w:space="0" w:color="5B9BD5"/>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Evaluations with positive continuation studies against active comparator</w:t>
            </w:r>
          </w:p>
        </w:tc>
        <w:tc>
          <w:tcPr>
            <w:tcW w:w="2296" w:type="dxa"/>
            <w:tcBorders>
              <w:top w:val="single" w:sz="4" w:space="0" w:color="000000"/>
              <w:bottom w:val="single" w:sz="8" w:space="0" w:color="5B9BD5"/>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Evaluations with positive continuation studies against placebo</w:t>
            </w:r>
          </w:p>
        </w:tc>
      </w:tr>
      <w:tr w:rsidR="007A23B1">
        <w:trPr>
          <w:trHeight w:val="46"/>
        </w:trPr>
        <w:tc>
          <w:tcPr>
            <w:tcW w:w="3686" w:type="dxa"/>
            <w:tcBorders>
              <w:left w:val="single" w:sz="4" w:space="0" w:color="000000"/>
            </w:tcBorders>
            <w:shd w:val="clear" w:color="auto" w:fill="D9D9D9" w:themeFill="background1" w:themeFillShade="D9"/>
          </w:tcPr>
          <w:p w:rsidR="007A23B1" w:rsidRDefault="007A23B1">
            <w:pPr>
              <w:suppressAutoHyphens w:val="0"/>
              <w:spacing w:after="0" w:line="360" w:lineRule="auto"/>
              <w:rPr>
                <w:rFonts w:ascii="Times New Roman" w:eastAsia="Times New Roman" w:hAnsi="Times New Roman" w:cs="Times New Roman"/>
                <w:b/>
                <w:bCs/>
                <w:color w:val="000000"/>
                <w:sz w:val="20"/>
                <w:szCs w:val="20"/>
                <w:lang w:val="en-GB" w:eastAsia="fr-FR"/>
              </w:rPr>
            </w:pPr>
          </w:p>
        </w:tc>
        <w:tc>
          <w:tcPr>
            <w:tcW w:w="2296"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 = 4)</w:t>
            </w:r>
          </w:p>
        </w:tc>
        <w:tc>
          <w:tcPr>
            <w:tcW w:w="211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 xml:space="preserve">(n = </w:t>
            </w:r>
            <w:proofErr w:type="gramStart"/>
            <w:r>
              <w:rPr>
                <w:rFonts w:ascii="Times New Roman" w:eastAsia="Times New Roman" w:hAnsi="Times New Roman" w:cs="Times New Roman"/>
                <w:color w:val="000000"/>
                <w:sz w:val="20"/>
                <w:szCs w:val="20"/>
                <w:lang w:val="en-GB" w:eastAsia="fr-FR"/>
              </w:rPr>
              <w:t>24)*</w:t>
            </w:r>
            <w:proofErr w:type="gramEnd"/>
          </w:p>
        </w:tc>
        <w:tc>
          <w:tcPr>
            <w:tcW w:w="222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 = 9)</w:t>
            </w:r>
          </w:p>
        </w:tc>
        <w:tc>
          <w:tcPr>
            <w:tcW w:w="222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(n=1)</w:t>
            </w:r>
          </w:p>
        </w:tc>
        <w:tc>
          <w:tcPr>
            <w:tcW w:w="2296" w:type="dxa"/>
            <w:tcBorders>
              <w:righ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(n=16)</w:t>
            </w:r>
          </w:p>
        </w:tc>
      </w:tr>
      <w:tr w:rsidR="007A23B1">
        <w:trPr>
          <w:trHeight w:val="66"/>
        </w:trPr>
        <w:tc>
          <w:tcPr>
            <w:tcW w:w="3686"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Symptom severity scale (auto/hetero)</w:t>
            </w:r>
          </w:p>
        </w:tc>
        <w:tc>
          <w:tcPr>
            <w:tcW w:w="2296"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1 (25%)</w:t>
            </w:r>
          </w:p>
        </w:tc>
        <w:tc>
          <w:tcPr>
            <w:tcW w:w="2118"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22 (92%)</w:t>
            </w:r>
          </w:p>
        </w:tc>
        <w:tc>
          <w:tcPr>
            <w:tcW w:w="2228" w:type="dxa"/>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6 (67%)</w:t>
            </w:r>
          </w:p>
        </w:tc>
        <w:tc>
          <w:tcPr>
            <w:tcW w:w="2228"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96" w:type="dxa"/>
            <w:tcBorders>
              <w:right w:val="single" w:sz="4" w:space="0" w:color="000000"/>
            </w:tcBorders>
            <w:shd w:val="clear" w:color="auto" w:fill="auto"/>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0</w:t>
            </w:r>
          </w:p>
        </w:tc>
      </w:tr>
      <w:tr w:rsidR="007A23B1">
        <w:trPr>
          <w:trHeight w:val="66"/>
        </w:trPr>
        <w:tc>
          <w:tcPr>
            <w:tcW w:w="3686"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Clinical global impression (CGI)</w:t>
            </w:r>
          </w:p>
        </w:tc>
        <w:tc>
          <w:tcPr>
            <w:tcW w:w="2296"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11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2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2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96" w:type="dxa"/>
            <w:tcBorders>
              <w:righ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0</w:t>
            </w:r>
          </w:p>
        </w:tc>
      </w:tr>
      <w:tr w:rsidR="007A23B1">
        <w:trPr>
          <w:trHeight w:val="66"/>
        </w:trPr>
        <w:tc>
          <w:tcPr>
            <w:tcW w:w="3686"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Global functioning</w:t>
            </w:r>
          </w:p>
        </w:tc>
        <w:tc>
          <w:tcPr>
            <w:tcW w:w="2296"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118"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28" w:type="dxa"/>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28"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96" w:type="dxa"/>
            <w:tcBorders>
              <w:right w:val="single" w:sz="4" w:space="0" w:color="000000"/>
            </w:tcBorders>
            <w:shd w:val="clear" w:color="auto" w:fill="auto"/>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0</w:t>
            </w:r>
          </w:p>
        </w:tc>
      </w:tr>
      <w:tr w:rsidR="007A23B1">
        <w:trPr>
          <w:trHeight w:val="66"/>
        </w:trPr>
        <w:tc>
          <w:tcPr>
            <w:tcW w:w="3686"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Quality of life</w:t>
            </w:r>
          </w:p>
        </w:tc>
        <w:tc>
          <w:tcPr>
            <w:tcW w:w="2296"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11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2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2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96" w:type="dxa"/>
            <w:tcBorders>
              <w:righ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0</w:t>
            </w:r>
          </w:p>
        </w:tc>
      </w:tr>
      <w:tr w:rsidR="007A23B1">
        <w:trPr>
          <w:trHeight w:val="66"/>
        </w:trPr>
        <w:tc>
          <w:tcPr>
            <w:tcW w:w="3686"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 xml:space="preserve">Relapse </w:t>
            </w:r>
          </w:p>
        </w:tc>
        <w:tc>
          <w:tcPr>
            <w:tcW w:w="2296"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1 (25%)</w:t>
            </w:r>
          </w:p>
        </w:tc>
        <w:tc>
          <w:tcPr>
            <w:tcW w:w="2118"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3 (12%)</w:t>
            </w:r>
          </w:p>
        </w:tc>
        <w:tc>
          <w:tcPr>
            <w:tcW w:w="2228" w:type="dxa"/>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3 (33%)</w:t>
            </w:r>
          </w:p>
        </w:tc>
        <w:tc>
          <w:tcPr>
            <w:tcW w:w="2228"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1 (100%)</w:t>
            </w:r>
          </w:p>
        </w:tc>
        <w:tc>
          <w:tcPr>
            <w:tcW w:w="2296" w:type="dxa"/>
            <w:tcBorders>
              <w:right w:val="single" w:sz="4" w:space="0" w:color="000000"/>
            </w:tcBorders>
            <w:shd w:val="clear" w:color="auto" w:fill="auto"/>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14 (87,5%)</w:t>
            </w:r>
          </w:p>
        </w:tc>
      </w:tr>
      <w:tr w:rsidR="007A23B1">
        <w:trPr>
          <w:trHeight w:val="66"/>
        </w:trPr>
        <w:tc>
          <w:tcPr>
            <w:tcW w:w="3686"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Response</w:t>
            </w:r>
          </w:p>
        </w:tc>
        <w:tc>
          <w:tcPr>
            <w:tcW w:w="2296"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1 (25%)</w:t>
            </w:r>
          </w:p>
        </w:tc>
        <w:tc>
          <w:tcPr>
            <w:tcW w:w="211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2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2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96" w:type="dxa"/>
            <w:tcBorders>
              <w:righ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0</w:t>
            </w:r>
          </w:p>
        </w:tc>
      </w:tr>
      <w:tr w:rsidR="007A23B1">
        <w:trPr>
          <w:trHeight w:val="66"/>
        </w:trPr>
        <w:tc>
          <w:tcPr>
            <w:tcW w:w="3686"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Remission</w:t>
            </w:r>
          </w:p>
        </w:tc>
        <w:tc>
          <w:tcPr>
            <w:tcW w:w="2296"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118"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28" w:type="dxa"/>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28"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96" w:type="dxa"/>
            <w:tcBorders>
              <w:right w:val="single" w:sz="4" w:space="0" w:color="000000"/>
            </w:tcBorders>
            <w:shd w:val="clear" w:color="auto" w:fill="auto"/>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0</w:t>
            </w:r>
          </w:p>
        </w:tc>
      </w:tr>
      <w:tr w:rsidR="007A23B1">
        <w:trPr>
          <w:trHeight w:val="66"/>
        </w:trPr>
        <w:tc>
          <w:tcPr>
            <w:tcW w:w="3686" w:type="dxa"/>
            <w:tcBorders>
              <w:left w:val="single" w:sz="4" w:space="0" w:color="000000"/>
              <w:bottom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Other</w:t>
            </w:r>
          </w:p>
        </w:tc>
        <w:tc>
          <w:tcPr>
            <w:tcW w:w="2296"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1 (25%)</w:t>
            </w:r>
          </w:p>
        </w:tc>
        <w:tc>
          <w:tcPr>
            <w:tcW w:w="2118"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1 (4%)</w:t>
            </w:r>
          </w:p>
        </w:tc>
        <w:tc>
          <w:tcPr>
            <w:tcW w:w="2228"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28"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296" w:type="dxa"/>
            <w:tcBorders>
              <w:bottom w:val="single" w:sz="4" w:space="0" w:color="000000"/>
              <w:righ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2 (12,5%)</w:t>
            </w:r>
          </w:p>
        </w:tc>
      </w:tr>
    </w:tbl>
    <w:p w:rsidR="007A23B1" w:rsidRDefault="00F74FC7">
      <w:pPr>
        <w:pStyle w:val="Sous-titre"/>
        <w:spacing w:after="0" w:line="360" w:lineRule="auto"/>
        <w:jc w:val="left"/>
        <w:rPr>
          <w:b/>
          <w:lang w:val="en-GB"/>
        </w:rPr>
      </w:pPr>
      <w:bookmarkStart w:id="1" w:name="_Toc493672776"/>
      <w:r>
        <w:rPr>
          <w:b/>
          <w:lang w:val="en-GB"/>
        </w:rPr>
        <w:t>e-Table 1a: Primary outcomes in evaluations with evidence of comparative effectiveness</w:t>
      </w:r>
      <w:bookmarkEnd w:id="1"/>
    </w:p>
    <w:p w:rsidR="007A23B1" w:rsidRDefault="00F74FC7">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n: number of evaluations for each kind of evidence</w:t>
      </w:r>
    </w:p>
    <w:p w:rsidR="007A23B1" w:rsidRDefault="00F74FC7">
      <w:pPr>
        <w:spacing w:after="0" w:line="360" w:lineRule="auto"/>
        <w:jc w:val="both"/>
        <w:rPr>
          <w:rFonts w:ascii="Times New Roman" w:hAnsi="Times New Roman"/>
          <w:sz w:val="20"/>
          <w:lang w:val="en-GB"/>
        </w:rPr>
      </w:pPr>
      <w:r>
        <w:rPr>
          <w:rFonts w:ascii="Times New Roman" w:hAnsi="Times New Roman" w:cs="Times New Roman"/>
          <w:sz w:val="20"/>
          <w:szCs w:val="20"/>
          <w:lang w:val="en-GB"/>
        </w:rPr>
        <w:t xml:space="preserve">* for 2 evaluations, 2 primary outcomes were used (a symptom severity scale and negative urine samples for </w:t>
      </w:r>
      <w:proofErr w:type="spellStart"/>
      <w:r>
        <w:rPr>
          <w:rFonts w:ascii="Times New Roman" w:hAnsi="Times New Roman" w:cs="Times New Roman"/>
          <w:sz w:val="20"/>
          <w:szCs w:val="20"/>
          <w:lang w:val="en-GB"/>
        </w:rPr>
        <w:t>bupernorphine</w:t>
      </w:r>
      <w:proofErr w:type="spellEnd"/>
      <w:r>
        <w:rPr>
          <w:rFonts w:ascii="Times New Roman" w:hAnsi="Times New Roman" w:cs="Times New Roman"/>
          <w:sz w:val="20"/>
          <w:szCs w:val="20"/>
          <w:lang w:val="en-GB"/>
        </w:rPr>
        <w:t>/naloxone; a symptom severity scale and relapse for long-acting IM olanzapine)</w:t>
      </w:r>
    </w:p>
    <w:p w:rsidR="007A23B1" w:rsidRDefault="007A23B1">
      <w:pPr>
        <w:spacing w:after="0" w:line="360" w:lineRule="auto"/>
        <w:rPr>
          <w:lang w:val="en-GB"/>
        </w:rPr>
      </w:pPr>
    </w:p>
    <w:p w:rsidR="007A23B1" w:rsidRDefault="007A23B1">
      <w:pPr>
        <w:spacing w:after="0" w:line="360" w:lineRule="auto"/>
        <w:rPr>
          <w:lang w:val="en-GB"/>
        </w:rPr>
      </w:pPr>
    </w:p>
    <w:p w:rsidR="007A23B1" w:rsidRDefault="007A23B1">
      <w:pPr>
        <w:spacing w:after="0" w:line="360" w:lineRule="auto"/>
        <w:rPr>
          <w:lang w:val="en-GB"/>
        </w:rPr>
      </w:pPr>
    </w:p>
    <w:p w:rsidR="007A23B1" w:rsidRDefault="007A23B1">
      <w:pPr>
        <w:spacing w:after="0" w:line="360" w:lineRule="auto"/>
        <w:rPr>
          <w:lang w:val="en-GB"/>
        </w:rPr>
      </w:pPr>
    </w:p>
    <w:p w:rsidR="007A23B1" w:rsidRDefault="007A23B1">
      <w:pPr>
        <w:spacing w:after="0" w:line="360" w:lineRule="auto"/>
        <w:rPr>
          <w:lang w:val="en-GB"/>
        </w:rPr>
      </w:pPr>
    </w:p>
    <w:p w:rsidR="007A23B1" w:rsidRDefault="007A23B1">
      <w:pPr>
        <w:spacing w:after="0" w:line="360" w:lineRule="auto"/>
        <w:rPr>
          <w:lang w:val="en-GB"/>
        </w:rPr>
      </w:pPr>
    </w:p>
    <w:p w:rsidR="007A23B1" w:rsidRDefault="007A23B1">
      <w:pPr>
        <w:spacing w:after="0" w:line="360" w:lineRule="auto"/>
        <w:rPr>
          <w:lang w:val="en-GB"/>
        </w:rPr>
      </w:pPr>
    </w:p>
    <w:p w:rsidR="007A23B1" w:rsidRDefault="007A23B1">
      <w:pPr>
        <w:spacing w:after="0" w:line="360" w:lineRule="auto"/>
        <w:rPr>
          <w:lang w:val="en-GB"/>
        </w:rPr>
      </w:pPr>
    </w:p>
    <w:tbl>
      <w:tblPr>
        <w:tblW w:w="14786" w:type="dxa"/>
        <w:tblLook w:val="04A0" w:firstRow="1" w:lastRow="0" w:firstColumn="1" w:lastColumn="0" w:noHBand="0" w:noVBand="1"/>
      </w:tblPr>
      <w:tblGrid>
        <w:gridCol w:w="3576"/>
        <w:gridCol w:w="1768"/>
        <w:gridCol w:w="2560"/>
        <w:gridCol w:w="2074"/>
        <w:gridCol w:w="2156"/>
        <w:gridCol w:w="2652"/>
      </w:tblGrid>
      <w:tr w:rsidR="007A23B1" w:rsidRPr="00B4241A">
        <w:trPr>
          <w:trHeight w:val="1050"/>
        </w:trPr>
        <w:tc>
          <w:tcPr>
            <w:tcW w:w="3575" w:type="dxa"/>
            <w:tcBorders>
              <w:top w:val="single" w:sz="4" w:space="0" w:color="000000"/>
              <w:left w:val="single" w:sz="4" w:space="0" w:color="000000"/>
              <w:bottom w:val="single" w:sz="8" w:space="0" w:color="5B9BD5"/>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lastRenderedPageBreak/>
              <w:t>All outcomes</w:t>
            </w:r>
          </w:p>
        </w:tc>
        <w:tc>
          <w:tcPr>
            <w:tcW w:w="1768" w:type="dxa"/>
            <w:tcBorders>
              <w:top w:val="single" w:sz="4" w:space="0" w:color="000000"/>
              <w:bottom w:val="single" w:sz="8" w:space="0" w:color="5B9BD5"/>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Evaluations with superiority studies with an active comparator arm</w:t>
            </w:r>
          </w:p>
        </w:tc>
        <w:tc>
          <w:tcPr>
            <w:tcW w:w="2560" w:type="dxa"/>
            <w:tcBorders>
              <w:top w:val="single" w:sz="4" w:space="0" w:color="000000"/>
              <w:bottom w:val="single" w:sz="8" w:space="0" w:color="5B9BD5"/>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Evaluations with superiority studies against placebo (initiation trials)</w:t>
            </w:r>
          </w:p>
        </w:tc>
        <w:tc>
          <w:tcPr>
            <w:tcW w:w="2074" w:type="dxa"/>
            <w:tcBorders>
              <w:top w:val="single" w:sz="4" w:space="0" w:color="000000"/>
              <w:bottom w:val="single" w:sz="8" w:space="0" w:color="5B9BD5"/>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 xml:space="preserve">Evaluations with non-inferiority studies against active comparator </w:t>
            </w:r>
          </w:p>
        </w:tc>
        <w:tc>
          <w:tcPr>
            <w:tcW w:w="2156" w:type="dxa"/>
            <w:tcBorders>
              <w:top w:val="single" w:sz="4" w:space="0" w:color="000000"/>
              <w:bottom w:val="single" w:sz="8" w:space="0" w:color="5B9BD5"/>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Evaluations with continuation studies against active comparator</w:t>
            </w:r>
          </w:p>
        </w:tc>
        <w:tc>
          <w:tcPr>
            <w:tcW w:w="2652" w:type="dxa"/>
            <w:tcBorders>
              <w:top w:val="single" w:sz="4" w:space="0" w:color="000000"/>
              <w:bottom w:val="single" w:sz="8" w:space="0" w:color="5B9BD5"/>
              <w:righ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Evaluations with continuation studies against placebo</w:t>
            </w:r>
          </w:p>
        </w:tc>
      </w:tr>
      <w:tr w:rsidR="007A23B1">
        <w:trPr>
          <w:trHeight w:val="300"/>
        </w:trPr>
        <w:tc>
          <w:tcPr>
            <w:tcW w:w="3575" w:type="dxa"/>
            <w:tcBorders>
              <w:left w:val="single" w:sz="4" w:space="0" w:color="000000"/>
            </w:tcBorders>
            <w:shd w:val="clear" w:color="auto" w:fill="D9D9D9" w:themeFill="background1" w:themeFillShade="D9"/>
          </w:tcPr>
          <w:p w:rsidR="007A23B1" w:rsidRDefault="007A23B1">
            <w:pPr>
              <w:suppressAutoHyphens w:val="0"/>
              <w:spacing w:after="0" w:line="360" w:lineRule="auto"/>
              <w:jc w:val="center"/>
              <w:rPr>
                <w:rFonts w:ascii="Times New Roman" w:eastAsia="Times New Roman" w:hAnsi="Times New Roman" w:cs="Times New Roman"/>
                <w:b/>
                <w:bCs/>
                <w:color w:val="000000"/>
                <w:sz w:val="20"/>
                <w:szCs w:val="20"/>
                <w:lang w:val="en-GB" w:eastAsia="fr-FR"/>
              </w:rPr>
            </w:pPr>
          </w:p>
        </w:tc>
        <w:tc>
          <w:tcPr>
            <w:tcW w:w="176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 = 16)</w:t>
            </w:r>
          </w:p>
        </w:tc>
        <w:tc>
          <w:tcPr>
            <w:tcW w:w="2560"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 = 24)</w:t>
            </w:r>
          </w:p>
        </w:tc>
        <w:tc>
          <w:tcPr>
            <w:tcW w:w="2074"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 = 9)</w:t>
            </w:r>
          </w:p>
        </w:tc>
        <w:tc>
          <w:tcPr>
            <w:tcW w:w="2156"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 = 3)</w:t>
            </w:r>
          </w:p>
        </w:tc>
        <w:tc>
          <w:tcPr>
            <w:tcW w:w="2652" w:type="dxa"/>
            <w:tcBorders>
              <w:righ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 = 16)</w:t>
            </w:r>
          </w:p>
        </w:tc>
      </w:tr>
      <w:tr w:rsidR="007A23B1">
        <w:trPr>
          <w:trHeight w:val="66"/>
        </w:trPr>
        <w:tc>
          <w:tcPr>
            <w:tcW w:w="3575"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Symptom severity scale (auto/hetero)</w:t>
            </w:r>
          </w:p>
        </w:tc>
        <w:tc>
          <w:tcPr>
            <w:tcW w:w="1768"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16 (100%)</w:t>
            </w:r>
          </w:p>
        </w:tc>
        <w:tc>
          <w:tcPr>
            <w:tcW w:w="2560"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24 (100%)</w:t>
            </w:r>
          </w:p>
        </w:tc>
        <w:tc>
          <w:tcPr>
            <w:tcW w:w="2074" w:type="dxa"/>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9 (100%)</w:t>
            </w:r>
          </w:p>
        </w:tc>
        <w:tc>
          <w:tcPr>
            <w:tcW w:w="2156"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2 (67%)</w:t>
            </w:r>
          </w:p>
        </w:tc>
        <w:tc>
          <w:tcPr>
            <w:tcW w:w="2652" w:type="dxa"/>
            <w:tcBorders>
              <w:right w:val="single" w:sz="4" w:space="0" w:color="000000"/>
            </w:tcBorders>
            <w:shd w:val="clear" w:color="auto" w:fill="auto"/>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11 (69%)</w:t>
            </w:r>
          </w:p>
        </w:tc>
      </w:tr>
      <w:tr w:rsidR="007A23B1">
        <w:trPr>
          <w:trHeight w:val="66"/>
        </w:trPr>
        <w:tc>
          <w:tcPr>
            <w:tcW w:w="3575"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Clinical global impressions (CGIs)</w:t>
            </w:r>
          </w:p>
        </w:tc>
        <w:tc>
          <w:tcPr>
            <w:tcW w:w="176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13 (81%)</w:t>
            </w:r>
          </w:p>
        </w:tc>
        <w:tc>
          <w:tcPr>
            <w:tcW w:w="2560"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21 (87%)</w:t>
            </w:r>
          </w:p>
        </w:tc>
        <w:tc>
          <w:tcPr>
            <w:tcW w:w="2074"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7 (78%)</w:t>
            </w:r>
          </w:p>
        </w:tc>
        <w:tc>
          <w:tcPr>
            <w:tcW w:w="2156"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2 (67%)</w:t>
            </w:r>
          </w:p>
        </w:tc>
        <w:tc>
          <w:tcPr>
            <w:tcW w:w="2652" w:type="dxa"/>
            <w:tcBorders>
              <w:righ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10 (62,5%)</w:t>
            </w:r>
          </w:p>
        </w:tc>
      </w:tr>
      <w:tr w:rsidR="007A23B1">
        <w:trPr>
          <w:trHeight w:val="66"/>
        </w:trPr>
        <w:tc>
          <w:tcPr>
            <w:tcW w:w="3575"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Global functioning</w:t>
            </w:r>
          </w:p>
        </w:tc>
        <w:tc>
          <w:tcPr>
            <w:tcW w:w="1768"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3 (19%)</w:t>
            </w:r>
          </w:p>
        </w:tc>
        <w:tc>
          <w:tcPr>
            <w:tcW w:w="2560"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7 (29%)</w:t>
            </w:r>
          </w:p>
        </w:tc>
        <w:tc>
          <w:tcPr>
            <w:tcW w:w="2074" w:type="dxa"/>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6 (67%)</w:t>
            </w:r>
          </w:p>
        </w:tc>
        <w:tc>
          <w:tcPr>
            <w:tcW w:w="2156"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652" w:type="dxa"/>
            <w:tcBorders>
              <w:right w:val="single" w:sz="4" w:space="0" w:color="000000"/>
            </w:tcBorders>
            <w:shd w:val="clear" w:color="auto" w:fill="auto"/>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6 (37,5%)</w:t>
            </w:r>
          </w:p>
        </w:tc>
      </w:tr>
      <w:tr w:rsidR="007A23B1">
        <w:trPr>
          <w:trHeight w:val="66"/>
        </w:trPr>
        <w:tc>
          <w:tcPr>
            <w:tcW w:w="3575"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Quality of life</w:t>
            </w:r>
          </w:p>
        </w:tc>
        <w:tc>
          <w:tcPr>
            <w:tcW w:w="176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4 (25%)</w:t>
            </w:r>
          </w:p>
        </w:tc>
        <w:tc>
          <w:tcPr>
            <w:tcW w:w="2560"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7 (29%)</w:t>
            </w:r>
          </w:p>
        </w:tc>
        <w:tc>
          <w:tcPr>
            <w:tcW w:w="2074"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4 (44%)</w:t>
            </w:r>
          </w:p>
        </w:tc>
        <w:tc>
          <w:tcPr>
            <w:tcW w:w="2156"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652" w:type="dxa"/>
            <w:tcBorders>
              <w:righ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2 (12,5%)</w:t>
            </w:r>
          </w:p>
        </w:tc>
      </w:tr>
      <w:tr w:rsidR="007A23B1">
        <w:trPr>
          <w:trHeight w:val="66"/>
        </w:trPr>
        <w:tc>
          <w:tcPr>
            <w:tcW w:w="3575"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 xml:space="preserve">Relapse </w:t>
            </w:r>
          </w:p>
        </w:tc>
        <w:tc>
          <w:tcPr>
            <w:tcW w:w="1768"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3 (19%)</w:t>
            </w:r>
          </w:p>
        </w:tc>
        <w:tc>
          <w:tcPr>
            <w:tcW w:w="2560"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5 (21%)</w:t>
            </w:r>
          </w:p>
        </w:tc>
        <w:tc>
          <w:tcPr>
            <w:tcW w:w="2074" w:type="dxa"/>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3 (33%)</w:t>
            </w:r>
          </w:p>
        </w:tc>
        <w:tc>
          <w:tcPr>
            <w:tcW w:w="2156"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3 (100%)</w:t>
            </w:r>
          </w:p>
        </w:tc>
        <w:tc>
          <w:tcPr>
            <w:tcW w:w="2652" w:type="dxa"/>
            <w:tcBorders>
              <w:right w:val="single" w:sz="4" w:space="0" w:color="000000"/>
            </w:tcBorders>
            <w:shd w:val="clear" w:color="auto" w:fill="auto"/>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14 (87,5%)</w:t>
            </w:r>
          </w:p>
        </w:tc>
      </w:tr>
      <w:tr w:rsidR="007A23B1">
        <w:trPr>
          <w:trHeight w:val="66"/>
        </w:trPr>
        <w:tc>
          <w:tcPr>
            <w:tcW w:w="3575"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Response</w:t>
            </w:r>
          </w:p>
        </w:tc>
        <w:tc>
          <w:tcPr>
            <w:tcW w:w="1768"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11 (69%)</w:t>
            </w:r>
          </w:p>
        </w:tc>
        <w:tc>
          <w:tcPr>
            <w:tcW w:w="2560"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21 (87%)</w:t>
            </w:r>
          </w:p>
        </w:tc>
        <w:tc>
          <w:tcPr>
            <w:tcW w:w="2074"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7 (78%)</w:t>
            </w:r>
          </w:p>
        </w:tc>
        <w:tc>
          <w:tcPr>
            <w:tcW w:w="2156" w:type="dxa"/>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1 (33%)</w:t>
            </w:r>
          </w:p>
        </w:tc>
        <w:tc>
          <w:tcPr>
            <w:tcW w:w="2652" w:type="dxa"/>
            <w:tcBorders>
              <w:righ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4 (25%)</w:t>
            </w:r>
          </w:p>
        </w:tc>
      </w:tr>
      <w:tr w:rsidR="007A23B1">
        <w:trPr>
          <w:trHeight w:val="66"/>
        </w:trPr>
        <w:tc>
          <w:tcPr>
            <w:tcW w:w="3575"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Remission</w:t>
            </w:r>
          </w:p>
        </w:tc>
        <w:tc>
          <w:tcPr>
            <w:tcW w:w="1768"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6 (37%)</w:t>
            </w:r>
          </w:p>
        </w:tc>
        <w:tc>
          <w:tcPr>
            <w:tcW w:w="2560"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8 (33%)</w:t>
            </w:r>
          </w:p>
        </w:tc>
        <w:tc>
          <w:tcPr>
            <w:tcW w:w="2074" w:type="dxa"/>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4 (44%)</w:t>
            </w:r>
          </w:p>
        </w:tc>
        <w:tc>
          <w:tcPr>
            <w:tcW w:w="2156"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0</w:t>
            </w:r>
          </w:p>
        </w:tc>
        <w:tc>
          <w:tcPr>
            <w:tcW w:w="2652" w:type="dxa"/>
            <w:tcBorders>
              <w:right w:val="single" w:sz="4" w:space="0" w:color="000000"/>
            </w:tcBorders>
            <w:shd w:val="clear" w:color="auto" w:fill="auto"/>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4 (25%)</w:t>
            </w:r>
          </w:p>
        </w:tc>
      </w:tr>
      <w:tr w:rsidR="007A23B1">
        <w:trPr>
          <w:trHeight w:val="66"/>
        </w:trPr>
        <w:tc>
          <w:tcPr>
            <w:tcW w:w="3575" w:type="dxa"/>
            <w:tcBorders>
              <w:left w:val="single" w:sz="4" w:space="0" w:color="000000"/>
              <w:bottom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Other</w:t>
            </w:r>
          </w:p>
        </w:tc>
        <w:tc>
          <w:tcPr>
            <w:tcW w:w="1768"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8 (50%)</w:t>
            </w:r>
          </w:p>
        </w:tc>
        <w:tc>
          <w:tcPr>
            <w:tcW w:w="2560"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15(62%)</w:t>
            </w:r>
          </w:p>
        </w:tc>
        <w:tc>
          <w:tcPr>
            <w:tcW w:w="2074"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1 (11%)</w:t>
            </w:r>
          </w:p>
        </w:tc>
        <w:tc>
          <w:tcPr>
            <w:tcW w:w="2156"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2 (67%)</w:t>
            </w:r>
          </w:p>
        </w:tc>
        <w:tc>
          <w:tcPr>
            <w:tcW w:w="2652" w:type="dxa"/>
            <w:tcBorders>
              <w:bottom w:val="single" w:sz="4" w:space="0" w:color="000000"/>
              <w:righ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7 (44%)</w:t>
            </w:r>
          </w:p>
        </w:tc>
      </w:tr>
    </w:tbl>
    <w:p w:rsidR="007A23B1" w:rsidRDefault="00F74FC7">
      <w:pPr>
        <w:pStyle w:val="Sous-titre"/>
        <w:spacing w:after="0" w:line="360" w:lineRule="auto"/>
        <w:jc w:val="left"/>
        <w:rPr>
          <w:b/>
          <w:lang w:val="en-GB"/>
        </w:rPr>
      </w:pPr>
      <w:bookmarkStart w:id="2" w:name="_Toc493672777"/>
      <w:r>
        <w:rPr>
          <w:b/>
          <w:lang w:val="en-GB"/>
        </w:rPr>
        <w:t>e-Table 1b: All outcomes in all evaluations</w:t>
      </w:r>
      <w:bookmarkEnd w:id="2"/>
    </w:p>
    <w:p w:rsidR="007A23B1" w:rsidRDefault="00F74FC7">
      <w:pPr>
        <w:spacing w:after="0" w:line="360" w:lineRule="auto"/>
        <w:jc w:val="both"/>
        <w:rPr>
          <w:rFonts w:ascii="Times New Roman" w:hAnsi="Times New Roman"/>
          <w:sz w:val="24"/>
          <w:lang w:val="en-GB"/>
        </w:rPr>
      </w:pPr>
      <w:r>
        <w:rPr>
          <w:rFonts w:ascii="Times New Roman" w:hAnsi="Times New Roman" w:cs="Times New Roman"/>
          <w:sz w:val="20"/>
          <w:szCs w:val="20"/>
          <w:lang w:val="en-GB"/>
        </w:rPr>
        <w:t>n: number of evaluations for each kind of study</w:t>
      </w:r>
    </w:p>
    <w:p w:rsidR="007A23B1" w:rsidRDefault="007A23B1">
      <w:pPr>
        <w:spacing w:after="0" w:line="360" w:lineRule="auto"/>
        <w:rPr>
          <w:lang w:val="en-GB"/>
        </w:rPr>
      </w:pPr>
    </w:p>
    <w:p w:rsidR="007A23B1" w:rsidRDefault="007A23B1">
      <w:pPr>
        <w:spacing w:after="0" w:line="360" w:lineRule="auto"/>
        <w:rPr>
          <w:lang w:val="en-GB"/>
        </w:rPr>
      </w:pPr>
    </w:p>
    <w:p w:rsidR="007A23B1" w:rsidRDefault="007A23B1">
      <w:pPr>
        <w:spacing w:after="0" w:line="360" w:lineRule="auto"/>
        <w:rPr>
          <w:lang w:val="en-GB"/>
        </w:rPr>
      </w:pPr>
    </w:p>
    <w:p w:rsidR="007A23B1" w:rsidRDefault="007A23B1">
      <w:pPr>
        <w:spacing w:after="0" w:line="360" w:lineRule="auto"/>
        <w:rPr>
          <w:lang w:val="en-GB"/>
        </w:rPr>
      </w:pPr>
    </w:p>
    <w:p w:rsidR="007A23B1" w:rsidRDefault="007A23B1">
      <w:pPr>
        <w:spacing w:after="0" w:line="360" w:lineRule="auto"/>
        <w:rPr>
          <w:lang w:val="en-GB"/>
        </w:rPr>
      </w:pPr>
    </w:p>
    <w:p w:rsidR="007A23B1" w:rsidRDefault="007A23B1">
      <w:pPr>
        <w:spacing w:after="0" w:line="360" w:lineRule="auto"/>
        <w:rPr>
          <w:lang w:val="en-GB"/>
        </w:rPr>
      </w:pPr>
    </w:p>
    <w:p w:rsidR="007A23B1" w:rsidRDefault="007A23B1">
      <w:pPr>
        <w:spacing w:after="0" w:line="360" w:lineRule="auto"/>
        <w:rPr>
          <w:lang w:val="en-GB"/>
        </w:rPr>
      </w:pPr>
    </w:p>
    <w:p w:rsidR="007A23B1" w:rsidRDefault="007A23B1">
      <w:pPr>
        <w:spacing w:after="0" w:line="360" w:lineRule="auto"/>
        <w:rPr>
          <w:lang w:val="en-GB"/>
        </w:rPr>
      </w:pPr>
    </w:p>
    <w:p w:rsidR="007A23B1" w:rsidRDefault="007A23B1">
      <w:pPr>
        <w:spacing w:after="0" w:line="360" w:lineRule="auto"/>
        <w:rPr>
          <w:lang w:val="en-GB"/>
        </w:rPr>
      </w:pPr>
    </w:p>
    <w:tbl>
      <w:tblPr>
        <w:tblW w:w="15070" w:type="dxa"/>
        <w:tblLook w:val="04A0" w:firstRow="1" w:lastRow="0" w:firstColumn="1" w:lastColumn="0" w:noHBand="0" w:noVBand="1"/>
      </w:tblPr>
      <w:tblGrid>
        <w:gridCol w:w="3742"/>
        <w:gridCol w:w="1656"/>
        <w:gridCol w:w="1537"/>
        <w:gridCol w:w="1295"/>
        <w:gridCol w:w="946"/>
        <w:gridCol w:w="883"/>
        <w:gridCol w:w="1017"/>
        <w:gridCol w:w="1096"/>
        <w:gridCol w:w="2898"/>
      </w:tblGrid>
      <w:tr w:rsidR="007A23B1">
        <w:trPr>
          <w:trHeight w:val="116"/>
        </w:trPr>
        <w:tc>
          <w:tcPr>
            <w:tcW w:w="3741" w:type="dxa"/>
            <w:tcBorders>
              <w:top w:val="single" w:sz="4" w:space="0" w:color="000000"/>
              <w:lef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Drugs (route</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indication based on subgroup analyses</w:t>
            </w:r>
          </w:p>
        </w:tc>
        <w:tc>
          <w:tcPr>
            <w:tcW w:w="1655" w:type="dxa"/>
            <w:tcBorders>
              <w:top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Symptom severity scale (auto/hetero)</w:t>
            </w:r>
          </w:p>
        </w:tc>
        <w:tc>
          <w:tcPr>
            <w:tcW w:w="1537" w:type="dxa"/>
            <w:tcBorders>
              <w:top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Clinical global impressions (CGIs)</w:t>
            </w:r>
          </w:p>
        </w:tc>
        <w:tc>
          <w:tcPr>
            <w:tcW w:w="1295" w:type="dxa"/>
            <w:tcBorders>
              <w:top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Global functioning</w:t>
            </w:r>
          </w:p>
        </w:tc>
        <w:tc>
          <w:tcPr>
            <w:tcW w:w="946" w:type="dxa"/>
            <w:tcBorders>
              <w:top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Quality of life</w:t>
            </w:r>
          </w:p>
        </w:tc>
        <w:tc>
          <w:tcPr>
            <w:tcW w:w="883" w:type="dxa"/>
            <w:tcBorders>
              <w:top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Relapse</w:t>
            </w:r>
          </w:p>
        </w:tc>
        <w:tc>
          <w:tcPr>
            <w:tcW w:w="1017" w:type="dxa"/>
            <w:tcBorders>
              <w:top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Response</w:t>
            </w:r>
          </w:p>
        </w:tc>
        <w:tc>
          <w:tcPr>
            <w:tcW w:w="1096" w:type="dxa"/>
            <w:tcBorders>
              <w:top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Remission</w:t>
            </w:r>
          </w:p>
        </w:tc>
        <w:tc>
          <w:tcPr>
            <w:tcW w:w="2898" w:type="dxa"/>
            <w:tcBorders>
              <w:top w:val="single" w:sz="4" w:space="0" w:color="000000"/>
              <w:righ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Other</w:t>
            </w:r>
          </w:p>
        </w:tc>
      </w:tr>
      <w:tr w:rsidR="007A23B1" w:rsidRPr="00B4241A">
        <w:trPr>
          <w:trHeight w:val="1050"/>
        </w:trPr>
        <w:tc>
          <w:tcPr>
            <w:tcW w:w="3741"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proofErr w:type="spellStart"/>
            <w:r>
              <w:rPr>
                <w:rFonts w:ascii="Times New Roman" w:eastAsia="Times New Roman" w:hAnsi="Times New Roman" w:cs="Times New Roman"/>
                <w:b/>
                <w:bCs/>
                <w:color w:val="000000"/>
                <w:sz w:val="20"/>
                <w:szCs w:val="20"/>
                <w:lang w:val="en-GB" w:eastAsia="fr-FR"/>
              </w:rPr>
              <w:t>Nalmefene</w:t>
            </w:r>
            <w:proofErr w:type="spellEnd"/>
            <w:r>
              <w:rPr>
                <w:rFonts w:ascii="Times New Roman" w:eastAsia="Times New Roman" w:hAnsi="Times New Roman" w:cs="Times New Roman"/>
                <w:b/>
                <w:bCs/>
                <w:color w:val="000000"/>
                <w:sz w:val="20"/>
                <w:szCs w:val="20"/>
                <w:lang w:val="en-GB" w:eastAsia="fr-FR"/>
              </w:rPr>
              <w:t xml:space="preserve"> (O): reduction of alcohol consumption in adult patients with alcohol dependence who have a high drinking risk l, (…) who continue to have a high drinking risk two weeks</w:t>
            </w:r>
            <w:r>
              <w:rPr>
                <w:rFonts w:ascii="Times New Roman" w:eastAsia="Times New Roman" w:hAnsi="Times New Roman" w:cs="Times New Roman"/>
                <w:b/>
                <w:bCs/>
                <w:color w:val="000000"/>
                <w:sz w:val="20"/>
                <w:szCs w:val="20"/>
                <w:lang w:val="en-GB" w:eastAsia="fr-FR"/>
              </w:rPr>
              <w:br/>
              <w:t>after initial assessment</w:t>
            </w:r>
          </w:p>
        </w:tc>
        <w:tc>
          <w:tcPr>
            <w:tcW w:w="1655"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YES</w:t>
            </w:r>
          </w:p>
        </w:tc>
        <w:tc>
          <w:tcPr>
            <w:tcW w:w="1537"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YES</w:t>
            </w:r>
          </w:p>
        </w:tc>
        <w:tc>
          <w:tcPr>
            <w:tcW w:w="1295"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YES</w:t>
            </w:r>
          </w:p>
        </w:tc>
        <w:tc>
          <w:tcPr>
            <w:tcW w:w="946"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883"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1017" w:type="dxa"/>
            <w:shd w:val="clear" w:color="auto" w:fill="auto"/>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YES</w:t>
            </w:r>
          </w:p>
        </w:tc>
        <w:tc>
          <w:tcPr>
            <w:tcW w:w="1096" w:type="dxa"/>
            <w:shd w:val="clear" w:color="auto" w:fill="auto"/>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2898" w:type="dxa"/>
            <w:tcBorders>
              <w:right w:val="single" w:sz="4" w:space="0" w:color="000000"/>
            </w:tcBorders>
            <w:shd w:val="clear" w:color="auto" w:fill="auto"/>
          </w:tcPr>
          <w:p w:rsidR="007A23B1" w:rsidRDefault="00F74FC7">
            <w:pPr>
              <w:suppressAutoHyphens w:val="0"/>
              <w:spacing w:after="0" w:line="360" w:lineRule="auto"/>
              <w:jc w:val="center"/>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 xml:space="preserve">alcohol </w:t>
            </w:r>
            <w:proofErr w:type="spellStart"/>
            <w:r>
              <w:rPr>
                <w:rFonts w:ascii="Times New Roman" w:eastAsia="Times New Roman" w:hAnsi="Times New Roman" w:cs="Times New Roman"/>
                <w:color w:val="000000"/>
                <w:sz w:val="20"/>
                <w:szCs w:val="20"/>
                <w:lang w:val="en-GB" w:eastAsia="fr-FR"/>
              </w:rPr>
              <w:t>dependance</w:t>
            </w:r>
            <w:proofErr w:type="spellEnd"/>
            <w:r>
              <w:rPr>
                <w:rFonts w:ascii="Times New Roman" w:eastAsia="Times New Roman" w:hAnsi="Times New Roman" w:cs="Times New Roman"/>
                <w:color w:val="000000"/>
                <w:sz w:val="20"/>
                <w:szCs w:val="20"/>
                <w:lang w:val="en-GB" w:eastAsia="fr-FR"/>
              </w:rPr>
              <w:t xml:space="preserve"> and abuse measures; biological laboratory test (</w:t>
            </w:r>
            <w:proofErr w:type="spellStart"/>
            <w:r>
              <w:rPr>
                <w:rFonts w:ascii="Times New Roman" w:eastAsia="Times New Roman" w:hAnsi="Times New Roman" w:cs="Times New Roman"/>
                <w:color w:val="000000"/>
                <w:sz w:val="20"/>
                <w:szCs w:val="20"/>
                <w:lang w:val="en-GB" w:eastAsia="fr-FR"/>
              </w:rPr>
              <w:t>e.g</w:t>
            </w:r>
            <w:proofErr w:type="spellEnd"/>
            <w:r>
              <w:rPr>
                <w:rFonts w:ascii="Times New Roman" w:eastAsia="Times New Roman" w:hAnsi="Times New Roman" w:cs="Times New Roman"/>
                <w:color w:val="000000"/>
                <w:sz w:val="20"/>
                <w:szCs w:val="20"/>
                <w:lang w:val="en-GB" w:eastAsia="fr-FR"/>
              </w:rPr>
              <w:t xml:space="preserve"> liver function</w:t>
            </w:r>
            <w:proofErr w:type="gramStart"/>
            <w:r>
              <w:rPr>
                <w:rFonts w:ascii="Times New Roman" w:eastAsia="Times New Roman" w:hAnsi="Times New Roman" w:cs="Times New Roman"/>
                <w:color w:val="000000"/>
                <w:sz w:val="20"/>
                <w:szCs w:val="20"/>
                <w:lang w:val="en-GB" w:eastAsia="fr-FR"/>
              </w:rPr>
              <w:t>);  proportion</w:t>
            </w:r>
            <w:proofErr w:type="gramEnd"/>
            <w:r>
              <w:rPr>
                <w:rFonts w:ascii="Times New Roman" w:eastAsia="Times New Roman" w:hAnsi="Times New Roman" w:cs="Times New Roman"/>
                <w:color w:val="000000"/>
                <w:sz w:val="20"/>
                <w:szCs w:val="20"/>
                <w:lang w:val="en-GB" w:eastAsia="fr-FR"/>
              </w:rPr>
              <w:t xml:space="preserve"> of days where the treatment is taken</w:t>
            </w:r>
          </w:p>
        </w:tc>
      </w:tr>
      <w:tr w:rsidR="007A23B1">
        <w:trPr>
          <w:trHeight w:val="231"/>
        </w:trPr>
        <w:tc>
          <w:tcPr>
            <w:tcW w:w="3741" w:type="dxa"/>
            <w:tcBorders>
              <w:left w:val="single" w:sz="4" w:space="0" w:color="000000"/>
              <w:bottom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Paliperidone (O): depressive symptom domain of schizoaffective disorder</w:t>
            </w:r>
          </w:p>
        </w:tc>
        <w:tc>
          <w:tcPr>
            <w:tcW w:w="1655"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YES</w:t>
            </w:r>
          </w:p>
        </w:tc>
        <w:tc>
          <w:tcPr>
            <w:tcW w:w="1537"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YES</w:t>
            </w:r>
          </w:p>
        </w:tc>
        <w:tc>
          <w:tcPr>
            <w:tcW w:w="1295"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YES</w:t>
            </w:r>
          </w:p>
        </w:tc>
        <w:tc>
          <w:tcPr>
            <w:tcW w:w="946"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883"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YES</w:t>
            </w:r>
          </w:p>
        </w:tc>
        <w:tc>
          <w:tcPr>
            <w:tcW w:w="1017"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1096" w:type="dxa"/>
            <w:tcBorders>
              <w:bottom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898" w:type="dxa"/>
            <w:tcBorders>
              <w:bottom w:val="single" w:sz="4" w:space="0" w:color="000000"/>
              <w:right w:val="single" w:sz="4" w:space="0" w:color="000000"/>
            </w:tcBorders>
            <w:shd w:val="clear" w:color="auto" w:fill="D9D9D9" w:themeFill="background1" w:themeFillShade="D9"/>
          </w:tcPr>
          <w:p w:rsidR="007A23B1" w:rsidRDefault="00F74FC7">
            <w:pPr>
              <w:suppressAutoHyphens w:val="0"/>
              <w:spacing w:after="0" w:line="360" w:lineRule="auto"/>
              <w:jc w:val="center"/>
              <w:rPr>
                <w:rFonts w:ascii="Times New Roman" w:hAnsi="Times New Roman"/>
                <w:color w:val="000000"/>
                <w:sz w:val="20"/>
              </w:rPr>
            </w:pPr>
            <w:proofErr w:type="spellStart"/>
            <w:proofErr w:type="gramStart"/>
            <w:r>
              <w:rPr>
                <w:rFonts w:ascii="Times New Roman" w:eastAsia="Times New Roman" w:hAnsi="Times New Roman" w:cs="Times New Roman"/>
                <w:color w:val="000000"/>
                <w:sz w:val="20"/>
                <w:szCs w:val="20"/>
                <w:lang w:eastAsia="fr-FR"/>
              </w:rPr>
              <w:t>medication</w:t>
            </w:r>
            <w:proofErr w:type="spellEnd"/>
            <w:proofErr w:type="gramEnd"/>
            <w:r>
              <w:rPr>
                <w:rFonts w:ascii="Times New Roman" w:eastAsia="Times New Roman" w:hAnsi="Times New Roman" w:cs="Times New Roman"/>
                <w:color w:val="000000"/>
                <w:sz w:val="20"/>
                <w:szCs w:val="20"/>
                <w:lang w:eastAsia="fr-FR"/>
              </w:rPr>
              <w:t xml:space="preserve"> satisfaction questionnaire; </w:t>
            </w:r>
            <w:proofErr w:type="spellStart"/>
            <w:r>
              <w:rPr>
                <w:rFonts w:ascii="Times New Roman" w:eastAsia="Times New Roman" w:hAnsi="Times New Roman" w:cs="Times New Roman"/>
                <w:color w:val="000000"/>
                <w:sz w:val="20"/>
                <w:szCs w:val="20"/>
                <w:lang w:eastAsia="fr-FR"/>
              </w:rPr>
              <w:t>resource</w:t>
            </w:r>
            <w:proofErr w:type="spellEnd"/>
            <w:r>
              <w:rPr>
                <w:rFonts w:ascii="Times New Roman" w:eastAsia="Times New Roman" w:hAnsi="Times New Roman" w:cs="Times New Roman"/>
                <w:color w:val="000000"/>
                <w:sz w:val="20"/>
                <w:szCs w:val="20"/>
                <w:lang w:eastAsia="fr-FR"/>
              </w:rPr>
              <w:t xml:space="preserve"> </w:t>
            </w:r>
            <w:proofErr w:type="spellStart"/>
            <w:r>
              <w:rPr>
                <w:rFonts w:ascii="Times New Roman" w:eastAsia="Times New Roman" w:hAnsi="Times New Roman" w:cs="Times New Roman"/>
                <w:color w:val="000000"/>
                <w:sz w:val="20"/>
                <w:szCs w:val="20"/>
                <w:lang w:eastAsia="fr-FR"/>
              </w:rPr>
              <w:t>utilization</w:t>
            </w:r>
            <w:proofErr w:type="spellEnd"/>
            <w:r>
              <w:rPr>
                <w:rFonts w:ascii="Times New Roman" w:eastAsia="Times New Roman" w:hAnsi="Times New Roman" w:cs="Times New Roman"/>
                <w:color w:val="000000"/>
                <w:sz w:val="20"/>
                <w:szCs w:val="20"/>
                <w:lang w:eastAsia="fr-FR"/>
              </w:rPr>
              <w:t xml:space="preserve"> questionnaire</w:t>
            </w:r>
          </w:p>
        </w:tc>
      </w:tr>
    </w:tbl>
    <w:p w:rsidR="007A23B1" w:rsidRDefault="00F74FC7">
      <w:pPr>
        <w:pStyle w:val="Sous-titre"/>
        <w:spacing w:after="0" w:line="360" w:lineRule="auto"/>
        <w:jc w:val="left"/>
        <w:rPr>
          <w:b/>
          <w:lang w:val="en-GB"/>
        </w:rPr>
        <w:sectPr w:rsidR="007A23B1">
          <w:pgSz w:w="16838" w:h="11906" w:orient="landscape"/>
          <w:pgMar w:top="1418" w:right="851" w:bottom="1418" w:left="1134" w:header="0" w:footer="0" w:gutter="0"/>
          <w:cols w:space="720"/>
          <w:formProt w:val="0"/>
          <w:titlePg/>
          <w:docGrid w:linePitch="360"/>
        </w:sectPr>
      </w:pPr>
      <w:bookmarkStart w:id="3" w:name="_Toc493672778"/>
      <w:r>
        <w:rPr>
          <w:b/>
          <w:lang w:val="en-GB"/>
        </w:rPr>
        <w:t xml:space="preserve">e-Table 2: Details of outcomes for approvals based on a posteriori subgroup </w:t>
      </w:r>
      <w:proofErr w:type="gramStart"/>
      <w:r>
        <w:rPr>
          <w:b/>
          <w:lang w:val="en-GB"/>
        </w:rPr>
        <w:t>analyses</w:t>
      </w:r>
      <w:bookmarkEnd w:id="3"/>
      <w:proofErr w:type="gramEnd"/>
    </w:p>
    <w:tbl>
      <w:tblPr>
        <w:tblW w:w="14570" w:type="dxa"/>
        <w:jc w:val="center"/>
        <w:tblLook w:val="04A0" w:firstRow="1" w:lastRow="0" w:firstColumn="1" w:lastColumn="0" w:noHBand="0" w:noVBand="1"/>
      </w:tblPr>
      <w:tblGrid>
        <w:gridCol w:w="2666"/>
        <w:gridCol w:w="9153"/>
        <w:gridCol w:w="2751"/>
      </w:tblGrid>
      <w:tr w:rsidR="007A23B1">
        <w:trPr>
          <w:trHeight w:val="301"/>
          <w:jc w:val="center"/>
        </w:trPr>
        <w:tc>
          <w:tcPr>
            <w:tcW w:w="2666" w:type="dxa"/>
            <w:tcBorders>
              <w:top w:val="single" w:sz="4" w:space="0" w:color="000000"/>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lastRenderedPageBreak/>
              <w:t>Evaluation</w:t>
            </w:r>
          </w:p>
        </w:tc>
        <w:tc>
          <w:tcPr>
            <w:tcW w:w="9153" w:type="dxa"/>
            <w:tcBorders>
              <w:top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Details (citations)</w:t>
            </w:r>
          </w:p>
        </w:tc>
        <w:tc>
          <w:tcPr>
            <w:tcW w:w="2751" w:type="dxa"/>
            <w:tcBorders>
              <w:top w:val="single" w:sz="4" w:space="0" w:color="000000"/>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EPAR</w:t>
            </w:r>
          </w:p>
        </w:tc>
      </w:tr>
      <w:tr w:rsidR="007A23B1">
        <w:trPr>
          <w:trHeight w:val="66"/>
          <w:jc w:val="center"/>
        </w:trPr>
        <w:tc>
          <w:tcPr>
            <w:tcW w:w="2666" w:type="dxa"/>
            <w:tcBorders>
              <w:left w:val="single" w:sz="4" w:space="0" w:color="000000"/>
            </w:tcBorders>
            <w:shd w:val="clear" w:color="auto" w:fill="auto"/>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Aripiprazole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schizophrenia</w:t>
            </w:r>
          </w:p>
        </w:tc>
        <w:tc>
          <w:tcPr>
            <w:tcW w:w="9153"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The only trial that fulfils the recommended duration of follow-up has a quite high rate of dropout at 66%.</w:t>
            </w:r>
          </w:p>
        </w:tc>
        <w:tc>
          <w:tcPr>
            <w:tcW w:w="2751" w:type="dxa"/>
            <w:tcBorders>
              <w:right w:val="single" w:sz="4" w:space="0" w:color="000000"/>
            </w:tcBorders>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w:t>
            </w:r>
          </w:p>
        </w:tc>
      </w:tr>
      <w:tr w:rsidR="007A23B1">
        <w:trPr>
          <w:trHeight w:val="551"/>
          <w:jc w:val="center"/>
        </w:trPr>
        <w:tc>
          <w:tcPr>
            <w:tcW w:w="2666"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Aripiprazole (IM</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schizophrenia</w:t>
            </w:r>
          </w:p>
        </w:tc>
        <w:tc>
          <w:tcPr>
            <w:tcW w:w="9153"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 xml:space="preserve">The mean age (considered slightly higher than expected) and the long duration of oral stabilisation </w:t>
            </w:r>
            <w:proofErr w:type="gramStart"/>
            <w:r>
              <w:rPr>
                <w:rFonts w:ascii="Times New Roman" w:eastAsia="Times New Roman" w:hAnsi="Times New Roman" w:cs="Times New Roman"/>
                <w:color w:val="000000"/>
                <w:sz w:val="20"/>
                <w:szCs w:val="20"/>
                <w:lang w:val="en-GB" w:eastAsia="fr-FR"/>
              </w:rPr>
              <w:t>( at</w:t>
            </w:r>
            <w:proofErr w:type="gramEnd"/>
            <w:r>
              <w:rPr>
                <w:rFonts w:ascii="Times New Roman" w:eastAsia="Times New Roman" w:hAnsi="Times New Roman" w:cs="Times New Roman"/>
                <w:color w:val="000000"/>
                <w:sz w:val="20"/>
                <w:szCs w:val="20"/>
                <w:lang w:val="en-GB" w:eastAsia="fr-FR"/>
              </w:rPr>
              <w:t xml:space="preserve"> least 8 weeks) may have been possible factors contributing to the lower than anticipated relapse rate observed in both studies.</w:t>
            </w:r>
          </w:p>
        </w:tc>
        <w:tc>
          <w:tcPr>
            <w:tcW w:w="2751" w:type="dxa"/>
            <w:tcBorders>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EMEA/H/C/002755/0000</w:t>
            </w:r>
          </w:p>
        </w:tc>
      </w:tr>
      <w:tr w:rsidR="007A23B1">
        <w:trPr>
          <w:trHeight w:val="204"/>
          <w:jc w:val="center"/>
        </w:trPr>
        <w:tc>
          <w:tcPr>
            <w:tcW w:w="2666" w:type="dxa"/>
            <w:tcBorders>
              <w:left w:val="single" w:sz="4" w:space="0" w:color="000000"/>
            </w:tcBorders>
            <w:shd w:val="clear" w:color="auto" w:fill="auto"/>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proofErr w:type="spellStart"/>
            <w:r>
              <w:rPr>
                <w:rFonts w:ascii="Times New Roman" w:eastAsia="Times New Roman" w:hAnsi="Times New Roman" w:cs="Times New Roman"/>
                <w:b/>
                <w:bCs/>
                <w:color w:val="000000"/>
                <w:sz w:val="20"/>
                <w:szCs w:val="20"/>
                <w:lang w:val="en-GB" w:eastAsia="fr-FR"/>
              </w:rPr>
              <w:t>Asenapine</w:t>
            </w:r>
            <w:proofErr w:type="spellEnd"/>
            <w:r>
              <w:rPr>
                <w:rFonts w:ascii="Times New Roman" w:eastAsia="Times New Roman" w:hAnsi="Times New Roman" w:cs="Times New Roman"/>
                <w:b/>
                <w:bCs/>
                <w:color w:val="000000"/>
                <w:sz w:val="20"/>
                <w:szCs w:val="20"/>
                <w:lang w:val="en-GB" w:eastAsia="fr-FR"/>
              </w:rPr>
              <w:t xml:space="preserve"> (sublingual</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roofErr w:type="spellStart"/>
            <w:r>
              <w:rPr>
                <w:rFonts w:ascii="Times New Roman" w:eastAsia="Times New Roman" w:hAnsi="Times New Roman" w:cs="Times New Roman"/>
                <w:b/>
                <w:bCs/>
                <w:color w:val="000000"/>
                <w:sz w:val="20"/>
                <w:szCs w:val="20"/>
                <w:lang w:val="en-GB" w:eastAsia="fr-FR"/>
              </w:rPr>
              <w:t>bipolardisorder</w:t>
            </w:r>
            <w:proofErr w:type="spellEnd"/>
          </w:p>
        </w:tc>
        <w:tc>
          <w:tcPr>
            <w:tcW w:w="9153"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The differences in the withdrawal rate presented a concern (as the withdrawals were mainly due to lack of efficacy).</w:t>
            </w:r>
          </w:p>
        </w:tc>
        <w:tc>
          <w:tcPr>
            <w:tcW w:w="2751" w:type="dxa"/>
            <w:tcBorders>
              <w:right w:val="single" w:sz="4" w:space="0" w:color="000000"/>
            </w:tcBorders>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EMEA/H/C/001177</w:t>
            </w:r>
          </w:p>
        </w:tc>
      </w:tr>
      <w:tr w:rsidR="007A23B1">
        <w:trPr>
          <w:trHeight w:val="602"/>
          <w:jc w:val="center"/>
        </w:trPr>
        <w:tc>
          <w:tcPr>
            <w:tcW w:w="2666"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Duloxetine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roofErr w:type="spellStart"/>
            <w:r>
              <w:rPr>
                <w:rFonts w:ascii="Times New Roman" w:eastAsia="Times New Roman" w:hAnsi="Times New Roman" w:cs="Times New Roman"/>
                <w:b/>
                <w:bCs/>
                <w:color w:val="000000"/>
                <w:sz w:val="20"/>
                <w:szCs w:val="20"/>
                <w:lang w:val="en-GB" w:eastAsia="fr-FR"/>
              </w:rPr>
              <w:t>depressivedisorders</w:t>
            </w:r>
            <w:proofErr w:type="spellEnd"/>
            <w:r>
              <w:rPr>
                <w:rFonts w:ascii="Times New Roman" w:eastAsia="Times New Roman" w:hAnsi="Times New Roman" w:cs="Times New Roman"/>
                <w:b/>
                <w:bCs/>
                <w:color w:val="000000"/>
                <w:sz w:val="20"/>
                <w:szCs w:val="20"/>
                <w:lang w:val="en-GB" w:eastAsia="fr-FR"/>
              </w:rPr>
              <w:t xml:space="preserve"> (MDE)</w:t>
            </w:r>
          </w:p>
        </w:tc>
        <w:tc>
          <w:tcPr>
            <w:tcW w:w="9153"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Patients with severe MDD and elderly patients are clearly underrepresented in the available efficacy database.</w:t>
            </w:r>
          </w:p>
        </w:tc>
        <w:tc>
          <w:tcPr>
            <w:tcW w:w="2751" w:type="dxa"/>
            <w:tcBorders>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w:t>
            </w:r>
          </w:p>
        </w:tc>
      </w:tr>
      <w:tr w:rsidR="007A23B1" w:rsidRPr="00B4241A">
        <w:trPr>
          <w:trHeight w:val="66"/>
          <w:jc w:val="center"/>
        </w:trPr>
        <w:tc>
          <w:tcPr>
            <w:tcW w:w="2666" w:type="dxa"/>
            <w:tcBorders>
              <w:left w:val="single" w:sz="4" w:space="0" w:color="000000"/>
            </w:tcBorders>
            <w:shd w:val="clear" w:color="auto" w:fill="auto"/>
          </w:tcPr>
          <w:p w:rsidR="007A23B1" w:rsidRDefault="007A23B1">
            <w:pPr>
              <w:suppressAutoHyphens w:val="0"/>
              <w:spacing w:after="0" w:line="360" w:lineRule="auto"/>
              <w:rPr>
                <w:rFonts w:ascii="Times New Roman" w:eastAsia="Times New Roman" w:hAnsi="Times New Roman" w:cs="Times New Roman"/>
                <w:b/>
                <w:bCs/>
                <w:color w:val="000000"/>
                <w:sz w:val="20"/>
                <w:szCs w:val="20"/>
                <w:lang w:val="en-GB" w:eastAsia="fr-FR"/>
              </w:rPr>
            </w:pPr>
          </w:p>
        </w:tc>
        <w:tc>
          <w:tcPr>
            <w:tcW w:w="9153"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The specified non-inferiority margin appears quite wide (2.2 in the HAMD17), and the reason for its selection is not considered justified by the CHMP.</w:t>
            </w:r>
          </w:p>
        </w:tc>
        <w:tc>
          <w:tcPr>
            <w:tcW w:w="2751" w:type="dxa"/>
            <w:tcBorders>
              <w:right w:val="single" w:sz="4" w:space="0" w:color="000000"/>
            </w:tcBorders>
            <w:shd w:val="clear" w:color="auto" w:fill="auto"/>
          </w:tcPr>
          <w:p w:rsidR="007A23B1" w:rsidRDefault="007A23B1">
            <w:pPr>
              <w:suppressAutoHyphens w:val="0"/>
              <w:spacing w:after="0" w:line="360" w:lineRule="auto"/>
              <w:rPr>
                <w:rFonts w:ascii="Times New Roman" w:eastAsia="Times New Roman" w:hAnsi="Times New Roman" w:cs="Times New Roman"/>
                <w:color w:val="000000"/>
                <w:sz w:val="20"/>
                <w:szCs w:val="20"/>
                <w:lang w:val="en-GB" w:eastAsia="fr-FR"/>
              </w:rPr>
            </w:pPr>
          </w:p>
        </w:tc>
      </w:tr>
      <w:tr w:rsidR="007A23B1">
        <w:trPr>
          <w:trHeight w:val="602"/>
          <w:jc w:val="center"/>
        </w:trPr>
        <w:tc>
          <w:tcPr>
            <w:tcW w:w="2666"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Duloxetine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depressive disorders (MDD)</w:t>
            </w:r>
          </w:p>
        </w:tc>
        <w:tc>
          <w:tcPr>
            <w:tcW w:w="9153"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Stringent response criteria were required to be eligible and the maintenance criteria used may limit the scope for extrapolating the results.</w:t>
            </w:r>
          </w:p>
        </w:tc>
        <w:tc>
          <w:tcPr>
            <w:tcW w:w="2751" w:type="dxa"/>
            <w:tcBorders>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EMEA/H/C/572/II/0036</w:t>
            </w:r>
          </w:p>
        </w:tc>
      </w:tr>
      <w:tr w:rsidR="007A23B1" w:rsidRPr="00B4241A">
        <w:trPr>
          <w:trHeight w:val="668"/>
          <w:jc w:val="center"/>
        </w:trPr>
        <w:tc>
          <w:tcPr>
            <w:tcW w:w="2666" w:type="dxa"/>
            <w:tcBorders>
              <w:left w:val="single" w:sz="4" w:space="0" w:color="000000"/>
            </w:tcBorders>
            <w:shd w:val="clear" w:color="auto" w:fill="auto"/>
          </w:tcPr>
          <w:p w:rsidR="007A23B1" w:rsidRDefault="007A23B1">
            <w:pPr>
              <w:suppressAutoHyphens w:val="0"/>
              <w:spacing w:after="0" w:line="360" w:lineRule="auto"/>
              <w:rPr>
                <w:rFonts w:ascii="Times New Roman" w:eastAsia="Times New Roman" w:hAnsi="Times New Roman" w:cs="Times New Roman"/>
                <w:b/>
                <w:bCs/>
                <w:color w:val="000000"/>
                <w:sz w:val="20"/>
                <w:szCs w:val="20"/>
                <w:lang w:val="en-GB" w:eastAsia="fr-FR"/>
              </w:rPr>
            </w:pPr>
          </w:p>
        </w:tc>
        <w:tc>
          <w:tcPr>
            <w:tcW w:w="9153"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‘Recurrence’ and ‘re-emergence’ criteria are based on the investigator-based assessment (CGI-Severity) instead of a patient-based score (HAMD17), which would have been by far preferable.</w:t>
            </w:r>
          </w:p>
        </w:tc>
        <w:tc>
          <w:tcPr>
            <w:tcW w:w="2751" w:type="dxa"/>
            <w:tcBorders>
              <w:right w:val="single" w:sz="4" w:space="0" w:color="000000"/>
            </w:tcBorders>
            <w:shd w:val="clear" w:color="auto" w:fill="auto"/>
          </w:tcPr>
          <w:p w:rsidR="007A23B1" w:rsidRDefault="007A23B1">
            <w:pPr>
              <w:suppressAutoHyphens w:val="0"/>
              <w:spacing w:after="0" w:line="360" w:lineRule="auto"/>
              <w:rPr>
                <w:rFonts w:ascii="Times New Roman" w:eastAsia="Times New Roman" w:hAnsi="Times New Roman" w:cs="Times New Roman"/>
                <w:color w:val="000000"/>
                <w:sz w:val="20"/>
                <w:szCs w:val="20"/>
                <w:lang w:val="en-GB" w:eastAsia="fr-FR"/>
              </w:rPr>
            </w:pPr>
          </w:p>
        </w:tc>
      </w:tr>
      <w:tr w:rsidR="007A23B1" w:rsidRPr="00B4241A">
        <w:trPr>
          <w:trHeight w:val="791"/>
          <w:jc w:val="center"/>
        </w:trPr>
        <w:tc>
          <w:tcPr>
            <w:tcW w:w="2666" w:type="dxa"/>
            <w:tcBorders>
              <w:left w:val="single" w:sz="4" w:space="0" w:color="000000"/>
            </w:tcBorders>
            <w:shd w:val="clear" w:color="auto" w:fill="auto"/>
          </w:tcPr>
          <w:p w:rsidR="007A23B1" w:rsidRDefault="007A23B1">
            <w:pPr>
              <w:suppressAutoHyphens w:val="0"/>
              <w:spacing w:after="0" w:line="360" w:lineRule="auto"/>
              <w:rPr>
                <w:rFonts w:ascii="Times New Roman" w:eastAsia="Times New Roman" w:hAnsi="Times New Roman" w:cs="Times New Roman"/>
                <w:b/>
                <w:bCs/>
                <w:color w:val="000000"/>
                <w:sz w:val="20"/>
                <w:szCs w:val="20"/>
                <w:lang w:val="en-GB" w:eastAsia="fr-FR"/>
              </w:rPr>
            </w:pPr>
          </w:p>
        </w:tc>
        <w:tc>
          <w:tcPr>
            <w:tcW w:w="9153"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The short duration of the trial (1-year maintenance treatment, when longer duration would have been preferable, closer to clinical practice and regulatory recommendations) does not enable an elucidation of any additional gain to be expected.</w:t>
            </w:r>
          </w:p>
        </w:tc>
        <w:tc>
          <w:tcPr>
            <w:tcW w:w="2751" w:type="dxa"/>
            <w:tcBorders>
              <w:right w:val="single" w:sz="4" w:space="0" w:color="000000"/>
            </w:tcBorders>
            <w:shd w:val="clear" w:color="auto" w:fill="auto"/>
          </w:tcPr>
          <w:p w:rsidR="007A23B1" w:rsidRDefault="007A23B1">
            <w:pPr>
              <w:suppressAutoHyphens w:val="0"/>
              <w:spacing w:after="0" w:line="360" w:lineRule="auto"/>
              <w:rPr>
                <w:rFonts w:ascii="Times New Roman" w:eastAsia="Times New Roman" w:hAnsi="Times New Roman" w:cs="Times New Roman"/>
                <w:color w:val="000000"/>
                <w:sz w:val="20"/>
                <w:szCs w:val="20"/>
                <w:lang w:val="en-GB" w:eastAsia="fr-FR"/>
              </w:rPr>
            </w:pPr>
          </w:p>
        </w:tc>
      </w:tr>
      <w:tr w:rsidR="007A23B1">
        <w:trPr>
          <w:trHeight w:val="245"/>
          <w:jc w:val="center"/>
        </w:trPr>
        <w:tc>
          <w:tcPr>
            <w:tcW w:w="2666"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proofErr w:type="spellStart"/>
            <w:r>
              <w:rPr>
                <w:rFonts w:ascii="Times New Roman" w:eastAsia="Times New Roman" w:hAnsi="Times New Roman" w:cs="Times New Roman"/>
                <w:b/>
                <w:bCs/>
                <w:color w:val="000000"/>
                <w:sz w:val="20"/>
                <w:szCs w:val="20"/>
                <w:lang w:val="en-GB" w:eastAsia="fr-FR"/>
              </w:rPr>
              <w:t>Loxapine</w:t>
            </w:r>
            <w:proofErr w:type="spellEnd"/>
            <w:r>
              <w:rPr>
                <w:rFonts w:ascii="Times New Roman" w:eastAsia="Times New Roman" w:hAnsi="Times New Roman" w:cs="Times New Roman"/>
                <w:b/>
                <w:bCs/>
                <w:color w:val="000000"/>
                <w:sz w:val="20"/>
                <w:szCs w:val="20"/>
                <w:lang w:val="en-GB" w:eastAsia="fr-FR"/>
              </w:rPr>
              <w:t xml:space="preserve"> (INH</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agitation</w:t>
            </w:r>
          </w:p>
        </w:tc>
        <w:tc>
          <w:tcPr>
            <w:tcW w:w="9153"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The CHMP was concerned about the exclusion criteria which may have limited the scope for generalizing the results. Patients apparently had moderate rather than severe agitation (cooperativeness, baseline PEC score).</w:t>
            </w:r>
          </w:p>
        </w:tc>
        <w:tc>
          <w:tcPr>
            <w:tcW w:w="2751" w:type="dxa"/>
            <w:tcBorders>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EMEA/H/C/002400</w:t>
            </w:r>
          </w:p>
        </w:tc>
      </w:tr>
      <w:tr w:rsidR="007A23B1">
        <w:trPr>
          <w:trHeight w:val="583"/>
          <w:jc w:val="center"/>
        </w:trPr>
        <w:tc>
          <w:tcPr>
            <w:tcW w:w="2666" w:type="dxa"/>
            <w:tcBorders>
              <w:left w:val="single" w:sz="4" w:space="0" w:color="000000"/>
            </w:tcBorders>
            <w:shd w:val="clear" w:color="auto" w:fill="auto"/>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Lurasidone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schizophrenia</w:t>
            </w:r>
          </w:p>
        </w:tc>
        <w:tc>
          <w:tcPr>
            <w:tcW w:w="9153"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 xml:space="preserve">The impact of dose adjustments in the early phase of the D1050234 study and the inclusion of a sub-therapeutic dose of quetiapine XR (200 mg) within a flexible dosing range  </w:t>
            </w:r>
          </w:p>
        </w:tc>
        <w:tc>
          <w:tcPr>
            <w:tcW w:w="2751" w:type="dxa"/>
            <w:tcBorders>
              <w:right w:val="single" w:sz="4" w:space="0" w:color="000000"/>
            </w:tcBorders>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EMEA/H/C/002713/0000</w:t>
            </w:r>
          </w:p>
        </w:tc>
      </w:tr>
      <w:tr w:rsidR="007A23B1">
        <w:trPr>
          <w:trHeight w:val="860"/>
          <w:jc w:val="center"/>
        </w:trPr>
        <w:tc>
          <w:tcPr>
            <w:tcW w:w="2666" w:type="dxa"/>
            <w:tcBorders>
              <w:left w:val="single" w:sz="4" w:space="0" w:color="000000"/>
            </w:tcBorders>
            <w:shd w:val="clear" w:color="auto" w:fill="D9D9D9" w:themeFill="background1" w:themeFillShade="D9"/>
          </w:tcPr>
          <w:p w:rsidR="007A23B1" w:rsidRDefault="007A23B1">
            <w:pPr>
              <w:suppressAutoHyphens w:val="0"/>
              <w:spacing w:after="0" w:line="360" w:lineRule="auto"/>
              <w:rPr>
                <w:rFonts w:ascii="Times New Roman" w:eastAsia="Times New Roman" w:hAnsi="Times New Roman" w:cs="Times New Roman"/>
                <w:b/>
                <w:bCs/>
                <w:color w:val="000000"/>
                <w:sz w:val="20"/>
                <w:szCs w:val="20"/>
                <w:lang w:val="en-GB" w:eastAsia="fr-FR"/>
              </w:rPr>
            </w:pPr>
          </w:p>
        </w:tc>
        <w:tc>
          <w:tcPr>
            <w:tcW w:w="9153"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The duration of the initial trial may not have allowed for true stabilisation with potential carry-over effects from the previous short-term (6-week) study D1050233 to the extension and maintenance of effect in study D1050234, with an increased risk of discontinuation due to relapse during the initial phase of that study.</w:t>
            </w:r>
          </w:p>
        </w:tc>
        <w:tc>
          <w:tcPr>
            <w:tcW w:w="2751" w:type="dxa"/>
            <w:tcBorders>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EMEA/H/C/002713/0000</w:t>
            </w:r>
          </w:p>
        </w:tc>
      </w:tr>
      <w:tr w:rsidR="007A23B1">
        <w:trPr>
          <w:trHeight w:val="344"/>
          <w:jc w:val="center"/>
        </w:trPr>
        <w:tc>
          <w:tcPr>
            <w:tcW w:w="2666"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proofErr w:type="spellStart"/>
            <w:r>
              <w:rPr>
                <w:rFonts w:ascii="Times New Roman" w:eastAsia="Times New Roman" w:hAnsi="Times New Roman" w:cs="Times New Roman"/>
                <w:b/>
                <w:bCs/>
                <w:color w:val="000000"/>
                <w:sz w:val="20"/>
                <w:szCs w:val="20"/>
                <w:lang w:val="en-GB" w:eastAsia="fr-FR"/>
              </w:rPr>
              <w:t>Nalmefene</w:t>
            </w:r>
            <w:proofErr w:type="spellEnd"/>
            <w:r>
              <w:rPr>
                <w:rFonts w:ascii="Times New Roman" w:eastAsia="Times New Roman" w:hAnsi="Times New Roman" w:cs="Times New Roman"/>
                <w:b/>
                <w:bCs/>
                <w:color w:val="000000"/>
                <w:sz w:val="20"/>
                <w:szCs w:val="20"/>
                <w:lang w:val="en-GB" w:eastAsia="fr-FR"/>
              </w:rPr>
              <w:t xml:space="preserv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addictive disorders</w:t>
            </w:r>
          </w:p>
        </w:tc>
        <w:tc>
          <w:tcPr>
            <w:tcW w:w="9153"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 xml:space="preserve">The high withdrawal rate renders imputation of missing data an important issue when determining statistical significance of primary efficacy endpoints. There was an attempt to resolve this by sensitivity analyses </w:t>
            </w:r>
            <w:r>
              <w:rPr>
                <w:rFonts w:ascii="Times New Roman" w:eastAsia="Times New Roman" w:hAnsi="Times New Roman" w:cs="Times New Roman"/>
                <w:color w:val="000000"/>
                <w:sz w:val="20"/>
                <w:szCs w:val="20"/>
                <w:lang w:val="en-GB" w:eastAsia="fr-FR"/>
              </w:rPr>
              <w:lastRenderedPageBreak/>
              <w:t xml:space="preserve">applying various imputation methods. </w:t>
            </w:r>
          </w:p>
        </w:tc>
        <w:tc>
          <w:tcPr>
            <w:tcW w:w="2751" w:type="dxa"/>
            <w:tcBorders>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lastRenderedPageBreak/>
              <w:t>EMEA/H/C/002583/0000</w:t>
            </w:r>
          </w:p>
        </w:tc>
      </w:tr>
      <w:tr w:rsidR="007A23B1">
        <w:trPr>
          <w:trHeight w:val="66"/>
          <w:jc w:val="center"/>
        </w:trPr>
        <w:tc>
          <w:tcPr>
            <w:tcW w:w="2666" w:type="dxa"/>
            <w:tcBorders>
              <w:left w:val="single" w:sz="4" w:space="0" w:color="000000"/>
            </w:tcBorders>
            <w:shd w:val="clear" w:color="auto" w:fill="auto"/>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Olanzapine (IM</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schizophrenia</w:t>
            </w:r>
          </w:p>
        </w:tc>
        <w:tc>
          <w:tcPr>
            <w:tcW w:w="9153"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Randomization is necessary but introduces a bias into the double-blind comparisons by creating an advantage for the randomly assigned oral olanzapine group, which remained on its previous dose before and after randomization.</w:t>
            </w:r>
          </w:p>
        </w:tc>
        <w:tc>
          <w:tcPr>
            <w:tcW w:w="2751" w:type="dxa"/>
            <w:tcBorders>
              <w:right w:val="single" w:sz="4" w:space="0" w:color="000000"/>
            </w:tcBorders>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EMEA/H/C/000890</w:t>
            </w:r>
          </w:p>
        </w:tc>
      </w:tr>
      <w:tr w:rsidR="007A23B1">
        <w:trPr>
          <w:trHeight w:val="66"/>
          <w:jc w:val="center"/>
        </w:trPr>
        <w:tc>
          <w:tcPr>
            <w:tcW w:w="2666"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Olanzapine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schizophrenia</w:t>
            </w:r>
          </w:p>
        </w:tc>
        <w:tc>
          <w:tcPr>
            <w:tcW w:w="9153"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Haloperidol doses were possibly too high and may have induced depression mimicking negative symptoms.</w:t>
            </w:r>
          </w:p>
        </w:tc>
        <w:tc>
          <w:tcPr>
            <w:tcW w:w="2751" w:type="dxa"/>
            <w:tcBorders>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CPMP/0646/96</w:t>
            </w:r>
          </w:p>
        </w:tc>
      </w:tr>
      <w:tr w:rsidR="007A23B1" w:rsidRPr="00B4241A">
        <w:trPr>
          <w:trHeight w:val="450"/>
          <w:jc w:val="center"/>
        </w:trPr>
        <w:tc>
          <w:tcPr>
            <w:tcW w:w="2666" w:type="dxa"/>
            <w:tcBorders>
              <w:left w:val="single" w:sz="4" w:space="0" w:color="000000"/>
            </w:tcBorders>
            <w:shd w:val="clear" w:color="auto" w:fill="auto"/>
          </w:tcPr>
          <w:p w:rsidR="007A23B1" w:rsidRDefault="007A23B1">
            <w:pPr>
              <w:suppressAutoHyphens w:val="0"/>
              <w:spacing w:after="0" w:line="360" w:lineRule="auto"/>
              <w:rPr>
                <w:rFonts w:ascii="Times New Roman" w:eastAsia="Times New Roman" w:hAnsi="Times New Roman" w:cs="Times New Roman"/>
                <w:b/>
                <w:bCs/>
                <w:color w:val="000000"/>
                <w:sz w:val="20"/>
                <w:szCs w:val="20"/>
                <w:lang w:val="en-GB" w:eastAsia="fr-FR"/>
              </w:rPr>
            </w:pPr>
          </w:p>
        </w:tc>
        <w:tc>
          <w:tcPr>
            <w:tcW w:w="9153"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The patient population enrolled was of the mixed type and it is difficult to affirm the efficacy of olanzapine on negative symptoms.</w:t>
            </w:r>
          </w:p>
        </w:tc>
        <w:tc>
          <w:tcPr>
            <w:tcW w:w="2751" w:type="dxa"/>
            <w:tcBorders>
              <w:right w:val="single" w:sz="4" w:space="0" w:color="000000"/>
            </w:tcBorders>
            <w:shd w:val="clear" w:color="auto" w:fill="auto"/>
          </w:tcPr>
          <w:p w:rsidR="007A23B1" w:rsidRDefault="007A23B1">
            <w:pPr>
              <w:suppressAutoHyphens w:val="0"/>
              <w:spacing w:after="0" w:line="360" w:lineRule="auto"/>
              <w:rPr>
                <w:rFonts w:ascii="Times New Roman" w:eastAsia="Times New Roman" w:hAnsi="Times New Roman" w:cs="Times New Roman"/>
                <w:color w:val="000000"/>
                <w:sz w:val="20"/>
                <w:szCs w:val="20"/>
                <w:lang w:val="en-GB" w:eastAsia="fr-FR"/>
              </w:rPr>
            </w:pPr>
          </w:p>
        </w:tc>
      </w:tr>
      <w:tr w:rsidR="007A23B1">
        <w:trPr>
          <w:trHeight w:val="400"/>
          <w:jc w:val="center"/>
        </w:trPr>
        <w:tc>
          <w:tcPr>
            <w:tcW w:w="2666" w:type="dxa"/>
            <w:tcBorders>
              <w:left w:val="single" w:sz="4" w:space="0" w:color="000000"/>
            </w:tcBorders>
            <w:shd w:val="clear" w:color="auto" w:fill="auto"/>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Olanzapine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roofErr w:type="spellStart"/>
            <w:r>
              <w:rPr>
                <w:rFonts w:ascii="Times New Roman" w:eastAsia="Times New Roman" w:hAnsi="Times New Roman" w:cs="Times New Roman"/>
                <w:b/>
                <w:bCs/>
                <w:color w:val="000000"/>
                <w:sz w:val="20"/>
                <w:szCs w:val="20"/>
                <w:lang w:val="en-GB" w:eastAsia="fr-FR"/>
              </w:rPr>
              <w:t>bipolardisorder</w:t>
            </w:r>
            <w:proofErr w:type="spellEnd"/>
          </w:p>
        </w:tc>
        <w:tc>
          <w:tcPr>
            <w:tcW w:w="9153"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 xml:space="preserve">Heterogeneity of the patient population. Premature discontinuation following an interim analysis not planned in the protocol. </w:t>
            </w:r>
          </w:p>
        </w:tc>
        <w:tc>
          <w:tcPr>
            <w:tcW w:w="2751" w:type="dxa"/>
            <w:tcBorders>
              <w:right w:val="single" w:sz="4" w:space="0" w:color="000000"/>
            </w:tcBorders>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CPMP/0646/96</w:t>
            </w:r>
          </w:p>
        </w:tc>
      </w:tr>
      <w:tr w:rsidR="007A23B1" w:rsidRPr="00B4241A">
        <w:trPr>
          <w:trHeight w:val="236"/>
          <w:jc w:val="center"/>
        </w:trPr>
        <w:tc>
          <w:tcPr>
            <w:tcW w:w="2666" w:type="dxa"/>
            <w:tcBorders>
              <w:left w:val="single" w:sz="4" w:space="0" w:color="000000"/>
            </w:tcBorders>
            <w:shd w:val="clear" w:color="auto" w:fill="D9D9D9" w:themeFill="background1" w:themeFillShade="D9"/>
          </w:tcPr>
          <w:p w:rsidR="007A23B1" w:rsidRDefault="007A23B1">
            <w:pPr>
              <w:suppressAutoHyphens w:val="0"/>
              <w:spacing w:after="0" w:line="360" w:lineRule="auto"/>
              <w:rPr>
                <w:rFonts w:ascii="Times New Roman" w:eastAsia="Times New Roman" w:hAnsi="Times New Roman" w:cs="Times New Roman"/>
                <w:b/>
                <w:bCs/>
                <w:color w:val="000000"/>
                <w:sz w:val="20"/>
                <w:szCs w:val="20"/>
                <w:lang w:val="en-GB" w:eastAsia="fr-FR"/>
              </w:rPr>
            </w:pPr>
          </w:p>
        </w:tc>
        <w:tc>
          <w:tcPr>
            <w:tcW w:w="9153"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Premature discontinuation due to an interim analysis not planned in the protocol.</w:t>
            </w:r>
          </w:p>
        </w:tc>
        <w:tc>
          <w:tcPr>
            <w:tcW w:w="2751" w:type="dxa"/>
            <w:tcBorders>
              <w:right w:val="single" w:sz="4" w:space="0" w:color="000000"/>
            </w:tcBorders>
            <w:shd w:val="clear" w:color="auto" w:fill="D9D9D9" w:themeFill="background1" w:themeFillShade="D9"/>
          </w:tcPr>
          <w:p w:rsidR="007A23B1" w:rsidRDefault="007A23B1">
            <w:pPr>
              <w:suppressAutoHyphens w:val="0"/>
              <w:spacing w:after="0" w:line="360" w:lineRule="auto"/>
              <w:rPr>
                <w:rFonts w:ascii="Times New Roman" w:eastAsia="Times New Roman" w:hAnsi="Times New Roman" w:cs="Times New Roman"/>
                <w:color w:val="000000"/>
                <w:sz w:val="20"/>
                <w:szCs w:val="20"/>
                <w:lang w:val="en-GB" w:eastAsia="fr-FR"/>
              </w:rPr>
            </w:pPr>
          </w:p>
        </w:tc>
      </w:tr>
      <w:tr w:rsidR="007A23B1" w:rsidRPr="00B4241A">
        <w:trPr>
          <w:trHeight w:val="424"/>
          <w:jc w:val="center"/>
        </w:trPr>
        <w:tc>
          <w:tcPr>
            <w:tcW w:w="2666" w:type="dxa"/>
            <w:tcBorders>
              <w:left w:val="single" w:sz="4" w:space="0" w:color="000000"/>
            </w:tcBorders>
            <w:shd w:val="clear" w:color="auto" w:fill="D9D9D9" w:themeFill="background1" w:themeFillShade="D9"/>
          </w:tcPr>
          <w:p w:rsidR="007A23B1" w:rsidRDefault="007A23B1">
            <w:pPr>
              <w:suppressAutoHyphens w:val="0"/>
              <w:spacing w:after="0" w:line="360" w:lineRule="auto"/>
              <w:rPr>
                <w:rFonts w:ascii="Times New Roman" w:eastAsia="Times New Roman" w:hAnsi="Times New Roman" w:cs="Times New Roman"/>
                <w:b/>
                <w:bCs/>
                <w:color w:val="000000"/>
                <w:sz w:val="20"/>
                <w:szCs w:val="20"/>
                <w:lang w:val="en-GB" w:eastAsia="fr-FR"/>
              </w:rPr>
            </w:pPr>
          </w:p>
        </w:tc>
        <w:tc>
          <w:tcPr>
            <w:tcW w:w="9153"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Possibility of unblinding of investigators to treatment assignment</w:t>
            </w:r>
          </w:p>
        </w:tc>
        <w:tc>
          <w:tcPr>
            <w:tcW w:w="2751" w:type="dxa"/>
            <w:tcBorders>
              <w:right w:val="single" w:sz="4" w:space="0" w:color="000000"/>
            </w:tcBorders>
            <w:shd w:val="clear" w:color="auto" w:fill="D9D9D9" w:themeFill="background1" w:themeFillShade="D9"/>
          </w:tcPr>
          <w:p w:rsidR="007A23B1" w:rsidRDefault="007A23B1">
            <w:pPr>
              <w:suppressAutoHyphens w:val="0"/>
              <w:spacing w:after="0" w:line="360" w:lineRule="auto"/>
              <w:rPr>
                <w:rFonts w:ascii="Times New Roman" w:eastAsia="Times New Roman" w:hAnsi="Times New Roman" w:cs="Times New Roman"/>
                <w:color w:val="000000"/>
                <w:sz w:val="20"/>
                <w:szCs w:val="20"/>
                <w:lang w:val="en-GB" w:eastAsia="fr-FR"/>
              </w:rPr>
            </w:pPr>
          </w:p>
        </w:tc>
      </w:tr>
      <w:tr w:rsidR="007A23B1">
        <w:trPr>
          <w:trHeight w:val="854"/>
          <w:jc w:val="center"/>
        </w:trPr>
        <w:tc>
          <w:tcPr>
            <w:tcW w:w="2666"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Paliperidone (IM</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schizophrenia (3-month injection)</w:t>
            </w:r>
          </w:p>
        </w:tc>
        <w:tc>
          <w:tcPr>
            <w:tcW w:w="9153"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It can be noted that nearly 60% of the study population included in the DB phase had had at least one hospitalization for psychosis within the last 24 months prior to the study start, while only 4% of subjects had psychiatric hospitalization during the DB phase</w:t>
            </w:r>
          </w:p>
        </w:tc>
        <w:tc>
          <w:tcPr>
            <w:tcW w:w="2751" w:type="dxa"/>
            <w:tcBorders>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EMEA/H/C/004066/X/0007/G</w:t>
            </w:r>
          </w:p>
        </w:tc>
      </w:tr>
      <w:tr w:rsidR="007A23B1" w:rsidRPr="00B4241A">
        <w:trPr>
          <w:trHeight w:val="555"/>
          <w:jc w:val="center"/>
        </w:trPr>
        <w:tc>
          <w:tcPr>
            <w:tcW w:w="2666" w:type="dxa"/>
            <w:tcBorders>
              <w:left w:val="single" w:sz="4" w:space="0" w:color="000000"/>
            </w:tcBorders>
            <w:shd w:val="clear" w:color="auto" w:fill="auto"/>
          </w:tcPr>
          <w:p w:rsidR="007A23B1" w:rsidRDefault="007A23B1">
            <w:pPr>
              <w:suppressAutoHyphens w:val="0"/>
              <w:spacing w:after="0" w:line="360" w:lineRule="auto"/>
              <w:rPr>
                <w:rFonts w:ascii="Times New Roman" w:eastAsia="Times New Roman" w:hAnsi="Times New Roman" w:cs="Times New Roman"/>
                <w:b/>
                <w:bCs/>
                <w:color w:val="000000"/>
                <w:sz w:val="20"/>
                <w:szCs w:val="20"/>
                <w:lang w:val="en-GB" w:eastAsia="fr-FR"/>
              </w:rPr>
            </w:pPr>
          </w:p>
        </w:tc>
        <w:tc>
          <w:tcPr>
            <w:tcW w:w="9153"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It is considered that the PP3M treatment effect is mixed, with a certain unknown placebo effect due to the monthly placebo injections when active medication is not given.</w:t>
            </w:r>
          </w:p>
        </w:tc>
        <w:tc>
          <w:tcPr>
            <w:tcW w:w="2751" w:type="dxa"/>
            <w:tcBorders>
              <w:right w:val="single" w:sz="4" w:space="0" w:color="000000"/>
            </w:tcBorders>
            <w:shd w:val="clear" w:color="auto" w:fill="auto"/>
          </w:tcPr>
          <w:p w:rsidR="007A23B1" w:rsidRDefault="007A23B1">
            <w:pPr>
              <w:suppressAutoHyphens w:val="0"/>
              <w:spacing w:after="0" w:line="360" w:lineRule="auto"/>
              <w:rPr>
                <w:rFonts w:ascii="Times New Roman" w:eastAsia="Times New Roman" w:hAnsi="Times New Roman" w:cs="Times New Roman"/>
                <w:color w:val="000000"/>
                <w:sz w:val="20"/>
                <w:szCs w:val="20"/>
                <w:lang w:val="en-GB" w:eastAsia="fr-FR"/>
              </w:rPr>
            </w:pPr>
          </w:p>
        </w:tc>
      </w:tr>
      <w:tr w:rsidR="007A23B1">
        <w:trPr>
          <w:trHeight w:val="707"/>
          <w:jc w:val="center"/>
        </w:trPr>
        <w:tc>
          <w:tcPr>
            <w:tcW w:w="2666"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Vortioxetine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roofErr w:type="spellStart"/>
            <w:r>
              <w:rPr>
                <w:rFonts w:ascii="Times New Roman" w:eastAsia="Times New Roman" w:hAnsi="Times New Roman" w:cs="Times New Roman"/>
                <w:b/>
                <w:bCs/>
                <w:color w:val="000000"/>
                <w:sz w:val="20"/>
                <w:szCs w:val="20"/>
                <w:lang w:val="en-GB" w:eastAsia="fr-FR"/>
              </w:rPr>
              <w:t>depressivedisorders</w:t>
            </w:r>
            <w:proofErr w:type="spellEnd"/>
          </w:p>
        </w:tc>
        <w:tc>
          <w:tcPr>
            <w:tcW w:w="9153"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 xml:space="preserve">The exclusion of non-responders and the inclusion of previous responders in the active reference arm could have introduced a bias in favour of the efficacy of the active reference, and thus differences in the efficacy of Vortioxetine versus the active reference cannot be inferred on the basis of these studies. </w:t>
            </w:r>
          </w:p>
        </w:tc>
        <w:tc>
          <w:tcPr>
            <w:tcW w:w="2751" w:type="dxa"/>
            <w:tcBorders>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EMEA/H/C/002717</w:t>
            </w:r>
          </w:p>
        </w:tc>
      </w:tr>
      <w:tr w:rsidR="007A23B1" w:rsidRPr="00B4241A">
        <w:trPr>
          <w:trHeight w:val="998"/>
          <w:jc w:val="center"/>
        </w:trPr>
        <w:tc>
          <w:tcPr>
            <w:tcW w:w="2666" w:type="dxa"/>
            <w:tcBorders>
              <w:left w:val="single" w:sz="4" w:space="0" w:color="000000"/>
              <w:bottom w:val="single" w:sz="4" w:space="0" w:color="000000"/>
            </w:tcBorders>
            <w:shd w:val="clear" w:color="auto" w:fill="D9D9D9" w:themeFill="background1" w:themeFillShade="D9"/>
          </w:tcPr>
          <w:p w:rsidR="007A23B1" w:rsidRDefault="007A23B1">
            <w:pPr>
              <w:suppressAutoHyphens w:val="0"/>
              <w:spacing w:after="0" w:line="360" w:lineRule="auto"/>
              <w:rPr>
                <w:rFonts w:ascii="Times New Roman" w:eastAsia="Times New Roman" w:hAnsi="Times New Roman" w:cs="Times New Roman"/>
                <w:b/>
                <w:bCs/>
                <w:color w:val="000000"/>
                <w:sz w:val="20"/>
                <w:szCs w:val="20"/>
                <w:lang w:val="en-GB" w:eastAsia="fr-FR"/>
              </w:rPr>
            </w:pPr>
          </w:p>
        </w:tc>
        <w:tc>
          <w:tcPr>
            <w:tcW w:w="9153" w:type="dxa"/>
            <w:tcBorders>
              <w:bottom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The CHMP did not agree with the definition of the patient population “patients with MDD who have responded inadequately to SRI antidepressant monotherapy”, for the following reasons: […] "It cannot be excluded that fully responsive patients to the first SRI monotherapy could have been included in the study since the severity of depression was not assessed at the onset of the first monotherapy during the lead-in period.</w:t>
            </w:r>
          </w:p>
        </w:tc>
        <w:tc>
          <w:tcPr>
            <w:tcW w:w="2751" w:type="dxa"/>
            <w:tcBorders>
              <w:bottom w:val="single" w:sz="4" w:space="0" w:color="000000"/>
              <w:right w:val="single" w:sz="4" w:space="0" w:color="000000"/>
            </w:tcBorders>
            <w:shd w:val="clear" w:color="auto" w:fill="D9D9D9" w:themeFill="background1" w:themeFillShade="D9"/>
          </w:tcPr>
          <w:p w:rsidR="007A23B1" w:rsidRDefault="007A23B1">
            <w:pPr>
              <w:suppressAutoHyphens w:val="0"/>
              <w:spacing w:after="0" w:line="360" w:lineRule="auto"/>
              <w:rPr>
                <w:rFonts w:ascii="Times New Roman" w:eastAsia="Times New Roman" w:hAnsi="Times New Roman" w:cs="Times New Roman"/>
                <w:color w:val="000000"/>
                <w:sz w:val="20"/>
                <w:szCs w:val="20"/>
                <w:lang w:val="en-GB" w:eastAsia="fr-FR"/>
              </w:rPr>
            </w:pPr>
          </w:p>
        </w:tc>
      </w:tr>
    </w:tbl>
    <w:p w:rsidR="007A23B1" w:rsidRDefault="00F74FC7">
      <w:pPr>
        <w:pStyle w:val="Sous-titre"/>
        <w:spacing w:after="0" w:line="360" w:lineRule="auto"/>
        <w:jc w:val="left"/>
        <w:rPr>
          <w:b/>
          <w:lang w:val="en-GB"/>
        </w:rPr>
      </w:pPr>
      <w:bookmarkStart w:id="4" w:name="_Toc493672779"/>
      <w:r>
        <w:rPr>
          <w:b/>
          <w:lang w:val="en-GB"/>
        </w:rPr>
        <w:t>e-Table 3: Description of risk of bias identified in the different evaluations</w:t>
      </w:r>
      <w:bookmarkEnd w:id="4"/>
    </w:p>
    <w:p w:rsidR="007A23B1" w:rsidRDefault="00F74FC7">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O: oral route; </w:t>
      </w:r>
      <w:proofErr w:type="gramStart"/>
      <w:r>
        <w:rPr>
          <w:rFonts w:ascii="Times New Roman" w:hAnsi="Times New Roman" w:cs="Times New Roman"/>
          <w:sz w:val="20"/>
          <w:szCs w:val="20"/>
          <w:lang w:val="en-GB"/>
        </w:rPr>
        <w:t>IM :</w:t>
      </w:r>
      <w:proofErr w:type="gramEnd"/>
      <w:r>
        <w:rPr>
          <w:rFonts w:ascii="Times New Roman" w:hAnsi="Times New Roman" w:cs="Times New Roman"/>
          <w:sz w:val="20"/>
          <w:szCs w:val="20"/>
          <w:lang w:val="en-GB"/>
        </w:rPr>
        <w:t xml:space="preserve"> intramuscular; INH : inhalation</w:t>
      </w:r>
    </w:p>
    <w:p w:rsidR="007A23B1" w:rsidRDefault="00F74FC7">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These EPARs had no identifying number on EMA’s website</w:t>
      </w:r>
      <w:r w:rsidRPr="00F74FC7">
        <w:rPr>
          <w:lang w:val="en-US"/>
        </w:rPr>
        <w:br w:type="page"/>
      </w:r>
    </w:p>
    <w:tbl>
      <w:tblPr>
        <w:tblW w:w="14568" w:type="dxa"/>
        <w:tblInd w:w="108" w:type="dxa"/>
        <w:tblLook w:val="04A0" w:firstRow="1" w:lastRow="0" w:firstColumn="1" w:lastColumn="0" w:noHBand="0" w:noVBand="1"/>
      </w:tblPr>
      <w:tblGrid>
        <w:gridCol w:w="2436"/>
        <w:gridCol w:w="2040"/>
        <w:gridCol w:w="3517"/>
        <w:gridCol w:w="2604"/>
        <w:gridCol w:w="2219"/>
        <w:gridCol w:w="1752"/>
      </w:tblGrid>
      <w:tr w:rsidR="007A23B1" w:rsidRPr="00B4241A">
        <w:trPr>
          <w:trHeight w:val="56"/>
        </w:trPr>
        <w:tc>
          <w:tcPr>
            <w:tcW w:w="2435" w:type="dxa"/>
            <w:tcBorders>
              <w:top w:val="single" w:sz="4" w:space="0" w:color="000000"/>
              <w:left w:val="single" w:sz="4" w:space="0" w:color="000000"/>
            </w:tcBorders>
            <w:shd w:val="clear" w:color="auto" w:fill="D9D9D9" w:themeFill="background1" w:themeFillShade="D9"/>
          </w:tcPr>
          <w:p w:rsidR="007A23B1" w:rsidRDefault="00F74FC7">
            <w:pPr>
              <w:pageBreakBefore/>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lastRenderedPageBreak/>
              <w:t>Evaluation</w:t>
            </w:r>
          </w:p>
        </w:tc>
        <w:tc>
          <w:tcPr>
            <w:tcW w:w="5557" w:type="dxa"/>
            <w:gridSpan w:val="2"/>
            <w:tcBorders>
              <w:top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Safety issue</w:t>
            </w:r>
          </w:p>
        </w:tc>
        <w:tc>
          <w:tcPr>
            <w:tcW w:w="4823" w:type="dxa"/>
            <w:gridSpan w:val="2"/>
            <w:tcBorders>
              <w:top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Tolerance issue</w:t>
            </w:r>
          </w:p>
        </w:tc>
        <w:tc>
          <w:tcPr>
            <w:tcW w:w="1752" w:type="dxa"/>
            <w:tcBorders>
              <w:top w:val="single" w:sz="4" w:space="0" w:color="000000"/>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bCs/>
                <w:color w:val="000000"/>
                <w:sz w:val="20"/>
                <w:szCs w:val="20"/>
                <w:lang w:val="en-GB" w:eastAsia="fr-FR"/>
              </w:rPr>
            </w:pPr>
            <w:r>
              <w:rPr>
                <w:rFonts w:ascii="Times New Roman" w:eastAsia="Times New Roman" w:hAnsi="Times New Roman" w:cs="Times New Roman"/>
                <w:b/>
                <w:bCs/>
                <w:color w:val="000000"/>
                <w:sz w:val="20"/>
                <w:szCs w:val="20"/>
                <w:lang w:val="en-GB" w:eastAsia="fr-FR"/>
              </w:rPr>
              <w:t>Discontinuation rates due to adverse events</w:t>
            </w:r>
          </w:p>
        </w:tc>
      </w:tr>
      <w:tr w:rsidR="007A23B1">
        <w:trPr>
          <w:trHeight w:val="66"/>
        </w:trPr>
        <w:tc>
          <w:tcPr>
            <w:tcW w:w="2435" w:type="dxa"/>
            <w:tcBorders>
              <w:left w:val="single" w:sz="4" w:space="0" w:color="000000"/>
            </w:tcBorders>
            <w:shd w:val="clear" w:color="auto" w:fill="D9D9D9" w:themeFill="background1" w:themeFillShade="D9"/>
          </w:tcPr>
          <w:p w:rsidR="007A23B1" w:rsidRDefault="007A23B1">
            <w:pPr>
              <w:suppressAutoHyphens w:val="0"/>
              <w:spacing w:after="0" w:line="360" w:lineRule="auto"/>
              <w:rPr>
                <w:rFonts w:ascii="Times New Roman" w:eastAsia="Times New Roman" w:hAnsi="Times New Roman" w:cs="Times New Roman"/>
                <w:b/>
                <w:bCs/>
                <w:color w:val="000000"/>
                <w:sz w:val="20"/>
                <w:szCs w:val="20"/>
                <w:lang w:val="en-GB" w:eastAsia="fr-FR"/>
              </w:rPr>
            </w:pPr>
          </w:p>
        </w:tc>
        <w:tc>
          <w:tcPr>
            <w:tcW w:w="2040"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color w:val="000000"/>
                <w:sz w:val="20"/>
                <w:szCs w:val="20"/>
                <w:lang w:val="en-GB" w:eastAsia="fr-FR"/>
              </w:rPr>
            </w:pPr>
            <w:r>
              <w:rPr>
                <w:rFonts w:ascii="Times New Roman" w:eastAsia="Times New Roman" w:hAnsi="Times New Roman" w:cs="Times New Roman"/>
                <w:b/>
                <w:color w:val="000000"/>
                <w:sz w:val="20"/>
                <w:szCs w:val="20"/>
                <w:lang w:val="en-GB" w:eastAsia="fr-FR"/>
              </w:rPr>
              <w:t>Identified</w:t>
            </w:r>
          </w:p>
        </w:tc>
        <w:tc>
          <w:tcPr>
            <w:tcW w:w="3517"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color w:val="000000"/>
                <w:sz w:val="20"/>
                <w:szCs w:val="20"/>
                <w:lang w:val="en-GB" w:eastAsia="fr-FR"/>
              </w:rPr>
            </w:pPr>
            <w:r>
              <w:rPr>
                <w:rFonts w:ascii="Times New Roman" w:eastAsia="Times New Roman" w:hAnsi="Times New Roman" w:cs="Times New Roman"/>
                <w:b/>
                <w:color w:val="000000"/>
                <w:sz w:val="20"/>
                <w:szCs w:val="20"/>
                <w:lang w:val="en-GB" w:eastAsia="fr-FR"/>
              </w:rPr>
              <w:t>Possible</w:t>
            </w:r>
          </w:p>
        </w:tc>
        <w:tc>
          <w:tcPr>
            <w:tcW w:w="2604"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b/>
                <w:color w:val="000000"/>
                <w:sz w:val="20"/>
                <w:szCs w:val="20"/>
                <w:lang w:val="en-GB" w:eastAsia="fr-FR"/>
              </w:rPr>
            </w:pPr>
            <w:r>
              <w:rPr>
                <w:rFonts w:ascii="Times New Roman" w:eastAsia="Times New Roman" w:hAnsi="Times New Roman" w:cs="Times New Roman"/>
                <w:b/>
                <w:color w:val="000000"/>
                <w:sz w:val="20"/>
                <w:szCs w:val="20"/>
                <w:lang w:val="en-GB" w:eastAsia="fr-FR"/>
              </w:rPr>
              <w:t>Identified</w:t>
            </w:r>
          </w:p>
        </w:tc>
        <w:tc>
          <w:tcPr>
            <w:tcW w:w="2219" w:type="dxa"/>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color w:val="000000"/>
                <w:sz w:val="20"/>
                <w:szCs w:val="20"/>
                <w:lang w:val="en-GB" w:eastAsia="fr-FR"/>
              </w:rPr>
              <w:t>Possible</w:t>
            </w:r>
          </w:p>
        </w:tc>
        <w:tc>
          <w:tcPr>
            <w:tcW w:w="1752" w:type="dxa"/>
            <w:tcBorders>
              <w:right w:val="single" w:sz="4" w:space="0" w:color="000000"/>
            </w:tcBorders>
            <w:shd w:val="clear" w:color="auto" w:fill="D9D9D9" w:themeFill="background1" w:themeFillShade="D9"/>
          </w:tcPr>
          <w:p w:rsidR="007A23B1" w:rsidRDefault="007A23B1">
            <w:pPr>
              <w:suppressAutoHyphens w:val="0"/>
              <w:spacing w:after="0" w:line="360" w:lineRule="auto"/>
              <w:rPr>
                <w:rFonts w:ascii="Times New Roman" w:eastAsia="Times New Roman" w:hAnsi="Times New Roman" w:cs="Times New Roman"/>
                <w:b/>
                <w:color w:val="000000"/>
                <w:sz w:val="20"/>
                <w:szCs w:val="20"/>
                <w:lang w:val="en-GB" w:eastAsia="fr-FR"/>
              </w:rPr>
            </w:pPr>
          </w:p>
        </w:tc>
      </w:tr>
      <w:tr w:rsidR="007A23B1">
        <w:trPr>
          <w:trHeight w:val="66"/>
        </w:trPr>
        <w:tc>
          <w:tcPr>
            <w:tcW w:w="2435"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Agomelatine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depressive disorder</w:t>
            </w:r>
          </w:p>
        </w:tc>
        <w:tc>
          <w:tcPr>
            <w:tcW w:w="2040" w:type="dxa"/>
            <w:shd w:val="clear" w:color="auto" w:fill="auto"/>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Liver function</w:t>
            </w:r>
          </w:p>
        </w:tc>
        <w:tc>
          <w:tcPr>
            <w:tcW w:w="3517"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Suicide; Death of elderly patient with dementia</w:t>
            </w:r>
          </w:p>
        </w:tc>
        <w:tc>
          <w:tcPr>
            <w:tcW w:w="2604"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219" w:type="dxa"/>
            <w:shd w:val="clear" w:color="auto" w:fill="auto"/>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Not reported</w:t>
            </w:r>
          </w:p>
        </w:tc>
      </w:tr>
      <w:tr w:rsidR="007A23B1">
        <w:trPr>
          <w:trHeight w:val="546"/>
        </w:trPr>
        <w:tc>
          <w:tcPr>
            <w:tcW w:w="2435"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Aripiprazole (IM</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agitation (schizophrenia)</w:t>
            </w:r>
          </w:p>
        </w:tc>
        <w:tc>
          <w:tcPr>
            <w:tcW w:w="2040"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3517"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Association with parenteral benzodiazepines (cardiorespiratory depression)</w:t>
            </w:r>
          </w:p>
        </w:tc>
        <w:tc>
          <w:tcPr>
            <w:tcW w:w="2604"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219"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Orthostatic hypotension</w:t>
            </w:r>
          </w:p>
        </w:tc>
        <w:tc>
          <w:tcPr>
            <w:tcW w:w="1752" w:type="dxa"/>
            <w:tcBorders>
              <w:right w:val="single" w:sz="4" w:space="0" w:color="000000"/>
            </w:tcBorders>
            <w:shd w:val="clear" w:color="auto" w:fill="D9D9D9" w:themeFill="background1" w:themeFillShade="D9"/>
          </w:tcPr>
          <w:p w:rsidR="007A23B1" w:rsidRDefault="00F74FC7">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0,7% (calculated)</w:t>
            </w:r>
          </w:p>
          <w:p w:rsidR="007A23B1" w:rsidRDefault="007A23B1">
            <w:pPr>
              <w:suppressAutoHyphens w:val="0"/>
              <w:spacing w:after="0" w:line="360" w:lineRule="auto"/>
              <w:rPr>
                <w:rFonts w:ascii="Times New Roman" w:eastAsia="Times New Roman" w:hAnsi="Times New Roman" w:cs="Times New Roman"/>
                <w:color w:val="000000"/>
                <w:sz w:val="20"/>
                <w:szCs w:val="20"/>
                <w:lang w:val="en-GB" w:eastAsia="fr-FR"/>
              </w:rPr>
            </w:pPr>
          </w:p>
        </w:tc>
      </w:tr>
      <w:tr w:rsidR="007A23B1">
        <w:trPr>
          <w:trHeight w:val="300"/>
        </w:trPr>
        <w:tc>
          <w:tcPr>
            <w:tcW w:w="2435"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Aripiprazole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bipolar disorder</w:t>
            </w:r>
          </w:p>
        </w:tc>
        <w:tc>
          <w:tcPr>
            <w:tcW w:w="2040"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3517"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604"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Depression</w:t>
            </w:r>
          </w:p>
        </w:tc>
        <w:tc>
          <w:tcPr>
            <w:tcW w:w="2219" w:type="dxa"/>
            <w:shd w:val="clear" w:color="auto" w:fill="auto"/>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tcPr>
          <w:p w:rsidR="007A23B1" w:rsidRDefault="00F74FC7">
            <w:pPr>
              <w:rPr>
                <w:lang w:val="en-GB"/>
              </w:rPr>
            </w:pPr>
            <w:r>
              <w:rPr>
                <w:rFonts w:ascii="Times New Roman" w:eastAsia="Times New Roman" w:hAnsi="Times New Roman" w:cs="Times New Roman"/>
                <w:color w:val="000000"/>
                <w:sz w:val="20"/>
                <w:szCs w:val="20"/>
                <w:lang w:val="en-GB" w:eastAsia="fr-FR"/>
              </w:rPr>
              <w:t>Not reported</w:t>
            </w:r>
          </w:p>
        </w:tc>
      </w:tr>
      <w:tr w:rsidR="007A23B1">
        <w:trPr>
          <w:trHeight w:val="300"/>
        </w:trPr>
        <w:tc>
          <w:tcPr>
            <w:tcW w:w="2435"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Aripiprazole (IM</w:t>
            </w:r>
            <w:proofErr w:type="gramStart"/>
            <w:r>
              <w:rPr>
                <w:rFonts w:ascii="Times New Roman" w:eastAsia="Times New Roman" w:hAnsi="Times New Roman" w:cs="Times New Roman"/>
                <w:b/>
                <w:bCs/>
                <w:color w:val="000000"/>
                <w:sz w:val="20"/>
                <w:szCs w:val="20"/>
                <w:lang w:val="en-GB" w:eastAsia="fr-FR"/>
              </w:rPr>
              <w:t>) :</w:t>
            </w:r>
            <w:proofErr w:type="gramEnd"/>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schizophrenia</w:t>
            </w:r>
          </w:p>
        </w:tc>
        <w:tc>
          <w:tcPr>
            <w:tcW w:w="2040"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Low WBC values</w:t>
            </w:r>
          </w:p>
        </w:tc>
        <w:tc>
          <w:tcPr>
            <w:tcW w:w="3517"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604"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Extra-pyramidal symptoms</w:t>
            </w:r>
          </w:p>
        </w:tc>
        <w:tc>
          <w:tcPr>
            <w:tcW w:w="2219"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shd w:val="clear" w:color="auto" w:fill="D9D9D9" w:themeFill="background1" w:themeFillShade="D9"/>
          </w:tcPr>
          <w:p w:rsidR="007A23B1" w:rsidRDefault="00F74FC7">
            <w:pPr>
              <w:rPr>
                <w:lang w:val="en-GB"/>
              </w:rPr>
            </w:pPr>
            <w:r>
              <w:rPr>
                <w:rFonts w:ascii="Times New Roman" w:eastAsia="Times New Roman" w:hAnsi="Times New Roman" w:cs="Times New Roman"/>
                <w:color w:val="000000"/>
                <w:sz w:val="20"/>
                <w:szCs w:val="20"/>
                <w:lang w:val="en-GB" w:eastAsia="fr-FR"/>
              </w:rPr>
              <w:t>Not reported</w:t>
            </w:r>
          </w:p>
        </w:tc>
      </w:tr>
      <w:tr w:rsidR="007A23B1">
        <w:trPr>
          <w:trHeight w:val="693"/>
        </w:trPr>
        <w:tc>
          <w:tcPr>
            <w:tcW w:w="2435"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Buprenorphine/ naloxone (sublingual</w:t>
            </w:r>
            <w:proofErr w:type="gramStart"/>
            <w:r>
              <w:rPr>
                <w:rFonts w:ascii="Times New Roman" w:eastAsia="Times New Roman" w:hAnsi="Times New Roman" w:cs="Times New Roman"/>
                <w:b/>
                <w:bCs/>
                <w:color w:val="000000"/>
                <w:sz w:val="20"/>
                <w:szCs w:val="20"/>
                <w:lang w:val="en-GB" w:eastAsia="fr-FR"/>
              </w:rPr>
              <w:t>) :</w:t>
            </w:r>
            <w:proofErr w:type="gramEnd"/>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addictive disorders</w:t>
            </w:r>
          </w:p>
        </w:tc>
        <w:tc>
          <w:tcPr>
            <w:tcW w:w="2040"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Spontaneous abortion and neonatal withdrawal syndrome</w:t>
            </w:r>
          </w:p>
        </w:tc>
        <w:tc>
          <w:tcPr>
            <w:tcW w:w="3517"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 xml:space="preserve">Patients with existing hepatitis and/or HCV infection are probably more likely to have greater increases in hepatic enzymes during treatment with buprenorphine than others without these complications. </w:t>
            </w:r>
          </w:p>
        </w:tc>
        <w:tc>
          <w:tcPr>
            <w:tcW w:w="2604"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219" w:type="dxa"/>
            <w:shd w:val="clear" w:color="auto" w:fill="auto"/>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2.40%</w:t>
            </w:r>
          </w:p>
        </w:tc>
      </w:tr>
      <w:tr w:rsidR="007A23B1">
        <w:trPr>
          <w:trHeight w:val="300"/>
        </w:trPr>
        <w:tc>
          <w:tcPr>
            <w:tcW w:w="2435"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Duloxetine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anxiety disorders</w:t>
            </w:r>
          </w:p>
        </w:tc>
        <w:tc>
          <w:tcPr>
            <w:tcW w:w="2040"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3517"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Suicide; Hepatic risk</w:t>
            </w:r>
          </w:p>
        </w:tc>
        <w:tc>
          <w:tcPr>
            <w:tcW w:w="2604"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Nausea and diarrhoea</w:t>
            </w:r>
          </w:p>
        </w:tc>
        <w:tc>
          <w:tcPr>
            <w:tcW w:w="2219"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4,8 to 13,3%</w:t>
            </w:r>
          </w:p>
        </w:tc>
      </w:tr>
      <w:tr w:rsidR="007A23B1">
        <w:trPr>
          <w:trHeight w:val="300"/>
        </w:trPr>
        <w:tc>
          <w:tcPr>
            <w:tcW w:w="2435"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Duloxetine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depressive disorders</w:t>
            </w:r>
          </w:p>
        </w:tc>
        <w:tc>
          <w:tcPr>
            <w:tcW w:w="2040"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3517"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Suicide</w:t>
            </w:r>
          </w:p>
        </w:tc>
        <w:tc>
          <w:tcPr>
            <w:tcW w:w="2604"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219" w:type="dxa"/>
            <w:shd w:val="clear" w:color="auto" w:fill="auto"/>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tcPr>
          <w:p w:rsidR="007A23B1" w:rsidRDefault="00F74FC7">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3,7 to 17%</w:t>
            </w:r>
          </w:p>
        </w:tc>
      </w:tr>
      <w:tr w:rsidR="007A23B1">
        <w:trPr>
          <w:trHeight w:val="756"/>
        </w:trPr>
        <w:tc>
          <w:tcPr>
            <w:tcW w:w="2435"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proofErr w:type="spellStart"/>
            <w:r>
              <w:rPr>
                <w:rFonts w:ascii="Times New Roman" w:eastAsia="Times New Roman" w:hAnsi="Times New Roman" w:cs="Times New Roman"/>
                <w:b/>
                <w:bCs/>
                <w:color w:val="000000"/>
                <w:sz w:val="20"/>
                <w:szCs w:val="20"/>
                <w:lang w:val="en-GB" w:eastAsia="fr-FR"/>
              </w:rPr>
              <w:t>Loxapine</w:t>
            </w:r>
            <w:proofErr w:type="spellEnd"/>
            <w:r>
              <w:rPr>
                <w:rFonts w:ascii="Times New Roman" w:eastAsia="Times New Roman" w:hAnsi="Times New Roman" w:cs="Times New Roman"/>
                <w:b/>
                <w:bCs/>
                <w:color w:val="000000"/>
                <w:sz w:val="20"/>
                <w:szCs w:val="20"/>
                <w:lang w:val="en-GB" w:eastAsia="fr-FR"/>
              </w:rPr>
              <w:t xml:space="preserve"> (INH</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agitation (schizophrenia or bipolar disorder)</w:t>
            </w:r>
          </w:p>
        </w:tc>
        <w:tc>
          <w:tcPr>
            <w:tcW w:w="2040"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 xml:space="preserve">Risk of severe </w:t>
            </w:r>
            <w:proofErr w:type="spellStart"/>
            <w:r>
              <w:rPr>
                <w:rFonts w:ascii="Times New Roman" w:eastAsia="Times New Roman" w:hAnsi="Times New Roman" w:cs="Times New Roman"/>
                <w:color w:val="000000"/>
                <w:sz w:val="20"/>
                <w:szCs w:val="20"/>
                <w:lang w:val="en-GB" w:eastAsia="fr-FR"/>
              </w:rPr>
              <w:t>broncospasm</w:t>
            </w:r>
            <w:proofErr w:type="spellEnd"/>
          </w:p>
        </w:tc>
        <w:tc>
          <w:tcPr>
            <w:tcW w:w="3517"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Co-administration with other antipsychotics, in particular with regard to the potential increased risk of QT prolongation</w:t>
            </w:r>
          </w:p>
        </w:tc>
        <w:tc>
          <w:tcPr>
            <w:tcW w:w="2604"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219"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1,2% (for 004-201, 004-301, 004-302)</w:t>
            </w:r>
          </w:p>
        </w:tc>
      </w:tr>
      <w:tr w:rsidR="007A23B1">
        <w:trPr>
          <w:trHeight w:val="600"/>
        </w:trPr>
        <w:tc>
          <w:tcPr>
            <w:tcW w:w="2435"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proofErr w:type="spellStart"/>
            <w:r>
              <w:rPr>
                <w:rFonts w:ascii="Times New Roman" w:eastAsia="Times New Roman" w:hAnsi="Times New Roman" w:cs="Times New Roman"/>
                <w:b/>
                <w:bCs/>
                <w:color w:val="000000"/>
                <w:sz w:val="20"/>
                <w:szCs w:val="20"/>
                <w:lang w:val="en-GB" w:eastAsia="fr-FR"/>
              </w:rPr>
              <w:lastRenderedPageBreak/>
              <w:t>Nalmefene</w:t>
            </w:r>
            <w:proofErr w:type="spellEnd"/>
            <w:r>
              <w:rPr>
                <w:rFonts w:ascii="Times New Roman" w:eastAsia="Times New Roman" w:hAnsi="Times New Roman" w:cs="Times New Roman"/>
                <w:b/>
                <w:bCs/>
                <w:color w:val="000000"/>
                <w:sz w:val="20"/>
                <w:szCs w:val="20"/>
                <w:lang w:val="en-GB" w:eastAsia="fr-FR"/>
              </w:rPr>
              <w:t xml:space="preserv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addictive disorders</w:t>
            </w:r>
          </w:p>
        </w:tc>
        <w:tc>
          <w:tcPr>
            <w:tcW w:w="2040"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3517" w:type="dxa"/>
            <w:shd w:val="clear" w:color="auto" w:fill="auto"/>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2604"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Nausea, dizziness, sleep-related events</w:t>
            </w:r>
          </w:p>
        </w:tc>
        <w:tc>
          <w:tcPr>
            <w:tcW w:w="2219" w:type="dxa"/>
            <w:shd w:val="clear" w:color="auto" w:fill="auto"/>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tcPr>
          <w:p w:rsidR="007A23B1" w:rsidRDefault="00F74FC7">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10,50%</w:t>
            </w:r>
          </w:p>
          <w:p w:rsidR="007A23B1" w:rsidRDefault="007A23B1">
            <w:pPr>
              <w:suppressAutoHyphens w:val="0"/>
              <w:spacing w:after="0" w:line="360" w:lineRule="auto"/>
              <w:rPr>
                <w:rFonts w:ascii="Times New Roman" w:eastAsia="Times New Roman" w:hAnsi="Times New Roman" w:cs="Times New Roman"/>
                <w:color w:val="000000"/>
                <w:sz w:val="20"/>
                <w:szCs w:val="20"/>
                <w:lang w:val="en-GB" w:eastAsia="fr-FR"/>
              </w:rPr>
            </w:pPr>
          </w:p>
        </w:tc>
      </w:tr>
      <w:tr w:rsidR="007A23B1">
        <w:trPr>
          <w:trHeight w:val="600"/>
        </w:trPr>
        <w:tc>
          <w:tcPr>
            <w:tcW w:w="2435"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Olanzapine (IM</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schizophrenia</w:t>
            </w:r>
          </w:p>
        </w:tc>
        <w:tc>
          <w:tcPr>
            <w:tcW w:w="2040"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IAIV events (or post-injection syndrome</w:t>
            </w:r>
            <w:proofErr w:type="gramStart"/>
            <w:r>
              <w:rPr>
                <w:rFonts w:ascii="Times New Roman" w:eastAsia="Times New Roman" w:hAnsi="Times New Roman" w:cs="Times New Roman"/>
                <w:color w:val="000000"/>
                <w:sz w:val="20"/>
                <w:szCs w:val="20"/>
                <w:lang w:val="en-GB" w:eastAsia="fr-FR"/>
              </w:rPr>
              <w:t>) ;</w:t>
            </w:r>
            <w:proofErr w:type="gramEnd"/>
            <w:r>
              <w:rPr>
                <w:rFonts w:ascii="Times New Roman" w:eastAsia="Times New Roman" w:hAnsi="Times New Roman" w:cs="Times New Roman"/>
                <w:color w:val="000000"/>
                <w:sz w:val="20"/>
                <w:szCs w:val="20"/>
                <w:lang w:val="en-GB" w:eastAsia="fr-FR"/>
              </w:rPr>
              <w:t xml:space="preserve"> metabolic risks</w:t>
            </w:r>
          </w:p>
        </w:tc>
        <w:tc>
          <w:tcPr>
            <w:tcW w:w="3517" w:type="dxa"/>
            <w:shd w:val="clear" w:color="auto" w:fill="D9D9D9" w:themeFill="background1" w:themeFillShade="D9"/>
          </w:tcPr>
          <w:p w:rsidR="007A23B1" w:rsidRDefault="007A23B1">
            <w:pPr>
              <w:suppressAutoHyphens w:val="0"/>
              <w:spacing w:after="0" w:line="360" w:lineRule="auto"/>
              <w:rPr>
                <w:rFonts w:ascii="Times New Roman" w:eastAsia="Times New Roman" w:hAnsi="Times New Roman" w:cs="Times New Roman"/>
                <w:color w:val="000000"/>
                <w:sz w:val="20"/>
                <w:szCs w:val="20"/>
                <w:lang w:val="en-GB" w:eastAsia="fr-FR"/>
              </w:rPr>
            </w:pPr>
          </w:p>
        </w:tc>
        <w:tc>
          <w:tcPr>
            <w:tcW w:w="2604"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219"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shd w:val="clear" w:color="auto" w:fill="D9D9D9" w:themeFill="background1" w:themeFillShade="D9"/>
          </w:tcPr>
          <w:p w:rsidR="007A23B1" w:rsidRDefault="00F74FC7">
            <w:pPr>
              <w:rPr>
                <w:lang w:val="en-GB"/>
              </w:rPr>
            </w:pPr>
            <w:r>
              <w:rPr>
                <w:rFonts w:ascii="Times New Roman" w:eastAsia="Times New Roman" w:hAnsi="Times New Roman" w:cs="Times New Roman"/>
                <w:color w:val="000000"/>
                <w:sz w:val="20"/>
                <w:szCs w:val="20"/>
                <w:lang w:val="en-GB" w:eastAsia="fr-FR"/>
              </w:rPr>
              <w:t>Not reported</w:t>
            </w:r>
          </w:p>
        </w:tc>
      </w:tr>
      <w:tr w:rsidR="007A23B1">
        <w:trPr>
          <w:trHeight w:val="300"/>
        </w:trPr>
        <w:tc>
          <w:tcPr>
            <w:tcW w:w="2435"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Olanzapine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schizophrenia</w:t>
            </w:r>
          </w:p>
        </w:tc>
        <w:tc>
          <w:tcPr>
            <w:tcW w:w="2040"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3517"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604"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219" w:type="dxa"/>
            <w:shd w:val="clear" w:color="auto" w:fill="auto"/>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Weight gain</w:t>
            </w:r>
          </w:p>
        </w:tc>
        <w:tc>
          <w:tcPr>
            <w:tcW w:w="1752" w:type="dxa"/>
            <w:tcBorders>
              <w:right w:val="single" w:sz="4" w:space="0" w:color="000000"/>
            </w:tcBorders>
          </w:tcPr>
          <w:p w:rsidR="007A23B1" w:rsidRDefault="00F74FC7">
            <w:pPr>
              <w:rPr>
                <w:lang w:val="en-GB"/>
              </w:rPr>
            </w:pPr>
            <w:r>
              <w:rPr>
                <w:rFonts w:ascii="Times New Roman" w:eastAsia="Times New Roman" w:hAnsi="Times New Roman" w:cs="Times New Roman"/>
                <w:color w:val="000000"/>
                <w:sz w:val="20"/>
                <w:szCs w:val="20"/>
                <w:lang w:val="en-GB" w:eastAsia="fr-FR"/>
              </w:rPr>
              <w:t>Not reported</w:t>
            </w:r>
          </w:p>
        </w:tc>
      </w:tr>
      <w:tr w:rsidR="007A23B1">
        <w:trPr>
          <w:trHeight w:val="600"/>
        </w:trPr>
        <w:tc>
          <w:tcPr>
            <w:tcW w:w="2435"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Olanzapine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bipolar disorder</w:t>
            </w:r>
          </w:p>
        </w:tc>
        <w:tc>
          <w:tcPr>
            <w:tcW w:w="2040"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3517"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2604"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 xml:space="preserve">More adverse events compared to </w:t>
            </w:r>
            <w:proofErr w:type="gramStart"/>
            <w:r>
              <w:rPr>
                <w:rFonts w:ascii="Times New Roman" w:eastAsia="Times New Roman" w:hAnsi="Times New Roman" w:cs="Times New Roman"/>
                <w:color w:val="000000"/>
                <w:sz w:val="20"/>
                <w:szCs w:val="20"/>
                <w:lang w:val="en-GB" w:eastAsia="fr-FR"/>
              </w:rPr>
              <w:t>valproate ;</w:t>
            </w:r>
            <w:proofErr w:type="gramEnd"/>
            <w:r>
              <w:rPr>
                <w:rFonts w:ascii="Times New Roman" w:eastAsia="Times New Roman" w:hAnsi="Times New Roman" w:cs="Times New Roman"/>
                <w:color w:val="000000"/>
                <w:sz w:val="20"/>
                <w:szCs w:val="20"/>
                <w:lang w:val="en-GB" w:eastAsia="fr-FR"/>
              </w:rPr>
              <w:t xml:space="preserve"> Weight gain</w:t>
            </w:r>
          </w:p>
        </w:tc>
        <w:tc>
          <w:tcPr>
            <w:tcW w:w="2219"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shd w:val="clear" w:color="auto" w:fill="D9D9D9" w:themeFill="background1" w:themeFillShade="D9"/>
          </w:tcPr>
          <w:p w:rsidR="007A23B1" w:rsidRDefault="00F74FC7">
            <w:pPr>
              <w:rPr>
                <w:lang w:val="en-GB"/>
              </w:rPr>
            </w:pPr>
            <w:r>
              <w:rPr>
                <w:rFonts w:ascii="Times New Roman" w:eastAsia="Times New Roman" w:hAnsi="Times New Roman" w:cs="Times New Roman"/>
                <w:color w:val="000000"/>
                <w:sz w:val="20"/>
                <w:szCs w:val="20"/>
                <w:lang w:val="en-GB" w:eastAsia="fr-FR"/>
              </w:rPr>
              <w:t>Not reported</w:t>
            </w:r>
          </w:p>
        </w:tc>
      </w:tr>
      <w:tr w:rsidR="007A23B1">
        <w:trPr>
          <w:trHeight w:val="300"/>
        </w:trPr>
        <w:tc>
          <w:tcPr>
            <w:tcW w:w="2435"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Olanzapine (IM</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agitation (schizophrenia)</w:t>
            </w:r>
          </w:p>
        </w:tc>
        <w:tc>
          <w:tcPr>
            <w:tcW w:w="2040"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3517"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Cardiovascular safety</w:t>
            </w:r>
          </w:p>
        </w:tc>
        <w:tc>
          <w:tcPr>
            <w:tcW w:w="2604"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219" w:type="dxa"/>
            <w:shd w:val="clear" w:color="auto" w:fill="auto"/>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tcPr>
          <w:p w:rsidR="007A23B1" w:rsidRDefault="00F74FC7">
            <w:pPr>
              <w:rPr>
                <w:lang w:val="en-GB"/>
              </w:rPr>
            </w:pPr>
            <w:r>
              <w:rPr>
                <w:rFonts w:ascii="Times New Roman" w:eastAsia="Times New Roman" w:hAnsi="Times New Roman" w:cs="Times New Roman"/>
                <w:color w:val="000000"/>
                <w:sz w:val="20"/>
                <w:szCs w:val="20"/>
                <w:lang w:val="en-GB" w:eastAsia="fr-FR"/>
              </w:rPr>
              <w:t>Not reported</w:t>
            </w:r>
          </w:p>
        </w:tc>
      </w:tr>
      <w:tr w:rsidR="007A23B1">
        <w:trPr>
          <w:trHeight w:val="300"/>
        </w:trPr>
        <w:tc>
          <w:tcPr>
            <w:tcW w:w="2435"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Olanzapine (IM</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agitation (bipolar disorder)</w:t>
            </w:r>
          </w:p>
        </w:tc>
        <w:tc>
          <w:tcPr>
            <w:tcW w:w="2040"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3517"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Cardiovascular safety</w:t>
            </w:r>
          </w:p>
        </w:tc>
        <w:tc>
          <w:tcPr>
            <w:tcW w:w="2604"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219"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shd w:val="clear" w:color="auto" w:fill="D9D9D9" w:themeFill="background1" w:themeFillShade="D9"/>
          </w:tcPr>
          <w:p w:rsidR="007A23B1" w:rsidRDefault="00F74FC7">
            <w:pPr>
              <w:rPr>
                <w:lang w:val="en-GB"/>
              </w:rPr>
            </w:pPr>
            <w:r>
              <w:rPr>
                <w:rFonts w:ascii="Times New Roman" w:eastAsia="Times New Roman" w:hAnsi="Times New Roman" w:cs="Times New Roman"/>
                <w:color w:val="000000"/>
                <w:sz w:val="20"/>
                <w:szCs w:val="20"/>
                <w:lang w:val="en-GB" w:eastAsia="fr-FR"/>
              </w:rPr>
              <w:t>Not reported</w:t>
            </w:r>
          </w:p>
        </w:tc>
      </w:tr>
      <w:tr w:rsidR="007A23B1" w:rsidRPr="00B4241A">
        <w:trPr>
          <w:trHeight w:val="66"/>
        </w:trPr>
        <w:tc>
          <w:tcPr>
            <w:tcW w:w="2435"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Paliperidone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schizophrenia</w:t>
            </w:r>
          </w:p>
        </w:tc>
        <w:tc>
          <w:tcPr>
            <w:tcW w:w="2040"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3517" w:type="dxa"/>
            <w:shd w:val="clear" w:color="auto" w:fill="auto"/>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2604"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Increase in BMI; Orthostatic hypotension; QT prolongation and arrhythmia</w:t>
            </w:r>
          </w:p>
        </w:tc>
        <w:tc>
          <w:tcPr>
            <w:tcW w:w="2219" w:type="dxa"/>
            <w:shd w:val="clear" w:color="auto" w:fill="auto"/>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5% (pooled double-blind safety analysis set)</w:t>
            </w:r>
          </w:p>
        </w:tc>
      </w:tr>
      <w:tr w:rsidR="007A23B1">
        <w:trPr>
          <w:trHeight w:val="162"/>
        </w:trPr>
        <w:tc>
          <w:tcPr>
            <w:tcW w:w="2435"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Paliperidone (O</w:t>
            </w:r>
            <w:proofErr w:type="gramStart"/>
            <w:r>
              <w:rPr>
                <w:rFonts w:ascii="Times New Roman" w:eastAsia="Times New Roman" w:hAnsi="Times New Roman" w:cs="Times New Roman"/>
                <w:b/>
                <w:bCs/>
                <w:color w:val="000000"/>
                <w:sz w:val="20"/>
                <w:szCs w:val="20"/>
                <w:lang w:val="en-GB" w:eastAsia="fr-FR"/>
              </w:rPr>
              <w:t>) :</w:t>
            </w:r>
            <w:proofErr w:type="gramEnd"/>
          </w:p>
          <w:p w:rsidR="007A23B1" w:rsidRDefault="00F74FC7">
            <w:pPr>
              <w:suppressAutoHyphens w:val="0"/>
              <w:spacing w:after="0" w:line="360" w:lineRule="auto"/>
              <w:rPr>
                <w:rFonts w:ascii="Times New Roman" w:hAnsi="Times New Roman"/>
                <w:b/>
                <w:color w:val="000000"/>
                <w:sz w:val="20"/>
                <w:lang w:val="en-GB"/>
              </w:rPr>
            </w:pPr>
            <w:proofErr w:type="spellStart"/>
            <w:r>
              <w:rPr>
                <w:rFonts w:ascii="Times New Roman" w:eastAsia="Times New Roman" w:hAnsi="Times New Roman" w:cs="Times New Roman"/>
                <w:b/>
                <w:bCs/>
                <w:color w:val="000000"/>
                <w:sz w:val="20"/>
                <w:szCs w:val="20"/>
                <w:lang w:val="en-GB" w:eastAsia="fr-FR"/>
              </w:rPr>
              <w:t>schizo</w:t>
            </w:r>
            <w:proofErr w:type="spellEnd"/>
            <w:r>
              <w:rPr>
                <w:rFonts w:ascii="Times New Roman" w:eastAsia="Times New Roman" w:hAnsi="Times New Roman" w:cs="Times New Roman"/>
                <w:b/>
                <w:bCs/>
                <w:color w:val="000000"/>
                <w:sz w:val="20"/>
                <w:szCs w:val="20"/>
                <w:lang w:val="en-GB" w:eastAsia="fr-FR"/>
              </w:rPr>
              <w:t>-affective disorder (psychotic or manic)</w:t>
            </w:r>
          </w:p>
        </w:tc>
        <w:tc>
          <w:tcPr>
            <w:tcW w:w="2040"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3517"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604"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2219"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Significant effect related to concomitant medication on the rate of ADRs was observed; Increased serum prolactin; Extra-pyramidal symptoms.</w:t>
            </w:r>
          </w:p>
        </w:tc>
        <w:tc>
          <w:tcPr>
            <w:tcW w:w="1752" w:type="dxa"/>
            <w:tcBorders>
              <w:right w:val="single" w:sz="4" w:space="0" w:color="000000"/>
            </w:tcBorders>
            <w:shd w:val="clear" w:color="auto" w:fill="D9D9D9" w:themeFill="background1" w:themeFillShade="D9"/>
          </w:tcPr>
          <w:p w:rsidR="007A23B1" w:rsidRDefault="00F74FC7">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7,00%</w:t>
            </w:r>
          </w:p>
          <w:p w:rsidR="007A23B1" w:rsidRDefault="007A23B1">
            <w:pPr>
              <w:suppressAutoHyphens w:val="0"/>
              <w:spacing w:after="0" w:line="360" w:lineRule="auto"/>
              <w:rPr>
                <w:rFonts w:ascii="Times New Roman" w:eastAsia="Times New Roman" w:hAnsi="Times New Roman" w:cs="Times New Roman"/>
                <w:color w:val="000000"/>
                <w:sz w:val="20"/>
                <w:szCs w:val="20"/>
                <w:lang w:val="en-GB" w:eastAsia="fr-FR"/>
              </w:rPr>
            </w:pPr>
          </w:p>
        </w:tc>
      </w:tr>
      <w:tr w:rsidR="007A23B1">
        <w:trPr>
          <w:trHeight w:val="66"/>
        </w:trPr>
        <w:tc>
          <w:tcPr>
            <w:tcW w:w="2435" w:type="dxa"/>
            <w:tcBorders>
              <w:left w:val="single" w:sz="4" w:space="0" w:color="000000"/>
            </w:tcBorders>
            <w:shd w:val="clear" w:color="auto" w:fill="auto"/>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Paliperidone (O</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proofErr w:type="spellStart"/>
            <w:r>
              <w:rPr>
                <w:rFonts w:ascii="Times New Roman" w:eastAsia="Times New Roman" w:hAnsi="Times New Roman" w:cs="Times New Roman"/>
                <w:b/>
                <w:bCs/>
                <w:color w:val="000000"/>
                <w:sz w:val="20"/>
                <w:szCs w:val="20"/>
                <w:lang w:val="en-GB" w:eastAsia="fr-FR"/>
              </w:rPr>
              <w:t>schizo</w:t>
            </w:r>
            <w:proofErr w:type="spellEnd"/>
            <w:r>
              <w:rPr>
                <w:rFonts w:ascii="Times New Roman" w:eastAsia="Times New Roman" w:hAnsi="Times New Roman" w:cs="Times New Roman"/>
                <w:b/>
                <w:bCs/>
                <w:color w:val="000000"/>
                <w:sz w:val="20"/>
                <w:szCs w:val="20"/>
                <w:lang w:val="en-GB" w:eastAsia="fr-FR"/>
              </w:rPr>
              <w:t xml:space="preserve">-affective disorder </w:t>
            </w:r>
            <w:r>
              <w:rPr>
                <w:rFonts w:ascii="Times New Roman" w:eastAsia="Times New Roman" w:hAnsi="Times New Roman" w:cs="Times New Roman"/>
                <w:b/>
                <w:bCs/>
                <w:color w:val="000000"/>
                <w:sz w:val="20"/>
                <w:szCs w:val="20"/>
                <w:lang w:val="en-GB" w:eastAsia="fr-FR"/>
              </w:rPr>
              <w:lastRenderedPageBreak/>
              <w:t>(depressive)</w:t>
            </w:r>
          </w:p>
        </w:tc>
        <w:tc>
          <w:tcPr>
            <w:tcW w:w="2040"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lastRenderedPageBreak/>
              <w:t>no</w:t>
            </w:r>
          </w:p>
        </w:tc>
        <w:tc>
          <w:tcPr>
            <w:tcW w:w="3517"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no</w:t>
            </w:r>
          </w:p>
        </w:tc>
        <w:tc>
          <w:tcPr>
            <w:tcW w:w="2604" w:type="dxa"/>
            <w:shd w:val="clear" w:color="auto" w:fill="auto"/>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 xml:space="preserve">Extrapyramidal syndrome, hyperglycaemia, </w:t>
            </w:r>
            <w:r>
              <w:rPr>
                <w:rFonts w:ascii="Times New Roman" w:eastAsia="Times New Roman" w:hAnsi="Times New Roman" w:cs="Times New Roman"/>
                <w:color w:val="000000"/>
                <w:sz w:val="20"/>
                <w:szCs w:val="20"/>
                <w:lang w:val="en-GB" w:eastAsia="fr-FR"/>
              </w:rPr>
              <w:lastRenderedPageBreak/>
              <w:t>hyperprolactinaemia</w:t>
            </w:r>
          </w:p>
        </w:tc>
        <w:tc>
          <w:tcPr>
            <w:tcW w:w="2219" w:type="dxa"/>
            <w:shd w:val="clear" w:color="auto" w:fill="auto"/>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lastRenderedPageBreak/>
              <w:t>no</w:t>
            </w:r>
          </w:p>
        </w:tc>
        <w:tc>
          <w:tcPr>
            <w:tcW w:w="1752" w:type="dxa"/>
            <w:tcBorders>
              <w:right w:val="single" w:sz="4" w:space="0" w:color="000000"/>
            </w:tcBorders>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7,3% (for SCA-3004)</w:t>
            </w:r>
          </w:p>
        </w:tc>
      </w:tr>
      <w:tr w:rsidR="007A23B1">
        <w:trPr>
          <w:trHeight w:val="66"/>
        </w:trPr>
        <w:tc>
          <w:tcPr>
            <w:tcW w:w="2435" w:type="dxa"/>
            <w:tcBorders>
              <w:left w:val="single" w:sz="4" w:space="0" w:color="000000"/>
            </w:tcBorders>
            <w:shd w:val="clear" w:color="auto" w:fill="D9D9D9" w:themeFill="background1" w:themeFillShade="D9"/>
          </w:tcPr>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Paliperidone (IM</w:t>
            </w:r>
            <w:proofErr w:type="gramStart"/>
            <w:r>
              <w:rPr>
                <w:rFonts w:ascii="Times New Roman" w:eastAsia="Times New Roman" w:hAnsi="Times New Roman" w:cs="Times New Roman"/>
                <w:b/>
                <w:bCs/>
                <w:color w:val="000000"/>
                <w:sz w:val="20"/>
                <w:szCs w:val="20"/>
                <w:lang w:val="en-GB" w:eastAsia="fr-FR"/>
              </w:rPr>
              <w:t>) :</w:t>
            </w:r>
            <w:proofErr w:type="gramEnd"/>
            <w:r>
              <w:rPr>
                <w:rFonts w:ascii="Times New Roman" w:eastAsia="Times New Roman" w:hAnsi="Times New Roman" w:cs="Times New Roman"/>
                <w:b/>
                <w:bCs/>
                <w:color w:val="000000"/>
                <w:sz w:val="20"/>
                <w:szCs w:val="20"/>
                <w:lang w:val="en-GB" w:eastAsia="fr-FR"/>
              </w:rPr>
              <w:t xml:space="preserve"> </w:t>
            </w:r>
          </w:p>
          <w:p w:rsidR="007A23B1" w:rsidRDefault="00F74FC7">
            <w:pPr>
              <w:suppressAutoHyphens w:val="0"/>
              <w:spacing w:after="0" w:line="360" w:lineRule="auto"/>
              <w:rPr>
                <w:rFonts w:ascii="Times New Roman" w:hAnsi="Times New Roman"/>
                <w:b/>
                <w:color w:val="000000"/>
                <w:sz w:val="20"/>
                <w:lang w:val="en-GB"/>
              </w:rPr>
            </w:pPr>
            <w:r>
              <w:rPr>
                <w:rFonts w:ascii="Times New Roman" w:eastAsia="Times New Roman" w:hAnsi="Times New Roman" w:cs="Times New Roman"/>
                <w:b/>
                <w:bCs/>
                <w:color w:val="000000"/>
                <w:sz w:val="20"/>
                <w:szCs w:val="20"/>
                <w:lang w:val="en-GB" w:eastAsia="fr-FR"/>
              </w:rPr>
              <w:t>schizophrenia</w:t>
            </w:r>
          </w:p>
        </w:tc>
        <w:tc>
          <w:tcPr>
            <w:tcW w:w="2040"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3517"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Cardiovascular and cerebrovascular events in elderly patients</w:t>
            </w:r>
          </w:p>
        </w:tc>
        <w:tc>
          <w:tcPr>
            <w:tcW w:w="2604" w:type="dxa"/>
            <w:shd w:val="clear" w:color="auto" w:fill="D9D9D9" w:themeFill="background1" w:themeFillShade="D9"/>
          </w:tcPr>
          <w:p w:rsidR="007A23B1" w:rsidRDefault="00F74FC7">
            <w:pPr>
              <w:suppressAutoHyphens w:val="0"/>
              <w:spacing w:after="0" w:line="36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t>Local injection site reaction</w:t>
            </w:r>
          </w:p>
        </w:tc>
        <w:tc>
          <w:tcPr>
            <w:tcW w:w="2219" w:type="dxa"/>
            <w:shd w:val="clear" w:color="auto" w:fill="D9D9D9" w:themeFill="background1" w:themeFillShade="D9"/>
          </w:tcPr>
          <w:p w:rsidR="007A23B1" w:rsidRDefault="00F74FC7">
            <w:pPr>
              <w:suppressAutoHyphens w:val="0"/>
              <w:spacing w:after="0" w:line="360" w:lineRule="auto"/>
              <w:rPr>
                <w:rFonts w:ascii="Times New Roman" w:hAnsi="Times New Roman"/>
                <w:color w:val="000000"/>
                <w:sz w:val="20"/>
                <w:lang w:val="en-GB"/>
              </w:rPr>
            </w:pPr>
            <w:r>
              <w:rPr>
                <w:rFonts w:ascii="Times New Roman" w:eastAsia="Times New Roman" w:hAnsi="Times New Roman" w:cs="Times New Roman"/>
                <w:color w:val="000000"/>
                <w:sz w:val="20"/>
                <w:szCs w:val="20"/>
                <w:lang w:val="en-GB" w:eastAsia="fr-FR"/>
              </w:rPr>
              <w:t>no</w:t>
            </w:r>
          </w:p>
        </w:tc>
        <w:tc>
          <w:tcPr>
            <w:tcW w:w="1752" w:type="dxa"/>
            <w:tcBorders>
              <w:right w:val="single" w:sz="4" w:space="0" w:color="000000"/>
            </w:tcBorders>
            <w:shd w:val="clear" w:color="auto" w:fill="D9D9D9" w:themeFill="background1" w:themeFillShade="D9"/>
          </w:tcPr>
          <w:p w:rsidR="007A23B1" w:rsidRDefault="00F74FC7">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 to 19,2%</w:t>
            </w:r>
          </w:p>
          <w:p w:rsidR="007A23B1" w:rsidRDefault="007A23B1">
            <w:pPr>
              <w:suppressAutoHyphens w:val="0"/>
              <w:spacing w:after="0" w:line="360" w:lineRule="auto"/>
              <w:rPr>
                <w:rFonts w:ascii="Times New Roman" w:eastAsia="Times New Roman" w:hAnsi="Times New Roman" w:cs="Times New Roman"/>
                <w:color w:val="000000"/>
                <w:sz w:val="20"/>
                <w:szCs w:val="20"/>
                <w:lang w:val="en-GB" w:eastAsia="fr-FR"/>
              </w:rPr>
            </w:pPr>
          </w:p>
        </w:tc>
      </w:tr>
      <w:tr w:rsidR="007A23B1">
        <w:trPr>
          <w:trHeight w:val="300"/>
        </w:trPr>
        <w:tc>
          <w:tcPr>
            <w:tcW w:w="2435" w:type="dxa"/>
            <w:tcBorders>
              <w:left w:val="single" w:sz="4" w:space="0" w:color="000000"/>
              <w:bottom w:val="single" w:sz="4" w:space="0" w:color="000000"/>
            </w:tcBorders>
            <w:shd w:val="clear" w:color="auto" w:fill="auto"/>
          </w:tcPr>
          <w:p w:rsidR="007A23B1" w:rsidRDefault="00F74FC7">
            <w:pPr>
              <w:spacing w:after="0" w:line="360" w:lineRule="auto"/>
              <w:rPr>
                <w:rFonts w:ascii="Times New Roman" w:hAnsi="Times New Roman"/>
                <w:b/>
                <w:sz w:val="20"/>
                <w:lang w:val="en-GB"/>
              </w:rPr>
            </w:pPr>
            <w:r>
              <w:rPr>
                <w:rFonts w:ascii="Times New Roman" w:hAnsi="Times New Roman" w:cs="Times New Roman"/>
                <w:b/>
                <w:sz w:val="20"/>
                <w:szCs w:val="20"/>
                <w:lang w:val="en-GB" w:eastAsia="fr-FR"/>
              </w:rPr>
              <w:t>Pregabalin (O</w:t>
            </w:r>
            <w:proofErr w:type="gramStart"/>
            <w:r>
              <w:rPr>
                <w:rFonts w:ascii="Times New Roman" w:hAnsi="Times New Roman" w:cs="Times New Roman"/>
                <w:b/>
                <w:sz w:val="20"/>
                <w:szCs w:val="20"/>
                <w:lang w:val="en-GB" w:eastAsia="fr-FR"/>
              </w:rPr>
              <w:t>) :</w:t>
            </w:r>
            <w:proofErr w:type="gramEnd"/>
            <w:r>
              <w:rPr>
                <w:rFonts w:ascii="Times New Roman" w:hAnsi="Times New Roman" w:cs="Times New Roman"/>
                <w:b/>
                <w:sz w:val="20"/>
                <w:szCs w:val="20"/>
                <w:lang w:val="en-GB" w:eastAsia="fr-FR"/>
              </w:rPr>
              <w:t xml:space="preserve"> </w:t>
            </w:r>
          </w:p>
          <w:p w:rsidR="007A23B1" w:rsidRDefault="00F74FC7">
            <w:pPr>
              <w:spacing w:after="0" w:line="360" w:lineRule="auto"/>
              <w:rPr>
                <w:rFonts w:ascii="Times New Roman" w:hAnsi="Times New Roman"/>
                <w:b/>
                <w:sz w:val="20"/>
                <w:lang w:val="en-GB"/>
              </w:rPr>
            </w:pPr>
            <w:r>
              <w:rPr>
                <w:rFonts w:ascii="Times New Roman" w:hAnsi="Times New Roman" w:cs="Times New Roman"/>
                <w:b/>
                <w:sz w:val="20"/>
                <w:szCs w:val="20"/>
                <w:lang w:val="en-GB" w:eastAsia="fr-FR"/>
              </w:rPr>
              <w:t>anxiety disorders</w:t>
            </w:r>
          </w:p>
        </w:tc>
        <w:tc>
          <w:tcPr>
            <w:tcW w:w="2040" w:type="dxa"/>
            <w:tcBorders>
              <w:bottom w:val="single" w:sz="4" w:space="0" w:color="000000"/>
            </w:tcBorders>
            <w:shd w:val="clear" w:color="auto" w:fill="auto"/>
          </w:tcPr>
          <w:p w:rsidR="007A23B1" w:rsidRDefault="00F74FC7">
            <w:pPr>
              <w:spacing w:after="0" w:line="360" w:lineRule="auto"/>
              <w:rPr>
                <w:rFonts w:ascii="Times New Roman" w:hAnsi="Times New Roman" w:cs="Times New Roman"/>
                <w:sz w:val="20"/>
                <w:szCs w:val="20"/>
                <w:lang w:val="en-GB" w:eastAsia="fr-FR"/>
              </w:rPr>
            </w:pPr>
            <w:r>
              <w:rPr>
                <w:rFonts w:ascii="Times New Roman" w:hAnsi="Times New Roman" w:cs="Times New Roman"/>
                <w:sz w:val="20"/>
                <w:szCs w:val="20"/>
                <w:lang w:val="en-GB" w:eastAsia="fr-FR"/>
              </w:rPr>
              <w:t>no</w:t>
            </w:r>
          </w:p>
        </w:tc>
        <w:tc>
          <w:tcPr>
            <w:tcW w:w="3517" w:type="dxa"/>
            <w:tcBorders>
              <w:bottom w:val="single" w:sz="4" w:space="0" w:color="000000"/>
            </w:tcBorders>
            <w:shd w:val="clear" w:color="auto" w:fill="auto"/>
          </w:tcPr>
          <w:p w:rsidR="007A23B1" w:rsidRDefault="00F74FC7">
            <w:pPr>
              <w:spacing w:after="0" w:line="360" w:lineRule="auto"/>
              <w:rPr>
                <w:rFonts w:ascii="Times New Roman" w:hAnsi="Times New Roman" w:cs="Times New Roman"/>
                <w:sz w:val="20"/>
                <w:szCs w:val="20"/>
                <w:lang w:val="en-GB" w:eastAsia="fr-FR"/>
              </w:rPr>
            </w:pPr>
            <w:r>
              <w:rPr>
                <w:rFonts w:ascii="Times New Roman" w:hAnsi="Times New Roman" w:cs="Times New Roman"/>
                <w:sz w:val="20"/>
                <w:szCs w:val="20"/>
                <w:lang w:val="en-GB" w:eastAsia="fr-FR"/>
              </w:rPr>
              <w:t>no</w:t>
            </w:r>
          </w:p>
        </w:tc>
        <w:tc>
          <w:tcPr>
            <w:tcW w:w="2604" w:type="dxa"/>
            <w:tcBorders>
              <w:bottom w:val="single" w:sz="4" w:space="0" w:color="000000"/>
            </w:tcBorders>
            <w:shd w:val="clear" w:color="auto" w:fill="auto"/>
          </w:tcPr>
          <w:p w:rsidR="007A23B1" w:rsidRDefault="00F74FC7">
            <w:pPr>
              <w:spacing w:after="0" w:line="360" w:lineRule="auto"/>
              <w:rPr>
                <w:rFonts w:ascii="Times New Roman" w:hAnsi="Times New Roman" w:cs="Times New Roman"/>
                <w:sz w:val="20"/>
                <w:szCs w:val="20"/>
                <w:lang w:val="en-GB" w:eastAsia="fr-FR"/>
              </w:rPr>
            </w:pPr>
            <w:r>
              <w:rPr>
                <w:rFonts w:ascii="Times New Roman" w:hAnsi="Times New Roman" w:cs="Times New Roman"/>
                <w:sz w:val="20"/>
                <w:szCs w:val="20"/>
                <w:lang w:val="en-GB" w:eastAsia="fr-FR"/>
              </w:rPr>
              <w:t>Oedema, weight gain</w:t>
            </w:r>
          </w:p>
        </w:tc>
        <w:tc>
          <w:tcPr>
            <w:tcW w:w="2219" w:type="dxa"/>
            <w:tcBorders>
              <w:bottom w:val="single" w:sz="4" w:space="0" w:color="000000"/>
            </w:tcBorders>
            <w:shd w:val="clear" w:color="auto" w:fill="auto"/>
          </w:tcPr>
          <w:p w:rsidR="007A23B1" w:rsidRDefault="00F74FC7">
            <w:pPr>
              <w:spacing w:after="0" w:line="360" w:lineRule="auto"/>
              <w:rPr>
                <w:rFonts w:ascii="Times New Roman" w:hAnsi="Times New Roman"/>
                <w:sz w:val="20"/>
                <w:lang w:val="en-GB"/>
              </w:rPr>
            </w:pPr>
            <w:r>
              <w:rPr>
                <w:rFonts w:ascii="Times New Roman" w:hAnsi="Times New Roman" w:cs="Times New Roman"/>
                <w:sz w:val="20"/>
                <w:szCs w:val="20"/>
                <w:lang w:val="en-GB" w:eastAsia="fr-FR"/>
              </w:rPr>
              <w:t>Discontinuation symptoms</w:t>
            </w:r>
          </w:p>
        </w:tc>
        <w:tc>
          <w:tcPr>
            <w:tcW w:w="1752" w:type="dxa"/>
            <w:tcBorders>
              <w:bottom w:val="single" w:sz="4" w:space="0" w:color="000000"/>
              <w:right w:val="single" w:sz="4" w:space="0" w:color="000000"/>
            </w:tcBorders>
          </w:tcPr>
          <w:p w:rsidR="007A23B1" w:rsidRDefault="00F74FC7">
            <w:pPr>
              <w:spacing w:after="0" w:line="360" w:lineRule="auto"/>
              <w:rPr>
                <w:rFonts w:ascii="Times New Roman" w:hAnsi="Times New Roman" w:cs="Times New Roman"/>
                <w:sz w:val="20"/>
                <w:szCs w:val="20"/>
                <w:lang w:val="en-GB" w:eastAsia="fr-FR"/>
              </w:rPr>
            </w:pPr>
            <w:r>
              <w:rPr>
                <w:rFonts w:ascii="Times New Roman" w:hAnsi="Times New Roman" w:cs="Times New Roman"/>
                <w:sz w:val="20"/>
                <w:szCs w:val="20"/>
                <w:lang w:val="en-GB" w:eastAsia="fr-FR"/>
              </w:rPr>
              <w:t>10,7% to 11,3%</w:t>
            </w:r>
          </w:p>
        </w:tc>
      </w:tr>
    </w:tbl>
    <w:p w:rsidR="007A23B1" w:rsidRDefault="00F74FC7">
      <w:pPr>
        <w:pStyle w:val="Sous-titre"/>
        <w:spacing w:after="0" w:line="360" w:lineRule="auto"/>
        <w:jc w:val="left"/>
        <w:rPr>
          <w:b/>
          <w:lang w:val="en-GB"/>
        </w:rPr>
      </w:pPr>
      <w:bookmarkStart w:id="5" w:name="_Toc493672780"/>
      <w:r>
        <w:rPr>
          <w:b/>
          <w:lang w:val="en-GB"/>
        </w:rPr>
        <w:t>e-Table 4: Details for evaluations with mention of safety and/or tolerance issue</w:t>
      </w:r>
      <w:bookmarkEnd w:id="5"/>
      <w:r>
        <w:rPr>
          <w:b/>
          <w:lang w:val="en-GB"/>
        </w:rPr>
        <w:t>s</w:t>
      </w:r>
    </w:p>
    <w:p w:rsidR="007A23B1" w:rsidRDefault="00F74FC7">
      <w:pPr>
        <w:spacing w:after="0" w:line="360" w:lineRule="auto"/>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WBC :</w:t>
      </w:r>
      <w:proofErr w:type="gramEnd"/>
      <w:r>
        <w:rPr>
          <w:rFonts w:ascii="Times New Roman" w:hAnsi="Times New Roman" w:cs="Times New Roman"/>
          <w:sz w:val="20"/>
          <w:szCs w:val="20"/>
          <w:lang w:val="en-GB"/>
        </w:rPr>
        <w:t xml:space="preserve"> white blood cells; IAIV: inadvertent intravascular injection</w:t>
      </w:r>
    </w:p>
    <w:p w:rsidR="007A23B1" w:rsidRDefault="00F74FC7">
      <w:pPr>
        <w:suppressAutoHyphens w:val="0"/>
        <w:spacing w:after="0" w:line="240" w:lineRule="auto"/>
        <w:rPr>
          <w:rFonts w:ascii="Times New Roman" w:hAnsi="Times New Roman" w:cs="Times New Roman"/>
          <w:sz w:val="20"/>
          <w:szCs w:val="20"/>
          <w:lang w:val="en-GB"/>
        </w:rPr>
      </w:pPr>
      <w:r>
        <w:br w:type="page"/>
      </w:r>
    </w:p>
    <w:tbl>
      <w:tblPr>
        <w:tblW w:w="5000" w:type="pct"/>
        <w:tblCellMar>
          <w:top w:w="28" w:type="dxa"/>
          <w:left w:w="28" w:type="dxa"/>
          <w:bottom w:w="28" w:type="dxa"/>
          <w:right w:w="28" w:type="dxa"/>
        </w:tblCellMar>
        <w:tblLook w:val="0000" w:firstRow="0" w:lastRow="0" w:firstColumn="0" w:lastColumn="0" w:noHBand="0" w:noVBand="0"/>
      </w:tblPr>
      <w:tblGrid>
        <w:gridCol w:w="1055"/>
        <w:gridCol w:w="1042"/>
        <w:gridCol w:w="1249"/>
        <w:gridCol w:w="1750"/>
        <w:gridCol w:w="1423"/>
        <w:gridCol w:w="1707"/>
        <w:gridCol w:w="1299"/>
        <w:gridCol w:w="32"/>
        <w:gridCol w:w="32"/>
        <w:gridCol w:w="1109"/>
        <w:gridCol w:w="1422"/>
        <w:gridCol w:w="1034"/>
        <w:gridCol w:w="1472"/>
      </w:tblGrid>
      <w:tr w:rsidR="007A23B1" w:rsidRPr="00B4241A">
        <w:trPr>
          <w:tblHeader/>
        </w:trPr>
        <w:tc>
          <w:tcPr>
            <w:tcW w:w="1051" w:type="dxa"/>
            <w:tcBorders>
              <w:top w:val="single" w:sz="4" w:space="0" w:color="000000"/>
              <w:left w:val="single" w:sz="4" w:space="0" w:color="000000"/>
            </w:tcBorders>
            <w:shd w:val="clear" w:color="auto" w:fill="BFBFBF"/>
            <w:vAlign w:val="center"/>
          </w:tcPr>
          <w:p w:rsidR="007A23B1" w:rsidRDefault="00F74FC7">
            <w:pPr>
              <w:pageBreakBefore/>
              <w:suppressLineNumbers/>
              <w:spacing w:after="0" w:line="240" w:lineRule="auto"/>
              <w:rPr>
                <w:rFonts w:ascii="Liberation Serif" w:eastAsia="NSimSun" w:hAnsi="Liberation Serif" w:cs="Arial"/>
                <w:b/>
                <w:bCs/>
                <w:kern w:val="2"/>
                <w:sz w:val="16"/>
                <w:szCs w:val="16"/>
                <w:lang w:bidi="hi-IN"/>
              </w:rPr>
            </w:pPr>
            <w:r>
              <w:rPr>
                <w:rFonts w:ascii="Liberation Serif" w:eastAsia="NSimSun" w:hAnsi="Liberation Serif" w:cs="Arial"/>
                <w:b/>
                <w:bCs/>
                <w:kern w:val="2"/>
                <w:sz w:val="16"/>
                <w:szCs w:val="16"/>
                <w:lang w:bidi="hi-IN"/>
              </w:rPr>
              <w:lastRenderedPageBreak/>
              <w:t>Drug class</w:t>
            </w:r>
          </w:p>
        </w:tc>
        <w:tc>
          <w:tcPr>
            <w:tcW w:w="1038" w:type="dxa"/>
            <w:tcBorders>
              <w:top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b/>
                <w:bCs/>
                <w:kern w:val="2"/>
                <w:sz w:val="16"/>
                <w:szCs w:val="16"/>
                <w:lang w:bidi="hi-IN"/>
              </w:rPr>
            </w:pPr>
            <w:proofErr w:type="spellStart"/>
            <w:r>
              <w:rPr>
                <w:rFonts w:ascii="Liberation Serif" w:eastAsia="NSimSun" w:hAnsi="Liberation Serif" w:cs="Arial"/>
                <w:b/>
                <w:bCs/>
                <w:kern w:val="2"/>
                <w:sz w:val="16"/>
                <w:szCs w:val="16"/>
                <w:lang w:bidi="hi-IN"/>
              </w:rPr>
              <w:t>Number</w:t>
            </w:r>
            <w:proofErr w:type="spellEnd"/>
            <w:r>
              <w:rPr>
                <w:rFonts w:ascii="Liberation Serif" w:eastAsia="NSimSun" w:hAnsi="Liberation Serif" w:cs="Arial"/>
                <w:b/>
                <w:bCs/>
                <w:kern w:val="2"/>
                <w:sz w:val="16"/>
                <w:szCs w:val="16"/>
                <w:lang w:bidi="hi-IN"/>
              </w:rPr>
              <w:t xml:space="preserve"> of </w:t>
            </w:r>
            <w:proofErr w:type="spellStart"/>
            <w:r>
              <w:rPr>
                <w:rFonts w:ascii="Liberation Serif" w:eastAsia="NSimSun" w:hAnsi="Liberation Serif" w:cs="Arial"/>
                <w:b/>
                <w:bCs/>
                <w:kern w:val="2"/>
                <w:sz w:val="16"/>
                <w:szCs w:val="16"/>
                <w:lang w:bidi="hi-IN"/>
              </w:rPr>
              <w:t>comparisons</w:t>
            </w:r>
            <w:proofErr w:type="spellEnd"/>
            <w:r>
              <w:rPr>
                <w:rFonts w:ascii="Liberation Serif" w:eastAsia="NSimSun" w:hAnsi="Liberation Serif" w:cs="Arial"/>
                <w:b/>
                <w:bCs/>
                <w:kern w:val="2"/>
                <w:sz w:val="16"/>
                <w:szCs w:val="16"/>
                <w:lang w:bidi="hi-IN"/>
              </w:rPr>
              <w:t xml:space="preserve"> </w:t>
            </w:r>
          </w:p>
        </w:tc>
        <w:tc>
          <w:tcPr>
            <w:tcW w:w="1244" w:type="dxa"/>
            <w:tcBorders>
              <w:top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b/>
                <w:bCs/>
                <w:kern w:val="2"/>
                <w:sz w:val="16"/>
                <w:szCs w:val="16"/>
                <w:lang w:val="en-US" w:bidi="hi-IN"/>
              </w:rPr>
            </w:pPr>
            <w:r>
              <w:rPr>
                <w:rFonts w:ascii="Liberation Serif" w:eastAsia="NSimSun" w:hAnsi="Liberation Serif" w:cs="Arial"/>
                <w:b/>
                <w:bCs/>
                <w:kern w:val="2"/>
                <w:sz w:val="16"/>
                <w:szCs w:val="16"/>
                <w:lang w:val="en-US" w:bidi="hi-IN"/>
              </w:rPr>
              <w:t>Number of comparisons with significant differences</w:t>
            </w:r>
          </w:p>
        </w:tc>
        <w:tc>
          <w:tcPr>
            <w:tcW w:w="1743" w:type="dxa"/>
            <w:tcBorders>
              <w:top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b/>
                <w:bCs/>
                <w:kern w:val="2"/>
                <w:sz w:val="16"/>
                <w:szCs w:val="16"/>
                <w:lang w:val="en-US" w:bidi="hi-IN"/>
              </w:rPr>
            </w:pPr>
            <w:r>
              <w:rPr>
                <w:rFonts w:ascii="Liberation Serif" w:eastAsia="NSimSun" w:hAnsi="Liberation Serif" w:cs="Arial"/>
                <w:b/>
                <w:bCs/>
                <w:kern w:val="2"/>
                <w:sz w:val="16"/>
                <w:szCs w:val="16"/>
                <w:lang w:val="en-US" w:bidi="hi-IN"/>
              </w:rPr>
              <w:t>Number of comparisons with significant differences in favor of the experimental drug</w:t>
            </w:r>
          </w:p>
        </w:tc>
        <w:tc>
          <w:tcPr>
            <w:tcW w:w="1417" w:type="dxa"/>
            <w:tcBorders>
              <w:top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b/>
                <w:bCs/>
                <w:kern w:val="2"/>
                <w:sz w:val="16"/>
                <w:szCs w:val="16"/>
                <w:lang w:val="en-US" w:bidi="hi-IN"/>
              </w:rPr>
            </w:pPr>
            <w:r>
              <w:rPr>
                <w:rFonts w:ascii="Liberation Serif" w:eastAsia="NSimSun" w:hAnsi="Liberation Serif" w:cs="Arial"/>
                <w:b/>
                <w:bCs/>
                <w:kern w:val="2"/>
                <w:sz w:val="16"/>
                <w:szCs w:val="16"/>
                <w:lang w:val="en-US" w:bidi="hi-IN"/>
              </w:rPr>
              <w:t>Median effect size at the study level (min-</w:t>
            </w:r>
            <w:proofErr w:type="gramStart"/>
            <w:r>
              <w:rPr>
                <w:rFonts w:ascii="Liberation Serif" w:eastAsia="NSimSun" w:hAnsi="Liberation Serif" w:cs="Arial"/>
                <w:b/>
                <w:bCs/>
                <w:kern w:val="2"/>
                <w:sz w:val="16"/>
                <w:szCs w:val="16"/>
                <w:lang w:val="en-US" w:bidi="hi-IN"/>
              </w:rPr>
              <w:t>max)*</w:t>
            </w:r>
            <w:proofErr w:type="gramEnd"/>
          </w:p>
        </w:tc>
        <w:tc>
          <w:tcPr>
            <w:tcW w:w="1700" w:type="dxa"/>
            <w:tcBorders>
              <w:top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b/>
                <w:bCs/>
                <w:kern w:val="2"/>
                <w:sz w:val="16"/>
                <w:szCs w:val="16"/>
                <w:lang w:val="en-US" w:bidi="hi-IN"/>
              </w:rPr>
            </w:pPr>
            <w:r>
              <w:rPr>
                <w:rFonts w:ascii="Liberation Serif" w:eastAsia="NSimSun" w:hAnsi="Liberation Serif" w:cs="Arial"/>
                <w:b/>
                <w:bCs/>
                <w:kern w:val="2"/>
                <w:sz w:val="16"/>
                <w:szCs w:val="16"/>
                <w:lang w:val="en-US" w:bidi="hi-IN"/>
              </w:rPr>
              <w:t>Number of unique comparisons</w:t>
            </w:r>
          </w:p>
          <w:p w:rsidR="007A23B1" w:rsidRDefault="00F74FC7">
            <w:pPr>
              <w:suppressLineNumbers/>
              <w:spacing w:after="0" w:line="240" w:lineRule="auto"/>
              <w:jc w:val="center"/>
              <w:rPr>
                <w:rFonts w:ascii="Liberation Serif" w:eastAsia="NSimSun" w:hAnsi="Liberation Serif" w:cs="Arial"/>
                <w:b/>
                <w:bCs/>
                <w:kern w:val="2"/>
                <w:sz w:val="16"/>
                <w:szCs w:val="16"/>
                <w:lang w:val="en-US" w:bidi="hi-IN"/>
              </w:rPr>
            </w:pPr>
            <w:r>
              <w:rPr>
                <w:rFonts w:ascii="Liberation Serif" w:eastAsia="NSimSun" w:hAnsi="Liberation Serif" w:cs="Arial"/>
                <w:b/>
                <w:bCs/>
                <w:kern w:val="2"/>
                <w:sz w:val="16"/>
                <w:szCs w:val="16"/>
                <w:lang w:val="en-US" w:bidi="hi-IN"/>
              </w:rPr>
              <w:t>(i.e. number of meta-analyses)</w:t>
            </w:r>
          </w:p>
        </w:tc>
        <w:tc>
          <w:tcPr>
            <w:tcW w:w="1326" w:type="dxa"/>
            <w:gridSpan w:val="2"/>
            <w:tcBorders>
              <w:top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b/>
                <w:bCs/>
                <w:kern w:val="2"/>
                <w:sz w:val="16"/>
                <w:szCs w:val="16"/>
                <w:lang w:val="en-US" w:bidi="hi-IN"/>
              </w:rPr>
            </w:pPr>
            <w:r>
              <w:rPr>
                <w:rFonts w:ascii="Liberation Serif" w:eastAsia="NSimSun" w:hAnsi="Liberation Serif" w:cs="Arial"/>
                <w:b/>
                <w:bCs/>
                <w:kern w:val="2"/>
                <w:sz w:val="16"/>
                <w:szCs w:val="16"/>
                <w:lang w:val="en-US" w:bidi="hi-IN"/>
              </w:rPr>
              <w:t>Number of unique comparisons explored in only one study</w:t>
            </w:r>
          </w:p>
        </w:tc>
        <w:tc>
          <w:tcPr>
            <w:tcW w:w="1137" w:type="dxa"/>
            <w:gridSpan w:val="2"/>
            <w:tcBorders>
              <w:top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b/>
                <w:bCs/>
                <w:kern w:val="2"/>
                <w:sz w:val="16"/>
                <w:szCs w:val="16"/>
                <w:lang w:val="en-US" w:bidi="hi-IN"/>
              </w:rPr>
            </w:pPr>
            <w:r>
              <w:rPr>
                <w:rFonts w:ascii="Liberation Serif" w:eastAsia="NSimSun" w:hAnsi="Liberation Serif" w:cs="Arial"/>
                <w:b/>
                <w:bCs/>
                <w:kern w:val="2"/>
                <w:sz w:val="16"/>
                <w:szCs w:val="16"/>
                <w:lang w:val="en-US" w:bidi="hi-IN"/>
              </w:rPr>
              <w:t>Number of meta-analyses with no significant results</w:t>
            </w:r>
          </w:p>
        </w:tc>
        <w:tc>
          <w:tcPr>
            <w:tcW w:w="1416" w:type="dxa"/>
            <w:tcBorders>
              <w:top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b/>
                <w:bCs/>
                <w:kern w:val="2"/>
                <w:sz w:val="16"/>
                <w:szCs w:val="16"/>
                <w:lang w:val="en-US" w:bidi="hi-IN"/>
              </w:rPr>
            </w:pPr>
            <w:r>
              <w:rPr>
                <w:rFonts w:ascii="Liberation Serif" w:eastAsia="NSimSun" w:hAnsi="Liberation Serif" w:cs="Arial"/>
                <w:b/>
                <w:bCs/>
                <w:kern w:val="2"/>
                <w:sz w:val="16"/>
                <w:szCs w:val="16"/>
                <w:lang w:val="en-US" w:bidi="hi-IN"/>
              </w:rPr>
              <w:t>Number of meta-analyses with significant differences in favor of the experimental drug</w:t>
            </w:r>
          </w:p>
        </w:tc>
        <w:tc>
          <w:tcPr>
            <w:tcW w:w="1030" w:type="dxa"/>
            <w:tcBorders>
              <w:top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b/>
                <w:bCs/>
                <w:kern w:val="2"/>
                <w:sz w:val="16"/>
                <w:szCs w:val="16"/>
                <w:lang w:val="en-US" w:bidi="hi-IN"/>
              </w:rPr>
            </w:pPr>
            <w:r>
              <w:rPr>
                <w:rFonts w:ascii="Liberation Serif" w:eastAsia="NSimSun" w:hAnsi="Liberation Serif" w:cs="Arial"/>
                <w:b/>
                <w:bCs/>
                <w:kern w:val="2"/>
                <w:sz w:val="16"/>
                <w:szCs w:val="16"/>
                <w:lang w:val="en-US" w:bidi="hi-IN"/>
              </w:rPr>
              <w:t>Number of meta-analyses with significant differences in favor of the comparator</w:t>
            </w:r>
          </w:p>
        </w:tc>
        <w:tc>
          <w:tcPr>
            <w:tcW w:w="1466" w:type="dxa"/>
            <w:tcBorders>
              <w:top w:val="single" w:sz="4" w:space="0" w:color="000000"/>
              <w:right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b/>
                <w:bCs/>
                <w:kern w:val="2"/>
                <w:sz w:val="16"/>
                <w:szCs w:val="16"/>
                <w:lang w:val="en-US" w:bidi="hi-IN"/>
              </w:rPr>
            </w:pPr>
            <w:r>
              <w:rPr>
                <w:rFonts w:ascii="Liberation Serif" w:eastAsia="NSimSun" w:hAnsi="Liberation Serif" w:cs="Arial"/>
                <w:b/>
                <w:bCs/>
                <w:kern w:val="2"/>
                <w:sz w:val="16"/>
                <w:szCs w:val="16"/>
                <w:lang w:val="en-US" w:bidi="hi-IN"/>
              </w:rPr>
              <w:t>Median effect size at the meta-analysis level (min-</w:t>
            </w:r>
            <w:proofErr w:type="gramStart"/>
            <w:r>
              <w:rPr>
                <w:rFonts w:ascii="Liberation Serif" w:eastAsia="NSimSun" w:hAnsi="Liberation Serif" w:cs="Arial"/>
                <w:b/>
                <w:bCs/>
                <w:kern w:val="2"/>
                <w:sz w:val="16"/>
                <w:szCs w:val="16"/>
                <w:lang w:val="en-US" w:bidi="hi-IN"/>
              </w:rPr>
              <w:t>max)*</w:t>
            </w:r>
            <w:proofErr w:type="gramEnd"/>
          </w:p>
        </w:tc>
      </w:tr>
      <w:tr w:rsidR="007A23B1">
        <w:tc>
          <w:tcPr>
            <w:tcW w:w="3333" w:type="dxa"/>
            <w:gridSpan w:val="3"/>
            <w:tcBorders>
              <w:left w:val="single" w:sz="4" w:space="0" w:color="000000"/>
            </w:tcBorders>
            <w:shd w:val="clear" w:color="auto" w:fill="auto"/>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r>
              <w:rPr>
                <w:rFonts w:ascii="Liberation Serif" w:eastAsia="NSimSun" w:hAnsi="Liberation Serif" w:cs="Arial"/>
                <w:b/>
                <w:kern w:val="2"/>
                <w:sz w:val="16"/>
                <w:szCs w:val="16"/>
                <w:lang w:bidi="hi-IN"/>
              </w:rPr>
              <w:t>Initiation trials versus active</w:t>
            </w:r>
          </w:p>
        </w:tc>
        <w:tc>
          <w:tcPr>
            <w:tcW w:w="1743" w:type="dxa"/>
            <w:shd w:val="clear" w:color="auto" w:fill="auto"/>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1417" w:type="dxa"/>
          </w:tcPr>
          <w:p w:rsidR="007A23B1" w:rsidRDefault="007A23B1">
            <w:pPr>
              <w:suppressLineNumbers/>
              <w:spacing w:after="0" w:line="240" w:lineRule="auto"/>
              <w:jc w:val="right"/>
              <w:rPr>
                <w:rFonts w:ascii="Liberation Serif" w:eastAsia="NSimSun" w:hAnsi="Liberation Serif" w:cs="Arial"/>
                <w:kern w:val="2"/>
                <w:sz w:val="16"/>
                <w:szCs w:val="16"/>
                <w:lang w:bidi="hi-IN"/>
              </w:rPr>
            </w:pPr>
          </w:p>
        </w:tc>
        <w:tc>
          <w:tcPr>
            <w:tcW w:w="1700" w:type="dxa"/>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1294" w:type="dxa"/>
            <w:shd w:val="clear" w:color="auto" w:fill="auto"/>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64" w:type="dxa"/>
            <w:gridSpan w:val="2"/>
            <w:shd w:val="clear" w:color="auto" w:fill="auto"/>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1105" w:type="dxa"/>
            <w:shd w:val="clear" w:color="auto" w:fill="auto"/>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3912" w:type="dxa"/>
            <w:gridSpan w:val="3"/>
            <w:tcBorders>
              <w:right w:val="single" w:sz="4" w:space="0" w:color="000000"/>
            </w:tcBorders>
            <w:shd w:val="clear" w:color="auto" w:fill="auto"/>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r>
      <w:tr w:rsidR="007A23B1">
        <w:tc>
          <w:tcPr>
            <w:tcW w:w="1051" w:type="dxa"/>
            <w:tcBorders>
              <w:left w:val="single" w:sz="4" w:space="0" w:color="000000"/>
            </w:tcBorders>
            <w:shd w:val="clear" w:color="auto" w:fill="BFBFBF"/>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 xml:space="preserve">All </w:t>
            </w:r>
          </w:p>
        </w:tc>
        <w:tc>
          <w:tcPr>
            <w:tcW w:w="1038"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57</w:t>
            </w:r>
          </w:p>
        </w:tc>
        <w:tc>
          <w:tcPr>
            <w:tcW w:w="1244"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13 (23 %)</w:t>
            </w:r>
          </w:p>
        </w:tc>
        <w:tc>
          <w:tcPr>
            <w:tcW w:w="1743"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4 (7 %)</w:t>
            </w:r>
          </w:p>
        </w:tc>
        <w:tc>
          <w:tcPr>
            <w:tcW w:w="1417"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0.044</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(-0.503 to 0.676)</w:t>
            </w:r>
          </w:p>
        </w:tc>
        <w:tc>
          <w:tcPr>
            <w:tcW w:w="1700"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31</w:t>
            </w:r>
          </w:p>
        </w:tc>
        <w:tc>
          <w:tcPr>
            <w:tcW w:w="1326" w:type="dxa"/>
            <w:gridSpan w:val="2"/>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16 (52 %)</w:t>
            </w:r>
          </w:p>
        </w:tc>
        <w:tc>
          <w:tcPr>
            <w:tcW w:w="1137" w:type="dxa"/>
            <w:gridSpan w:val="2"/>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25 (81 %)</w:t>
            </w:r>
          </w:p>
        </w:tc>
        <w:tc>
          <w:tcPr>
            <w:tcW w:w="1416"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 (6 %)</w:t>
            </w:r>
          </w:p>
        </w:tc>
        <w:tc>
          <w:tcPr>
            <w:tcW w:w="1030"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4 (13 %)</w:t>
            </w:r>
          </w:p>
        </w:tc>
        <w:tc>
          <w:tcPr>
            <w:tcW w:w="1466" w:type="dxa"/>
            <w:tcBorders>
              <w:right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0.051</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(-0.503 to 0.318)</w:t>
            </w:r>
          </w:p>
        </w:tc>
      </w:tr>
      <w:tr w:rsidR="007A23B1">
        <w:tc>
          <w:tcPr>
            <w:tcW w:w="1051" w:type="dxa"/>
            <w:tcBorders>
              <w:left w:val="single" w:sz="4" w:space="0" w:color="000000"/>
            </w:tcBorders>
            <w:shd w:val="clear" w:color="auto" w:fill="auto"/>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proofErr w:type="spellStart"/>
            <w:r>
              <w:rPr>
                <w:rFonts w:ascii="Liberation Serif" w:eastAsia="NSimSun" w:hAnsi="Liberation Serif" w:cs="Arial"/>
                <w:kern w:val="2"/>
                <w:sz w:val="16"/>
                <w:szCs w:val="16"/>
                <w:lang w:bidi="hi-IN"/>
              </w:rPr>
              <w:t>Antidepressant</w:t>
            </w:r>
            <w:proofErr w:type="spellEnd"/>
            <w:r>
              <w:rPr>
                <w:rFonts w:ascii="Liberation Serif" w:eastAsia="NSimSun" w:hAnsi="Liberation Serif" w:cs="Arial"/>
                <w:kern w:val="2"/>
                <w:sz w:val="16"/>
                <w:szCs w:val="16"/>
                <w:lang w:bidi="hi-IN"/>
              </w:rPr>
              <w:t xml:space="preserve"> </w:t>
            </w:r>
          </w:p>
        </w:tc>
        <w:tc>
          <w:tcPr>
            <w:tcW w:w="1038"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24</w:t>
            </w:r>
          </w:p>
        </w:tc>
        <w:tc>
          <w:tcPr>
            <w:tcW w:w="1244"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6 (25 %)</w:t>
            </w:r>
          </w:p>
        </w:tc>
        <w:tc>
          <w:tcPr>
            <w:tcW w:w="1743"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 (4 %)</w:t>
            </w:r>
          </w:p>
        </w:tc>
        <w:tc>
          <w:tcPr>
            <w:tcW w:w="1417" w:type="dxa"/>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0.059</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(-0.297 to 0.414)</w:t>
            </w:r>
          </w:p>
        </w:tc>
        <w:tc>
          <w:tcPr>
            <w:tcW w:w="170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9</w:t>
            </w:r>
          </w:p>
        </w:tc>
        <w:tc>
          <w:tcPr>
            <w:tcW w:w="1326"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 (11 %)</w:t>
            </w:r>
          </w:p>
        </w:tc>
        <w:tc>
          <w:tcPr>
            <w:tcW w:w="1137"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7 (78 %)</w:t>
            </w:r>
          </w:p>
        </w:tc>
        <w:tc>
          <w:tcPr>
            <w:tcW w:w="1416"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03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 (22 %)</w:t>
            </w:r>
          </w:p>
        </w:tc>
        <w:tc>
          <w:tcPr>
            <w:tcW w:w="1466" w:type="dxa"/>
            <w:tcBorders>
              <w:right w:val="single" w:sz="4" w:space="0" w:color="000000"/>
            </w:tcBorders>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0.070</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(-0.069 to 0.187)</w:t>
            </w:r>
          </w:p>
        </w:tc>
      </w:tr>
      <w:tr w:rsidR="007A23B1">
        <w:tc>
          <w:tcPr>
            <w:tcW w:w="1051" w:type="dxa"/>
            <w:tcBorders>
              <w:left w:val="single" w:sz="4" w:space="0" w:color="000000"/>
            </w:tcBorders>
            <w:shd w:val="clear" w:color="auto" w:fill="BFBFBF"/>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proofErr w:type="spellStart"/>
            <w:r>
              <w:rPr>
                <w:rFonts w:ascii="Liberation Serif" w:eastAsia="NSimSun" w:hAnsi="Liberation Serif" w:cs="Arial"/>
                <w:kern w:val="2"/>
                <w:sz w:val="16"/>
                <w:szCs w:val="16"/>
                <w:lang w:bidi="hi-IN"/>
              </w:rPr>
              <w:t>Antipsychotic</w:t>
            </w:r>
            <w:proofErr w:type="spellEnd"/>
            <w:r>
              <w:rPr>
                <w:rFonts w:ascii="Liberation Serif" w:eastAsia="NSimSun" w:hAnsi="Liberation Serif" w:cs="Arial"/>
                <w:kern w:val="2"/>
                <w:sz w:val="16"/>
                <w:szCs w:val="16"/>
                <w:lang w:bidi="hi-IN"/>
              </w:rPr>
              <w:t xml:space="preserve"> </w:t>
            </w:r>
          </w:p>
        </w:tc>
        <w:tc>
          <w:tcPr>
            <w:tcW w:w="1038"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18</w:t>
            </w:r>
          </w:p>
        </w:tc>
        <w:tc>
          <w:tcPr>
            <w:tcW w:w="1244"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3 (17 %)</w:t>
            </w:r>
          </w:p>
        </w:tc>
        <w:tc>
          <w:tcPr>
            <w:tcW w:w="1743"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 (6 %)</w:t>
            </w:r>
          </w:p>
        </w:tc>
        <w:tc>
          <w:tcPr>
            <w:tcW w:w="1417"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0.052</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(-0.503 to 0.283)</w:t>
            </w:r>
          </w:p>
        </w:tc>
        <w:tc>
          <w:tcPr>
            <w:tcW w:w="1700"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15</w:t>
            </w:r>
          </w:p>
        </w:tc>
        <w:tc>
          <w:tcPr>
            <w:tcW w:w="1326" w:type="dxa"/>
            <w:gridSpan w:val="2"/>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12 (80 %)</w:t>
            </w:r>
          </w:p>
        </w:tc>
        <w:tc>
          <w:tcPr>
            <w:tcW w:w="1137" w:type="dxa"/>
            <w:gridSpan w:val="2"/>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12 (80 %)</w:t>
            </w:r>
          </w:p>
        </w:tc>
        <w:tc>
          <w:tcPr>
            <w:tcW w:w="1416"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 (7 %)</w:t>
            </w:r>
          </w:p>
        </w:tc>
        <w:tc>
          <w:tcPr>
            <w:tcW w:w="1030"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 (13 %)</w:t>
            </w:r>
          </w:p>
        </w:tc>
        <w:tc>
          <w:tcPr>
            <w:tcW w:w="1466" w:type="dxa"/>
            <w:tcBorders>
              <w:right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0.053</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(-0.503 to 0.283)</w:t>
            </w:r>
          </w:p>
        </w:tc>
      </w:tr>
      <w:tr w:rsidR="007A23B1">
        <w:tc>
          <w:tcPr>
            <w:tcW w:w="1051" w:type="dxa"/>
            <w:tcBorders>
              <w:left w:val="single" w:sz="4" w:space="0" w:color="000000"/>
            </w:tcBorders>
            <w:shd w:val="clear" w:color="auto" w:fill="auto"/>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proofErr w:type="spellStart"/>
            <w:r>
              <w:rPr>
                <w:rFonts w:ascii="Liberation Serif" w:eastAsia="NSimSun" w:hAnsi="Liberation Serif" w:cs="Arial"/>
                <w:kern w:val="2"/>
                <w:sz w:val="16"/>
                <w:szCs w:val="16"/>
                <w:lang w:bidi="hi-IN"/>
              </w:rPr>
              <w:t>Other</w:t>
            </w:r>
            <w:proofErr w:type="spellEnd"/>
            <w:r>
              <w:rPr>
                <w:rFonts w:ascii="Liberation Serif" w:eastAsia="NSimSun" w:hAnsi="Liberation Serif" w:cs="Arial"/>
                <w:kern w:val="2"/>
                <w:sz w:val="16"/>
                <w:szCs w:val="16"/>
                <w:lang w:bidi="hi-IN"/>
              </w:rPr>
              <w:t xml:space="preserve"> </w:t>
            </w:r>
          </w:p>
        </w:tc>
        <w:tc>
          <w:tcPr>
            <w:tcW w:w="1038"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15</w:t>
            </w:r>
          </w:p>
        </w:tc>
        <w:tc>
          <w:tcPr>
            <w:tcW w:w="1244"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4 (27 %)</w:t>
            </w:r>
          </w:p>
        </w:tc>
        <w:tc>
          <w:tcPr>
            <w:tcW w:w="1743"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 (13 %)</w:t>
            </w:r>
          </w:p>
        </w:tc>
        <w:tc>
          <w:tcPr>
            <w:tcW w:w="1417" w:type="dxa"/>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-0.054</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(-0.357 to 0.676)</w:t>
            </w:r>
          </w:p>
        </w:tc>
        <w:tc>
          <w:tcPr>
            <w:tcW w:w="170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7</w:t>
            </w:r>
          </w:p>
        </w:tc>
        <w:tc>
          <w:tcPr>
            <w:tcW w:w="1326"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3 (43 %)</w:t>
            </w:r>
          </w:p>
        </w:tc>
        <w:tc>
          <w:tcPr>
            <w:tcW w:w="1137"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6 (86 %)</w:t>
            </w:r>
          </w:p>
        </w:tc>
        <w:tc>
          <w:tcPr>
            <w:tcW w:w="1416"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 (14 %)</w:t>
            </w:r>
          </w:p>
        </w:tc>
        <w:tc>
          <w:tcPr>
            <w:tcW w:w="103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66" w:type="dxa"/>
            <w:tcBorders>
              <w:right w:val="single" w:sz="4" w:space="0" w:color="000000"/>
            </w:tcBorders>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-0.018</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(-0.346 to 0.318)</w:t>
            </w:r>
          </w:p>
        </w:tc>
      </w:tr>
      <w:tr w:rsidR="007A23B1">
        <w:tc>
          <w:tcPr>
            <w:tcW w:w="3333" w:type="dxa"/>
            <w:gridSpan w:val="3"/>
            <w:tcBorders>
              <w:left w:val="single" w:sz="4" w:space="0" w:color="000000"/>
            </w:tcBorders>
            <w:shd w:val="clear" w:color="auto" w:fill="BFBFBF"/>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r>
              <w:rPr>
                <w:rFonts w:ascii="Liberation Serif" w:eastAsia="NSimSun" w:hAnsi="Liberation Serif" w:cs="Arial"/>
                <w:b/>
                <w:kern w:val="2"/>
                <w:sz w:val="16"/>
                <w:szCs w:val="16"/>
                <w:lang w:bidi="hi-IN"/>
              </w:rPr>
              <w:t>Initiation trials versus placebo</w:t>
            </w:r>
          </w:p>
        </w:tc>
        <w:tc>
          <w:tcPr>
            <w:tcW w:w="1743" w:type="dxa"/>
            <w:shd w:val="clear" w:color="auto" w:fill="BFBFBF"/>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1417" w:type="dxa"/>
            <w:shd w:val="clear" w:color="auto" w:fill="BFBFBF"/>
          </w:tcPr>
          <w:p w:rsidR="007A23B1" w:rsidRDefault="007A23B1">
            <w:pPr>
              <w:suppressLineNumbers/>
              <w:spacing w:after="0" w:line="240" w:lineRule="auto"/>
              <w:jc w:val="right"/>
              <w:rPr>
                <w:rFonts w:ascii="Liberation Serif" w:eastAsia="NSimSun" w:hAnsi="Liberation Serif" w:cs="Arial"/>
                <w:kern w:val="2"/>
                <w:sz w:val="16"/>
                <w:szCs w:val="16"/>
                <w:lang w:bidi="hi-IN"/>
              </w:rPr>
            </w:pPr>
          </w:p>
        </w:tc>
        <w:tc>
          <w:tcPr>
            <w:tcW w:w="1700" w:type="dxa"/>
            <w:shd w:val="clear" w:color="auto" w:fill="BFBFBF"/>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1294" w:type="dxa"/>
            <w:shd w:val="clear" w:color="auto" w:fill="BFBFBF"/>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64" w:type="dxa"/>
            <w:gridSpan w:val="2"/>
            <w:shd w:val="clear" w:color="auto" w:fill="BFBFBF"/>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1105" w:type="dxa"/>
            <w:shd w:val="clear" w:color="auto" w:fill="BFBFBF"/>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3912" w:type="dxa"/>
            <w:gridSpan w:val="3"/>
            <w:tcBorders>
              <w:right w:val="single" w:sz="4" w:space="0" w:color="000000"/>
            </w:tcBorders>
            <w:shd w:val="clear" w:color="auto" w:fill="BFBFBF"/>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r>
      <w:tr w:rsidR="007A23B1">
        <w:tc>
          <w:tcPr>
            <w:tcW w:w="1051" w:type="dxa"/>
            <w:tcBorders>
              <w:left w:val="single" w:sz="4" w:space="0" w:color="000000"/>
            </w:tcBorders>
            <w:shd w:val="clear" w:color="auto" w:fill="auto"/>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 xml:space="preserve">All </w:t>
            </w:r>
          </w:p>
        </w:tc>
        <w:tc>
          <w:tcPr>
            <w:tcW w:w="1038"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125</w:t>
            </w:r>
          </w:p>
        </w:tc>
        <w:tc>
          <w:tcPr>
            <w:tcW w:w="1244"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66 (53 %)</w:t>
            </w:r>
          </w:p>
        </w:tc>
        <w:tc>
          <w:tcPr>
            <w:tcW w:w="1743"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66 (53 %)</w:t>
            </w:r>
          </w:p>
        </w:tc>
        <w:tc>
          <w:tcPr>
            <w:tcW w:w="1417" w:type="dxa"/>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-0.276</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(-0.994 to 0.042)</w:t>
            </w:r>
          </w:p>
        </w:tc>
        <w:tc>
          <w:tcPr>
            <w:tcW w:w="170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54</w:t>
            </w:r>
          </w:p>
        </w:tc>
        <w:tc>
          <w:tcPr>
            <w:tcW w:w="1326"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16 (30 %)</w:t>
            </w:r>
          </w:p>
        </w:tc>
        <w:tc>
          <w:tcPr>
            <w:tcW w:w="1137"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12 (22 %)</w:t>
            </w:r>
          </w:p>
        </w:tc>
        <w:tc>
          <w:tcPr>
            <w:tcW w:w="1416"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42 (78 %)</w:t>
            </w:r>
          </w:p>
        </w:tc>
        <w:tc>
          <w:tcPr>
            <w:tcW w:w="103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66" w:type="dxa"/>
            <w:tcBorders>
              <w:right w:val="single" w:sz="4" w:space="0" w:color="000000"/>
            </w:tcBorders>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-0.283</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(-0.82 to 0)</w:t>
            </w:r>
          </w:p>
        </w:tc>
      </w:tr>
      <w:tr w:rsidR="007A23B1">
        <w:tc>
          <w:tcPr>
            <w:tcW w:w="1051" w:type="dxa"/>
            <w:tcBorders>
              <w:left w:val="single" w:sz="4" w:space="0" w:color="000000"/>
            </w:tcBorders>
            <w:shd w:val="clear" w:color="auto" w:fill="BFBFBF"/>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proofErr w:type="spellStart"/>
            <w:r>
              <w:rPr>
                <w:rFonts w:ascii="Liberation Serif" w:eastAsia="NSimSun" w:hAnsi="Liberation Serif" w:cs="Arial"/>
                <w:kern w:val="2"/>
                <w:sz w:val="16"/>
                <w:szCs w:val="16"/>
                <w:lang w:bidi="hi-IN"/>
              </w:rPr>
              <w:t>Antidepressant</w:t>
            </w:r>
            <w:proofErr w:type="spellEnd"/>
            <w:r>
              <w:rPr>
                <w:rFonts w:ascii="Liberation Serif" w:eastAsia="NSimSun" w:hAnsi="Liberation Serif" w:cs="Arial"/>
                <w:kern w:val="2"/>
                <w:sz w:val="16"/>
                <w:szCs w:val="16"/>
                <w:lang w:bidi="hi-IN"/>
              </w:rPr>
              <w:t xml:space="preserve"> </w:t>
            </w:r>
          </w:p>
        </w:tc>
        <w:tc>
          <w:tcPr>
            <w:tcW w:w="1038"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42</w:t>
            </w:r>
          </w:p>
        </w:tc>
        <w:tc>
          <w:tcPr>
            <w:tcW w:w="1244"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23 (55 %)</w:t>
            </w:r>
          </w:p>
        </w:tc>
        <w:tc>
          <w:tcPr>
            <w:tcW w:w="1743"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23 (55 %)</w:t>
            </w:r>
          </w:p>
        </w:tc>
        <w:tc>
          <w:tcPr>
            <w:tcW w:w="1417"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-0.260</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(-0.741 to 0.042)</w:t>
            </w:r>
          </w:p>
        </w:tc>
        <w:tc>
          <w:tcPr>
            <w:tcW w:w="1700"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13</w:t>
            </w:r>
          </w:p>
        </w:tc>
        <w:tc>
          <w:tcPr>
            <w:tcW w:w="1326" w:type="dxa"/>
            <w:gridSpan w:val="2"/>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3 (23 %)</w:t>
            </w:r>
          </w:p>
        </w:tc>
        <w:tc>
          <w:tcPr>
            <w:tcW w:w="1137" w:type="dxa"/>
            <w:gridSpan w:val="2"/>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3 (23 %)</w:t>
            </w:r>
          </w:p>
        </w:tc>
        <w:tc>
          <w:tcPr>
            <w:tcW w:w="1416"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10 (77 %)</w:t>
            </w:r>
          </w:p>
        </w:tc>
        <w:tc>
          <w:tcPr>
            <w:tcW w:w="1030"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66" w:type="dxa"/>
            <w:tcBorders>
              <w:right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-0.305</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(-0.518 to 0)</w:t>
            </w:r>
          </w:p>
        </w:tc>
      </w:tr>
      <w:tr w:rsidR="007A23B1">
        <w:tc>
          <w:tcPr>
            <w:tcW w:w="1051" w:type="dxa"/>
            <w:tcBorders>
              <w:left w:val="single" w:sz="4" w:space="0" w:color="000000"/>
            </w:tcBorders>
            <w:shd w:val="clear" w:color="auto" w:fill="auto"/>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proofErr w:type="spellStart"/>
            <w:r>
              <w:rPr>
                <w:rFonts w:ascii="Liberation Serif" w:eastAsia="NSimSun" w:hAnsi="Liberation Serif" w:cs="Arial"/>
                <w:kern w:val="2"/>
                <w:sz w:val="16"/>
                <w:szCs w:val="16"/>
                <w:lang w:bidi="hi-IN"/>
              </w:rPr>
              <w:t>Antipsychotic</w:t>
            </w:r>
            <w:proofErr w:type="spellEnd"/>
            <w:r>
              <w:rPr>
                <w:rFonts w:ascii="Liberation Serif" w:eastAsia="NSimSun" w:hAnsi="Liberation Serif" w:cs="Arial"/>
                <w:kern w:val="2"/>
                <w:sz w:val="16"/>
                <w:szCs w:val="16"/>
                <w:lang w:bidi="hi-IN"/>
              </w:rPr>
              <w:t xml:space="preserve"> </w:t>
            </w:r>
          </w:p>
        </w:tc>
        <w:tc>
          <w:tcPr>
            <w:tcW w:w="1038"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56</w:t>
            </w:r>
          </w:p>
        </w:tc>
        <w:tc>
          <w:tcPr>
            <w:tcW w:w="1244"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28 (50 %)</w:t>
            </w:r>
          </w:p>
        </w:tc>
        <w:tc>
          <w:tcPr>
            <w:tcW w:w="1743"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28 (50 %)</w:t>
            </w:r>
          </w:p>
        </w:tc>
        <w:tc>
          <w:tcPr>
            <w:tcW w:w="1417" w:type="dxa"/>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-0.274</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(-0.869 to -0.067)</w:t>
            </w:r>
          </w:p>
        </w:tc>
        <w:tc>
          <w:tcPr>
            <w:tcW w:w="170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29</w:t>
            </w:r>
          </w:p>
        </w:tc>
        <w:tc>
          <w:tcPr>
            <w:tcW w:w="1326"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10 (34 %)</w:t>
            </w:r>
          </w:p>
        </w:tc>
        <w:tc>
          <w:tcPr>
            <w:tcW w:w="1137"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6 (21 %)</w:t>
            </w:r>
          </w:p>
        </w:tc>
        <w:tc>
          <w:tcPr>
            <w:tcW w:w="1416"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23 (79 %)</w:t>
            </w:r>
          </w:p>
        </w:tc>
        <w:tc>
          <w:tcPr>
            <w:tcW w:w="103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66" w:type="dxa"/>
            <w:tcBorders>
              <w:right w:val="single" w:sz="4" w:space="0" w:color="000000"/>
            </w:tcBorders>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-0.281</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(-0.82 to -0.091)</w:t>
            </w:r>
          </w:p>
        </w:tc>
      </w:tr>
      <w:tr w:rsidR="007A23B1">
        <w:tc>
          <w:tcPr>
            <w:tcW w:w="1051" w:type="dxa"/>
            <w:tcBorders>
              <w:left w:val="single" w:sz="4" w:space="0" w:color="000000"/>
            </w:tcBorders>
            <w:shd w:val="clear" w:color="auto" w:fill="BFBFBF"/>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proofErr w:type="spellStart"/>
            <w:r>
              <w:rPr>
                <w:rFonts w:ascii="Liberation Serif" w:eastAsia="NSimSun" w:hAnsi="Liberation Serif" w:cs="Arial"/>
                <w:kern w:val="2"/>
                <w:sz w:val="16"/>
                <w:szCs w:val="16"/>
                <w:lang w:bidi="hi-IN"/>
              </w:rPr>
              <w:t>Other</w:t>
            </w:r>
            <w:proofErr w:type="spellEnd"/>
            <w:r>
              <w:rPr>
                <w:rFonts w:ascii="Liberation Serif" w:eastAsia="NSimSun" w:hAnsi="Liberation Serif" w:cs="Arial"/>
                <w:kern w:val="2"/>
                <w:sz w:val="16"/>
                <w:szCs w:val="16"/>
                <w:lang w:bidi="hi-IN"/>
              </w:rPr>
              <w:t xml:space="preserve"> </w:t>
            </w:r>
          </w:p>
        </w:tc>
        <w:tc>
          <w:tcPr>
            <w:tcW w:w="1038"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27</w:t>
            </w:r>
          </w:p>
        </w:tc>
        <w:tc>
          <w:tcPr>
            <w:tcW w:w="1244"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15 (56 %)</w:t>
            </w:r>
          </w:p>
        </w:tc>
        <w:tc>
          <w:tcPr>
            <w:tcW w:w="1743"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15 (56 %)</w:t>
            </w:r>
          </w:p>
        </w:tc>
        <w:tc>
          <w:tcPr>
            <w:tcW w:w="1417"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-0.314</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(-0.994 to -0.059)</w:t>
            </w:r>
          </w:p>
        </w:tc>
        <w:tc>
          <w:tcPr>
            <w:tcW w:w="1700"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12</w:t>
            </w:r>
          </w:p>
        </w:tc>
        <w:tc>
          <w:tcPr>
            <w:tcW w:w="1326" w:type="dxa"/>
            <w:gridSpan w:val="2"/>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3 (25 %)</w:t>
            </w:r>
          </w:p>
        </w:tc>
        <w:tc>
          <w:tcPr>
            <w:tcW w:w="1137" w:type="dxa"/>
            <w:gridSpan w:val="2"/>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3 (25 %)</w:t>
            </w:r>
          </w:p>
        </w:tc>
        <w:tc>
          <w:tcPr>
            <w:tcW w:w="1416"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9 (75 %)</w:t>
            </w:r>
          </w:p>
        </w:tc>
        <w:tc>
          <w:tcPr>
            <w:tcW w:w="1030"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66" w:type="dxa"/>
            <w:tcBorders>
              <w:right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-0.397</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(-0.771 to -0.132)</w:t>
            </w:r>
          </w:p>
        </w:tc>
      </w:tr>
      <w:tr w:rsidR="007A23B1">
        <w:tc>
          <w:tcPr>
            <w:tcW w:w="3333" w:type="dxa"/>
            <w:gridSpan w:val="3"/>
            <w:tcBorders>
              <w:left w:val="single" w:sz="4" w:space="0" w:color="000000"/>
            </w:tcBorders>
            <w:shd w:val="clear" w:color="auto" w:fill="auto"/>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r>
              <w:rPr>
                <w:rFonts w:ascii="Liberation Serif" w:eastAsia="NSimSun" w:hAnsi="Liberation Serif" w:cs="Arial"/>
                <w:b/>
                <w:kern w:val="2"/>
                <w:sz w:val="16"/>
                <w:szCs w:val="16"/>
                <w:lang w:bidi="hi-IN"/>
              </w:rPr>
              <w:t>Continuation trials versus active</w:t>
            </w:r>
          </w:p>
        </w:tc>
        <w:tc>
          <w:tcPr>
            <w:tcW w:w="1743" w:type="dxa"/>
            <w:shd w:val="clear" w:color="auto" w:fill="auto"/>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1417" w:type="dxa"/>
          </w:tcPr>
          <w:p w:rsidR="007A23B1" w:rsidRDefault="007A23B1">
            <w:pPr>
              <w:suppressLineNumbers/>
              <w:spacing w:after="0" w:line="240" w:lineRule="auto"/>
              <w:jc w:val="right"/>
              <w:rPr>
                <w:rFonts w:ascii="Liberation Serif" w:eastAsia="NSimSun" w:hAnsi="Liberation Serif" w:cs="Arial"/>
                <w:kern w:val="2"/>
                <w:sz w:val="16"/>
                <w:szCs w:val="16"/>
                <w:lang w:bidi="hi-IN"/>
              </w:rPr>
            </w:pPr>
          </w:p>
        </w:tc>
        <w:tc>
          <w:tcPr>
            <w:tcW w:w="1700" w:type="dxa"/>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1294" w:type="dxa"/>
            <w:shd w:val="clear" w:color="auto" w:fill="auto"/>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64" w:type="dxa"/>
            <w:gridSpan w:val="2"/>
            <w:shd w:val="clear" w:color="auto" w:fill="auto"/>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1105" w:type="dxa"/>
            <w:shd w:val="clear" w:color="auto" w:fill="auto"/>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3912" w:type="dxa"/>
            <w:gridSpan w:val="3"/>
            <w:tcBorders>
              <w:right w:val="single" w:sz="4" w:space="0" w:color="000000"/>
            </w:tcBorders>
            <w:shd w:val="clear" w:color="auto" w:fill="auto"/>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r>
      <w:tr w:rsidR="007A23B1">
        <w:tc>
          <w:tcPr>
            <w:tcW w:w="1051" w:type="dxa"/>
            <w:tcBorders>
              <w:left w:val="single" w:sz="4" w:space="0" w:color="000000"/>
            </w:tcBorders>
            <w:shd w:val="clear" w:color="auto" w:fill="BFBFBF"/>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 xml:space="preserve">All </w:t>
            </w:r>
          </w:p>
        </w:tc>
        <w:tc>
          <w:tcPr>
            <w:tcW w:w="1038"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w:t>
            </w:r>
          </w:p>
        </w:tc>
        <w:tc>
          <w:tcPr>
            <w:tcW w:w="1244"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743"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17"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0.089</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(0.036 to 0.143)</w:t>
            </w:r>
          </w:p>
        </w:tc>
        <w:tc>
          <w:tcPr>
            <w:tcW w:w="1700"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w:t>
            </w:r>
          </w:p>
        </w:tc>
        <w:tc>
          <w:tcPr>
            <w:tcW w:w="1326" w:type="dxa"/>
            <w:gridSpan w:val="2"/>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 (100 %)</w:t>
            </w:r>
          </w:p>
        </w:tc>
        <w:tc>
          <w:tcPr>
            <w:tcW w:w="1137" w:type="dxa"/>
            <w:gridSpan w:val="2"/>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 (100 %)</w:t>
            </w:r>
          </w:p>
        </w:tc>
        <w:tc>
          <w:tcPr>
            <w:tcW w:w="1416"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030"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66" w:type="dxa"/>
            <w:tcBorders>
              <w:right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0.089</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(0.036 to 0.143)</w:t>
            </w:r>
          </w:p>
        </w:tc>
      </w:tr>
      <w:tr w:rsidR="007A23B1">
        <w:tc>
          <w:tcPr>
            <w:tcW w:w="1051" w:type="dxa"/>
            <w:tcBorders>
              <w:left w:val="single" w:sz="4" w:space="0" w:color="000000"/>
            </w:tcBorders>
            <w:shd w:val="clear" w:color="auto" w:fill="auto"/>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proofErr w:type="spellStart"/>
            <w:r>
              <w:rPr>
                <w:rFonts w:ascii="Liberation Serif" w:eastAsia="NSimSun" w:hAnsi="Liberation Serif" w:cs="Arial"/>
                <w:kern w:val="2"/>
                <w:sz w:val="16"/>
                <w:szCs w:val="16"/>
                <w:lang w:bidi="hi-IN"/>
              </w:rPr>
              <w:t>Antipsychotic</w:t>
            </w:r>
            <w:proofErr w:type="spellEnd"/>
            <w:r>
              <w:rPr>
                <w:rFonts w:ascii="Liberation Serif" w:eastAsia="NSimSun" w:hAnsi="Liberation Serif" w:cs="Arial"/>
                <w:kern w:val="2"/>
                <w:sz w:val="16"/>
                <w:szCs w:val="16"/>
                <w:lang w:bidi="hi-IN"/>
              </w:rPr>
              <w:t xml:space="preserve"> </w:t>
            </w:r>
          </w:p>
        </w:tc>
        <w:tc>
          <w:tcPr>
            <w:tcW w:w="1038"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w:t>
            </w:r>
          </w:p>
        </w:tc>
        <w:tc>
          <w:tcPr>
            <w:tcW w:w="1244"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743"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17" w:type="dxa"/>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0.089</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(0.036 to 0.143)</w:t>
            </w:r>
          </w:p>
        </w:tc>
        <w:tc>
          <w:tcPr>
            <w:tcW w:w="170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w:t>
            </w:r>
          </w:p>
        </w:tc>
        <w:tc>
          <w:tcPr>
            <w:tcW w:w="1326"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 (100 %)</w:t>
            </w:r>
          </w:p>
        </w:tc>
        <w:tc>
          <w:tcPr>
            <w:tcW w:w="1137"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 (100 %)</w:t>
            </w:r>
          </w:p>
        </w:tc>
        <w:tc>
          <w:tcPr>
            <w:tcW w:w="1416"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03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66" w:type="dxa"/>
            <w:tcBorders>
              <w:right w:val="single" w:sz="4" w:space="0" w:color="000000"/>
            </w:tcBorders>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0.089</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(0.036 to 0.143)</w:t>
            </w:r>
          </w:p>
        </w:tc>
      </w:tr>
      <w:tr w:rsidR="007A23B1">
        <w:tc>
          <w:tcPr>
            <w:tcW w:w="3333" w:type="dxa"/>
            <w:gridSpan w:val="3"/>
            <w:tcBorders>
              <w:left w:val="single" w:sz="4" w:space="0" w:color="000000"/>
            </w:tcBorders>
            <w:shd w:val="clear" w:color="auto" w:fill="BFBFBF"/>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r>
              <w:rPr>
                <w:rFonts w:ascii="Liberation Serif" w:eastAsia="NSimSun" w:hAnsi="Liberation Serif" w:cs="Arial"/>
                <w:b/>
                <w:kern w:val="2"/>
                <w:sz w:val="16"/>
                <w:szCs w:val="16"/>
                <w:lang w:bidi="hi-IN"/>
              </w:rPr>
              <w:t>Continuation trials versus placebo</w:t>
            </w:r>
          </w:p>
        </w:tc>
        <w:tc>
          <w:tcPr>
            <w:tcW w:w="1743" w:type="dxa"/>
            <w:shd w:val="clear" w:color="auto" w:fill="BFBFBF"/>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1417" w:type="dxa"/>
            <w:shd w:val="clear" w:color="auto" w:fill="BFBFBF"/>
          </w:tcPr>
          <w:p w:rsidR="007A23B1" w:rsidRDefault="007A23B1">
            <w:pPr>
              <w:suppressLineNumbers/>
              <w:spacing w:after="0" w:line="240" w:lineRule="auto"/>
              <w:jc w:val="right"/>
              <w:rPr>
                <w:rFonts w:ascii="Liberation Serif" w:eastAsia="NSimSun" w:hAnsi="Liberation Serif" w:cs="Arial"/>
                <w:kern w:val="2"/>
                <w:sz w:val="16"/>
                <w:szCs w:val="16"/>
                <w:lang w:bidi="hi-IN"/>
              </w:rPr>
            </w:pPr>
          </w:p>
        </w:tc>
        <w:tc>
          <w:tcPr>
            <w:tcW w:w="1700" w:type="dxa"/>
            <w:shd w:val="clear" w:color="auto" w:fill="BFBFBF"/>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1294" w:type="dxa"/>
            <w:shd w:val="clear" w:color="auto" w:fill="BFBFBF"/>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64" w:type="dxa"/>
            <w:gridSpan w:val="2"/>
            <w:shd w:val="clear" w:color="auto" w:fill="BFBFBF"/>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1105" w:type="dxa"/>
            <w:shd w:val="clear" w:color="auto" w:fill="BFBFBF"/>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c>
          <w:tcPr>
            <w:tcW w:w="3912" w:type="dxa"/>
            <w:gridSpan w:val="3"/>
            <w:tcBorders>
              <w:right w:val="single" w:sz="4" w:space="0" w:color="000000"/>
            </w:tcBorders>
            <w:shd w:val="clear" w:color="auto" w:fill="BFBFBF"/>
            <w:vAlign w:val="center"/>
          </w:tcPr>
          <w:p w:rsidR="007A23B1" w:rsidRDefault="007A23B1">
            <w:pPr>
              <w:suppressLineNumbers/>
              <w:spacing w:after="0" w:line="240" w:lineRule="auto"/>
              <w:rPr>
                <w:rFonts w:ascii="Liberation Serif" w:eastAsia="NSimSun" w:hAnsi="Liberation Serif" w:cs="Arial"/>
                <w:kern w:val="2"/>
                <w:sz w:val="16"/>
                <w:szCs w:val="16"/>
                <w:lang w:bidi="hi-IN"/>
              </w:rPr>
            </w:pPr>
          </w:p>
        </w:tc>
      </w:tr>
      <w:tr w:rsidR="007A23B1">
        <w:tc>
          <w:tcPr>
            <w:tcW w:w="1051" w:type="dxa"/>
            <w:tcBorders>
              <w:left w:val="single" w:sz="4" w:space="0" w:color="000000"/>
            </w:tcBorders>
            <w:shd w:val="clear" w:color="auto" w:fill="auto"/>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 xml:space="preserve">All </w:t>
            </w:r>
          </w:p>
        </w:tc>
        <w:tc>
          <w:tcPr>
            <w:tcW w:w="1038"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15</w:t>
            </w:r>
          </w:p>
        </w:tc>
        <w:tc>
          <w:tcPr>
            <w:tcW w:w="1244"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14 (93 %)</w:t>
            </w:r>
          </w:p>
        </w:tc>
        <w:tc>
          <w:tcPr>
            <w:tcW w:w="1743"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14 (93 %)</w:t>
            </w:r>
          </w:p>
        </w:tc>
        <w:tc>
          <w:tcPr>
            <w:tcW w:w="1417" w:type="dxa"/>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-0.528</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(-0.831 to 0.074)</w:t>
            </w:r>
          </w:p>
        </w:tc>
        <w:tc>
          <w:tcPr>
            <w:tcW w:w="170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15</w:t>
            </w:r>
          </w:p>
        </w:tc>
        <w:tc>
          <w:tcPr>
            <w:tcW w:w="1326"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15 (100 %)</w:t>
            </w:r>
          </w:p>
        </w:tc>
        <w:tc>
          <w:tcPr>
            <w:tcW w:w="1137"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 (7 %)</w:t>
            </w:r>
          </w:p>
        </w:tc>
        <w:tc>
          <w:tcPr>
            <w:tcW w:w="1416"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14 (93 %)</w:t>
            </w:r>
          </w:p>
        </w:tc>
        <w:tc>
          <w:tcPr>
            <w:tcW w:w="103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66" w:type="dxa"/>
            <w:tcBorders>
              <w:right w:val="single" w:sz="4" w:space="0" w:color="000000"/>
            </w:tcBorders>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-0.528</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(-0.831 to 0.074)</w:t>
            </w:r>
          </w:p>
        </w:tc>
      </w:tr>
      <w:tr w:rsidR="007A23B1">
        <w:tc>
          <w:tcPr>
            <w:tcW w:w="1051" w:type="dxa"/>
            <w:tcBorders>
              <w:left w:val="single" w:sz="4" w:space="0" w:color="000000"/>
            </w:tcBorders>
            <w:shd w:val="clear" w:color="auto" w:fill="BFBFBF"/>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proofErr w:type="spellStart"/>
            <w:r>
              <w:rPr>
                <w:rFonts w:ascii="Liberation Serif" w:eastAsia="NSimSun" w:hAnsi="Liberation Serif" w:cs="Arial"/>
                <w:kern w:val="2"/>
                <w:sz w:val="16"/>
                <w:szCs w:val="16"/>
                <w:lang w:bidi="hi-IN"/>
              </w:rPr>
              <w:t>Antidepressant</w:t>
            </w:r>
            <w:proofErr w:type="spellEnd"/>
            <w:r>
              <w:rPr>
                <w:rFonts w:ascii="Liberation Serif" w:eastAsia="NSimSun" w:hAnsi="Liberation Serif" w:cs="Arial"/>
                <w:kern w:val="2"/>
                <w:sz w:val="16"/>
                <w:szCs w:val="16"/>
                <w:lang w:bidi="hi-IN"/>
              </w:rPr>
              <w:t xml:space="preserve"> </w:t>
            </w:r>
          </w:p>
        </w:tc>
        <w:tc>
          <w:tcPr>
            <w:tcW w:w="1038"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6</w:t>
            </w:r>
          </w:p>
        </w:tc>
        <w:tc>
          <w:tcPr>
            <w:tcW w:w="1244"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5 (83 %)</w:t>
            </w:r>
          </w:p>
        </w:tc>
        <w:tc>
          <w:tcPr>
            <w:tcW w:w="1743"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5 (83 %)</w:t>
            </w:r>
          </w:p>
        </w:tc>
        <w:tc>
          <w:tcPr>
            <w:tcW w:w="1417"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-0.506</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(-0.831 to 0.074)</w:t>
            </w:r>
          </w:p>
        </w:tc>
        <w:tc>
          <w:tcPr>
            <w:tcW w:w="1700"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6</w:t>
            </w:r>
          </w:p>
        </w:tc>
        <w:tc>
          <w:tcPr>
            <w:tcW w:w="1326" w:type="dxa"/>
            <w:gridSpan w:val="2"/>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6 (100 %)</w:t>
            </w:r>
          </w:p>
        </w:tc>
        <w:tc>
          <w:tcPr>
            <w:tcW w:w="1137" w:type="dxa"/>
            <w:gridSpan w:val="2"/>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1 (17 %)</w:t>
            </w:r>
          </w:p>
        </w:tc>
        <w:tc>
          <w:tcPr>
            <w:tcW w:w="1416"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5 (83 %)</w:t>
            </w:r>
          </w:p>
        </w:tc>
        <w:tc>
          <w:tcPr>
            <w:tcW w:w="1030" w:type="dxa"/>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66" w:type="dxa"/>
            <w:tcBorders>
              <w:right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-0.506</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(-0.831 to 0.074)</w:t>
            </w:r>
          </w:p>
        </w:tc>
      </w:tr>
      <w:tr w:rsidR="007A23B1">
        <w:tc>
          <w:tcPr>
            <w:tcW w:w="1051" w:type="dxa"/>
            <w:tcBorders>
              <w:left w:val="single" w:sz="4" w:space="0" w:color="000000"/>
            </w:tcBorders>
            <w:shd w:val="clear" w:color="auto" w:fill="auto"/>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proofErr w:type="spellStart"/>
            <w:r>
              <w:rPr>
                <w:rFonts w:ascii="Liberation Serif" w:eastAsia="NSimSun" w:hAnsi="Liberation Serif" w:cs="Arial"/>
                <w:kern w:val="2"/>
                <w:sz w:val="16"/>
                <w:szCs w:val="16"/>
                <w:lang w:bidi="hi-IN"/>
              </w:rPr>
              <w:t>Antipsychotic</w:t>
            </w:r>
            <w:proofErr w:type="spellEnd"/>
            <w:r>
              <w:rPr>
                <w:rFonts w:ascii="Liberation Serif" w:eastAsia="NSimSun" w:hAnsi="Liberation Serif" w:cs="Arial"/>
                <w:kern w:val="2"/>
                <w:sz w:val="16"/>
                <w:szCs w:val="16"/>
                <w:lang w:bidi="hi-IN"/>
              </w:rPr>
              <w:t xml:space="preserve"> </w:t>
            </w:r>
          </w:p>
        </w:tc>
        <w:tc>
          <w:tcPr>
            <w:tcW w:w="1038"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7</w:t>
            </w:r>
          </w:p>
        </w:tc>
        <w:tc>
          <w:tcPr>
            <w:tcW w:w="1244"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7 (100 %)</w:t>
            </w:r>
          </w:p>
        </w:tc>
        <w:tc>
          <w:tcPr>
            <w:tcW w:w="1743"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7 (100 %)</w:t>
            </w:r>
          </w:p>
        </w:tc>
        <w:tc>
          <w:tcPr>
            <w:tcW w:w="1417" w:type="dxa"/>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-0.569</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(-0.804 to -0.273)</w:t>
            </w:r>
          </w:p>
        </w:tc>
        <w:tc>
          <w:tcPr>
            <w:tcW w:w="170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7</w:t>
            </w:r>
          </w:p>
        </w:tc>
        <w:tc>
          <w:tcPr>
            <w:tcW w:w="1326"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7 (100 %)</w:t>
            </w:r>
          </w:p>
        </w:tc>
        <w:tc>
          <w:tcPr>
            <w:tcW w:w="1137" w:type="dxa"/>
            <w:gridSpan w:val="2"/>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16"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7 (100 %)</w:t>
            </w:r>
          </w:p>
        </w:tc>
        <w:tc>
          <w:tcPr>
            <w:tcW w:w="1030" w:type="dxa"/>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66" w:type="dxa"/>
            <w:tcBorders>
              <w:right w:val="single" w:sz="4" w:space="0" w:color="000000"/>
            </w:tcBorders>
            <w:shd w:val="clear" w:color="auto" w:fill="auto"/>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-0.569</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(-0.804 to -0.273)</w:t>
            </w:r>
          </w:p>
        </w:tc>
      </w:tr>
      <w:tr w:rsidR="007A23B1">
        <w:tc>
          <w:tcPr>
            <w:tcW w:w="1051" w:type="dxa"/>
            <w:tcBorders>
              <w:left w:val="single" w:sz="4" w:space="0" w:color="000000"/>
              <w:bottom w:val="single" w:sz="4" w:space="0" w:color="000000"/>
            </w:tcBorders>
            <w:shd w:val="clear" w:color="auto" w:fill="BFBFBF"/>
            <w:vAlign w:val="center"/>
          </w:tcPr>
          <w:p w:rsidR="007A23B1" w:rsidRDefault="00F74FC7">
            <w:pPr>
              <w:suppressLineNumbers/>
              <w:spacing w:after="0" w:line="240" w:lineRule="auto"/>
              <w:rPr>
                <w:rFonts w:ascii="Liberation Serif" w:eastAsia="NSimSun" w:hAnsi="Liberation Serif" w:cs="Arial"/>
                <w:kern w:val="2"/>
                <w:sz w:val="16"/>
                <w:szCs w:val="16"/>
                <w:lang w:bidi="hi-IN"/>
              </w:rPr>
            </w:pPr>
            <w:proofErr w:type="spellStart"/>
            <w:r>
              <w:rPr>
                <w:rFonts w:ascii="Liberation Serif" w:eastAsia="NSimSun" w:hAnsi="Liberation Serif" w:cs="Arial"/>
                <w:kern w:val="2"/>
                <w:sz w:val="16"/>
                <w:szCs w:val="16"/>
                <w:lang w:bidi="hi-IN"/>
              </w:rPr>
              <w:t>Other</w:t>
            </w:r>
            <w:proofErr w:type="spellEnd"/>
            <w:r>
              <w:rPr>
                <w:rFonts w:ascii="Liberation Serif" w:eastAsia="NSimSun" w:hAnsi="Liberation Serif" w:cs="Arial"/>
                <w:kern w:val="2"/>
                <w:sz w:val="16"/>
                <w:szCs w:val="16"/>
                <w:lang w:bidi="hi-IN"/>
              </w:rPr>
              <w:t xml:space="preserve"> </w:t>
            </w:r>
          </w:p>
        </w:tc>
        <w:tc>
          <w:tcPr>
            <w:tcW w:w="1038" w:type="dxa"/>
            <w:tcBorders>
              <w:bottom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w:t>
            </w:r>
          </w:p>
        </w:tc>
        <w:tc>
          <w:tcPr>
            <w:tcW w:w="1244" w:type="dxa"/>
            <w:tcBorders>
              <w:bottom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 (100 %)</w:t>
            </w:r>
          </w:p>
        </w:tc>
        <w:tc>
          <w:tcPr>
            <w:tcW w:w="1743" w:type="dxa"/>
            <w:tcBorders>
              <w:bottom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 (100 %)</w:t>
            </w:r>
          </w:p>
        </w:tc>
        <w:tc>
          <w:tcPr>
            <w:tcW w:w="1417" w:type="dxa"/>
            <w:tcBorders>
              <w:bottom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-0.504</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(-0.520 to -0.487)</w:t>
            </w:r>
          </w:p>
        </w:tc>
        <w:tc>
          <w:tcPr>
            <w:tcW w:w="1700" w:type="dxa"/>
            <w:tcBorders>
              <w:bottom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w:t>
            </w:r>
          </w:p>
        </w:tc>
        <w:tc>
          <w:tcPr>
            <w:tcW w:w="1326" w:type="dxa"/>
            <w:gridSpan w:val="2"/>
            <w:tcBorders>
              <w:bottom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 (100 %)</w:t>
            </w:r>
          </w:p>
        </w:tc>
        <w:tc>
          <w:tcPr>
            <w:tcW w:w="1137" w:type="dxa"/>
            <w:gridSpan w:val="2"/>
            <w:tcBorders>
              <w:bottom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16" w:type="dxa"/>
            <w:tcBorders>
              <w:bottom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2 (100 %)</w:t>
            </w:r>
          </w:p>
        </w:tc>
        <w:tc>
          <w:tcPr>
            <w:tcW w:w="1030" w:type="dxa"/>
            <w:tcBorders>
              <w:bottom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 (0 %)</w:t>
            </w:r>
          </w:p>
        </w:tc>
        <w:tc>
          <w:tcPr>
            <w:tcW w:w="1466" w:type="dxa"/>
            <w:tcBorders>
              <w:bottom w:val="single" w:sz="4" w:space="0" w:color="000000"/>
              <w:right w:val="single" w:sz="4" w:space="0" w:color="000000"/>
            </w:tcBorders>
            <w:shd w:val="clear" w:color="auto" w:fill="BFBFBF"/>
            <w:vAlign w:val="center"/>
          </w:tcPr>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-0.504</w:t>
            </w:r>
          </w:p>
          <w:p w:rsidR="007A23B1" w:rsidRDefault="00F74FC7">
            <w:pPr>
              <w:suppressLineNumbers/>
              <w:spacing w:after="0" w:line="240" w:lineRule="auto"/>
              <w:jc w:val="center"/>
              <w:rPr>
                <w:rFonts w:ascii="Liberation Serif" w:eastAsia="NSimSun" w:hAnsi="Liberation Serif" w:cs="Arial"/>
                <w:kern w:val="2"/>
                <w:sz w:val="16"/>
                <w:szCs w:val="16"/>
                <w:lang w:bidi="hi-IN"/>
              </w:rPr>
            </w:pPr>
            <w:r>
              <w:rPr>
                <w:rFonts w:ascii="Liberation Serif" w:eastAsia="NSimSun" w:hAnsi="Liberation Serif" w:cs="Arial"/>
                <w:kern w:val="2"/>
                <w:sz w:val="16"/>
                <w:szCs w:val="16"/>
                <w:lang w:bidi="hi-IN"/>
              </w:rPr>
              <w:t>(-0.52 to -0.487)</w:t>
            </w:r>
          </w:p>
        </w:tc>
      </w:tr>
    </w:tbl>
    <w:p w:rsidR="007A23B1" w:rsidRDefault="007A23B1">
      <w:pPr>
        <w:spacing w:after="0" w:line="360" w:lineRule="auto"/>
        <w:jc w:val="both"/>
        <w:rPr>
          <w:rFonts w:ascii="Times New Roman" w:hAnsi="Times New Roman"/>
          <w:sz w:val="20"/>
          <w:lang w:val="en-GB"/>
        </w:rPr>
      </w:pPr>
    </w:p>
    <w:p w:rsidR="007A23B1" w:rsidRDefault="00F74FC7">
      <w:pPr>
        <w:pStyle w:val="Sous-titre"/>
        <w:spacing w:after="0" w:line="360" w:lineRule="auto"/>
        <w:jc w:val="left"/>
        <w:rPr>
          <w:b/>
          <w:lang w:val="en-GB"/>
        </w:rPr>
      </w:pPr>
      <w:r>
        <w:rPr>
          <w:b/>
          <w:lang w:val="en-GB"/>
        </w:rPr>
        <w:t>e-Table 5: Effect estimates by drug class (at study and meta-analysis level)</w:t>
      </w:r>
    </w:p>
    <w:p w:rsidR="00F74FC7" w:rsidRDefault="00F74FC7">
      <w:pPr>
        <w:pStyle w:val="Corpsdetexte"/>
        <w:rPr>
          <w:lang w:val="en-US"/>
        </w:rPr>
      </w:pPr>
      <w:r>
        <w:rPr>
          <w:lang w:val="en-US"/>
        </w:rPr>
        <w:t>*</w:t>
      </w:r>
      <w:r w:rsidRPr="00F74FC7">
        <w:rPr>
          <w:lang w:val="en-US"/>
        </w:rPr>
        <w:t xml:space="preserve">: a negative difference </w:t>
      </w:r>
      <w:r>
        <w:rPr>
          <w:lang w:val="en-US"/>
        </w:rPr>
        <w:t>indicates</w:t>
      </w:r>
      <w:r w:rsidRPr="00F74FC7">
        <w:rPr>
          <w:lang w:val="en-US"/>
        </w:rPr>
        <w:t xml:space="preserve"> a comparison in favor of the experimental drug.</w:t>
      </w:r>
    </w:p>
    <w:p w:rsidR="00F74FC7" w:rsidRDefault="00F74FC7" w:rsidP="00F74FC7">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19"/>
        <w:gridCol w:w="974"/>
        <w:gridCol w:w="1327"/>
        <w:gridCol w:w="1577"/>
        <w:gridCol w:w="1726"/>
        <w:gridCol w:w="2425"/>
        <w:gridCol w:w="1679"/>
        <w:gridCol w:w="1599"/>
        <w:gridCol w:w="1984"/>
      </w:tblGrid>
      <w:tr w:rsidR="00F74FC7" w:rsidRPr="00CB0D26" w:rsidTr="007430F6">
        <w:trPr>
          <w:trHeight w:val="840"/>
        </w:trPr>
        <w:tc>
          <w:tcPr>
            <w:tcW w:w="0" w:type="auto"/>
            <w:shd w:val="clear" w:color="auto" w:fill="BFBFBF" w:themeFill="background1" w:themeFillShade="BF"/>
            <w:vAlign w:val="bottom"/>
            <w:hideMark/>
          </w:tcPr>
          <w:p w:rsidR="00F74FC7" w:rsidRPr="00450345" w:rsidRDefault="00F74FC7" w:rsidP="007430F6">
            <w:pPr>
              <w:jc w:val="center"/>
              <w:rPr>
                <w:rFonts w:ascii="Times New Roman" w:eastAsia="Times New Roman" w:hAnsi="Times New Roman" w:cs="Times New Roman"/>
                <w:b/>
                <w:bCs/>
                <w:sz w:val="20"/>
                <w:szCs w:val="20"/>
                <w:lang w:val="en-US" w:eastAsia="fr-FR"/>
              </w:rPr>
            </w:pPr>
          </w:p>
        </w:tc>
        <w:tc>
          <w:tcPr>
            <w:tcW w:w="0" w:type="auto"/>
            <w:shd w:val="clear" w:color="auto" w:fill="BFBFBF" w:themeFill="background1" w:themeFillShade="BF"/>
            <w:vAlign w:val="bottom"/>
            <w:hideMark/>
          </w:tcPr>
          <w:p w:rsidR="00F74FC7" w:rsidRPr="00450345" w:rsidRDefault="00F74FC7" w:rsidP="007430F6">
            <w:pPr>
              <w:jc w:val="center"/>
              <w:rPr>
                <w:rFonts w:ascii="Times New Roman" w:eastAsia="Times New Roman" w:hAnsi="Times New Roman" w:cs="Times New Roman"/>
                <w:b/>
                <w:bCs/>
                <w:sz w:val="20"/>
                <w:szCs w:val="20"/>
                <w:lang w:val="en-US" w:eastAsia="fr-FR"/>
              </w:rPr>
            </w:pPr>
          </w:p>
        </w:tc>
        <w:tc>
          <w:tcPr>
            <w:tcW w:w="1327"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b/>
                <w:bCs/>
                <w:sz w:val="20"/>
                <w:szCs w:val="20"/>
                <w:lang w:eastAsia="fr-FR"/>
              </w:rPr>
            </w:pPr>
            <w:r w:rsidRPr="00CB0D26">
              <w:rPr>
                <w:rFonts w:ascii="Times New Roman" w:eastAsia="Times New Roman" w:hAnsi="Times New Roman" w:cs="Times New Roman"/>
                <w:b/>
                <w:bCs/>
                <w:sz w:val="20"/>
                <w:szCs w:val="20"/>
                <w:lang w:eastAsia="fr-FR"/>
              </w:rPr>
              <w:t xml:space="preserve">All </w:t>
            </w:r>
            <w:proofErr w:type="spellStart"/>
            <w:r w:rsidRPr="00CB0D26">
              <w:rPr>
                <w:rFonts w:ascii="Times New Roman" w:eastAsia="Times New Roman" w:hAnsi="Times New Roman" w:cs="Times New Roman"/>
                <w:b/>
                <w:bCs/>
                <w:sz w:val="20"/>
                <w:szCs w:val="20"/>
                <w:lang w:eastAsia="fr-FR"/>
              </w:rPr>
              <w:t>studies</w:t>
            </w:r>
            <w:proofErr w:type="spellEnd"/>
          </w:p>
        </w:tc>
        <w:tc>
          <w:tcPr>
            <w:tcW w:w="1577"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b/>
                <w:bCs/>
                <w:sz w:val="20"/>
                <w:szCs w:val="20"/>
                <w:lang w:val="en-US" w:eastAsia="fr-FR"/>
              </w:rPr>
            </w:pPr>
            <w:r w:rsidRPr="00CB0D26">
              <w:rPr>
                <w:rFonts w:ascii="Times New Roman" w:eastAsia="Times New Roman" w:hAnsi="Times New Roman" w:cs="Times New Roman"/>
                <w:b/>
                <w:bCs/>
                <w:sz w:val="20"/>
                <w:szCs w:val="20"/>
                <w:lang w:val="en-US" w:eastAsia="fr-FR"/>
              </w:rPr>
              <w:t>Initiation studies against Active comparator</w:t>
            </w:r>
          </w:p>
        </w:tc>
        <w:tc>
          <w:tcPr>
            <w:tcW w:w="0" w:type="auto"/>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b/>
                <w:bCs/>
                <w:sz w:val="20"/>
                <w:szCs w:val="20"/>
                <w:lang w:eastAsia="fr-FR"/>
              </w:rPr>
            </w:pPr>
            <w:r w:rsidRPr="00CB0D26">
              <w:rPr>
                <w:rFonts w:ascii="Times New Roman" w:eastAsia="Times New Roman" w:hAnsi="Times New Roman" w:cs="Times New Roman"/>
                <w:b/>
                <w:bCs/>
                <w:sz w:val="20"/>
                <w:szCs w:val="20"/>
                <w:lang w:eastAsia="fr-FR"/>
              </w:rPr>
              <w:t xml:space="preserve">Initiation </w:t>
            </w:r>
            <w:proofErr w:type="spellStart"/>
            <w:r w:rsidRPr="00CB0D26">
              <w:rPr>
                <w:rFonts w:ascii="Times New Roman" w:eastAsia="Times New Roman" w:hAnsi="Times New Roman" w:cs="Times New Roman"/>
                <w:b/>
                <w:bCs/>
                <w:sz w:val="20"/>
                <w:szCs w:val="20"/>
                <w:lang w:eastAsia="fr-FR"/>
              </w:rPr>
              <w:t>studies</w:t>
            </w:r>
            <w:proofErr w:type="spellEnd"/>
            <w:r w:rsidRPr="00CB0D26">
              <w:rPr>
                <w:rFonts w:ascii="Times New Roman" w:eastAsia="Times New Roman" w:hAnsi="Times New Roman" w:cs="Times New Roman"/>
                <w:b/>
                <w:bCs/>
                <w:sz w:val="20"/>
                <w:szCs w:val="20"/>
                <w:lang w:eastAsia="fr-FR"/>
              </w:rPr>
              <w:t xml:space="preserve"> </w:t>
            </w:r>
            <w:proofErr w:type="spellStart"/>
            <w:r w:rsidRPr="00CB0D26">
              <w:rPr>
                <w:rFonts w:ascii="Times New Roman" w:eastAsia="Times New Roman" w:hAnsi="Times New Roman" w:cs="Times New Roman"/>
                <w:b/>
                <w:bCs/>
                <w:sz w:val="20"/>
                <w:szCs w:val="20"/>
                <w:lang w:eastAsia="fr-FR"/>
              </w:rPr>
              <w:t>against</w:t>
            </w:r>
            <w:proofErr w:type="spellEnd"/>
            <w:r w:rsidRPr="00CB0D26">
              <w:rPr>
                <w:rFonts w:ascii="Times New Roman" w:eastAsia="Times New Roman" w:hAnsi="Times New Roman" w:cs="Times New Roman"/>
                <w:b/>
                <w:bCs/>
                <w:sz w:val="20"/>
                <w:szCs w:val="20"/>
                <w:lang w:eastAsia="fr-FR"/>
              </w:rPr>
              <w:t xml:space="preserve"> Placebo</w:t>
            </w:r>
          </w:p>
        </w:tc>
        <w:tc>
          <w:tcPr>
            <w:tcW w:w="0" w:type="auto"/>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b/>
                <w:bCs/>
                <w:sz w:val="20"/>
                <w:szCs w:val="20"/>
                <w:lang w:val="en-US" w:eastAsia="fr-FR"/>
              </w:rPr>
            </w:pPr>
            <w:r w:rsidRPr="00CB0D26">
              <w:rPr>
                <w:rFonts w:ascii="Times New Roman" w:eastAsia="Times New Roman" w:hAnsi="Times New Roman" w:cs="Times New Roman"/>
                <w:b/>
                <w:bCs/>
                <w:sz w:val="20"/>
                <w:szCs w:val="20"/>
                <w:lang w:val="en-US" w:eastAsia="fr-FR"/>
              </w:rPr>
              <w:t>Continuation studies against Active comparator</w:t>
            </w:r>
          </w:p>
        </w:tc>
        <w:tc>
          <w:tcPr>
            <w:tcW w:w="1679"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b/>
                <w:bCs/>
                <w:sz w:val="20"/>
                <w:szCs w:val="20"/>
                <w:lang w:eastAsia="fr-FR"/>
              </w:rPr>
            </w:pPr>
            <w:r w:rsidRPr="00CB0D26">
              <w:rPr>
                <w:rFonts w:ascii="Times New Roman" w:eastAsia="Times New Roman" w:hAnsi="Times New Roman" w:cs="Times New Roman"/>
                <w:b/>
                <w:bCs/>
                <w:sz w:val="20"/>
                <w:szCs w:val="20"/>
                <w:lang w:eastAsia="fr-FR"/>
              </w:rPr>
              <w:t xml:space="preserve">Continuation </w:t>
            </w:r>
            <w:proofErr w:type="spellStart"/>
            <w:r w:rsidRPr="00CB0D26">
              <w:rPr>
                <w:rFonts w:ascii="Times New Roman" w:eastAsia="Times New Roman" w:hAnsi="Times New Roman" w:cs="Times New Roman"/>
                <w:b/>
                <w:bCs/>
                <w:sz w:val="20"/>
                <w:szCs w:val="20"/>
                <w:lang w:eastAsia="fr-FR"/>
              </w:rPr>
              <w:t>studies</w:t>
            </w:r>
            <w:proofErr w:type="spellEnd"/>
            <w:r w:rsidRPr="00CB0D26">
              <w:rPr>
                <w:rFonts w:ascii="Times New Roman" w:eastAsia="Times New Roman" w:hAnsi="Times New Roman" w:cs="Times New Roman"/>
                <w:b/>
                <w:bCs/>
                <w:sz w:val="20"/>
                <w:szCs w:val="20"/>
                <w:lang w:eastAsia="fr-FR"/>
              </w:rPr>
              <w:t xml:space="preserve"> </w:t>
            </w:r>
            <w:proofErr w:type="spellStart"/>
            <w:r w:rsidRPr="00CB0D26">
              <w:rPr>
                <w:rFonts w:ascii="Times New Roman" w:eastAsia="Times New Roman" w:hAnsi="Times New Roman" w:cs="Times New Roman"/>
                <w:b/>
                <w:bCs/>
                <w:sz w:val="20"/>
                <w:szCs w:val="20"/>
                <w:lang w:eastAsia="fr-FR"/>
              </w:rPr>
              <w:t>against</w:t>
            </w:r>
            <w:proofErr w:type="spellEnd"/>
            <w:r w:rsidRPr="00CB0D26">
              <w:rPr>
                <w:rFonts w:ascii="Times New Roman" w:eastAsia="Times New Roman" w:hAnsi="Times New Roman" w:cs="Times New Roman"/>
                <w:b/>
                <w:bCs/>
                <w:sz w:val="20"/>
                <w:szCs w:val="20"/>
                <w:lang w:eastAsia="fr-FR"/>
              </w:rPr>
              <w:t xml:space="preserve"> Placebo</w:t>
            </w:r>
          </w:p>
        </w:tc>
        <w:tc>
          <w:tcPr>
            <w:tcW w:w="1599"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b/>
                <w:bCs/>
                <w:sz w:val="20"/>
                <w:szCs w:val="20"/>
                <w:lang w:eastAsia="fr-FR"/>
              </w:rPr>
            </w:pPr>
            <w:proofErr w:type="spellStart"/>
            <w:r w:rsidRPr="00CB0D26">
              <w:rPr>
                <w:rFonts w:ascii="Times New Roman" w:eastAsia="Times New Roman" w:hAnsi="Times New Roman" w:cs="Times New Roman"/>
                <w:b/>
                <w:bCs/>
                <w:sz w:val="20"/>
                <w:szCs w:val="20"/>
                <w:lang w:eastAsia="fr-FR"/>
              </w:rPr>
              <w:t>Unknown</w:t>
            </w:r>
            <w:proofErr w:type="spellEnd"/>
            <w:r w:rsidRPr="00CB0D26">
              <w:rPr>
                <w:rFonts w:ascii="Times New Roman" w:eastAsia="Times New Roman" w:hAnsi="Times New Roman" w:cs="Times New Roman"/>
                <w:b/>
                <w:bCs/>
                <w:sz w:val="20"/>
                <w:szCs w:val="20"/>
                <w:lang w:eastAsia="fr-FR"/>
              </w:rPr>
              <w:t xml:space="preserve"> </w:t>
            </w:r>
            <w:proofErr w:type="spellStart"/>
            <w:r w:rsidRPr="00CB0D26">
              <w:rPr>
                <w:rFonts w:ascii="Times New Roman" w:eastAsia="Times New Roman" w:hAnsi="Times New Roman" w:cs="Times New Roman"/>
                <w:b/>
                <w:bCs/>
                <w:sz w:val="20"/>
                <w:szCs w:val="20"/>
                <w:lang w:eastAsia="fr-FR"/>
              </w:rPr>
              <w:t>against</w:t>
            </w:r>
            <w:proofErr w:type="spellEnd"/>
            <w:r w:rsidRPr="00CB0D26">
              <w:rPr>
                <w:rFonts w:ascii="Times New Roman" w:eastAsia="Times New Roman" w:hAnsi="Times New Roman" w:cs="Times New Roman"/>
                <w:b/>
                <w:bCs/>
                <w:sz w:val="20"/>
                <w:szCs w:val="20"/>
                <w:lang w:eastAsia="fr-FR"/>
              </w:rPr>
              <w:t xml:space="preserve"> </w:t>
            </w:r>
            <w:proofErr w:type="spellStart"/>
            <w:r w:rsidRPr="00CB0D26">
              <w:rPr>
                <w:rFonts w:ascii="Times New Roman" w:eastAsia="Times New Roman" w:hAnsi="Times New Roman" w:cs="Times New Roman"/>
                <w:b/>
                <w:bCs/>
                <w:sz w:val="20"/>
                <w:szCs w:val="20"/>
                <w:lang w:eastAsia="fr-FR"/>
              </w:rPr>
              <w:t>Unknown</w:t>
            </w:r>
            <w:proofErr w:type="spellEnd"/>
          </w:p>
        </w:tc>
        <w:tc>
          <w:tcPr>
            <w:tcW w:w="0" w:type="auto"/>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b/>
                <w:bCs/>
                <w:sz w:val="20"/>
                <w:szCs w:val="20"/>
                <w:lang w:eastAsia="fr-FR"/>
              </w:rPr>
            </w:pPr>
            <w:proofErr w:type="spellStart"/>
            <w:r w:rsidRPr="00CB0D26">
              <w:rPr>
                <w:rFonts w:ascii="Times New Roman" w:eastAsia="Times New Roman" w:hAnsi="Times New Roman" w:cs="Times New Roman"/>
                <w:b/>
                <w:bCs/>
                <w:sz w:val="20"/>
                <w:szCs w:val="20"/>
                <w:lang w:eastAsia="fr-FR"/>
              </w:rPr>
              <w:t>Unknown</w:t>
            </w:r>
            <w:proofErr w:type="spellEnd"/>
            <w:r w:rsidRPr="00CB0D26">
              <w:rPr>
                <w:rFonts w:ascii="Times New Roman" w:eastAsia="Times New Roman" w:hAnsi="Times New Roman" w:cs="Times New Roman"/>
                <w:b/>
                <w:bCs/>
                <w:sz w:val="20"/>
                <w:szCs w:val="20"/>
                <w:lang w:eastAsia="fr-FR"/>
              </w:rPr>
              <w:t xml:space="preserve"> </w:t>
            </w:r>
            <w:proofErr w:type="spellStart"/>
            <w:r w:rsidRPr="00CB0D26">
              <w:rPr>
                <w:rFonts w:ascii="Times New Roman" w:eastAsia="Times New Roman" w:hAnsi="Times New Roman" w:cs="Times New Roman"/>
                <w:b/>
                <w:bCs/>
                <w:sz w:val="20"/>
                <w:szCs w:val="20"/>
                <w:lang w:eastAsia="fr-FR"/>
              </w:rPr>
              <w:t>against</w:t>
            </w:r>
            <w:proofErr w:type="spellEnd"/>
            <w:r w:rsidRPr="00CB0D26">
              <w:rPr>
                <w:rFonts w:ascii="Times New Roman" w:eastAsia="Times New Roman" w:hAnsi="Times New Roman" w:cs="Times New Roman"/>
                <w:b/>
                <w:bCs/>
                <w:sz w:val="20"/>
                <w:szCs w:val="20"/>
                <w:lang w:eastAsia="fr-FR"/>
              </w:rPr>
              <w:t xml:space="preserve"> Active </w:t>
            </w:r>
            <w:proofErr w:type="spellStart"/>
            <w:r w:rsidRPr="00CB0D26">
              <w:rPr>
                <w:rFonts w:ascii="Times New Roman" w:eastAsia="Times New Roman" w:hAnsi="Times New Roman" w:cs="Times New Roman"/>
                <w:b/>
                <w:bCs/>
                <w:sz w:val="20"/>
                <w:szCs w:val="20"/>
                <w:lang w:eastAsia="fr-FR"/>
              </w:rPr>
              <w:t>comparator</w:t>
            </w:r>
            <w:proofErr w:type="spellEnd"/>
          </w:p>
        </w:tc>
      </w:tr>
      <w:tr w:rsidR="00F74FC7" w:rsidRPr="00CB0D26" w:rsidTr="007430F6">
        <w:trPr>
          <w:trHeight w:val="280"/>
        </w:trPr>
        <w:tc>
          <w:tcPr>
            <w:tcW w:w="0" w:type="auto"/>
            <w:shd w:val="clear" w:color="auto" w:fill="auto"/>
            <w:vAlign w:val="bottom"/>
            <w:hideMark/>
          </w:tcPr>
          <w:p w:rsidR="00F74FC7" w:rsidRPr="00CB0D26" w:rsidRDefault="00F74FC7" w:rsidP="007430F6">
            <w:pP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 xml:space="preserve">All </w:t>
            </w:r>
            <w:proofErr w:type="spellStart"/>
            <w:r w:rsidRPr="00CB0D26">
              <w:rPr>
                <w:rFonts w:ascii="Times New Roman" w:eastAsia="Times New Roman" w:hAnsi="Times New Roman" w:cs="Times New Roman"/>
                <w:sz w:val="20"/>
                <w:szCs w:val="20"/>
                <w:lang w:eastAsia="fr-FR"/>
              </w:rPr>
              <w:t>drugs</w:t>
            </w:r>
            <w:proofErr w:type="spellEnd"/>
          </w:p>
        </w:tc>
        <w:tc>
          <w:tcPr>
            <w:tcW w:w="0" w:type="auto"/>
            <w:shd w:val="clear" w:color="auto" w:fill="auto"/>
            <w:vAlign w:val="bottom"/>
            <w:hideMark/>
          </w:tcPr>
          <w:p w:rsidR="00F74FC7" w:rsidRPr="00CB0D26" w:rsidRDefault="00F74FC7" w:rsidP="007430F6">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Approvals</w:t>
            </w:r>
          </w:p>
        </w:tc>
        <w:tc>
          <w:tcPr>
            <w:tcW w:w="1327"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27</w:t>
            </w:r>
          </w:p>
        </w:tc>
        <w:tc>
          <w:tcPr>
            <w:tcW w:w="1577"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22</w:t>
            </w:r>
          </w:p>
        </w:tc>
        <w:tc>
          <w:tcPr>
            <w:tcW w:w="0" w:type="auto"/>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24</w:t>
            </w:r>
          </w:p>
        </w:tc>
        <w:tc>
          <w:tcPr>
            <w:tcW w:w="0" w:type="auto"/>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3</w:t>
            </w:r>
          </w:p>
        </w:tc>
        <w:tc>
          <w:tcPr>
            <w:tcW w:w="1679"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16</w:t>
            </w:r>
          </w:p>
        </w:tc>
        <w:tc>
          <w:tcPr>
            <w:tcW w:w="1599"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2</w:t>
            </w:r>
          </w:p>
        </w:tc>
        <w:tc>
          <w:tcPr>
            <w:tcW w:w="0" w:type="auto"/>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2</w:t>
            </w:r>
          </w:p>
        </w:tc>
      </w:tr>
      <w:tr w:rsidR="00F74FC7" w:rsidRPr="00CB0D26" w:rsidTr="007430F6">
        <w:trPr>
          <w:trHeight w:val="84"/>
        </w:trPr>
        <w:tc>
          <w:tcPr>
            <w:tcW w:w="0" w:type="auto"/>
            <w:shd w:val="clear" w:color="auto" w:fill="auto"/>
            <w:vAlign w:val="bottom"/>
            <w:hideMark/>
          </w:tcPr>
          <w:p w:rsidR="00F74FC7" w:rsidRPr="00CB0D26" w:rsidRDefault="00F74FC7" w:rsidP="007430F6">
            <w:pPr>
              <w:rPr>
                <w:rFonts w:ascii="Times New Roman" w:eastAsia="Times New Roman" w:hAnsi="Times New Roman" w:cs="Times New Roman"/>
                <w:sz w:val="20"/>
                <w:szCs w:val="20"/>
                <w:lang w:eastAsia="fr-FR"/>
              </w:rPr>
            </w:pPr>
          </w:p>
        </w:tc>
        <w:tc>
          <w:tcPr>
            <w:tcW w:w="0" w:type="auto"/>
            <w:shd w:val="clear" w:color="auto" w:fill="auto"/>
            <w:vAlign w:val="bottom"/>
            <w:hideMark/>
          </w:tcPr>
          <w:p w:rsidR="00F74FC7" w:rsidRPr="00CB0D26" w:rsidRDefault="00F74FC7" w:rsidP="007430F6">
            <w:pP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Trials</w:t>
            </w:r>
          </w:p>
        </w:tc>
        <w:tc>
          <w:tcPr>
            <w:tcW w:w="1327"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5 (2 - 8)</w:t>
            </w:r>
          </w:p>
        </w:tc>
        <w:tc>
          <w:tcPr>
            <w:tcW w:w="1577"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2 (1.25 - 3)</w:t>
            </w:r>
          </w:p>
        </w:tc>
        <w:tc>
          <w:tcPr>
            <w:tcW w:w="0" w:type="auto"/>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3.5 (2 - 6)</w:t>
            </w:r>
          </w:p>
        </w:tc>
        <w:tc>
          <w:tcPr>
            <w:tcW w:w="0" w:type="auto"/>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 (1 - 1)</w:t>
            </w:r>
          </w:p>
        </w:tc>
        <w:tc>
          <w:tcPr>
            <w:tcW w:w="1679"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 (1 - 1)</w:t>
            </w:r>
          </w:p>
        </w:tc>
        <w:tc>
          <w:tcPr>
            <w:tcW w:w="1599"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1.5 (1.25 - 1.75)</w:t>
            </w:r>
          </w:p>
        </w:tc>
        <w:tc>
          <w:tcPr>
            <w:tcW w:w="0" w:type="auto"/>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 (1 - 1)</w:t>
            </w:r>
          </w:p>
        </w:tc>
      </w:tr>
      <w:tr w:rsidR="00F74FC7" w:rsidRPr="00CB0D26" w:rsidTr="007430F6">
        <w:trPr>
          <w:trHeight w:val="280"/>
        </w:trPr>
        <w:tc>
          <w:tcPr>
            <w:tcW w:w="0" w:type="auto"/>
            <w:shd w:val="clear" w:color="auto" w:fill="BFBFBF" w:themeFill="background1" w:themeFillShade="BF"/>
            <w:vAlign w:val="bottom"/>
            <w:hideMark/>
          </w:tcPr>
          <w:p w:rsidR="00F74FC7" w:rsidRPr="00CB0D26" w:rsidRDefault="00F74FC7" w:rsidP="007430F6">
            <w:pPr>
              <w:rPr>
                <w:rFonts w:ascii="Times New Roman" w:eastAsia="Times New Roman" w:hAnsi="Times New Roman" w:cs="Times New Roman"/>
                <w:sz w:val="20"/>
                <w:szCs w:val="20"/>
                <w:lang w:eastAsia="fr-FR"/>
              </w:rPr>
            </w:pPr>
            <w:proofErr w:type="spellStart"/>
            <w:r w:rsidRPr="00CB0D26">
              <w:rPr>
                <w:rFonts w:ascii="Times New Roman" w:eastAsia="Times New Roman" w:hAnsi="Times New Roman" w:cs="Times New Roman"/>
                <w:sz w:val="20"/>
                <w:szCs w:val="20"/>
                <w:lang w:eastAsia="fr-FR"/>
              </w:rPr>
              <w:t>Antidepressants</w:t>
            </w:r>
            <w:proofErr w:type="spellEnd"/>
          </w:p>
        </w:tc>
        <w:tc>
          <w:tcPr>
            <w:tcW w:w="0" w:type="auto"/>
            <w:shd w:val="clear" w:color="auto" w:fill="BFBFBF" w:themeFill="background1" w:themeFillShade="BF"/>
            <w:vAlign w:val="bottom"/>
            <w:hideMark/>
          </w:tcPr>
          <w:p w:rsidR="00F74FC7" w:rsidRPr="00CB0D26" w:rsidRDefault="00F74FC7" w:rsidP="007430F6">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Approvals</w:t>
            </w:r>
          </w:p>
        </w:tc>
        <w:tc>
          <w:tcPr>
            <w:tcW w:w="1327"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5</w:t>
            </w:r>
          </w:p>
        </w:tc>
        <w:tc>
          <w:tcPr>
            <w:tcW w:w="1577"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4</w:t>
            </w:r>
          </w:p>
        </w:tc>
        <w:tc>
          <w:tcPr>
            <w:tcW w:w="0" w:type="auto"/>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4</w:t>
            </w:r>
          </w:p>
        </w:tc>
        <w:tc>
          <w:tcPr>
            <w:tcW w:w="0" w:type="auto"/>
            <w:shd w:val="clear" w:color="auto" w:fill="BFBFBF" w:themeFill="background1" w:themeFillShade="BF"/>
            <w:noWrap/>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0</w:t>
            </w:r>
          </w:p>
        </w:tc>
        <w:tc>
          <w:tcPr>
            <w:tcW w:w="1679"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5</w:t>
            </w:r>
          </w:p>
        </w:tc>
        <w:tc>
          <w:tcPr>
            <w:tcW w:w="1599"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w:t>
            </w:r>
          </w:p>
        </w:tc>
        <w:tc>
          <w:tcPr>
            <w:tcW w:w="0" w:type="auto"/>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w:t>
            </w:r>
          </w:p>
        </w:tc>
      </w:tr>
      <w:tr w:rsidR="00F74FC7" w:rsidRPr="00CB0D26" w:rsidTr="007430F6">
        <w:trPr>
          <w:trHeight w:val="84"/>
        </w:trPr>
        <w:tc>
          <w:tcPr>
            <w:tcW w:w="0" w:type="auto"/>
            <w:shd w:val="clear" w:color="auto" w:fill="BFBFBF" w:themeFill="background1" w:themeFillShade="BF"/>
            <w:vAlign w:val="bottom"/>
            <w:hideMark/>
          </w:tcPr>
          <w:p w:rsidR="00F74FC7" w:rsidRPr="00CB0D26" w:rsidRDefault="00F74FC7" w:rsidP="007430F6">
            <w:pPr>
              <w:rPr>
                <w:rFonts w:ascii="Times New Roman" w:eastAsia="Times New Roman" w:hAnsi="Times New Roman" w:cs="Times New Roman"/>
                <w:sz w:val="20"/>
                <w:szCs w:val="20"/>
                <w:lang w:eastAsia="fr-FR"/>
              </w:rPr>
            </w:pPr>
          </w:p>
        </w:tc>
        <w:tc>
          <w:tcPr>
            <w:tcW w:w="0" w:type="auto"/>
            <w:shd w:val="clear" w:color="auto" w:fill="BFBFBF" w:themeFill="background1" w:themeFillShade="BF"/>
            <w:vAlign w:val="bottom"/>
            <w:hideMark/>
          </w:tcPr>
          <w:p w:rsidR="00F74FC7" w:rsidRPr="00CB0D26" w:rsidRDefault="00F74FC7" w:rsidP="007430F6">
            <w:pP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Trials</w:t>
            </w:r>
          </w:p>
        </w:tc>
        <w:tc>
          <w:tcPr>
            <w:tcW w:w="1327"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7 (5 - 13)</w:t>
            </w:r>
          </w:p>
        </w:tc>
        <w:tc>
          <w:tcPr>
            <w:tcW w:w="1577"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5 (3.5 - 6.25)</w:t>
            </w:r>
          </w:p>
        </w:tc>
        <w:tc>
          <w:tcPr>
            <w:tcW w:w="0" w:type="auto"/>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6.5 (5.5 - 8.25)</w:t>
            </w:r>
          </w:p>
        </w:tc>
        <w:tc>
          <w:tcPr>
            <w:tcW w:w="0" w:type="auto"/>
            <w:shd w:val="clear" w:color="auto" w:fill="BFBFBF" w:themeFill="background1" w:themeFillShade="BF"/>
            <w:noWrap/>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p>
        </w:tc>
        <w:tc>
          <w:tcPr>
            <w:tcW w:w="1679"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 (1 - 1)</w:t>
            </w:r>
          </w:p>
        </w:tc>
        <w:tc>
          <w:tcPr>
            <w:tcW w:w="1599"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 (1 - 1)</w:t>
            </w:r>
          </w:p>
        </w:tc>
        <w:tc>
          <w:tcPr>
            <w:tcW w:w="0" w:type="auto"/>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 (1 - 1)</w:t>
            </w:r>
          </w:p>
        </w:tc>
      </w:tr>
      <w:tr w:rsidR="00F74FC7" w:rsidRPr="00CB0D26" w:rsidTr="007430F6">
        <w:trPr>
          <w:trHeight w:val="280"/>
        </w:trPr>
        <w:tc>
          <w:tcPr>
            <w:tcW w:w="0" w:type="auto"/>
            <w:shd w:val="clear" w:color="auto" w:fill="auto"/>
            <w:vAlign w:val="bottom"/>
            <w:hideMark/>
          </w:tcPr>
          <w:p w:rsidR="00F74FC7" w:rsidRPr="00CB0D26" w:rsidRDefault="00F74FC7" w:rsidP="007430F6">
            <w:pPr>
              <w:rPr>
                <w:rFonts w:ascii="Times New Roman" w:eastAsia="Times New Roman" w:hAnsi="Times New Roman" w:cs="Times New Roman"/>
                <w:sz w:val="20"/>
                <w:szCs w:val="20"/>
                <w:lang w:eastAsia="fr-FR"/>
              </w:rPr>
            </w:pPr>
            <w:proofErr w:type="spellStart"/>
            <w:r w:rsidRPr="00CB0D26">
              <w:rPr>
                <w:rFonts w:ascii="Times New Roman" w:eastAsia="Times New Roman" w:hAnsi="Times New Roman" w:cs="Times New Roman"/>
                <w:sz w:val="20"/>
                <w:szCs w:val="20"/>
                <w:lang w:eastAsia="fr-FR"/>
              </w:rPr>
              <w:t>Antipsychotics</w:t>
            </w:r>
            <w:proofErr w:type="spellEnd"/>
          </w:p>
        </w:tc>
        <w:tc>
          <w:tcPr>
            <w:tcW w:w="0" w:type="auto"/>
            <w:shd w:val="clear" w:color="auto" w:fill="auto"/>
            <w:vAlign w:val="bottom"/>
            <w:hideMark/>
          </w:tcPr>
          <w:p w:rsidR="00F74FC7" w:rsidRPr="00CB0D26" w:rsidRDefault="00F74FC7" w:rsidP="007430F6">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Approvals</w:t>
            </w:r>
          </w:p>
        </w:tc>
        <w:tc>
          <w:tcPr>
            <w:tcW w:w="1327"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18</w:t>
            </w:r>
          </w:p>
        </w:tc>
        <w:tc>
          <w:tcPr>
            <w:tcW w:w="1577"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15</w:t>
            </w:r>
          </w:p>
        </w:tc>
        <w:tc>
          <w:tcPr>
            <w:tcW w:w="0" w:type="auto"/>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16</w:t>
            </w:r>
          </w:p>
        </w:tc>
        <w:tc>
          <w:tcPr>
            <w:tcW w:w="0" w:type="auto"/>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3</w:t>
            </w:r>
          </w:p>
        </w:tc>
        <w:tc>
          <w:tcPr>
            <w:tcW w:w="1679"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9</w:t>
            </w:r>
          </w:p>
        </w:tc>
        <w:tc>
          <w:tcPr>
            <w:tcW w:w="1599"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w:t>
            </w:r>
          </w:p>
        </w:tc>
        <w:tc>
          <w:tcPr>
            <w:tcW w:w="0" w:type="auto"/>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w:t>
            </w:r>
          </w:p>
        </w:tc>
      </w:tr>
      <w:tr w:rsidR="00F74FC7" w:rsidRPr="00CB0D26" w:rsidTr="007430F6">
        <w:trPr>
          <w:trHeight w:val="84"/>
        </w:trPr>
        <w:tc>
          <w:tcPr>
            <w:tcW w:w="0" w:type="auto"/>
            <w:shd w:val="clear" w:color="auto" w:fill="auto"/>
            <w:vAlign w:val="bottom"/>
            <w:hideMark/>
          </w:tcPr>
          <w:p w:rsidR="00F74FC7" w:rsidRPr="00CB0D26" w:rsidRDefault="00F74FC7" w:rsidP="007430F6">
            <w:pPr>
              <w:rPr>
                <w:rFonts w:ascii="Times New Roman" w:eastAsia="Times New Roman" w:hAnsi="Times New Roman" w:cs="Times New Roman"/>
                <w:sz w:val="20"/>
                <w:szCs w:val="20"/>
                <w:lang w:eastAsia="fr-FR"/>
              </w:rPr>
            </w:pPr>
          </w:p>
        </w:tc>
        <w:tc>
          <w:tcPr>
            <w:tcW w:w="0" w:type="auto"/>
            <w:shd w:val="clear" w:color="auto" w:fill="auto"/>
            <w:vAlign w:val="bottom"/>
            <w:hideMark/>
          </w:tcPr>
          <w:p w:rsidR="00F74FC7" w:rsidRPr="00CB0D26" w:rsidRDefault="00F74FC7" w:rsidP="007430F6">
            <w:pP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Trials</w:t>
            </w:r>
          </w:p>
        </w:tc>
        <w:tc>
          <w:tcPr>
            <w:tcW w:w="1327"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2.5 (2 - 7.25)</w:t>
            </w:r>
          </w:p>
        </w:tc>
        <w:tc>
          <w:tcPr>
            <w:tcW w:w="1577"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2 (1 - 3)</w:t>
            </w:r>
          </w:p>
        </w:tc>
        <w:tc>
          <w:tcPr>
            <w:tcW w:w="0" w:type="auto"/>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3 (2 - 4)</w:t>
            </w:r>
          </w:p>
        </w:tc>
        <w:tc>
          <w:tcPr>
            <w:tcW w:w="0" w:type="auto"/>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 (1 - 1)</w:t>
            </w:r>
          </w:p>
        </w:tc>
        <w:tc>
          <w:tcPr>
            <w:tcW w:w="1679"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 (1 - 1)</w:t>
            </w:r>
          </w:p>
        </w:tc>
        <w:tc>
          <w:tcPr>
            <w:tcW w:w="1599" w:type="dxa"/>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2 (2 - 2)</w:t>
            </w:r>
          </w:p>
        </w:tc>
        <w:tc>
          <w:tcPr>
            <w:tcW w:w="0" w:type="auto"/>
            <w:shd w:val="clear" w:color="auto" w:fill="auto"/>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 (1 - 1)</w:t>
            </w:r>
          </w:p>
        </w:tc>
      </w:tr>
      <w:tr w:rsidR="00F74FC7" w:rsidRPr="00CB0D26" w:rsidTr="007430F6">
        <w:trPr>
          <w:trHeight w:val="280"/>
        </w:trPr>
        <w:tc>
          <w:tcPr>
            <w:tcW w:w="0" w:type="auto"/>
            <w:shd w:val="clear" w:color="auto" w:fill="BFBFBF" w:themeFill="background1" w:themeFillShade="BF"/>
            <w:vAlign w:val="bottom"/>
            <w:hideMark/>
          </w:tcPr>
          <w:p w:rsidR="00F74FC7" w:rsidRPr="00CB0D26" w:rsidRDefault="00F74FC7" w:rsidP="007430F6">
            <w:pPr>
              <w:rPr>
                <w:rFonts w:ascii="Times New Roman" w:eastAsia="Times New Roman" w:hAnsi="Times New Roman" w:cs="Times New Roman"/>
                <w:sz w:val="20"/>
                <w:szCs w:val="20"/>
                <w:lang w:eastAsia="fr-FR"/>
              </w:rPr>
            </w:pPr>
            <w:proofErr w:type="spellStart"/>
            <w:r w:rsidRPr="00CB0D26">
              <w:rPr>
                <w:rFonts w:ascii="Times New Roman" w:eastAsia="Times New Roman" w:hAnsi="Times New Roman" w:cs="Times New Roman"/>
                <w:sz w:val="20"/>
                <w:szCs w:val="20"/>
                <w:lang w:eastAsia="fr-FR"/>
              </w:rPr>
              <w:t>Other</w:t>
            </w:r>
            <w:proofErr w:type="spellEnd"/>
          </w:p>
        </w:tc>
        <w:tc>
          <w:tcPr>
            <w:tcW w:w="0" w:type="auto"/>
            <w:shd w:val="clear" w:color="auto" w:fill="BFBFBF" w:themeFill="background1" w:themeFillShade="BF"/>
            <w:vAlign w:val="bottom"/>
            <w:hideMark/>
          </w:tcPr>
          <w:p w:rsidR="00F74FC7" w:rsidRPr="00CB0D26" w:rsidRDefault="00F74FC7" w:rsidP="007430F6">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Approvals</w:t>
            </w:r>
          </w:p>
        </w:tc>
        <w:tc>
          <w:tcPr>
            <w:tcW w:w="1327"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4</w:t>
            </w:r>
          </w:p>
        </w:tc>
        <w:tc>
          <w:tcPr>
            <w:tcW w:w="1577"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3</w:t>
            </w:r>
          </w:p>
        </w:tc>
        <w:tc>
          <w:tcPr>
            <w:tcW w:w="0" w:type="auto"/>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4</w:t>
            </w:r>
          </w:p>
        </w:tc>
        <w:tc>
          <w:tcPr>
            <w:tcW w:w="0" w:type="auto"/>
            <w:shd w:val="clear" w:color="auto" w:fill="BFBFBF" w:themeFill="background1" w:themeFillShade="BF"/>
            <w:noWrap/>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0</w:t>
            </w:r>
          </w:p>
        </w:tc>
        <w:tc>
          <w:tcPr>
            <w:tcW w:w="1679"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2</w:t>
            </w:r>
          </w:p>
        </w:tc>
        <w:tc>
          <w:tcPr>
            <w:tcW w:w="1599" w:type="dxa"/>
            <w:shd w:val="clear" w:color="auto" w:fill="BFBFBF" w:themeFill="background1" w:themeFillShade="BF"/>
            <w:noWrap/>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0</w:t>
            </w:r>
          </w:p>
        </w:tc>
        <w:tc>
          <w:tcPr>
            <w:tcW w:w="0" w:type="auto"/>
            <w:shd w:val="clear" w:color="auto" w:fill="BFBFBF" w:themeFill="background1" w:themeFillShade="BF"/>
            <w:noWrap/>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0</w:t>
            </w:r>
          </w:p>
        </w:tc>
      </w:tr>
      <w:tr w:rsidR="00F74FC7" w:rsidRPr="00CB0D26" w:rsidTr="007430F6">
        <w:trPr>
          <w:trHeight w:val="84"/>
        </w:trPr>
        <w:tc>
          <w:tcPr>
            <w:tcW w:w="0" w:type="auto"/>
            <w:shd w:val="clear" w:color="auto" w:fill="BFBFBF" w:themeFill="background1" w:themeFillShade="BF"/>
            <w:vAlign w:val="bottom"/>
            <w:hideMark/>
          </w:tcPr>
          <w:p w:rsidR="00F74FC7" w:rsidRPr="00CB0D26" w:rsidRDefault="00F74FC7" w:rsidP="007430F6">
            <w:pPr>
              <w:rPr>
                <w:rFonts w:ascii="Times New Roman" w:eastAsia="Times New Roman" w:hAnsi="Times New Roman" w:cs="Times New Roman"/>
                <w:sz w:val="20"/>
                <w:szCs w:val="20"/>
                <w:lang w:eastAsia="fr-FR"/>
              </w:rPr>
            </w:pPr>
          </w:p>
        </w:tc>
        <w:tc>
          <w:tcPr>
            <w:tcW w:w="0" w:type="auto"/>
            <w:shd w:val="clear" w:color="auto" w:fill="BFBFBF" w:themeFill="background1" w:themeFillShade="BF"/>
            <w:vAlign w:val="bottom"/>
            <w:hideMark/>
          </w:tcPr>
          <w:p w:rsidR="00F74FC7" w:rsidRPr="00CB0D26" w:rsidRDefault="00F74FC7" w:rsidP="007430F6">
            <w:pP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Trials</w:t>
            </w:r>
          </w:p>
        </w:tc>
        <w:tc>
          <w:tcPr>
            <w:tcW w:w="1327"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7 (5.5 - 7.25)</w:t>
            </w:r>
          </w:p>
        </w:tc>
        <w:tc>
          <w:tcPr>
            <w:tcW w:w="1577"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3 (2 - 4)</w:t>
            </w:r>
          </w:p>
        </w:tc>
        <w:tc>
          <w:tcPr>
            <w:tcW w:w="0" w:type="auto"/>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6.5 (4.75 - 7)</w:t>
            </w:r>
          </w:p>
        </w:tc>
        <w:tc>
          <w:tcPr>
            <w:tcW w:w="0" w:type="auto"/>
            <w:shd w:val="clear" w:color="auto" w:fill="BFBFBF" w:themeFill="background1" w:themeFillShade="BF"/>
            <w:noWrap/>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NA</w:t>
            </w:r>
          </w:p>
        </w:tc>
        <w:tc>
          <w:tcPr>
            <w:tcW w:w="1679" w:type="dxa"/>
            <w:shd w:val="clear" w:color="auto" w:fill="BFBFBF" w:themeFill="background1" w:themeFillShade="BF"/>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sidRPr="00CB0D26">
              <w:rPr>
                <w:rFonts w:ascii="Times New Roman" w:eastAsia="Times New Roman" w:hAnsi="Times New Roman" w:cs="Times New Roman"/>
                <w:sz w:val="20"/>
                <w:szCs w:val="20"/>
                <w:lang w:eastAsia="fr-FR"/>
              </w:rPr>
              <w:t>1 (1 - 1)</w:t>
            </w:r>
          </w:p>
        </w:tc>
        <w:tc>
          <w:tcPr>
            <w:tcW w:w="1599" w:type="dxa"/>
            <w:shd w:val="clear" w:color="auto" w:fill="BFBFBF" w:themeFill="background1" w:themeFillShade="BF"/>
            <w:noWrap/>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NA</w:t>
            </w:r>
          </w:p>
        </w:tc>
        <w:tc>
          <w:tcPr>
            <w:tcW w:w="0" w:type="auto"/>
            <w:shd w:val="clear" w:color="auto" w:fill="BFBFBF" w:themeFill="background1" w:themeFillShade="BF"/>
            <w:noWrap/>
            <w:vAlign w:val="bottom"/>
            <w:hideMark/>
          </w:tcPr>
          <w:p w:rsidR="00F74FC7" w:rsidRPr="00CB0D26" w:rsidRDefault="00F74FC7" w:rsidP="007430F6">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NA</w:t>
            </w:r>
          </w:p>
        </w:tc>
      </w:tr>
    </w:tbl>
    <w:p w:rsidR="00F74FC7" w:rsidRDefault="00F74FC7">
      <w:pPr>
        <w:pStyle w:val="Corpsdetexte"/>
        <w:rPr>
          <w:b/>
          <w:lang w:val="en-GB"/>
        </w:rPr>
      </w:pPr>
    </w:p>
    <w:p w:rsidR="00F74FC7" w:rsidRDefault="00F74FC7">
      <w:pPr>
        <w:pStyle w:val="Corpsdetexte"/>
        <w:rPr>
          <w:b/>
          <w:lang w:val="en-GB"/>
        </w:rPr>
      </w:pPr>
      <w:r>
        <w:rPr>
          <w:b/>
          <w:lang w:val="en-GB"/>
        </w:rPr>
        <w:t>e-Table 6: Number of trials in each approval</w:t>
      </w:r>
    </w:p>
    <w:p w:rsidR="007A23B1" w:rsidRDefault="00F74FC7">
      <w:pPr>
        <w:pStyle w:val="Corpsdetexte"/>
        <w:rPr>
          <w:b/>
          <w:lang w:val="en-GB"/>
        </w:rPr>
      </w:pPr>
      <w:r>
        <w:rPr>
          <w:lang w:val="en-GB"/>
        </w:rPr>
        <w:t>D</w:t>
      </w:r>
      <w:r w:rsidRPr="00F74FC7">
        <w:rPr>
          <w:lang w:val="en-GB"/>
        </w:rPr>
        <w:t>ata are summarised using Median and Inter Quartile Range</w:t>
      </w:r>
    </w:p>
    <w:sectPr w:rsidR="007A23B1">
      <w:pgSz w:w="16838" w:h="11906" w:orient="landscape"/>
      <w:pgMar w:top="1077" w:right="1134" w:bottom="107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iberation Serif">
    <w:altName w:val="Times New Roman"/>
    <w:panose1 w:val="020B0604020202020204"/>
    <w:charset w:val="00"/>
    <w:family w:val="roman"/>
    <w:pitch w:val="variable"/>
  </w:font>
  <w:font w:name="NSimSu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23B1"/>
    <w:rsid w:val="00450345"/>
    <w:rsid w:val="006108F2"/>
    <w:rsid w:val="007A23B1"/>
    <w:rsid w:val="00B4241A"/>
    <w:rsid w:val="00F74FC7"/>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42B3DE22"/>
  <w15:docId w15:val="{386DC422-AFEC-8645-B11F-6D3538D7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AC5"/>
    <w:pPr>
      <w:suppressAutoHyphens/>
      <w:spacing w:after="200" w:line="276"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ous-titreCar">
    <w:name w:val="Sous-titre Car"/>
    <w:basedOn w:val="Policepardfaut"/>
    <w:qFormat/>
    <w:rsid w:val="005E1AC5"/>
    <w:rPr>
      <w:rFonts w:ascii="Cambria" w:eastAsia="Times New Roman" w:hAnsi="Cambria" w:cs="Times New Roman"/>
      <w:lang w:eastAsia="zh-CN"/>
    </w:rPr>
  </w:style>
  <w:style w:type="character" w:styleId="Marquedecommentaire">
    <w:name w:val="annotation reference"/>
    <w:basedOn w:val="Policepardfaut"/>
    <w:uiPriority w:val="99"/>
    <w:semiHidden/>
    <w:unhideWhenUsed/>
    <w:qFormat/>
    <w:rsid w:val="00915915"/>
    <w:rPr>
      <w:sz w:val="18"/>
      <w:szCs w:val="18"/>
    </w:rPr>
  </w:style>
  <w:style w:type="character" w:customStyle="1" w:styleId="CommentaireCar">
    <w:name w:val="Commentaire Car"/>
    <w:basedOn w:val="Policepardfaut"/>
    <w:link w:val="Commentaire"/>
    <w:uiPriority w:val="99"/>
    <w:semiHidden/>
    <w:qFormat/>
    <w:rsid w:val="00915915"/>
    <w:rPr>
      <w:rFonts w:ascii="Calibri" w:eastAsia="Calibri" w:hAnsi="Calibri" w:cs="Calibri"/>
      <w:lang w:eastAsia="zh-CN"/>
    </w:rPr>
  </w:style>
  <w:style w:type="character" w:customStyle="1" w:styleId="ObjetducommentaireCar">
    <w:name w:val="Objet du commentaire Car"/>
    <w:basedOn w:val="CommentaireCar"/>
    <w:link w:val="Objetducommentaire"/>
    <w:uiPriority w:val="99"/>
    <w:semiHidden/>
    <w:qFormat/>
    <w:rsid w:val="00915915"/>
    <w:rPr>
      <w:rFonts w:ascii="Calibri" w:eastAsia="Calibri" w:hAnsi="Calibri" w:cs="Calibri"/>
      <w:b/>
      <w:bCs/>
      <w:sz w:val="20"/>
      <w:szCs w:val="20"/>
      <w:lang w:eastAsia="zh-CN"/>
    </w:rPr>
  </w:style>
  <w:style w:type="character" w:customStyle="1" w:styleId="TextedebullesCar">
    <w:name w:val="Texte de bulles Car"/>
    <w:basedOn w:val="Policepardfaut"/>
    <w:link w:val="Textedebulles"/>
    <w:uiPriority w:val="99"/>
    <w:semiHidden/>
    <w:qFormat/>
    <w:rsid w:val="00915915"/>
    <w:rPr>
      <w:rFonts w:ascii="Lucida Grande" w:eastAsia="Calibri" w:hAnsi="Lucida Grande" w:cs="Calibri"/>
      <w:sz w:val="18"/>
      <w:szCs w:val="18"/>
      <w:lang w:eastAsia="zh-CN"/>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Sous-titre">
    <w:name w:val="Subtitle"/>
    <w:basedOn w:val="Normal"/>
    <w:next w:val="Normal"/>
    <w:qFormat/>
    <w:rsid w:val="005E1AC5"/>
    <w:pPr>
      <w:spacing w:after="60"/>
      <w:jc w:val="center"/>
      <w:outlineLvl w:val="1"/>
    </w:pPr>
    <w:rPr>
      <w:rFonts w:ascii="Cambria" w:eastAsia="Times New Roman" w:hAnsi="Cambria" w:cs="Times New Roman"/>
      <w:sz w:val="24"/>
      <w:szCs w:val="24"/>
    </w:rPr>
  </w:style>
  <w:style w:type="paragraph" w:styleId="Commentaire">
    <w:name w:val="annotation text"/>
    <w:basedOn w:val="Normal"/>
    <w:link w:val="CommentaireCar"/>
    <w:uiPriority w:val="99"/>
    <w:semiHidden/>
    <w:unhideWhenUsed/>
    <w:qFormat/>
    <w:rsid w:val="00915915"/>
    <w:pPr>
      <w:spacing w:line="240" w:lineRule="auto"/>
    </w:pPr>
    <w:rPr>
      <w:sz w:val="24"/>
      <w:szCs w:val="24"/>
    </w:rPr>
  </w:style>
  <w:style w:type="paragraph" w:styleId="Objetducommentaire">
    <w:name w:val="annotation subject"/>
    <w:basedOn w:val="Commentaire"/>
    <w:next w:val="Commentaire"/>
    <w:link w:val="ObjetducommentaireCar"/>
    <w:uiPriority w:val="99"/>
    <w:semiHidden/>
    <w:unhideWhenUsed/>
    <w:qFormat/>
    <w:rsid w:val="00915915"/>
    <w:rPr>
      <w:b/>
      <w:bCs/>
      <w:sz w:val="20"/>
      <w:szCs w:val="20"/>
    </w:rPr>
  </w:style>
  <w:style w:type="paragraph" w:styleId="Rvision">
    <w:name w:val="Revision"/>
    <w:uiPriority w:val="99"/>
    <w:semiHidden/>
    <w:qFormat/>
    <w:rsid w:val="00915915"/>
    <w:rPr>
      <w:rFonts w:cs="Calibri"/>
      <w:sz w:val="22"/>
      <w:szCs w:val="22"/>
      <w:lang w:eastAsia="zh-CN"/>
    </w:rPr>
  </w:style>
  <w:style w:type="paragraph" w:styleId="Textedebulles">
    <w:name w:val="Balloon Text"/>
    <w:basedOn w:val="Normal"/>
    <w:link w:val="TextedebullesCar"/>
    <w:uiPriority w:val="99"/>
    <w:semiHidden/>
    <w:unhideWhenUsed/>
    <w:qFormat/>
    <w:rsid w:val="00915915"/>
    <w:pPr>
      <w:spacing w:after="0" w:line="240" w:lineRule="auto"/>
    </w:pPr>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2954</Words>
  <Characters>16248</Characters>
  <Application>Microsoft Office Word</Application>
  <DocSecurity>0</DocSecurity>
  <Lines>135</Lines>
  <Paragraphs>38</Paragraphs>
  <ScaleCrop>false</ScaleCrop>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florian naudet</cp:lastModifiedBy>
  <cp:revision>5</cp:revision>
  <dcterms:created xsi:type="dcterms:W3CDTF">2020-03-10T10:53:00Z</dcterms:created>
  <dcterms:modified xsi:type="dcterms:W3CDTF">2020-03-11T10:46:00Z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