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6A61C" w14:textId="77777777" w:rsidR="00FC352A" w:rsidRPr="00BE28F5" w:rsidRDefault="00FC352A" w:rsidP="00FC352A">
      <w:pPr>
        <w:spacing w:before="360" w:after="240" w:line="480" w:lineRule="auto"/>
        <w:jc w:val="center"/>
        <w:rPr>
          <w:rFonts w:asciiTheme="majorBidi" w:hAnsiTheme="majorBidi" w:cstheme="majorBidi"/>
          <w:szCs w:val="24"/>
        </w:rPr>
      </w:pPr>
      <w:r w:rsidRPr="00BE28F5">
        <w:rPr>
          <w:rFonts w:asciiTheme="majorBidi" w:hAnsiTheme="majorBidi" w:cstheme="majorBidi"/>
          <w:szCs w:val="24"/>
        </w:rPr>
        <w:t>Residential Transience among United States Adolescents: Association with Depression and Mental Health Treatment</w:t>
      </w:r>
    </w:p>
    <w:p w14:paraId="683B21D7" w14:textId="77777777" w:rsidR="00BF56C0" w:rsidRPr="00BE28F5" w:rsidRDefault="00BF56C0" w:rsidP="00BF56C0">
      <w:pPr>
        <w:pStyle w:val="titlepage-title"/>
        <w:rPr>
          <w:rFonts w:asciiTheme="majorBidi" w:hAnsiTheme="majorBidi" w:cstheme="majorBidi"/>
        </w:rPr>
      </w:pPr>
      <w:r w:rsidRPr="00BE28F5">
        <w:rPr>
          <w:rFonts w:asciiTheme="majorBidi" w:hAnsiTheme="majorBidi" w:cstheme="majorBidi"/>
          <w:b w:val="0"/>
          <w:bCs/>
        </w:rPr>
        <w:t>SUPPLEMENTAL MATERIAL</w:t>
      </w:r>
    </w:p>
    <w:p w14:paraId="61C9D572" w14:textId="07A3B944" w:rsidR="00FC352A" w:rsidRPr="00F174F8" w:rsidRDefault="00FC352A" w:rsidP="00FC352A">
      <w:pPr>
        <w:spacing w:before="360" w:after="240" w:line="480" w:lineRule="auto"/>
        <w:rPr>
          <w:rFonts w:asciiTheme="majorBidi" w:hAnsiTheme="majorBidi" w:cstheme="majorBidi"/>
          <w:szCs w:val="24"/>
          <w:vertAlign w:val="superscript"/>
        </w:rPr>
      </w:pPr>
      <w:r w:rsidRPr="00BE28F5">
        <w:rPr>
          <w:rFonts w:asciiTheme="majorBidi" w:hAnsiTheme="majorBidi" w:cstheme="majorBidi"/>
          <w:szCs w:val="24"/>
        </w:rPr>
        <w:t>Authors: C. Glashee</w:t>
      </w:r>
      <w:bookmarkStart w:id="0" w:name="_GoBack"/>
      <w:bookmarkEnd w:id="0"/>
      <w:r w:rsidRPr="00BE28F5">
        <w:rPr>
          <w:rFonts w:asciiTheme="majorBidi" w:hAnsiTheme="majorBidi" w:cstheme="majorBidi"/>
          <w:szCs w:val="24"/>
        </w:rPr>
        <w:t>n,</w:t>
      </w:r>
      <w:r w:rsidRPr="00BE28F5">
        <w:rPr>
          <w:rStyle w:val="FootnoteReference"/>
          <w:rFonts w:asciiTheme="majorBidi" w:hAnsiTheme="majorBidi" w:cstheme="majorBidi"/>
          <w:szCs w:val="24"/>
        </w:rPr>
        <w:footnoteReference w:id="1"/>
      </w:r>
      <w:r w:rsidRPr="00BE28F5">
        <w:rPr>
          <w:rFonts w:asciiTheme="majorBidi" w:hAnsiTheme="majorBidi" w:cstheme="majorBidi"/>
          <w:szCs w:val="24"/>
        </w:rPr>
        <w:t xml:space="preserve"> V. Forman-Hoffman,</w:t>
      </w:r>
      <w:r w:rsidR="00F174F8">
        <w:rPr>
          <w:rFonts w:asciiTheme="majorBidi" w:hAnsiTheme="majorBidi" w:cstheme="majorBidi"/>
          <w:szCs w:val="24"/>
          <w:vertAlign w:val="superscript"/>
        </w:rPr>
        <w:t>1</w:t>
      </w:r>
      <w:r w:rsidRPr="00BE28F5">
        <w:rPr>
          <w:rFonts w:asciiTheme="majorBidi" w:hAnsiTheme="majorBidi" w:cstheme="majorBidi"/>
          <w:szCs w:val="24"/>
        </w:rPr>
        <w:t xml:space="preserve"> S. Hedden,</w:t>
      </w:r>
      <w:r w:rsidR="00F174F8">
        <w:rPr>
          <w:rFonts w:asciiTheme="majorBidi" w:hAnsiTheme="majorBidi" w:cstheme="majorBidi"/>
          <w:szCs w:val="24"/>
          <w:vertAlign w:val="superscript"/>
        </w:rPr>
        <w:t>2</w:t>
      </w:r>
      <w:r w:rsidRPr="00BE28F5">
        <w:rPr>
          <w:rFonts w:asciiTheme="majorBidi" w:hAnsiTheme="majorBidi" w:cstheme="majorBidi"/>
          <w:szCs w:val="24"/>
        </w:rPr>
        <w:t xml:space="preserve"> T. Ridenour,</w:t>
      </w:r>
      <w:r w:rsidR="00F174F8">
        <w:rPr>
          <w:rFonts w:asciiTheme="majorBidi" w:hAnsiTheme="majorBidi" w:cstheme="majorBidi"/>
          <w:szCs w:val="24"/>
          <w:vertAlign w:val="superscript"/>
        </w:rPr>
        <w:t>1</w:t>
      </w:r>
      <w:r w:rsidRPr="00BE28F5">
        <w:rPr>
          <w:rFonts w:asciiTheme="majorBidi" w:hAnsiTheme="majorBidi" w:cstheme="majorBidi"/>
          <w:szCs w:val="24"/>
        </w:rPr>
        <w:t xml:space="preserve"> J. Wang,</w:t>
      </w:r>
      <w:r w:rsidR="00F174F8">
        <w:rPr>
          <w:rFonts w:asciiTheme="majorBidi" w:hAnsiTheme="majorBidi" w:cstheme="majorBidi"/>
          <w:szCs w:val="24"/>
          <w:vertAlign w:val="superscript"/>
        </w:rPr>
        <w:t>3</w:t>
      </w:r>
      <w:r w:rsidRPr="00BE28F5">
        <w:rPr>
          <w:rFonts w:asciiTheme="majorBidi" w:hAnsiTheme="majorBidi" w:cstheme="majorBidi"/>
          <w:szCs w:val="24"/>
        </w:rPr>
        <w:t xml:space="preserve"> J. Porter</w:t>
      </w:r>
      <w:r w:rsidR="00F174F8">
        <w:rPr>
          <w:rFonts w:asciiTheme="majorBidi" w:hAnsiTheme="majorBidi" w:cstheme="majorBidi"/>
          <w:szCs w:val="24"/>
          <w:vertAlign w:val="superscript"/>
        </w:rPr>
        <w:t>3</w:t>
      </w:r>
    </w:p>
    <w:p w14:paraId="3F7D4748" w14:textId="51176B91" w:rsidR="00BF56C0" w:rsidRDefault="00F174F8" w:rsidP="00BF56C0">
      <w:pPr>
        <w:pStyle w:val="titlepage-text"/>
        <w:ind w:left="180" w:hanging="180"/>
        <w:rPr>
          <w:rFonts w:asciiTheme="majorBidi" w:hAnsiTheme="majorBidi" w:cstheme="majorBidi"/>
          <w:szCs w:val="24"/>
        </w:rPr>
      </w:pPr>
      <w:r>
        <w:rPr>
          <w:rFonts w:asciiTheme="majorBidi" w:hAnsiTheme="majorBidi" w:cstheme="majorBidi"/>
          <w:szCs w:val="24"/>
          <w:vertAlign w:val="superscript"/>
        </w:rPr>
        <w:t>1</w:t>
      </w:r>
      <w:r w:rsidR="00490AAF">
        <w:rPr>
          <w:rFonts w:asciiTheme="majorBidi" w:hAnsiTheme="majorBidi" w:cstheme="majorBidi"/>
          <w:szCs w:val="24"/>
          <w:vertAlign w:val="superscript"/>
        </w:rPr>
        <w:t xml:space="preserve"> </w:t>
      </w:r>
      <w:r w:rsidR="00490AAF">
        <w:rPr>
          <w:rFonts w:asciiTheme="majorBidi" w:hAnsiTheme="majorBidi" w:cstheme="majorBidi"/>
          <w:szCs w:val="24"/>
        </w:rPr>
        <w:t xml:space="preserve">Behavioral Health Research Division, </w:t>
      </w:r>
      <w:r>
        <w:rPr>
          <w:rFonts w:asciiTheme="majorBidi" w:hAnsiTheme="majorBidi" w:cstheme="majorBidi"/>
          <w:szCs w:val="24"/>
        </w:rPr>
        <w:t>RTI International</w:t>
      </w:r>
    </w:p>
    <w:p w14:paraId="6C444D24" w14:textId="47A0F552" w:rsidR="00F174F8" w:rsidRDefault="00F174F8" w:rsidP="00BF56C0">
      <w:pPr>
        <w:pStyle w:val="titlepage-text"/>
        <w:ind w:left="180" w:hanging="180"/>
        <w:rPr>
          <w:rFonts w:asciiTheme="majorBidi" w:hAnsiTheme="majorBidi" w:cstheme="majorBidi"/>
          <w:szCs w:val="24"/>
        </w:rPr>
      </w:pPr>
      <w:r>
        <w:rPr>
          <w:rFonts w:asciiTheme="majorBidi" w:hAnsiTheme="majorBidi" w:cstheme="majorBidi"/>
          <w:szCs w:val="24"/>
          <w:vertAlign w:val="superscript"/>
        </w:rPr>
        <w:t>2</w:t>
      </w:r>
      <w:r>
        <w:rPr>
          <w:rFonts w:asciiTheme="majorBidi" w:hAnsiTheme="majorBidi" w:cstheme="majorBidi"/>
          <w:szCs w:val="24"/>
        </w:rPr>
        <w:t>Center for Behavioral Statistics and Quality, Substance Abuse and Mental Health Services Administration</w:t>
      </w:r>
    </w:p>
    <w:p w14:paraId="04F03198" w14:textId="7E216368" w:rsidR="00F174F8" w:rsidRPr="00F174F8" w:rsidRDefault="00F174F8" w:rsidP="00BF56C0">
      <w:pPr>
        <w:pStyle w:val="titlepage-text"/>
        <w:ind w:left="180" w:hanging="180"/>
        <w:rPr>
          <w:rFonts w:asciiTheme="majorBidi" w:hAnsiTheme="majorBidi" w:cstheme="majorBidi"/>
          <w:szCs w:val="24"/>
        </w:rPr>
      </w:pPr>
      <w:r>
        <w:rPr>
          <w:rFonts w:asciiTheme="majorBidi" w:hAnsiTheme="majorBidi" w:cstheme="majorBidi"/>
          <w:szCs w:val="24"/>
          <w:vertAlign w:val="superscript"/>
        </w:rPr>
        <w:t>3</w:t>
      </w:r>
      <w:r w:rsidR="00490AAF" w:rsidRPr="00490AAF">
        <w:rPr>
          <w:rFonts w:asciiTheme="majorBidi" w:hAnsiTheme="majorBidi" w:cstheme="majorBidi"/>
          <w:szCs w:val="24"/>
        </w:rPr>
        <w:t xml:space="preserve">Division for Statistical &amp; Data Sciences, </w:t>
      </w:r>
      <w:r>
        <w:rPr>
          <w:rFonts w:asciiTheme="majorBidi" w:hAnsiTheme="majorBidi" w:cstheme="majorBidi"/>
          <w:szCs w:val="24"/>
        </w:rPr>
        <w:t>RTI International</w:t>
      </w:r>
    </w:p>
    <w:p w14:paraId="0998D7E3" w14:textId="5C6144B5" w:rsidR="00BF56C0" w:rsidRPr="00BE28F5" w:rsidRDefault="00BF56C0" w:rsidP="00BF56C0">
      <w:pPr>
        <w:pStyle w:val="Heading1"/>
        <w:rPr>
          <w:rFonts w:asciiTheme="majorBidi" w:hAnsiTheme="majorBidi" w:cstheme="majorBidi"/>
        </w:rPr>
      </w:pPr>
      <w:r w:rsidRPr="00BE28F5">
        <w:rPr>
          <w:rFonts w:asciiTheme="majorBidi" w:hAnsiTheme="majorBidi" w:cstheme="majorBidi"/>
        </w:rPr>
        <w:t>SUPPLEMENTAL MATERIAL</w:t>
      </w:r>
    </w:p>
    <w:p w14:paraId="479EDABC" w14:textId="4D90B10D" w:rsidR="00BF56C0" w:rsidRPr="00BE28F5" w:rsidRDefault="00BF56C0" w:rsidP="00BF56C0">
      <w:pPr>
        <w:pStyle w:val="Heading2"/>
        <w:rPr>
          <w:rFonts w:asciiTheme="majorBidi" w:hAnsiTheme="majorBidi" w:cstheme="majorBidi"/>
          <w:szCs w:val="24"/>
        </w:rPr>
      </w:pPr>
      <w:r w:rsidRPr="00BE28F5">
        <w:rPr>
          <w:rFonts w:asciiTheme="majorBidi" w:hAnsiTheme="majorBidi" w:cstheme="majorBidi"/>
          <w:szCs w:val="24"/>
        </w:rPr>
        <w:t>S1.</w:t>
      </w:r>
      <w:r w:rsidRPr="00BE28F5">
        <w:rPr>
          <w:rFonts w:asciiTheme="majorBidi" w:hAnsiTheme="majorBidi" w:cstheme="majorBidi"/>
          <w:szCs w:val="24"/>
        </w:rPr>
        <w:tab/>
      </w:r>
      <w:r w:rsidR="00650219" w:rsidRPr="00BE28F5">
        <w:rPr>
          <w:rFonts w:asciiTheme="majorBidi" w:hAnsiTheme="majorBidi" w:cstheme="majorBidi"/>
          <w:szCs w:val="24"/>
        </w:rPr>
        <w:t>Sensitivity Analysis of Recoding Incongruent Past Year and Past 5 Year Moves</w:t>
      </w:r>
    </w:p>
    <w:p w14:paraId="670C3794" w14:textId="48A3C892" w:rsidR="00593AB4" w:rsidRPr="00BE28F5" w:rsidRDefault="00FC352A" w:rsidP="00FC352A">
      <w:pPr>
        <w:pStyle w:val="BodyText"/>
        <w:rPr>
          <w:rFonts w:asciiTheme="majorBidi" w:hAnsiTheme="majorBidi" w:cstheme="majorBidi"/>
          <w:szCs w:val="24"/>
        </w:rPr>
      </w:pPr>
      <w:r w:rsidRPr="00BE28F5">
        <w:rPr>
          <w:rFonts w:asciiTheme="majorBidi" w:hAnsiTheme="majorBidi" w:cstheme="majorBidi"/>
          <w:szCs w:val="24"/>
        </w:rPr>
        <w:t xml:space="preserve">Transience was assessed using two separate questions. Respondents who reported past </w:t>
      </w:r>
      <w:r w:rsidR="004D72B7" w:rsidRPr="00BE28F5">
        <w:rPr>
          <w:rFonts w:asciiTheme="majorBidi" w:hAnsiTheme="majorBidi" w:cstheme="majorBidi"/>
          <w:szCs w:val="24"/>
        </w:rPr>
        <w:t>5-year</w:t>
      </w:r>
      <w:r w:rsidRPr="00BE28F5">
        <w:rPr>
          <w:rFonts w:asciiTheme="majorBidi" w:hAnsiTheme="majorBidi" w:cstheme="majorBidi"/>
          <w:szCs w:val="24"/>
        </w:rPr>
        <w:t xml:space="preserve"> moves were asked about the number of past </w:t>
      </w:r>
      <w:proofErr w:type="gramStart"/>
      <w:r w:rsidRPr="00BE28F5">
        <w:rPr>
          <w:rFonts w:asciiTheme="majorBidi" w:hAnsiTheme="majorBidi" w:cstheme="majorBidi"/>
          <w:szCs w:val="24"/>
        </w:rPr>
        <w:t>year</w:t>
      </w:r>
      <w:proofErr w:type="gramEnd"/>
      <w:r w:rsidRPr="00BE28F5">
        <w:rPr>
          <w:rFonts w:asciiTheme="majorBidi" w:hAnsiTheme="majorBidi" w:cstheme="majorBidi"/>
          <w:szCs w:val="24"/>
        </w:rPr>
        <w:t xml:space="preserve"> moves without data quality constraints. This led to some adolescents reporting more moves in the past year than they reported in the past 5 years. Additionally, some respondents answered "don't know" to the past </w:t>
      </w:r>
      <w:r w:rsidR="004D72B7" w:rsidRPr="00BE28F5">
        <w:rPr>
          <w:rFonts w:asciiTheme="majorBidi" w:hAnsiTheme="majorBidi" w:cstheme="majorBidi"/>
          <w:szCs w:val="24"/>
        </w:rPr>
        <w:t>5-year</w:t>
      </w:r>
      <w:r w:rsidRPr="00BE28F5">
        <w:rPr>
          <w:rFonts w:asciiTheme="majorBidi" w:hAnsiTheme="majorBidi" w:cstheme="majorBidi"/>
          <w:szCs w:val="24"/>
        </w:rPr>
        <w:t xml:space="preserve"> question but answered the past year question and vice versa. </w:t>
      </w:r>
      <w:r w:rsidR="00593AB4" w:rsidRPr="00BE28F5">
        <w:rPr>
          <w:rFonts w:asciiTheme="majorBidi" w:hAnsiTheme="majorBidi" w:cstheme="majorBidi"/>
          <w:szCs w:val="24"/>
        </w:rPr>
        <w:t xml:space="preserve">Analyses were conducted to see if missing or inconsistent mobility data was associated with the three outcomes of interest (past year Major Depressive Episodes (MDE), any past year mental health treatment among adolescents with MDE, and past year depression mental health treatment among those with MDE. </w:t>
      </w:r>
    </w:p>
    <w:p w14:paraId="7DF7F514" w14:textId="0A850D08" w:rsidR="00593AB4" w:rsidRDefault="00593AB4" w:rsidP="00593AB4">
      <w:pPr>
        <w:pStyle w:val="BodyText"/>
        <w:rPr>
          <w:rFonts w:asciiTheme="majorBidi" w:hAnsiTheme="majorBidi" w:cstheme="majorBidi"/>
          <w:szCs w:val="24"/>
        </w:rPr>
      </w:pPr>
      <w:r w:rsidRPr="00BE28F5">
        <w:rPr>
          <w:rFonts w:asciiTheme="majorBidi" w:hAnsiTheme="majorBidi" w:cstheme="majorBidi"/>
          <w:szCs w:val="24"/>
        </w:rPr>
        <w:t xml:space="preserve">Missing/inconsistent data status was significantly associated with </w:t>
      </w:r>
      <w:r w:rsidR="006D5E26">
        <w:rPr>
          <w:rFonts w:asciiTheme="majorBidi" w:hAnsiTheme="majorBidi" w:cstheme="majorBidi"/>
          <w:szCs w:val="24"/>
        </w:rPr>
        <w:t>MDE and treatment</w:t>
      </w:r>
      <w:r w:rsidRPr="00BE28F5">
        <w:rPr>
          <w:rFonts w:asciiTheme="majorBidi" w:hAnsiTheme="majorBidi" w:cstheme="majorBidi"/>
          <w:szCs w:val="24"/>
        </w:rPr>
        <w:t xml:space="preserve"> (p&lt;.05). However, less than 1 percent of the sample had missing or inconsistent data. Therefore, </w:t>
      </w:r>
      <w:r w:rsidRPr="00BE28F5">
        <w:rPr>
          <w:rFonts w:asciiTheme="majorBidi" w:hAnsiTheme="majorBidi" w:cstheme="majorBidi"/>
          <w:szCs w:val="24"/>
        </w:rPr>
        <w:lastRenderedPageBreak/>
        <w:t>a</w:t>
      </w:r>
      <w:r w:rsidR="00FC352A" w:rsidRPr="00BE28F5">
        <w:rPr>
          <w:rFonts w:asciiTheme="majorBidi" w:hAnsiTheme="majorBidi" w:cstheme="majorBidi"/>
          <w:szCs w:val="24"/>
        </w:rPr>
        <w:t xml:space="preserve"> sensitivity analysis was conducted to address the impact of reporting error.</w:t>
      </w:r>
      <w:r w:rsidR="00FA448F" w:rsidRPr="00BE28F5">
        <w:rPr>
          <w:rFonts w:asciiTheme="majorBidi" w:hAnsiTheme="majorBidi" w:cstheme="majorBidi"/>
          <w:szCs w:val="24"/>
        </w:rPr>
        <w:t xml:space="preserve"> The primary </w:t>
      </w:r>
      <w:r w:rsidR="006D5E26">
        <w:rPr>
          <w:rFonts w:asciiTheme="majorBidi" w:hAnsiTheme="majorBidi" w:cstheme="majorBidi"/>
          <w:szCs w:val="24"/>
        </w:rPr>
        <w:t>analysis</w:t>
      </w:r>
      <w:r w:rsidR="00FA448F" w:rsidRPr="00BE28F5">
        <w:rPr>
          <w:rFonts w:asciiTheme="majorBidi" w:hAnsiTheme="majorBidi" w:cstheme="majorBidi"/>
          <w:szCs w:val="24"/>
        </w:rPr>
        <w:t xml:space="preserve"> set all respondents who had incomplete or inconsistent responses to missing</w:t>
      </w:r>
      <w:r w:rsidR="00F235FA">
        <w:rPr>
          <w:rFonts w:asciiTheme="majorBidi" w:hAnsiTheme="majorBidi" w:cstheme="majorBidi"/>
          <w:szCs w:val="24"/>
        </w:rPr>
        <w:t xml:space="preserve">, which is </w:t>
      </w:r>
      <w:r w:rsidRPr="00BE28F5">
        <w:rPr>
          <w:rFonts w:asciiTheme="majorBidi" w:hAnsiTheme="majorBidi" w:cstheme="majorBidi"/>
          <w:szCs w:val="24"/>
        </w:rPr>
        <w:t>what is presented in the main paper</w:t>
      </w:r>
      <w:r w:rsidR="00FA448F" w:rsidRPr="00BE28F5">
        <w:rPr>
          <w:rFonts w:asciiTheme="majorBidi" w:hAnsiTheme="majorBidi" w:cstheme="majorBidi"/>
          <w:szCs w:val="24"/>
        </w:rPr>
        <w:t xml:space="preserve">. </w:t>
      </w:r>
      <w:r w:rsidR="006D5E26">
        <w:rPr>
          <w:rFonts w:asciiTheme="majorBidi" w:hAnsiTheme="majorBidi" w:cstheme="majorBidi"/>
          <w:szCs w:val="24"/>
        </w:rPr>
        <w:t>Two</w:t>
      </w:r>
      <w:r w:rsidR="00FA448F" w:rsidRPr="00BE28F5">
        <w:rPr>
          <w:rFonts w:asciiTheme="majorBidi" w:hAnsiTheme="majorBidi" w:cstheme="majorBidi"/>
          <w:szCs w:val="24"/>
        </w:rPr>
        <w:t xml:space="preserve"> additional sets of</w:t>
      </w:r>
      <w:r w:rsidR="00F235FA">
        <w:rPr>
          <w:rFonts w:asciiTheme="majorBidi" w:hAnsiTheme="majorBidi" w:cstheme="majorBidi"/>
          <w:szCs w:val="24"/>
        </w:rPr>
        <w:t xml:space="preserve"> frequency</w:t>
      </w:r>
      <w:r w:rsidR="00FA448F" w:rsidRPr="00BE28F5">
        <w:rPr>
          <w:rFonts w:asciiTheme="majorBidi" w:hAnsiTheme="majorBidi" w:cstheme="majorBidi"/>
          <w:szCs w:val="24"/>
        </w:rPr>
        <w:t xml:space="preserve"> analyses were conducted</w:t>
      </w:r>
      <w:r w:rsidR="006D5E26">
        <w:rPr>
          <w:rFonts w:asciiTheme="majorBidi" w:hAnsiTheme="majorBidi" w:cstheme="majorBidi"/>
          <w:szCs w:val="24"/>
        </w:rPr>
        <w:t xml:space="preserve"> for the MDE outcome (Table S1) and Depression Treatment among those with MDE (Table S2).</w:t>
      </w:r>
      <w:r w:rsidR="00FA448F" w:rsidRPr="00BE28F5">
        <w:rPr>
          <w:rFonts w:asciiTheme="majorBidi" w:hAnsiTheme="majorBidi" w:cstheme="majorBidi"/>
          <w:szCs w:val="24"/>
        </w:rPr>
        <w:t xml:space="preserve"> </w:t>
      </w:r>
      <w:r w:rsidR="006D5E26">
        <w:rPr>
          <w:rFonts w:asciiTheme="majorBidi" w:hAnsiTheme="majorBidi" w:cstheme="majorBidi"/>
          <w:szCs w:val="24"/>
        </w:rPr>
        <w:t>O</w:t>
      </w:r>
      <w:r w:rsidR="00FA448F" w:rsidRPr="00BE28F5">
        <w:rPr>
          <w:rFonts w:asciiTheme="majorBidi" w:hAnsiTheme="majorBidi" w:cstheme="majorBidi"/>
          <w:szCs w:val="24"/>
        </w:rPr>
        <w:t xml:space="preserve">ne </w:t>
      </w:r>
      <w:r w:rsidR="006D5E26">
        <w:rPr>
          <w:rFonts w:asciiTheme="majorBidi" w:hAnsiTheme="majorBidi" w:cstheme="majorBidi"/>
          <w:szCs w:val="24"/>
        </w:rPr>
        <w:t>analysis set</w:t>
      </w:r>
      <w:r w:rsidR="00FA448F" w:rsidRPr="00BE28F5">
        <w:rPr>
          <w:rFonts w:asciiTheme="majorBidi" w:hAnsiTheme="majorBidi" w:cstheme="majorBidi"/>
          <w:szCs w:val="24"/>
        </w:rPr>
        <w:t xml:space="preserve"> the value of past 5 year moves equal to the number of past </w:t>
      </w:r>
      <w:proofErr w:type="gramStart"/>
      <w:r w:rsidR="00FA448F" w:rsidRPr="00BE28F5">
        <w:rPr>
          <w:rFonts w:asciiTheme="majorBidi" w:hAnsiTheme="majorBidi" w:cstheme="majorBidi"/>
          <w:szCs w:val="24"/>
        </w:rPr>
        <w:t>year</w:t>
      </w:r>
      <w:proofErr w:type="gramEnd"/>
      <w:r w:rsidR="00FA448F" w:rsidRPr="00BE28F5">
        <w:rPr>
          <w:rFonts w:asciiTheme="majorBidi" w:hAnsiTheme="majorBidi" w:cstheme="majorBidi"/>
          <w:szCs w:val="24"/>
        </w:rPr>
        <w:t xml:space="preserve"> moves when missing or inconsistent, </w:t>
      </w:r>
      <w:r w:rsidR="006D5E26">
        <w:rPr>
          <w:rFonts w:asciiTheme="majorBidi" w:hAnsiTheme="majorBidi" w:cstheme="majorBidi"/>
          <w:szCs w:val="24"/>
        </w:rPr>
        <w:t>the other</w:t>
      </w:r>
      <w:r w:rsidR="00FA448F" w:rsidRPr="00BE28F5">
        <w:rPr>
          <w:rFonts w:asciiTheme="majorBidi" w:hAnsiTheme="majorBidi" w:cstheme="majorBidi"/>
          <w:szCs w:val="24"/>
        </w:rPr>
        <w:t xml:space="preserve"> set the value of past year moves to equal past 5 year moves when missing or inconsistent</w:t>
      </w:r>
      <w:r w:rsidR="006D5E26">
        <w:rPr>
          <w:rFonts w:asciiTheme="majorBidi" w:hAnsiTheme="majorBidi" w:cstheme="majorBidi"/>
          <w:szCs w:val="24"/>
        </w:rPr>
        <w:t>.</w:t>
      </w:r>
      <w:r w:rsidRPr="00BE28F5">
        <w:rPr>
          <w:rFonts w:asciiTheme="majorBidi" w:hAnsiTheme="majorBidi" w:cstheme="majorBidi"/>
          <w:szCs w:val="24"/>
        </w:rPr>
        <w:t xml:space="preserve"> Changes in the </w:t>
      </w:r>
      <w:r w:rsidR="006D5E26">
        <w:rPr>
          <w:rFonts w:asciiTheme="majorBidi" w:hAnsiTheme="majorBidi" w:cstheme="majorBidi"/>
          <w:szCs w:val="24"/>
        </w:rPr>
        <w:t xml:space="preserve">frequency </w:t>
      </w:r>
      <w:r w:rsidRPr="00BE28F5">
        <w:rPr>
          <w:rFonts w:asciiTheme="majorBidi" w:hAnsiTheme="majorBidi" w:cstheme="majorBidi"/>
          <w:szCs w:val="24"/>
        </w:rPr>
        <w:t xml:space="preserve">results </w:t>
      </w:r>
      <w:r w:rsidR="006D5E26">
        <w:rPr>
          <w:rFonts w:asciiTheme="majorBidi" w:hAnsiTheme="majorBidi" w:cstheme="majorBidi"/>
          <w:szCs w:val="24"/>
        </w:rPr>
        <w:t>for</w:t>
      </w:r>
      <w:r w:rsidRPr="00BE28F5">
        <w:rPr>
          <w:rFonts w:asciiTheme="majorBidi" w:hAnsiTheme="majorBidi" w:cstheme="majorBidi"/>
          <w:szCs w:val="24"/>
        </w:rPr>
        <w:t xml:space="preserve"> the three sets of models were negligible</w:t>
      </w:r>
      <w:r w:rsidRPr="00BE28F5">
        <w:rPr>
          <w:rFonts w:asciiTheme="majorBidi" w:hAnsiTheme="majorBidi" w:cstheme="majorBidi"/>
          <w:szCs w:val="24"/>
        </w:rPr>
        <w:t>.</w:t>
      </w:r>
    </w:p>
    <w:p w14:paraId="4D94CB11" w14:textId="135B2E18" w:rsidR="00F6064F" w:rsidRPr="006D5E26" w:rsidRDefault="00F6064F" w:rsidP="00F6064F">
      <w:pPr>
        <w:rPr>
          <w:b/>
          <w:bCs/>
        </w:rPr>
      </w:pPr>
      <w:r w:rsidRPr="00F235FA">
        <w:rPr>
          <w:b/>
          <w:bCs/>
        </w:rPr>
        <w:t xml:space="preserve">Table </w:t>
      </w:r>
      <w:r w:rsidR="006D5E26">
        <w:rPr>
          <w:b/>
          <w:bCs/>
        </w:rPr>
        <w:t>S</w:t>
      </w:r>
      <w:r w:rsidRPr="00F235FA">
        <w:rPr>
          <w:b/>
          <w:bCs/>
        </w:rPr>
        <w:t>1</w:t>
      </w:r>
      <w:r w:rsidRPr="00F235FA">
        <w:rPr>
          <w:b/>
          <w:bCs/>
        </w:rPr>
        <w:t>. Youth Number of Moves and Residential Transience by Past Year Major Depressive Episodes, 2010-2014 Annual Averages: Percentages, Standard Errors of Percentages</w:t>
      </w:r>
      <w:r w:rsidRPr="00F235FA">
        <w:rPr>
          <w:b/>
          <w:bCs/>
        </w:rPr>
        <w:t xml:space="preserve">, and </w:t>
      </w:r>
      <w:r w:rsidRPr="00F235FA">
        <w:rPr>
          <w:b/>
          <w:bCs/>
        </w:rPr>
        <w:t xml:space="preserve">95% Confidence Intervals. </w:t>
      </w:r>
      <w:r w:rsidR="00F235FA">
        <w:rPr>
          <w:b/>
          <w:bCs/>
        </w:rPr>
        <w:t>National Survey on Dr</w:t>
      </w:r>
      <w:r w:rsidR="00F235FA" w:rsidRPr="006D5E26">
        <w:rPr>
          <w:b/>
          <w:bCs/>
        </w:rPr>
        <w:t>ug Use and Health</w:t>
      </w:r>
    </w:p>
    <w:tbl>
      <w:tblPr>
        <w:tblStyle w:val="TableGrid"/>
        <w:tblW w:w="4714" w:type="pct"/>
        <w:tblLayout w:type="fixed"/>
        <w:tblLook w:val="04A0" w:firstRow="1" w:lastRow="0" w:firstColumn="1" w:lastColumn="0" w:noHBand="0" w:noVBand="1"/>
      </w:tblPr>
      <w:tblGrid>
        <w:gridCol w:w="1975"/>
        <w:gridCol w:w="2070"/>
        <w:gridCol w:w="1354"/>
        <w:gridCol w:w="1976"/>
        <w:gridCol w:w="1440"/>
      </w:tblGrid>
      <w:tr w:rsidR="00F6064F" w:rsidRPr="006D5E26" w14:paraId="43C54D4D" w14:textId="77777777" w:rsidTr="00384F4C">
        <w:trPr>
          <w:trHeight w:val="332"/>
        </w:trPr>
        <w:tc>
          <w:tcPr>
            <w:tcW w:w="1120" w:type="pct"/>
            <w:vMerge w:val="restart"/>
          </w:tcPr>
          <w:p w14:paraId="287599B2" w14:textId="77777777" w:rsidR="00F6064F" w:rsidRPr="006D5E26" w:rsidRDefault="00F6064F" w:rsidP="00384F4C">
            <w:pPr>
              <w:rPr>
                <w:b/>
                <w:bCs/>
              </w:rPr>
            </w:pPr>
          </w:p>
        </w:tc>
        <w:tc>
          <w:tcPr>
            <w:tcW w:w="1942" w:type="pct"/>
            <w:gridSpan w:val="2"/>
          </w:tcPr>
          <w:p w14:paraId="429600AE" w14:textId="77777777" w:rsidR="00F6064F" w:rsidRPr="006D5E26" w:rsidRDefault="00F6064F" w:rsidP="00384F4C">
            <w:pPr>
              <w:jc w:val="center"/>
              <w:rPr>
                <w:b/>
                <w:bCs/>
              </w:rPr>
            </w:pPr>
            <w:r w:rsidRPr="006D5E26">
              <w:rPr>
                <w:b/>
                <w:bCs/>
              </w:rPr>
              <w:t>No MDE</w:t>
            </w:r>
          </w:p>
        </w:tc>
        <w:tc>
          <w:tcPr>
            <w:tcW w:w="1938" w:type="pct"/>
            <w:gridSpan w:val="2"/>
          </w:tcPr>
          <w:p w14:paraId="0FA4E3D6" w14:textId="77777777" w:rsidR="00F6064F" w:rsidRPr="006D5E26" w:rsidRDefault="00F6064F" w:rsidP="00384F4C">
            <w:pPr>
              <w:jc w:val="center"/>
              <w:rPr>
                <w:b/>
                <w:bCs/>
              </w:rPr>
            </w:pPr>
            <w:r w:rsidRPr="006D5E26">
              <w:rPr>
                <w:b/>
                <w:bCs/>
              </w:rPr>
              <w:t>MDE</w:t>
            </w:r>
          </w:p>
        </w:tc>
      </w:tr>
      <w:tr w:rsidR="00F6064F" w14:paraId="510D491B" w14:textId="77777777" w:rsidTr="00F235FA">
        <w:tc>
          <w:tcPr>
            <w:tcW w:w="1120" w:type="pct"/>
            <w:vMerge/>
          </w:tcPr>
          <w:p w14:paraId="03336489" w14:textId="77777777" w:rsidR="00F6064F" w:rsidRDefault="00F6064F" w:rsidP="00384F4C"/>
        </w:tc>
        <w:tc>
          <w:tcPr>
            <w:tcW w:w="1174" w:type="pct"/>
          </w:tcPr>
          <w:p w14:paraId="65A47BE9" w14:textId="57CC07F5" w:rsidR="00F6064F" w:rsidRPr="006D5E26" w:rsidRDefault="00F6064F" w:rsidP="00384F4C">
            <w:pPr>
              <w:jc w:val="center"/>
              <w:rPr>
                <w:b/>
                <w:bCs/>
              </w:rPr>
            </w:pPr>
            <w:r w:rsidRPr="006D5E26">
              <w:rPr>
                <w:b/>
                <w:bCs/>
              </w:rPr>
              <w:t>% (S.E.)</w:t>
            </w:r>
          </w:p>
        </w:tc>
        <w:tc>
          <w:tcPr>
            <w:tcW w:w="768" w:type="pct"/>
          </w:tcPr>
          <w:p w14:paraId="723296ED" w14:textId="2CD8FE97" w:rsidR="00F6064F" w:rsidRPr="006D5E26" w:rsidRDefault="00F6064F" w:rsidP="00384F4C">
            <w:pPr>
              <w:jc w:val="center"/>
              <w:rPr>
                <w:b/>
                <w:bCs/>
              </w:rPr>
            </w:pPr>
            <w:r w:rsidRPr="006D5E26">
              <w:rPr>
                <w:b/>
                <w:bCs/>
              </w:rPr>
              <w:t>95% CI</w:t>
            </w:r>
          </w:p>
        </w:tc>
        <w:tc>
          <w:tcPr>
            <w:tcW w:w="1121" w:type="pct"/>
          </w:tcPr>
          <w:p w14:paraId="19D4E78E" w14:textId="771ABCDB" w:rsidR="00F6064F" w:rsidRPr="006D5E26" w:rsidRDefault="00F6064F" w:rsidP="00384F4C">
            <w:pPr>
              <w:jc w:val="center"/>
              <w:rPr>
                <w:b/>
                <w:bCs/>
              </w:rPr>
            </w:pPr>
            <w:r w:rsidRPr="006D5E26">
              <w:rPr>
                <w:b/>
                <w:bCs/>
              </w:rPr>
              <w:t>% (S.E.)</w:t>
            </w:r>
          </w:p>
        </w:tc>
        <w:tc>
          <w:tcPr>
            <w:tcW w:w="817" w:type="pct"/>
          </w:tcPr>
          <w:p w14:paraId="17C3E3F7" w14:textId="257F902F" w:rsidR="00F6064F" w:rsidRPr="006D5E26" w:rsidRDefault="00F6064F" w:rsidP="00384F4C">
            <w:pPr>
              <w:jc w:val="center"/>
              <w:rPr>
                <w:b/>
                <w:bCs/>
              </w:rPr>
            </w:pPr>
            <w:r w:rsidRPr="006D5E26">
              <w:rPr>
                <w:b/>
                <w:bCs/>
              </w:rPr>
              <w:t>95% CI</w:t>
            </w:r>
          </w:p>
        </w:tc>
      </w:tr>
      <w:tr w:rsidR="00F6064F" w14:paraId="01289E21" w14:textId="77777777" w:rsidTr="00384F4C">
        <w:tc>
          <w:tcPr>
            <w:tcW w:w="5000" w:type="pct"/>
            <w:gridSpan w:val="5"/>
          </w:tcPr>
          <w:p w14:paraId="7699B102" w14:textId="7C969F0F" w:rsidR="00F6064F" w:rsidRPr="006D5E26" w:rsidRDefault="00F6064F" w:rsidP="00384F4C">
            <w:pPr>
              <w:rPr>
                <w:b/>
                <w:bCs/>
              </w:rPr>
            </w:pPr>
            <w:r w:rsidRPr="006D5E26">
              <w:rPr>
                <w:b/>
                <w:bCs/>
              </w:rPr>
              <w:t>Transience</w:t>
            </w:r>
            <w:r w:rsidR="00F235FA" w:rsidRPr="006D5E26">
              <w:rPr>
                <w:b/>
                <w:bCs/>
              </w:rPr>
              <w:t xml:space="preserve"> (Listwise Deletion)</w:t>
            </w:r>
          </w:p>
        </w:tc>
      </w:tr>
      <w:tr w:rsidR="00F6064F" w14:paraId="0CD7081E" w14:textId="77777777" w:rsidTr="00F235FA">
        <w:tc>
          <w:tcPr>
            <w:tcW w:w="1120" w:type="pct"/>
          </w:tcPr>
          <w:p w14:paraId="0E4709F8" w14:textId="77777777" w:rsidR="00F6064F" w:rsidRDefault="00F6064F" w:rsidP="00384F4C">
            <w:pPr>
              <w:ind w:left="157"/>
            </w:pPr>
            <w:r>
              <w:t>None</w:t>
            </w:r>
          </w:p>
        </w:tc>
        <w:tc>
          <w:tcPr>
            <w:tcW w:w="1174" w:type="pct"/>
            <w:vAlign w:val="bottom"/>
          </w:tcPr>
          <w:p w14:paraId="5656287D" w14:textId="7E6CDB98" w:rsidR="00F6064F" w:rsidRDefault="00F6064F" w:rsidP="00384F4C">
            <w:pPr>
              <w:jc w:val="center"/>
            </w:pPr>
            <w:r w:rsidRPr="00B077E6">
              <w:rPr>
                <w:noProof/>
              </w:rPr>
              <w:t xml:space="preserve">89.5 (0.15) </w:t>
            </w:r>
          </w:p>
        </w:tc>
        <w:tc>
          <w:tcPr>
            <w:tcW w:w="768" w:type="pct"/>
            <w:vAlign w:val="bottom"/>
          </w:tcPr>
          <w:p w14:paraId="425C2DFF" w14:textId="7DE96439" w:rsidR="00F6064F" w:rsidRDefault="00F6064F" w:rsidP="00384F4C">
            <w:pPr>
              <w:jc w:val="center"/>
            </w:pPr>
            <w:r w:rsidRPr="00B077E6">
              <w:rPr>
                <w:noProof/>
              </w:rPr>
              <w:t>89.2-89.8</w:t>
            </w:r>
            <w:r>
              <w:rPr>
                <w:noProof/>
              </w:rPr>
              <w:t>  </w:t>
            </w:r>
          </w:p>
        </w:tc>
        <w:tc>
          <w:tcPr>
            <w:tcW w:w="1121" w:type="pct"/>
            <w:vAlign w:val="bottom"/>
          </w:tcPr>
          <w:p w14:paraId="655D650E" w14:textId="313163E9" w:rsidR="00F6064F" w:rsidRDefault="00F6064F" w:rsidP="00384F4C">
            <w:pPr>
              <w:jc w:val="center"/>
            </w:pPr>
            <w:r w:rsidRPr="00B077E6">
              <w:rPr>
                <w:noProof/>
              </w:rPr>
              <w:t xml:space="preserve">85.0 (0.49) </w:t>
            </w:r>
          </w:p>
        </w:tc>
        <w:tc>
          <w:tcPr>
            <w:tcW w:w="817" w:type="pct"/>
            <w:vAlign w:val="bottom"/>
          </w:tcPr>
          <w:p w14:paraId="4AFAA69F" w14:textId="4D5C02CE" w:rsidR="00F6064F" w:rsidRDefault="00F235FA" w:rsidP="00384F4C">
            <w:pPr>
              <w:jc w:val="center"/>
            </w:pPr>
            <w:r w:rsidRPr="00B077E6">
              <w:rPr>
                <w:noProof/>
              </w:rPr>
              <w:t>84.0-85.9</w:t>
            </w:r>
            <w:r>
              <w:rPr>
                <w:noProof/>
              </w:rPr>
              <w:t>  </w:t>
            </w:r>
          </w:p>
        </w:tc>
      </w:tr>
      <w:tr w:rsidR="00F6064F" w14:paraId="52CA1414" w14:textId="77777777" w:rsidTr="00F235FA">
        <w:tc>
          <w:tcPr>
            <w:tcW w:w="1120" w:type="pct"/>
          </w:tcPr>
          <w:p w14:paraId="305F1F05" w14:textId="77777777" w:rsidR="00F6064F" w:rsidRDefault="00F6064F" w:rsidP="00384F4C">
            <w:pPr>
              <w:ind w:left="157"/>
            </w:pPr>
            <w:r>
              <w:t>Past 5 Years but not Past Year</w:t>
            </w:r>
          </w:p>
        </w:tc>
        <w:tc>
          <w:tcPr>
            <w:tcW w:w="1174" w:type="pct"/>
            <w:vAlign w:val="bottom"/>
          </w:tcPr>
          <w:p w14:paraId="4C35DE87" w14:textId="4ED2A7B4" w:rsidR="00F6064F" w:rsidRDefault="00F6064F" w:rsidP="00384F4C">
            <w:pPr>
              <w:jc w:val="center"/>
            </w:pPr>
            <w:r w:rsidRPr="00B077E6">
              <w:rPr>
                <w:noProof/>
              </w:rPr>
              <w:t xml:space="preserve">3.9 (0.09) </w:t>
            </w:r>
          </w:p>
        </w:tc>
        <w:tc>
          <w:tcPr>
            <w:tcW w:w="768" w:type="pct"/>
            <w:vAlign w:val="bottom"/>
          </w:tcPr>
          <w:p w14:paraId="49A6C778" w14:textId="32B30394" w:rsidR="00F6064F" w:rsidRDefault="00F6064F" w:rsidP="00384F4C">
            <w:pPr>
              <w:jc w:val="center"/>
            </w:pPr>
            <w:r w:rsidRPr="00B077E6">
              <w:rPr>
                <w:noProof/>
              </w:rPr>
              <w:t>3.8-4.1</w:t>
            </w:r>
            <w:r>
              <w:rPr>
                <w:noProof/>
              </w:rPr>
              <w:t>  </w:t>
            </w:r>
          </w:p>
        </w:tc>
        <w:tc>
          <w:tcPr>
            <w:tcW w:w="1121" w:type="pct"/>
            <w:vAlign w:val="bottom"/>
          </w:tcPr>
          <w:p w14:paraId="1E3F2C0D" w14:textId="027877DD" w:rsidR="00F6064F" w:rsidRDefault="00F6064F" w:rsidP="00384F4C">
            <w:pPr>
              <w:jc w:val="center"/>
            </w:pPr>
            <w:r w:rsidRPr="00B077E6">
              <w:rPr>
                <w:noProof/>
              </w:rPr>
              <w:t xml:space="preserve">5.2 (0.28) </w:t>
            </w:r>
          </w:p>
        </w:tc>
        <w:tc>
          <w:tcPr>
            <w:tcW w:w="817" w:type="pct"/>
            <w:vAlign w:val="bottom"/>
          </w:tcPr>
          <w:p w14:paraId="78899FF3" w14:textId="1422DF4D" w:rsidR="00F6064F" w:rsidRDefault="00F235FA" w:rsidP="00384F4C">
            <w:pPr>
              <w:jc w:val="center"/>
            </w:pPr>
            <w:r w:rsidRPr="00B077E6">
              <w:rPr>
                <w:noProof/>
              </w:rPr>
              <w:t>4.7-5.8</w:t>
            </w:r>
            <w:r>
              <w:rPr>
                <w:noProof/>
              </w:rPr>
              <w:t>  </w:t>
            </w:r>
          </w:p>
        </w:tc>
      </w:tr>
      <w:tr w:rsidR="00F6064F" w14:paraId="2EF1F4E6" w14:textId="77777777" w:rsidTr="00F235FA">
        <w:tc>
          <w:tcPr>
            <w:tcW w:w="1120" w:type="pct"/>
          </w:tcPr>
          <w:p w14:paraId="2D712533" w14:textId="77777777" w:rsidR="00F6064F" w:rsidRDefault="00F6064F" w:rsidP="00384F4C">
            <w:pPr>
              <w:ind w:left="157"/>
            </w:pPr>
            <w:r>
              <w:t>Past Year</w:t>
            </w:r>
          </w:p>
        </w:tc>
        <w:tc>
          <w:tcPr>
            <w:tcW w:w="1174" w:type="pct"/>
            <w:vAlign w:val="bottom"/>
          </w:tcPr>
          <w:p w14:paraId="68ACD883" w14:textId="629B1A19" w:rsidR="00F6064F" w:rsidRDefault="00F6064F" w:rsidP="00384F4C">
            <w:pPr>
              <w:jc w:val="center"/>
            </w:pPr>
            <w:r w:rsidRPr="00B077E6">
              <w:rPr>
                <w:noProof/>
              </w:rPr>
              <w:t xml:space="preserve">6.6 (0.12) </w:t>
            </w:r>
          </w:p>
        </w:tc>
        <w:tc>
          <w:tcPr>
            <w:tcW w:w="768" w:type="pct"/>
            <w:vAlign w:val="bottom"/>
          </w:tcPr>
          <w:p w14:paraId="49FB0244" w14:textId="3A209799" w:rsidR="00F6064F" w:rsidRDefault="00F6064F" w:rsidP="00384F4C">
            <w:pPr>
              <w:jc w:val="center"/>
            </w:pPr>
            <w:r w:rsidRPr="00B077E6">
              <w:rPr>
                <w:noProof/>
              </w:rPr>
              <w:t>6.4-6.8</w:t>
            </w:r>
            <w:r>
              <w:rPr>
                <w:noProof/>
              </w:rPr>
              <w:t>  </w:t>
            </w:r>
          </w:p>
        </w:tc>
        <w:tc>
          <w:tcPr>
            <w:tcW w:w="1121" w:type="pct"/>
            <w:vAlign w:val="bottom"/>
          </w:tcPr>
          <w:p w14:paraId="3D92BB07" w14:textId="73450F7E" w:rsidR="00F6064F" w:rsidRDefault="00F6064F" w:rsidP="00384F4C">
            <w:pPr>
              <w:jc w:val="center"/>
            </w:pPr>
            <w:r w:rsidRPr="00B077E6">
              <w:rPr>
                <w:noProof/>
              </w:rPr>
              <w:t xml:space="preserve">9.8 (0.42) </w:t>
            </w:r>
          </w:p>
        </w:tc>
        <w:tc>
          <w:tcPr>
            <w:tcW w:w="817" w:type="pct"/>
            <w:vAlign w:val="bottom"/>
          </w:tcPr>
          <w:p w14:paraId="411DCA98" w14:textId="4BA0AE22" w:rsidR="00F6064F" w:rsidRDefault="00F235FA" w:rsidP="00384F4C">
            <w:pPr>
              <w:jc w:val="center"/>
            </w:pPr>
            <w:r w:rsidRPr="00B077E6">
              <w:rPr>
                <w:noProof/>
              </w:rPr>
              <w:t>9.0-10.6</w:t>
            </w:r>
            <w:r>
              <w:rPr>
                <w:noProof/>
              </w:rPr>
              <w:t>  </w:t>
            </w:r>
          </w:p>
        </w:tc>
      </w:tr>
      <w:tr w:rsidR="00F6064F" w14:paraId="074FD952" w14:textId="77777777" w:rsidTr="00384F4C">
        <w:tc>
          <w:tcPr>
            <w:tcW w:w="5000" w:type="pct"/>
            <w:gridSpan w:val="5"/>
            <w:vAlign w:val="bottom"/>
          </w:tcPr>
          <w:p w14:paraId="134CE091" w14:textId="6A6E888F" w:rsidR="00F6064F" w:rsidRPr="006D5E26" w:rsidRDefault="00F6064F" w:rsidP="00384F4C">
            <w:pPr>
              <w:rPr>
                <w:b/>
                <w:bCs/>
              </w:rPr>
            </w:pPr>
            <w:r w:rsidRPr="006D5E26">
              <w:rPr>
                <w:b/>
                <w:bCs/>
              </w:rPr>
              <w:t>Transience (</w:t>
            </w:r>
            <w:r w:rsidRPr="006D5E26">
              <w:rPr>
                <w:b/>
                <w:bCs/>
              </w:rPr>
              <w:t>Sensitivity 1</w:t>
            </w:r>
            <w:r w:rsidRPr="006D5E26">
              <w:rPr>
                <w:b/>
                <w:bCs/>
              </w:rPr>
              <w:t>: past 5</w:t>
            </w:r>
            <w:r w:rsidR="00F235FA" w:rsidRPr="006D5E26">
              <w:rPr>
                <w:b/>
                <w:bCs/>
              </w:rPr>
              <w:t>-</w:t>
            </w:r>
            <w:r w:rsidRPr="006D5E26">
              <w:rPr>
                <w:b/>
                <w:bCs/>
              </w:rPr>
              <w:t>year</w:t>
            </w:r>
            <w:r w:rsidR="00F235FA" w:rsidRPr="006D5E26">
              <w:rPr>
                <w:b/>
                <w:bCs/>
              </w:rPr>
              <w:t xml:space="preserve"> moves</w:t>
            </w:r>
            <w:r w:rsidRPr="006D5E26">
              <w:rPr>
                <w:b/>
                <w:bCs/>
              </w:rPr>
              <w:t xml:space="preserve"> </w:t>
            </w:r>
            <w:r w:rsidRPr="006D5E26">
              <w:rPr>
                <w:b/>
                <w:bCs/>
              </w:rPr>
              <w:t>set to</w:t>
            </w:r>
            <w:r w:rsidRPr="006D5E26">
              <w:rPr>
                <w:b/>
                <w:bCs/>
              </w:rPr>
              <w:t xml:space="preserve"> past year)</w:t>
            </w:r>
          </w:p>
        </w:tc>
      </w:tr>
      <w:tr w:rsidR="00F6064F" w14:paraId="0B74B112" w14:textId="77777777" w:rsidTr="00F235FA">
        <w:trPr>
          <w:trHeight w:val="275"/>
        </w:trPr>
        <w:tc>
          <w:tcPr>
            <w:tcW w:w="1120" w:type="pct"/>
          </w:tcPr>
          <w:p w14:paraId="1D50CC93" w14:textId="77777777" w:rsidR="00F6064F" w:rsidRDefault="00F6064F" w:rsidP="00384F4C">
            <w:pPr>
              <w:ind w:left="144"/>
            </w:pPr>
            <w:r>
              <w:t>None</w:t>
            </w:r>
          </w:p>
        </w:tc>
        <w:tc>
          <w:tcPr>
            <w:tcW w:w="1174" w:type="pct"/>
            <w:vAlign w:val="bottom"/>
          </w:tcPr>
          <w:p w14:paraId="3FC4D634" w14:textId="3B704085" w:rsidR="00F6064F" w:rsidRDefault="00F6064F" w:rsidP="00384F4C">
            <w:pPr>
              <w:jc w:val="center"/>
            </w:pPr>
            <w:r w:rsidRPr="00B077E6">
              <w:rPr>
                <w:noProof/>
              </w:rPr>
              <w:t xml:space="preserve">88.9 (0.16) </w:t>
            </w:r>
          </w:p>
        </w:tc>
        <w:tc>
          <w:tcPr>
            <w:tcW w:w="768" w:type="pct"/>
            <w:vAlign w:val="bottom"/>
          </w:tcPr>
          <w:p w14:paraId="7D5A6892" w14:textId="78C08218" w:rsidR="00F6064F" w:rsidRDefault="00F6064F" w:rsidP="00384F4C">
            <w:pPr>
              <w:jc w:val="center"/>
            </w:pPr>
            <w:r w:rsidRPr="00B077E6">
              <w:rPr>
                <w:noProof/>
              </w:rPr>
              <w:t>88.6-89.2</w:t>
            </w:r>
            <w:r>
              <w:rPr>
                <w:noProof/>
              </w:rPr>
              <w:t>  </w:t>
            </w:r>
          </w:p>
        </w:tc>
        <w:tc>
          <w:tcPr>
            <w:tcW w:w="1121" w:type="pct"/>
            <w:vAlign w:val="bottom"/>
          </w:tcPr>
          <w:p w14:paraId="106AA785" w14:textId="5C680FF2" w:rsidR="00F6064F" w:rsidRDefault="00F6064F" w:rsidP="00384F4C">
            <w:pPr>
              <w:jc w:val="center"/>
            </w:pPr>
            <w:r w:rsidRPr="00B077E6">
              <w:rPr>
                <w:noProof/>
              </w:rPr>
              <w:t xml:space="preserve">84.4 (0.50) </w:t>
            </w:r>
          </w:p>
        </w:tc>
        <w:tc>
          <w:tcPr>
            <w:tcW w:w="817" w:type="pct"/>
            <w:vAlign w:val="bottom"/>
          </w:tcPr>
          <w:p w14:paraId="66A9642B" w14:textId="198CB56A" w:rsidR="00F6064F" w:rsidRDefault="00F235FA" w:rsidP="00384F4C">
            <w:pPr>
              <w:jc w:val="center"/>
            </w:pPr>
            <w:r w:rsidRPr="00B077E6">
              <w:rPr>
                <w:noProof/>
              </w:rPr>
              <w:t>83.4-85.4</w:t>
            </w:r>
            <w:r>
              <w:rPr>
                <w:noProof/>
              </w:rPr>
              <w:t>  </w:t>
            </w:r>
          </w:p>
        </w:tc>
      </w:tr>
      <w:tr w:rsidR="00F6064F" w14:paraId="566748F5" w14:textId="77777777" w:rsidTr="00F235FA">
        <w:trPr>
          <w:trHeight w:val="275"/>
        </w:trPr>
        <w:tc>
          <w:tcPr>
            <w:tcW w:w="1120" w:type="pct"/>
          </w:tcPr>
          <w:p w14:paraId="16B9C526" w14:textId="77777777" w:rsidR="00F6064F" w:rsidRDefault="00F6064F" w:rsidP="00384F4C">
            <w:pPr>
              <w:ind w:left="144"/>
            </w:pPr>
            <w:r>
              <w:t>Past 5 Years but not Past Year</w:t>
            </w:r>
          </w:p>
        </w:tc>
        <w:tc>
          <w:tcPr>
            <w:tcW w:w="1174" w:type="pct"/>
            <w:vAlign w:val="bottom"/>
          </w:tcPr>
          <w:p w14:paraId="6FCD12D3" w14:textId="1F38AAC1" w:rsidR="00F6064F" w:rsidRDefault="00F6064F" w:rsidP="00384F4C">
            <w:pPr>
              <w:jc w:val="center"/>
            </w:pPr>
            <w:r w:rsidRPr="00B077E6">
              <w:rPr>
                <w:noProof/>
              </w:rPr>
              <w:t xml:space="preserve">3.9 (0.09) </w:t>
            </w:r>
          </w:p>
        </w:tc>
        <w:tc>
          <w:tcPr>
            <w:tcW w:w="768" w:type="pct"/>
            <w:vAlign w:val="bottom"/>
          </w:tcPr>
          <w:p w14:paraId="2958288F" w14:textId="39465C5C" w:rsidR="00F6064F" w:rsidRDefault="00F6064F" w:rsidP="00384F4C">
            <w:pPr>
              <w:jc w:val="center"/>
            </w:pPr>
            <w:r w:rsidRPr="00B077E6">
              <w:rPr>
                <w:noProof/>
              </w:rPr>
              <w:t>3.7-4.1</w:t>
            </w:r>
            <w:r>
              <w:rPr>
                <w:noProof/>
              </w:rPr>
              <w:t>  </w:t>
            </w:r>
          </w:p>
        </w:tc>
        <w:tc>
          <w:tcPr>
            <w:tcW w:w="1121" w:type="pct"/>
            <w:vAlign w:val="bottom"/>
          </w:tcPr>
          <w:p w14:paraId="3618ABD3" w14:textId="5BFB80E8" w:rsidR="00F6064F" w:rsidRDefault="00F6064F" w:rsidP="00384F4C">
            <w:pPr>
              <w:jc w:val="center"/>
            </w:pPr>
            <w:r w:rsidRPr="00B077E6">
              <w:rPr>
                <w:noProof/>
              </w:rPr>
              <w:t xml:space="preserve">5.2 (0.28) </w:t>
            </w:r>
          </w:p>
        </w:tc>
        <w:tc>
          <w:tcPr>
            <w:tcW w:w="817" w:type="pct"/>
            <w:vAlign w:val="bottom"/>
          </w:tcPr>
          <w:p w14:paraId="6B848821" w14:textId="11C04B3F" w:rsidR="00F6064F" w:rsidRDefault="00F6064F" w:rsidP="00384F4C">
            <w:pPr>
              <w:jc w:val="center"/>
            </w:pPr>
            <w:r w:rsidRPr="00B077E6">
              <w:rPr>
                <w:noProof/>
              </w:rPr>
              <w:t>4.7-5.8</w:t>
            </w:r>
            <w:r>
              <w:rPr>
                <w:noProof/>
              </w:rPr>
              <w:t>  </w:t>
            </w:r>
          </w:p>
        </w:tc>
      </w:tr>
      <w:tr w:rsidR="00F6064F" w14:paraId="3069466A" w14:textId="77777777" w:rsidTr="00F235FA">
        <w:trPr>
          <w:trHeight w:val="275"/>
        </w:trPr>
        <w:tc>
          <w:tcPr>
            <w:tcW w:w="1120" w:type="pct"/>
          </w:tcPr>
          <w:p w14:paraId="5366B94B" w14:textId="77777777" w:rsidR="00F6064F" w:rsidRDefault="00F6064F" w:rsidP="00384F4C">
            <w:pPr>
              <w:ind w:left="144"/>
            </w:pPr>
            <w:r>
              <w:t>Past Year</w:t>
            </w:r>
          </w:p>
        </w:tc>
        <w:tc>
          <w:tcPr>
            <w:tcW w:w="1174" w:type="pct"/>
            <w:vAlign w:val="bottom"/>
          </w:tcPr>
          <w:p w14:paraId="26DF475E" w14:textId="5A8D3978" w:rsidR="00F6064F" w:rsidRDefault="00F6064F" w:rsidP="00384F4C">
            <w:pPr>
              <w:jc w:val="center"/>
            </w:pPr>
            <w:r w:rsidRPr="00B077E6">
              <w:rPr>
                <w:noProof/>
              </w:rPr>
              <w:t xml:space="preserve">7.2 (0.13) </w:t>
            </w:r>
          </w:p>
        </w:tc>
        <w:tc>
          <w:tcPr>
            <w:tcW w:w="768" w:type="pct"/>
            <w:vAlign w:val="bottom"/>
          </w:tcPr>
          <w:p w14:paraId="5EC1A1CF" w14:textId="0CEE4F7A" w:rsidR="00F6064F" w:rsidRDefault="00F6064F" w:rsidP="00384F4C">
            <w:pPr>
              <w:jc w:val="center"/>
            </w:pPr>
            <w:r w:rsidRPr="00B077E6">
              <w:rPr>
                <w:noProof/>
              </w:rPr>
              <w:t>7.0-7.5</w:t>
            </w:r>
            <w:r>
              <w:rPr>
                <w:noProof/>
              </w:rPr>
              <w:t>  </w:t>
            </w:r>
          </w:p>
        </w:tc>
        <w:tc>
          <w:tcPr>
            <w:tcW w:w="1121" w:type="pct"/>
            <w:vAlign w:val="bottom"/>
          </w:tcPr>
          <w:p w14:paraId="45697909" w14:textId="76E28DBA" w:rsidR="00F6064F" w:rsidRDefault="00F6064F" w:rsidP="00384F4C">
            <w:pPr>
              <w:jc w:val="center"/>
            </w:pPr>
            <w:r w:rsidRPr="00B077E6">
              <w:rPr>
                <w:noProof/>
              </w:rPr>
              <w:t xml:space="preserve">10.4 (0.44) </w:t>
            </w:r>
          </w:p>
        </w:tc>
        <w:tc>
          <w:tcPr>
            <w:tcW w:w="817" w:type="pct"/>
            <w:vAlign w:val="bottom"/>
          </w:tcPr>
          <w:p w14:paraId="7A552B41" w14:textId="48FC0D03" w:rsidR="00F6064F" w:rsidRDefault="00F6064F" w:rsidP="00384F4C">
            <w:pPr>
              <w:jc w:val="center"/>
            </w:pPr>
            <w:r w:rsidRPr="00B077E6">
              <w:rPr>
                <w:noProof/>
              </w:rPr>
              <w:t>9.5-11.3</w:t>
            </w:r>
            <w:r>
              <w:rPr>
                <w:noProof/>
              </w:rPr>
              <w:t>  </w:t>
            </w:r>
          </w:p>
        </w:tc>
      </w:tr>
      <w:tr w:rsidR="00F6064F" w14:paraId="2AC60CAA" w14:textId="77777777" w:rsidTr="00384F4C">
        <w:tc>
          <w:tcPr>
            <w:tcW w:w="5000" w:type="pct"/>
            <w:gridSpan w:val="5"/>
            <w:vAlign w:val="bottom"/>
          </w:tcPr>
          <w:p w14:paraId="51BF1644" w14:textId="3342288F" w:rsidR="00F6064F" w:rsidRPr="006D5E26" w:rsidRDefault="00F6064F" w:rsidP="00384F4C">
            <w:pPr>
              <w:rPr>
                <w:b/>
                <w:bCs/>
              </w:rPr>
            </w:pPr>
            <w:r w:rsidRPr="006D5E26">
              <w:rPr>
                <w:b/>
                <w:bCs/>
              </w:rPr>
              <w:t>Transience (</w:t>
            </w:r>
            <w:r w:rsidRPr="006D5E26">
              <w:rPr>
                <w:b/>
                <w:bCs/>
              </w:rPr>
              <w:t>Sensitivity 2</w:t>
            </w:r>
            <w:r w:rsidRPr="006D5E26">
              <w:rPr>
                <w:b/>
                <w:bCs/>
              </w:rPr>
              <w:t xml:space="preserve">: past year </w:t>
            </w:r>
            <w:r w:rsidR="00F235FA" w:rsidRPr="006D5E26">
              <w:rPr>
                <w:b/>
                <w:bCs/>
              </w:rPr>
              <w:t xml:space="preserve">moves </w:t>
            </w:r>
            <w:r w:rsidRPr="006D5E26">
              <w:rPr>
                <w:b/>
                <w:bCs/>
              </w:rPr>
              <w:t>set to</w:t>
            </w:r>
            <w:r w:rsidRPr="006D5E26">
              <w:rPr>
                <w:b/>
                <w:bCs/>
              </w:rPr>
              <w:t xml:space="preserve"> past 5</w:t>
            </w:r>
            <w:r w:rsidR="00F235FA" w:rsidRPr="006D5E26">
              <w:rPr>
                <w:b/>
                <w:bCs/>
              </w:rPr>
              <w:t>-</w:t>
            </w:r>
            <w:r w:rsidRPr="006D5E26">
              <w:rPr>
                <w:b/>
                <w:bCs/>
              </w:rPr>
              <w:t>year)</w:t>
            </w:r>
          </w:p>
        </w:tc>
      </w:tr>
      <w:tr w:rsidR="00F6064F" w14:paraId="65C71650" w14:textId="77777777" w:rsidTr="00F235FA">
        <w:tc>
          <w:tcPr>
            <w:tcW w:w="1120" w:type="pct"/>
          </w:tcPr>
          <w:p w14:paraId="0AE0A70F" w14:textId="77777777" w:rsidR="00F6064F" w:rsidRDefault="00F6064F" w:rsidP="00384F4C">
            <w:pPr>
              <w:ind w:left="157"/>
            </w:pPr>
            <w:r>
              <w:t>None</w:t>
            </w:r>
          </w:p>
        </w:tc>
        <w:tc>
          <w:tcPr>
            <w:tcW w:w="1174" w:type="pct"/>
            <w:vAlign w:val="bottom"/>
          </w:tcPr>
          <w:p w14:paraId="6775A0FF" w14:textId="6C64104E" w:rsidR="00F6064F" w:rsidRDefault="00F6064F" w:rsidP="00384F4C">
            <w:pPr>
              <w:jc w:val="center"/>
            </w:pPr>
            <w:r w:rsidRPr="00B077E6">
              <w:rPr>
                <w:noProof/>
              </w:rPr>
              <w:t xml:space="preserve">89.2 (0.16) </w:t>
            </w:r>
          </w:p>
        </w:tc>
        <w:tc>
          <w:tcPr>
            <w:tcW w:w="768" w:type="pct"/>
            <w:vAlign w:val="bottom"/>
          </w:tcPr>
          <w:p w14:paraId="26AE3978" w14:textId="65F0ADA2" w:rsidR="00F6064F" w:rsidRDefault="00F6064F" w:rsidP="00384F4C">
            <w:pPr>
              <w:jc w:val="center"/>
            </w:pPr>
            <w:r w:rsidRPr="00B077E6">
              <w:rPr>
                <w:noProof/>
              </w:rPr>
              <w:t>88.9-89.5</w:t>
            </w:r>
            <w:r>
              <w:rPr>
                <w:noProof/>
              </w:rPr>
              <w:t>  </w:t>
            </w:r>
          </w:p>
        </w:tc>
        <w:tc>
          <w:tcPr>
            <w:tcW w:w="1121" w:type="pct"/>
            <w:vAlign w:val="bottom"/>
          </w:tcPr>
          <w:p w14:paraId="04DF7A7A" w14:textId="55D2645D" w:rsidR="00F6064F" w:rsidRDefault="00F6064F" w:rsidP="00384F4C">
            <w:pPr>
              <w:jc w:val="center"/>
            </w:pPr>
            <w:r w:rsidRPr="00B077E6">
              <w:rPr>
                <w:noProof/>
              </w:rPr>
              <w:t xml:space="preserve">84.7 (0.49) </w:t>
            </w:r>
          </w:p>
        </w:tc>
        <w:tc>
          <w:tcPr>
            <w:tcW w:w="817" w:type="pct"/>
            <w:vAlign w:val="bottom"/>
          </w:tcPr>
          <w:p w14:paraId="0C6A518C" w14:textId="1E85A8F2" w:rsidR="00F6064F" w:rsidRDefault="00F6064F" w:rsidP="00384F4C">
            <w:pPr>
              <w:jc w:val="center"/>
            </w:pPr>
            <w:r w:rsidRPr="00B077E6">
              <w:rPr>
                <w:noProof/>
              </w:rPr>
              <w:t>83.7-85.6</w:t>
            </w:r>
            <w:r>
              <w:rPr>
                <w:noProof/>
              </w:rPr>
              <w:t>  </w:t>
            </w:r>
          </w:p>
        </w:tc>
      </w:tr>
      <w:tr w:rsidR="00F6064F" w14:paraId="5600B32F" w14:textId="77777777" w:rsidTr="00F235FA">
        <w:tc>
          <w:tcPr>
            <w:tcW w:w="1120" w:type="pct"/>
          </w:tcPr>
          <w:p w14:paraId="21AFEC95" w14:textId="77777777" w:rsidR="00F6064F" w:rsidRDefault="00F6064F" w:rsidP="00384F4C">
            <w:pPr>
              <w:ind w:left="157"/>
            </w:pPr>
            <w:r>
              <w:t>Past 5 Years but not Past Year</w:t>
            </w:r>
          </w:p>
        </w:tc>
        <w:tc>
          <w:tcPr>
            <w:tcW w:w="1174" w:type="pct"/>
            <w:vAlign w:val="bottom"/>
          </w:tcPr>
          <w:p w14:paraId="7513CAB8" w14:textId="03613083" w:rsidR="00F6064F" w:rsidRDefault="00F6064F" w:rsidP="00384F4C">
            <w:pPr>
              <w:jc w:val="center"/>
            </w:pPr>
            <w:r w:rsidRPr="00B077E6">
              <w:rPr>
                <w:noProof/>
              </w:rPr>
              <w:t xml:space="preserve">3.9 (0.09) </w:t>
            </w:r>
          </w:p>
        </w:tc>
        <w:tc>
          <w:tcPr>
            <w:tcW w:w="768" w:type="pct"/>
            <w:vAlign w:val="bottom"/>
          </w:tcPr>
          <w:p w14:paraId="1354F6B3" w14:textId="2FE294B4" w:rsidR="00F6064F" w:rsidRDefault="00F6064F" w:rsidP="00384F4C">
            <w:pPr>
              <w:jc w:val="center"/>
            </w:pPr>
            <w:r w:rsidRPr="00B077E6">
              <w:rPr>
                <w:noProof/>
              </w:rPr>
              <w:t>3.7-4.1</w:t>
            </w:r>
            <w:r>
              <w:rPr>
                <w:noProof/>
              </w:rPr>
              <w:t>  </w:t>
            </w:r>
          </w:p>
        </w:tc>
        <w:tc>
          <w:tcPr>
            <w:tcW w:w="1121" w:type="pct"/>
            <w:vAlign w:val="bottom"/>
          </w:tcPr>
          <w:p w14:paraId="3D88DC43" w14:textId="428EB435" w:rsidR="00F6064F" w:rsidRDefault="00F6064F" w:rsidP="00384F4C">
            <w:pPr>
              <w:jc w:val="center"/>
            </w:pPr>
            <w:r w:rsidRPr="00B077E6">
              <w:rPr>
                <w:noProof/>
              </w:rPr>
              <w:t xml:space="preserve">5.2 (0.28) </w:t>
            </w:r>
          </w:p>
        </w:tc>
        <w:tc>
          <w:tcPr>
            <w:tcW w:w="817" w:type="pct"/>
            <w:vAlign w:val="bottom"/>
          </w:tcPr>
          <w:p w14:paraId="4676C8C3" w14:textId="4FEB5821" w:rsidR="00F6064F" w:rsidRDefault="00F6064F" w:rsidP="00384F4C">
            <w:pPr>
              <w:jc w:val="center"/>
            </w:pPr>
            <w:r w:rsidRPr="00B077E6">
              <w:rPr>
                <w:noProof/>
              </w:rPr>
              <w:t>4.7-5.8</w:t>
            </w:r>
            <w:r>
              <w:rPr>
                <w:noProof/>
              </w:rPr>
              <w:t>  </w:t>
            </w:r>
          </w:p>
        </w:tc>
      </w:tr>
      <w:tr w:rsidR="00F6064F" w14:paraId="3EE1B035" w14:textId="77777777" w:rsidTr="00F235FA">
        <w:tc>
          <w:tcPr>
            <w:tcW w:w="1120" w:type="pct"/>
          </w:tcPr>
          <w:p w14:paraId="73E703D0" w14:textId="77777777" w:rsidR="00F6064F" w:rsidRDefault="00F6064F" w:rsidP="00384F4C">
            <w:pPr>
              <w:ind w:left="157"/>
            </w:pPr>
            <w:r>
              <w:t>Past Year</w:t>
            </w:r>
          </w:p>
        </w:tc>
        <w:tc>
          <w:tcPr>
            <w:tcW w:w="1174" w:type="pct"/>
            <w:vAlign w:val="bottom"/>
          </w:tcPr>
          <w:p w14:paraId="008A386E" w14:textId="77A42BF1" w:rsidR="00F6064F" w:rsidRDefault="00F6064F" w:rsidP="00384F4C">
            <w:pPr>
              <w:jc w:val="center"/>
            </w:pPr>
            <w:r w:rsidRPr="00B077E6">
              <w:rPr>
                <w:noProof/>
              </w:rPr>
              <w:t xml:space="preserve">6.9 (0.12) </w:t>
            </w:r>
          </w:p>
        </w:tc>
        <w:tc>
          <w:tcPr>
            <w:tcW w:w="768" w:type="pct"/>
            <w:vAlign w:val="bottom"/>
          </w:tcPr>
          <w:p w14:paraId="51A37CCC" w14:textId="2F405273" w:rsidR="00F6064F" w:rsidRDefault="00F6064F" w:rsidP="00384F4C">
            <w:pPr>
              <w:jc w:val="center"/>
            </w:pPr>
            <w:r w:rsidRPr="00B077E6">
              <w:rPr>
                <w:noProof/>
              </w:rPr>
              <w:t>6.7-7.1</w:t>
            </w:r>
            <w:r>
              <w:rPr>
                <w:noProof/>
              </w:rPr>
              <w:t>  </w:t>
            </w:r>
          </w:p>
        </w:tc>
        <w:tc>
          <w:tcPr>
            <w:tcW w:w="1121" w:type="pct"/>
            <w:vAlign w:val="bottom"/>
          </w:tcPr>
          <w:p w14:paraId="07F777BB" w14:textId="7036C2D2" w:rsidR="00F6064F" w:rsidRDefault="00F6064F" w:rsidP="00384F4C">
            <w:pPr>
              <w:jc w:val="center"/>
            </w:pPr>
            <w:r w:rsidRPr="00B077E6">
              <w:rPr>
                <w:noProof/>
              </w:rPr>
              <w:t xml:space="preserve">10.1 (0.43) </w:t>
            </w:r>
          </w:p>
        </w:tc>
        <w:tc>
          <w:tcPr>
            <w:tcW w:w="817" w:type="pct"/>
            <w:vAlign w:val="bottom"/>
          </w:tcPr>
          <w:p w14:paraId="3BB8E2CD" w14:textId="0D2730ED" w:rsidR="00F6064F" w:rsidRDefault="00F6064F" w:rsidP="00384F4C">
            <w:pPr>
              <w:jc w:val="center"/>
            </w:pPr>
            <w:r w:rsidRPr="00B077E6">
              <w:rPr>
                <w:noProof/>
              </w:rPr>
              <w:t>9.3-11.0</w:t>
            </w:r>
            <w:r>
              <w:rPr>
                <w:noProof/>
              </w:rPr>
              <w:t>  </w:t>
            </w:r>
          </w:p>
        </w:tc>
      </w:tr>
    </w:tbl>
    <w:p w14:paraId="1BC86C34" w14:textId="359ED1A9" w:rsidR="00593AB4" w:rsidRDefault="00593AB4" w:rsidP="00593AB4">
      <w:pPr>
        <w:pStyle w:val="BodyText"/>
        <w:rPr>
          <w:rFonts w:asciiTheme="majorBidi" w:hAnsiTheme="majorBidi" w:cstheme="majorBidi"/>
          <w:szCs w:val="24"/>
        </w:rPr>
      </w:pPr>
    </w:p>
    <w:p w14:paraId="6BE91E3C" w14:textId="36DE8DD5" w:rsidR="00F235FA" w:rsidRPr="006D5E26" w:rsidRDefault="00F235FA" w:rsidP="00F235FA">
      <w:pPr>
        <w:rPr>
          <w:b/>
          <w:bCs/>
        </w:rPr>
      </w:pPr>
      <w:r w:rsidRPr="006D5E26">
        <w:rPr>
          <w:b/>
          <w:bCs/>
        </w:rPr>
        <w:t xml:space="preserve">Table </w:t>
      </w:r>
      <w:r w:rsidR="006D5E26" w:rsidRPr="006D5E26">
        <w:rPr>
          <w:b/>
          <w:bCs/>
        </w:rPr>
        <w:t>S2</w:t>
      </w:r>
      <w:r w:rsidRPr="006D5E26">
        <w:rPr>
          <w:b/>
          <w:bCs/>
        </w:rPr>
        <w:t xml:space="preserve">. Estimates of Number of Moves and Residential Transience among Youth with Major Depressive Episode (MDE) </w:t>
      </w:r>
      <w:r w:rsidRPr="006D5E26">
        <w:rPr>
          <w:b/>
          <w:bCs/>
        </w:rPr>
        <w:t>by Transience Status</w:t>
      </w:r>
      <w:r w:rsidRPr="006D5E26">
        <w:rPr>
          <w:b/>
          <w:bCs/>
        </w:rPr>
        <w:t>, 2010-2014 Annual Averages: Percentages, Standard Errors of Percentages, and 95% Confidence Interval (CI)</w:t>
      </w:r>
    </w:p>
    <w:tbl>
      <w:tblPr>
        <w:tblStyle w:val="TableGrid"/>
        <w:tblW w:w="5000" w:type="pct"/>
        <w:jc w:val="center"/>
        <w:tblLook w:val="04A0" w:firstRow="1" w:lastRow="0" w:firstColumn="1" w:lastColumn="0" w:noHBand="0" w:noVBand="1"/>
      </w:tblPr>
      <w:tblGrid>
        <w:gridCol w:w="2498"/>
        <w:gridCol w:w="1713"/>
        <w:gridCol w:w="1713"/>
        <w:gridCol w:w="1713"/>
        <w:gridCol w:w="1713"/>
      </w:tblGrid>
      <w:tr w:rsidR="00F235FA" w14:paraId="5A0A6A24" w14:textId="63C6C83C" w:rsidTr="006D5E26">
        <w:trPr>
          <w:jc w:val="center"/>
        </w:trPr>
        <w:tc>
          <w:tcPr>
            <w:tcW w:w="1336" w:type="pct"/>
            <w:vMerge w:val="restart"/>
          </w:tcPr>
          <w:p w14:paraId="6939C93F" w14:textId="77777777" w:rsidR="00F235FA" w:rsidRDefault="00F235FA" w:rsidP="00384F4C"/>
        </w:tc>
        <w:tc>
          <w:tcPr>
            <w:tcW w:w="1832" w:type="pct"/>
            <w:gridSpan w:val="2"/>
          </w:tcPr>
          <w:p w14:paraId="1B9FBC60" w14:textId="5C1487B5" w:rsidR="00F235FA" w:rsidRPr="006D5E26" w:rsidRDefault="00F235FA" w:rsidP="00384F4C">
            <w:pPr>
              <w:jc w:val="center"/>
              <w:rPr>
                <w:b/>
                <w:bCs/>
              </w:rPr>
            </w:pPr>
            <w:r w:rsidRPr="006D5E26">
              <w:rPr>
                <w:b/>
                <w:bCs/>
              </w:rPr>
              <w:t xml:space="preserve"> No Service Use for Depression</w:t>
            </w:r>
          </w:p>
        </w:tc>
        <w:tc>
          <w:tcPr>
            <w:tcW w:w="1832" w:type="pct"/>
            <w:gridSpan w:val="2"/>
          </w:tcPr>
          <w:p w14:paraId="5BFC84CE" w14:textId="58F1BB8E" w:rsidR="00F235FA" w:rsidRPr="006D5E26" w:rsidRDefault="00F235FA" w:rsidP="00384F4C">
            <w:pPr>
              <w:jc w:val="center"/>
              <w:rPr>
                <w:b/>
                <w:bCs/>
              </w:rPr>
            </w:pPr>
            <w:r w:rsidRPr="006D5E26">
              <w:rPr>
                <w:b/>
                <w:bCs/>
              </w:rPr>
              <w:t>Service Use for Depression</w:t>
            </w:r>
          </w:p>
        </w:tc>
      </w:tr>
      <w:tr w:rsidR="00F235FA" w14:paraId="37EFD319" w14:textId="017FB8F8" w:rsidTr="006D5E26">
        <w:trPr>
          <w:jc w:val="center"/>
        </w:trPr>
        <w:tc>
          <w:tcPr>
            <w:tcW w:w="1336" w:type="pct"/>
            <w:vMerge/>
          </w:tcPr>
          <w:p w14:paraId="5C96DAEA" w14:textId="77777777" w:rsidR="00F235FA" w:rsidRDefault="00F235FA" w:rsidP="00F235FA"/>
        </w:tc>
        <w:tc>
          <w:tcPr>
            <w:tcW w:w="916" w:type="pct"/>
            <w:vAlign w:val="bottom"/>
          </w:tcPr>
          <w:p w14:paraId="69F84E8C" w14:textId="0063DC4D" w:rsidR="00F235FA" w:rsidRPr="006D5E26" w:rsidRDefault="00F235FA" w:rsidP="00F235FA">
            <w:pPr>
              <w:jc w:val="center"/>
              <w:rPr>
                <w:b/>
                <w:bCs/>
              </w:rPr>
            </w:pPr>
            <w:r w:rsidRPr="006D5E26">
              <w:rPr>
                <w:b/>
                <w:bCs/>
              </w:rPr>
              <w:t>% (S.E.)</w:t>
            </w:r>
          </w:p>
        </w:tc>
        <w:tc>
          <w:tcPr>
            <w:tcW w:w="916" w:type="pct"/>
            <w:vAlign w:val="bottom"/>
          </w:tcPr>
          <w:p w14:paraId="75EA4898" w14:textId="79A7D83C" w:rsidR="00F235FA" w:rsidRPr="006D5E26" w:rsidRDefault="00F235FA" w:rsidP="00F235FA">
            <w:pPr>
              <w:jc w:val="center"/>
              <w:rPr>
                <w:b/>
                <w:bCs/>
              </w:rPr>
            </w:pPr>
            <w:r w:rsidRPr="006D5E26">
              <w:rPr>
                <w:b/>
                <w:bCs/>
              </w:rPr>
              <w:t>95% CI</w:t>
            </w:r>
          </w:p>
        </w:tc>
        <w:tc>
          <w:tcPr>
            <w:tcW w:w="916" w:type="pct"/>
          </w:tcPr>
          <w:p w14:paraId="6EB0F911" w14:textId="656BC115" w:rsidR="00F235FA" w:rsidRPr="006D5E26" w:rsidRDefault="00F235FA" w:rsidP="00F235FA">
            <w:pPr>
              <w:jc w:val="center"/>
              <w:rPr>
                <w:b/>
                <w:bCs/>
              </w:rPr>
            </w:pPr>
            <w:r w:rsidRPr="006D5E26">
              <w:rPr>
                <w:b/>
                <w:bCs/>
              </w:rPr>
              <w:t xml:space="preserve">% (S.E.) </w:t>
            </w:r>
          </w:p>
        </w:tc>
        <w:tc>
          <w:tcPr>
            <w:tcW w:w="916" w:type="pct"/>
            <w:vAlign w:val="bottom"/>
          </w:tcPr>
          <w:p w14:paraId="1BE7A550" w14:textId="70F42978" w:rsidR="00F235FA" w:rsidRPr="006D5E26" w:rsidRDefault="00F235FA" w:rsidP="00F235FA">
            <w:pPr>
              <w:jc w:val="center"/>
              <w:rPr>
                <w:b/>
                <w:bCs/>
              </w:rPr>
            </w:pPr>
            <w:r w:rsidRPr="006D5E26">
              <w:rPr>
                <w:b/>
                <w:bCs/>
              </w:rPr>
              <w:t>95% CI</w:t>
            </w:r>
          </w:p>
        </w:tc>
      </w:tr>
      <w:tr w:rsidR="006D5E26" w14:paraId="62403301" w14:textId="20BDAFC7" w:rsidTr="006D5E26">
        <w:trPr>
          <w:jc w:val="center"/>
        </w:trPr>
        <w:tc>
          <w:tcPr>
            <w:tcW w:w="5000" w:type="pct"/>
            <w:gridSpan w:val="5"/>
          </w:tcPr>
          <w:p w14:paraId="280D2FBC" w14:textId="41A5DEA5" w:rsidR="006D5E26" w:rsidRPr="006D5E26" w:rsidRDefault="006D5E26" w:rsidP="00F235FA">
            <w:pPr>
              <w:rPr>
                <w:b/>
                <w:bCs/>
              </w:rPr>
            </w:pPr>
            <w:r w:rsidRPr="006D5E26">
              <w:rPr>
                <w:b/>
                <w:bCs/>
              </w:rPr>
              <w:t>Transience</w:t>
            </w:r>
            <w:r w:rsidRPr="006D5E26">
              <w:rPr>
                <w:b/>
                <w:bCs/>
              </w:rPr>
              <w:t xml:space="preserve"> </w:t>
            </w:r>
            <w:r w:rsidRPr="006D5E26">
              <w:rPr>
                <w:b/>
                <w:bCs/>
              </w:rPr>
              <w:t>(Listwise Deletion)</w:t>
            </w:r>
          </w:p>
        </w:tc>
      </w:tr>
      <w:tr w:rsidR="00F235FA" w14:paraId="18739D02" w14:textId="1CED179A" w:rsidTr="006D5E26">
        <w:trPr>
          <w:jc w:val="center"/>
        </w:trPr>
        <w:tc>
          <w:tcPr>
            <w:tcW w:w="1336" w:type="pct"/>
          </w:tcPr>
          <w:p w14:paraId="53F189C0" w14:textId="77777777" w:rsidR="00F235FA" w:rsidRDefault="00F235FA" w:rsidP="00F235FA">
            <w:pPr>
              <w:ind w:left="157"/>
            </w:pPr>
            <w:r>
              <w:t>None</w:t>
            </w:r>
          </w:p>
        </w:tc>
        <w:tc>
          <w:tcPr>
            <w:tcW w:w="916" w:type="pct"/>
            <w:vAlign w:val="bottom"/>
          </w:tcPr>
          <w:p w14:paraId="7B842695" w14:textId="28E766E2" w:rsidR="00F235FA" w:rsidRDefault="00F235FA" w:rsidP="00F235FA">
            <w:pPr>
              <w:jc w:val="center"/>
            </w:pPr>
            <w:r w:rsidRPr="00755119">
              <w:rPr>
                <w:noProof/>
              </w:rPr>
              <w:t xml:space="preserve">86.5 (0.60) </w:t>
            </w:r>
          </w:p>
        </w:tc>
        <w:tc>
          <w:tcPr>
            <w:tcW w:w="916" w:type="pct"/>
            <w:tcBorders>
              <w:top w:val="single" w:sz="4" w:space="0" w:color="auto"/>
            </w:tcBorders>
            <w:vAlign w:val="bottom"/>
          </w:tcPr>
          <w:p w14:paraId="17C91692" w14:textId="4C372E9C" w:rsidR="00F235FA" w:rsidRDefault="00F235FA" w:rsidP="00F235FA">
            <w:pPr>
              <w:jc w:val="center"/>
            </w:pPr>
            <w:r w:rsidRPr="00755119">
              <w:rPr>
                <w:noProof/>
              </w:rPr>
              <w:t>85.2-87.6</w:t>
            </w:r>
            <w:r>
              <w:rPr>
                <w:noProof/>
              </w:rPr>
              <w:t>  </w:t>
            </w:r>
          </w:p>
        </w:tc>
        <w:tc>
          <w:tcPr>
            <w:tcW w:w="916" w:type="pct"/>
            <w:vAlign w:val="bottom"/>
          </w:tcPr>
          <w:p w14:paraId="1394C0F3" w14:textId="7A1B57F4" w:rsidR="00F235FA" w:rsidRPr="00755119" w:rsidRDefault="00F235FA" w:rsidP="00F235FA">
            <w:pPr>
              <w:jc w:val="center"/>
              <w:rPr>
                <w:noProof/>
              </w:rPr>
            </w:pPr>
            <w:r w:rsidRPr="00755119">
              <w:rPr>
                <w:noProof/>
              </w:rPr>
              <w:t>82.6 (0.83)</w:t>
            </w:r>
          </w:p>
        </w:tc>
        <w:tc>
          <w:tcPr>
            <w:tcW w:w="916" w:type="pct"/>
          </w:tcPr>
          <w:p w14:paraId="4EAF380A" w14:textId="10530A4E" w:rsidR="00F235FA" w:rsidRPr="00755119" w:rsidRDefault="00F235FA" w:rsidP="00F235FA">
            <w:pPr>
              <w:jc w:val="center"/>
              <w:rPr>
                <w:noProof/>
              </w:rPr>
            </w:pPr>
            <w:r w:rsidRPr="00755119">
              <w:rPr>
                <w:noProof/>
              </w:rPr>
              <w:t>80.9-84.2</w:t>
            </w:r>
            <w:r>
              <w:rPr>
                <w:noProof/>
              </w:rPr>
              <w:t>  </w:t>
            </w:r>
          </w:p>
        </w:tc>
      </w:tr>
      <w:tr w:rsidR="00F235FA" w14:paraId="1414ACC3" w14:textId="3305A599" w:rsidTr="006D5E26">
        <w:trPr>
          <w:jc w:val="center"/>
        </w:trPr>
        <w:tc>
          <w:tcPr>
            <w:tcW w:w="1336" w:type="pct"/>
          </w:tcPr>
          <w:p w14:paraId="265B1185" w14:textId="77777777" w:rsidR="00F235FA" w:rsidRDefault="00F235FA" w:rsidP="00F235FA">
            <w:pPr>
              <w:ind w:left="157"/>
            </w:pPr>
            <w:r>
              <w:lastRenderedPageBreak/>
              <w:t>Past 5 Years but not Past Year</w:t>
            </w:r>
          </w:p>
        </w:tc>
        <w:tc>
          <w:tcPr>
            <w:tcW w:w="916" w:type="pct"/>
            <w:vAlign w:val="bottom"/>
          </w:tcPr>
          <w:p w14:paraId="2917D020" w14:textId="5062AABE" w:rsidR="00F235FA" w:rsidRDefault="00F235FA" w:rsidP="00F235FA">
            <w:pPr>
              <w:jc w:val="center"/>
            </w:pPr>
            <w:r w:rsidRPr="00755119">
              <w:rPr>
                <w:noProof/>
              </w:rPr>
              <w:t xml:space="preserve">5.0 (0.37) </w:t>
            </w:r>
          </w:p>
        </w:tc>
        <w:tc>
          <w:tcPr>
            <w:tcW w:w="916" w:type="pct"/>
            <w:vAlign w:val="bottom"/>
          </w:tcPr>
          <w:p w14:paraId="1198201D" w14:textId="31BF908C" w:rsidR="00F235FA" w:rsidRDefault="00F235FA" w:rsidP="00F235FA">
            <w:pPr>
              <w:jc w:val="center"/>
            </w:pPr>
            <w:r w:rsidRPr="00755119">
              <w:rPr>
                <w:noProof/>
              </w:rPr>
              <w:t>4.3-5.7</w:t>
            </w:r>
            <w:r>
              <w:rPr>
                <w:noProof/>
              </w:rPr>
              <w:t>  </w:t>
            </w:r>
          </w:p>
        </w:tc>
        <w:tc>
          <w:tcPr>
            <w:tcW w:w="916" w:type="pct"/>
            <w:vAlign w:val="bottom"/>
          </w:tcPr>
          <w:p w14:paraId="3B0D41EE" w14:textId="6572624D" w:rsidR="00F235FA" w:rsidRPr="00755119" w:rsidRDefault="00F235FA" w:rsidP="00F235FA">
            <w:pPr>
              <w:jc w:val="center"/>
              <w:rPr>
                <w:noProof/>
              </w:rPr>
            </w:pPr>
            <w:r w:rsidRPr="00755119">
              <w:rPr>
                <w:noProof/>
              </w:rPr>
              <w:t xml:space="preserve">5.7 (0.47) </w:t>
            </w:r>
          </w:p>
        </w:tc>
        <w:tc>
          <w:tcPr>
            <w:tcW w:w="916" w:type="pct"/>
            <w:vAlign w:val="bottom"/>
          </w:tcPr>
          <w:p w14:paraId="7AAEA529" w14:textId="77E78019" w:rsidR="00F235FA" w:rsidRPr="00755119" w:rsidRDefault="00F235FA" w:rsidP="00F235FA">
            <w:pPr>
              <w:jc w:val="center"/>
              <w:rPr>
                <w:noProof/>
              </w:rPr>
            </w:pPr>
            <w:r w:rsidRPr="00755119">
              <w:rPr>
                <w:noProof/>
              </w:rPr>
              <w:t>4.8-6.7</w:t>
            </w:r>
            <w:r>
              <w:rPr>
                <w:noProof/>
              </w:rPr>
              <w:t>  </w:t>
            </w:r>
          </w:p>
        </w:tc>
      </w:tr>
      <w:tr w:rsidR="00F235FA" w14:paraId="014AD608" w14:textId="19031A25" w:rsidTr="006D5E26">
        <w:trPr>
          <w:jc w:val="center"/>
        </w:trPr>
        <w:tc>
          <w:tcPr>
            <w:tcW w:w="1336" w:type="pct"/>
          </w:tcPr>
          <w:p w14:paraId="78347F77" w14:textId="77777777" w:rsidR="00F235FA" w:rsidRDefault="00F235FA" w:rsidP="00F235FA">
            <w:pPr>
              <w:ind w:left="157"/>
            </w:pPr>
            <w:r>
              <w:t>Past Year</w:t>
            </w:r>
          </w:p>
        </w:tc>
        <w:tc>
          <w:tcPr>
            <w:tcW w:w="916" w:type="pct"/>
            <w:vAlign w:val="bottom"/>
          </w:tcPr>
          <w:p w14:paraId="62953BB5" w14:textId="743D0F2A" w:rsidR="00F235FA" w:rsidRDefault="00F235FA" w:rsidP="00F235FA">
            <w:pPr>
              <w:jc w:val="center"/>
            </w:pPr>
            <w:r w:rsidRPr="00755119">
              <w:rPr>
                <w:noProof/>
              </w:rPr>
              <w:t xml:space="preserve">8.6 (0.51) </w:t>
            </w:r>
          </w:p>
        </w:tc>
        <w:tc>
          <w:tcPr>
            <w:tcW w:w="916" w:type="pct"/>
            <w:vAlign w:val="bottom"/>
          </w:tcPr>
          <w:p w14:paraId="12206EE4" w14:textId="3A4F1012" w:rsidR="00F235FA" w:rsidRDefault="00F235FA" w:rsidP="00F235FA">
            <w:pPr>
              <w:jc w:val="center"/>
            </w:pPr>
            <w:r w:rsidRPr="00755119">
              <w:rPr>
                <w:noProof/>
              </w:rPr>
              <w:t>7.6-9.6</w:t>
            </w:r>
            <w:r>
              <w:rPr>
                <w:noProof/>
              </w:rPr>
              <w:t>  </w:t>
            </w:r>
          </w:p>
        </w:tc>
        <w:tc>
          <w:tcPr>
            <w:tcW w:w="916" w:type="pct"/>
          </w:tcPr>
          <w:p w14:paraId="511AA228" w14:textId="5079A316" w:rsidR="00F235FA" w:rsidRPr="00755119" w:rsidRDefault="00F235FA" w:rsidP="00F235FA">
            <w:pPr>
              <w:jc w:val="center"/>
              <w:rPr>
                <w:noProof/>
              </w:rPr>
            </w:pPr>
            <w:r w:rsidRPr="00755119">
              <w:rPr>
                <w:noProof/>
              </w:rPr>
              <w:t>11.7 (0.72)</w:t>
            </w:r>
          </w:p>
        </w:tc>
        <w:tc>
          <w:tcPr>
            <w:tcW w:w="916" w:type="pct"/>
          </w:tcPr>
          <w:p w14:paraId="270EC7D9" w14:textId="7F5CCEA3" w:rsidR="00F235FA" w:rsidRPr="00755119" w:rsidRDefault="00F235FA" w:rsidP="00F235FA">
            <w:pPr>
              <w:jc w:val="center"/>
              <w:rPr>
                <w:noProof/>
              </w:rPr>
            </w:pPr>
            <w:r w:rsidRPr="00755119">
              <w:rPr>
                <w:noProof/>
              </w:rPr>
              <w:t>10.4-13.2</w:t>
            </w:r>
            <w:r>
              <w:rPr>
                <w:noProof/>
              </w:rPr>
              <w:t>  </w:t>
            </w:r>
          </w:p>
        </w:tc>
      </w:tr>
      <w:tr w:rsidR="006D5E26" w14:paraId="6CD8579A" w14:textId="7D159177" w:rsidTr="006D5E26">
        <w:trPr>
          <w:jc w:val="center"/>
        </w:trPr>
        <w:tc>
          <w:tcPr>
            <w:tcW w:w="5000" w:type="pct"/>
            <w:gridSpan w:val="5"/>
            <w:vAlign w:val="bottom"/>
          </w:tcPr>
          <w:p w14:paraId="3F7A86EE" w14:textId="2F21438B" w:rsidR="006D5E26" w:rsidRPr="006D5E26" w:rsidRDefault="006D5E26" w:rsidP="00F235FA">
            <w:pPr>
              <w:rPr>
                <w:b/>
                <w:bCs/>
              </w:rPr>
            </w:pPr>
            <w:r w:rsidRPr="006D5E26">
              <w:rPr>
                <w:b/>
                <w:bCs/>
              </w:rPr>
              <w:t>Transience (Sensitivity 1: past 5-year moves set to past year)</w:t>
            </w:r>
          </w:p>
        </w:tc>
      </w:tr>
      <w:tr w:rsidR="00F235FA" w14:paraId="45F52005" w14:textId="5A97264F" w:rsidTr="006D5E26">
        <w:trPr>
          <w:jc w:val="center"/>
        </w:trPr>
        <w:tc>
          <w:tcPr>
            <w:tcW w:w="1336" w:type="pct"/>
          </w:tcPr>
          <w:p w14:paraId="42A5914A" w14:textId="77777777" w:rsidR="00F235FA" w:rsidRDefault="00F235FA" w:rsidP="00F235FA">
            <w:pPr>
              <w:ind w:left="157"/>
            </w:pPr>
            <w:r>
              <w:t>None</w:t>
            </w:r>
          </w:p>
        </w:tc>
        <w:tc>
          <w:tcPr>
            <w:tcW w:w="916" w:type="pct"/>
            <w:vAlign w:val="bottom"/>
          </w:tcPr>
          <w:p w14:paraId="7BB01D5F" w14:textId="657BBDC9" w:rsidR="00F235FA" w:rsidRDefault="00F235FA" w:rsidP="00F235FA">
            <w:pPr>
              <w:jc w:val="center"/>
            </w:pPr>
            <w:r w:rsidRPr="00755119">
              <w:rPr>
                <w:noProof/>
              </w:rPr>
              <w:t xml:space="preserve">85.9 (0.61) </w:t>
            </w:r>
          </w:p>
        </w:tc>
        <w:tc>
          <w:tcPr>
            <w:tcW w:w="916" w:type="pct"/>
            <w:vAlign w:val="bottom"/>
          </w:tcPr>
          <w:p w14:paraId="2E63CE7B" w14:textId="75FC3BBB" w:rsidR="00F235FA" w:rsidRDefault="00F235FA" w:rsidP="00F235FA">
            <w:pPr>
              <w:jc w:val="center"/>
            </w:pPr>
            <w:r w:rsidRPr="00755119">
              <w:rPr>
                <w:noProof/>
              </w:rPr>
              <w:t>84.6-87.1</w:t>
            </w:r>
            <w:r>
              <w:rPr>
                <w:noProof/>
              </w:rPr>
              <w:t>  </w:t>
            </w:r>
          </w:p>
        </w:tc>
        <w:tc>
          <w:tcPr>
            <w:tcW w:w="916" w:type="pct"/>
            <w:vAlign w:val="bottom"/>
          </w:tcPr>
          <w:p w14:paraId="29A67079" w14:textId="4927E321" w:rsidR="00F235FA" w:rsidRPr="00755119" w:rsidRDefault="00F235FA" w:rsidP="00F235FA">
            <w:pPr>
              <w:jc w:val="center"/>
              <w:rPr>
                <w:noProof/>
              </w:rPr>
            </w:pPr>
            <w:r w:rsidRPr="00755119">
              <w:rPr>
                <w:noProof/>
              </w:rPr>
              <w:t>82.2 (0.83)</w:t>
            </w:r>
          </w:p>
        </w:tc>
        <w:tc>
          <w:tcPr>
            <w:tcW w:w="916" w:type="pct"/>
          </w:tcPr>
          <w:p w14:paraId="73A59A55" w14:textId="649EF832" w:rsidR="00F235FA" w:rsidRPr="00755119" w:rsidRDefault="00F235FA" w:rsidP="00F235FA">
            <w:pPr>
              <w:jc w:val="center"/>
              <w:rPr>
                <w:noProof/>
              </w:rPr>
            </w:pPr>
            <w:r w:rsidRPr="00755119">
              <w:rPr>
                <w:noProof/>
              </w:rPr>
              <w:t>80.5-83.7</w:t>
            </w:r>
            <w:r>
              <w:rPr>
                <w:noProof/>
              </w:rPr>
              <w:t>  </w:t>
            </w:r>
          </w:p>
        </w:tc>
      </w:tr>
      <w:tr w:rsidR="00F235FA" w14:paraId="6ACCE66B" w14:textId="331EB5D3" w:rsidTr="006D5E26">
        <w:trPr>
          <w:jc w:val="center"/>
        </w:trPr>
        <w:tc>
          <w:tcPr>
            <w:tcW w:w="1336" w:type="pct"/>
          </w:tcPr>
          <w:p w14:paraId="67DA49C3" w14:textId="77777777" w:rsidR="00F235FA" w:rsidRDefault="00F235FA" w:rsidP="00F235FA">
            <w:pPr>
              <w:ind w:left="157"/>
            </w:pPr>
            <w:r>
              <w:t>Past 5 Years but not Past Year</w:t>
            </w:r>
          </w:p>
        </w:tc>
        <w:tc>
          <w:tcPr>
            <w:tcW w:w="916" w:type="pct"/>
            <w:vAlign w:val="bottom"/>
          </w:tcPr>
          <w:p w14:paraId="050AF77B" w14:textId="572CA7DA" w:rsidR="00F235FA" w:rsidRDefault="00F235FA" w:rsidP="00F235FA">
            <w:pPr>
              <w:jc w:val="center"/>
            </w:pPr>
            <w:r w:rsidRPr="00755119">
              <w:rPr>
                <w:noProof/>
              </w:rPr>
              <w:t xml:space="preserve">4.9 (0.36) </w:t>
            </w:r>
          </w:p>
        </w:tc>
        <w:tc>
          <w:tcPr>
            <w:tcW w:w="916" w:type="pct"/>
            <w:vAlign w:val="bottom"/>
          </w:tcPr>
          <w:p w14:paraId="10C4D931" w14:textId="73BC09A1" w:rsidR="00F235FA" w:rsidRDefault="00F235FA" w:rsidP="00F235FA">
            <w:pPr>
              <w:jc w:val="center"/>
            </w:pPr>
            <w:r w:rsidRPr="00755119">
              <w:rPr>
                <w:noProof/>
              </w:rPr>
              <w:t>4.2-5.7</w:t>
            </w:r>
            <w:r>
              <w:rPr>
                <w:noProof/>
              </w:rPr>
              <w:t>  </w:t>
            </w:r>
          </w:p>
        </w:tc>
        <w:tc>
          <w:tcPr>
            <w:tcW w:w="916" w:type="pct"/>
            <w:vAlign w:val="bottom"/>
          </w:tcPr>
          <w:p w14:paraId="3251AB30" w14:textId="570EF545" w:rsidR="00F235FA" w:rsidRPr="00755119" w:rsidRDefault="00F235FA" w:rsidP="00F235FA">
            <w:pPr>
              <w:jc w:val="center"/>
              <w:rPr>
                <w:noProof/>
              </w:rPr>
            </w:pPr>
            <w:r w:rsidRPr="00755119">
              <w:rPr>
                <w:noProof/>
              </w:rPr>
              <w:t>5.6 (0.47)</w:t>
            </w:r>
          </w:p>
        </w:tc>
        <w:tc>
          <w:tcPr>
            <w:tcW w:w="916" w:type="pct"/>
            <w:vAlign w:val="bottom"/>
          </w:tcPr>
          <w:p w14:paraId="3C323EBD" w14:textId="7F7A8D54" w:rsidR="00F235FA" w:rsidRPr="00755119" w:rsidRDefault="00F235FA" w:rsidP="00F235FA">
            <w:pPr>
              <w:jc w:val="center"/>
              <w:rPr>
                <w:noProof/>
              </w:rPr>
            </w:pPr>
            <w:r w:rsidRPr="00755119">
              <w:rPr>
                <w:noProof/>
              </w:rPr>
              <w:t>4.8-6.6</w:t>
            </w:r>
          </w:p>
        </w:tc>
      </w:tr>
      <w:tr w:rsidR="00F235FA" w14:paraId="7223FFA0" w14:textId="6E9D9F64" w:rsidTr="006D5E26">
        <w:trPr>
          <w:jc w:val="center"/>
        </w:trPr>
        <w:tc>
          <w:tcPr>
            <w:tcW w:w="1336" w:type="pct"/>
          </w:tcPr>
          <w:p w14:paraId="51B08ADC" w14:textId="77777777" w:rsidR="00F235FA" w:rsidRDefault="00F235FA" w:rsidP="00F235FA">
            <w:pPr>
              <w:ind w:left="157"/>
            </w:pPr>
            <w:r>
              <w:t>Past Year</w:t>
            </w:r>
          </w:p>
        </w:tc>
        <w:tc>
          <w:tcPr>
            <w:tcW w:w="916" w:type="pct"/>
            <w:vAlign w:val="bottom"/>
          </w:tcPr>
          <w:p w14:paraId="33B8F612" w14:textId="67303C3F" w:rsidR="00F235FA" w:rsidRDefault="00F235FA" w:rsidP="00F235FA">
            <w:pPr>
              <w:jc w:val="center"/>
            </w:pPr>
            <w:r w:rsidRPr="00755119">
              <w:rPr>
                <w:noProof/>
              </w:rPr>
              <w:t xml:space="preserve">9.2 (0.52) </w:t>
            </w:r>
          </w:p>
        </w:tc>
        <w:tc>
          <w:tcPr>
            <w:tcW w:w="916" w:type="pct"/>
            <w:vAlign w:val="bottom"/>
          </w:tcPr>
          <w:p w14:paraId="59C4E8CE" w14:textId="2ABC0806" w:rsidR="00F235FA" w:rsidRDefault="00F235FA" w:rsidP="00F235FA">
            <w:pPr>
              <w:jc w:val="center"/>
            </w:pPr>
            <w:r w:rsidRPr="00755119">
              <w:rPr>
                <w:noProof/>
              </w:rPr>
              <w:t>8.2-10.3</w:t>
            </w:r>
            <w:r>
              <w:rPr>
                <w:noProof/>
              </w:rPr>
              <w:t>  </w:t>
            </w:r>
          </w:p>
        </w:tc>
        <w:tc>
          <w:tcPr>
            <w:tcW w:w="916" w:type="pct"/>
            <w:vAlign w:val="bottom"/>
          </w:tcPr>
          <w:p w14:paraId="4D377946" w14:textId="73E43A25" w:rsidR="00F235FA" w:rsidRPr="00755119" w:rsidRDefault="00F235FA" w:rsidP="00F235FA">
            <w:pPr>
              <w:jc w:val="center"/>
              <w:rPr>
                <w:noProof/>
              </w:rPr>
            </w:pPr>
            <w:r w:rsidRPr="00755119">
              <w:rPr>
                <w:noProof/>
              </w:rPr>
              <w:t>12.2 (0.73)</w:t>
            </w:r>
          </w:p>
        </w:tc>
        <w:tc>
          <w:tcPr>
            <w:tcW w:w="916" w:type="pct"/>
          </w:tcPr>
          <w:p w14:paraId="2FF8AB27" w14:textId="6C958E96" w:rsidR="00F235FA" w:rsidRPr="00755119" w:rsidRDefault="00F235FA" w:rsidP="00F235FA">
            <w:pPr>
              <w:jc w:val="center"/>
              <w:rPr>
                <w:noProof/>
              </w:rPr>
            </w:pPr>
            <w:r w:rsidRPr="00755119">
              <w:rPr>
                <w:noProof/>
              </w:rPr>
              <w:t>10.8-13.7</w:t>
            </w:r>
            <w:r>
              <w:rPr>
                <w:noProof/>
              </w:rPr>
              <w:t>  </w:t>
            </w:r>
          </w:p>
        </w:tc>
      </w:tr>
      <w:tr w:rsidR="006D5E26" w14:paraId="62D2033C" w14:textId="71CAB954" w:rsidTr="006D5E26">
        <w:trPr>
          <w:jc w:val="center"/>
        </w:trPr>
        <w:tc>
          <w:tcPr>
            <w:tcW w:w="5000" w:type="pct"/>
            <w:gridSpan w:val="5"/>
            <w:vAlign w:val="bottom"/>
          </w:tcPr>
          <w:p w14:paraId="0934B445" w14:textId="197C840B" w:rsidR="006D5E26" w:rsidRPr="006D5E26" w:rsidRDefault="006D5E26" w:rsidP="00F235FA">
            <w:pPr>
              <w:rPr>
                <w:b/>
                <w:bCs/>
              </w:rPr>
            </w:pPr>
            <w:r w:rsidRPr="006D5E26">
              <w:rPr>
                <w:b/>
                <w:bCs/>
              </w:rPr>
              <w:t>Transience (Sensitivity 2: past year moves set to past 5-year)</w:t>
            </w:r>
          </w:p>
        </w:tc>
      </w:tr>
      <w:tr w:rsidR="00F235FA" w14:paraId="7151980E" w14:textId="45F46C25" w:rsidTr="006D5E26">
        <w:trPr>
          <w:jc w:val="center"/>
        </w:trPr>
        <w:tc>
          <w:tcPr>
            <w:tcW w:w="1336" w:type="pct"/>
          </w:tcPr>
          <w:p w14:paraId="2DD30424" w14:textId="77777777" w:rsidR="00F235FA" w:rsidRDefault="00F235FA" w:rsidP="00F235FA">
            <w:pPr>
              <w:ind w:left="157"/>
            </w:pPr>
            <w:r>
              <w:t>None</w:t>
            </w:r>
          </w:p>
        </w:tc>
        <w:tc>
          <w:tcPr>
            <w:tcW w:w="916" w:type="pct"/>
            <w:vAlign w:val="bottom"/>
          </w:tcPr>
          <w:p w14:paraId="0CA226FB" w14:textId="408425DD" w:rsidR="00F235FA" w:rsidRDefault="00F235FA" w:rsidP="00F235FA">
            <w:pPr>
              <w:jc w:val="center"/>
            </w:pPr>
            <w:r w:rsidRPr="00755119">
              <w:rPr>
                <w:noProof/>
              </w:rPr>
              <w:t xml:space="preserve">86.2 (0.61) </w:t>
            </w:r>
          </w:p>
        </w:tc>
        <w:tc>
          <w:tcPr>
            <w:tcW w:w="916" w:type="pct"/>
            <w:vAlign w:val="bottom"/>
          </w:tcPr>
          <w:p w14:paraId="43BE29AD" w14:textId="1115020E" w:rsidR="00F235FA" w:rsidRDefault="00F235FA" w:rsidP="00F235FA">
            <w:pPr>
              <w:jc w:val="center"/>
            </w:pPr>
            <w:r w:rsidRPr="00755119">
              <w:rPr>
                <w:noProof/>
              </w:rPr>
              <w:t>85.0-87.3</w:t>
            </w:r>
            <w:r>
              <w:rPr>
                <w:noProof/>
              </w:rPr>
              <w:t>  </w:t>
            </w:r>
          </w:p>
        </w:tc>
        <w:tc>
          <w:tcPr>
            <w:tcW w:w="916" w:type="pct"/>
            <w:vAlign w:val="bottom"/>
          </w:tcPr>
          <w:p w14:paraId="3D37907B" w14:textId="73318400" w:rsidR="00F235FA" w:rsidRPr="00755119" w:rsidRDefault="00F235FA" w:rsidP="00F235FA">
            <w:pPr>
              <w:jc w:val="center"/>
              <w:rPr>
                <w:noProof/>
              </w:rPr>
            </w:pPr>
            <w:r w:rsidRPr="00755119">
              <w:rPr>
                <w:noProof/>
              </w:rPr>
              <w:t>82.3 (0.83)</w:t>
            </w:r>
          </w:p>
        </w:tc>
        <w:tc>
          <w:tcPr>
            <w:tcW w:w="916" w:type="pct"/>
          </w:tcPr>
          <w:p w14:paraId="4CE5A04E" w14:textId="34ACECC6" w:rsidR="00F235FA" w:rsidRPr="00755119" w:rsidRDefault="00F235FA" w:rsidP="00F235FA">
            <w:pPr>
              <w:jc w:val="center"/>
              <w:rPr>
                <w:noProof/>
              </w:rPr>
            </w:pPr>
            <w:r w:rsidRPr="00755119">
              <w:rPr>
                <w:noProof/>
              </w:rPr>
              <w:t>80.6-83.9</w:t>
            </w:r>
            <w:r>
              <w:rPr>
                <w:noProof/>
              </w:rPr>
              <w:t>  </w:t>
            </w:r>
          </w:p>
        </w:tc>
      </w:tr>
      <w:tr w:rsidR="00F235FA" w14:paraId="137F23F8" w14:textId="2043BA83" w:rsidTr="006D5E26">
        <w:trPr>
          <w:jc w:val="center"/>
        </w:trPr>
        <w:tc>
          <w:tcPr>
            <w:tcW w:w="1336" w:type="pct"/>
          </w:tcPr>
          <w:p w14:paraId="6243327E" w14:textId="77777777" w:rsidR="00F235FA" w:rsidRDefault="00F235FA" w:rsidP="00F235FA">
            <w:pPr>
              <w:ind w:left="157"/>
            </w:pPr>
            <w:r>
              <w:t>Past 5 Years but not Past Year</w:t>
            </w:r>
          </w:p>
        </w:tc>
        <w:tc>
          <w:tcPr>
            <w:tcW w:w="916" w:type="pct"/>
            <w:vAlign w:val="bottom"/>
          </w:tcPr>
          <w:p w14:paraId="0578DEB6" w14:textId="28AD551F" w:rsidR="00F235FA" w:rsidRDefault="00F235FA" w:rsidP="00F235FA">
            <w:pPr>
              <w:jc w:val="center"/>
            </w:pPr>
            <w:r w:rsidRPr="00755119">
              <w:rPr>
                <w:noProof/>
              </w:rPr>
              <w:t xml:space="preserve">4.9 (0.36) </w:t>
            </w:r>
          </w:p>
        </w:tc>
        <w:tc>
          <w:tcPr>
            <w:tcW w:w="916" w:type="pct"/>
            <w:vAlign w:val="bottom"/>
          </w:tcPr>
          <w:p w14:paraId="0904AD75" w14:textId="66DF25C0" w:rsidR="00F235FA" w:rsidRDefault="00F235FA" w:rsidP="00F235FA">
            <w:pPr>
              <w:jc w:val="center"/>
            </w:pPr>
            <w:r w:rsidRPr="00755119">
              <w:rPr>
                <w:noProof/>
              </w:rPr>
              <w:t>4.2-5.7</w:t>
            </w:r>
            <w:r>
              <w:rPr>
                <w:noProof/>
              </w:rPr>
              <w:t>  </w:t>
            </w:r>
          </w:p>
        </w:tc>
        <w:tc>
          <w:tcPr>
            <w:tcW w:w="916" w:type="pct"/>
            <w:vAlign w:val="bottom"/>
          </w:tcPr>
          <w:p w14:paraId="1D3E3F76" w14:textId="4DA1EB6F" w:rsidR="00F235FA" w:rsidRPr="00755119" w:rsidRDefault="00F235FA" w:rsidP="00F235FA">
            <w:pPr>
              <w:jc w:val="center"/>
              <w:rPr>
                <w:noProof/>
              </w:rPr>
            </w:pPr>
            <w:r w:rsidRPr="00755119">
              <w:rPr>
                <w:noProof/>
              </w:rPr>
              <w:t xml:space="preserve">5.6 (0.47) </w:t>
            </w:r>
          </w:p>
        </w:tc>
        <w:tc>
          <w:tcPr>
            <w:tcW w:w="916" w:type="pct"/>
            <w:vAlign w:val="bottom"/>
          </w:tcPr>
          <w:p w14:paraId="6156F5D3" w14:textId="6E0613FB" w:rsidR="00F235FA" w:rsidRPr="00755119" w:rsidRDefault="00F235FA" w:rsidP="00F235FA">
            <w:pPr>
              <w:jc w:val="center"/>
              <w:rPr>
                <w:noProof/>
              </w:rPr>
            </w:pPr>
            <w:r w:rsidRPr="00755119">
              <w:rPr>
                <w:noProof/>
              </w:rPr>
              <w:t>4.8-6.6</w:t>
            </w:r>
            <w:r>
              <w:rPr>
                <w:noProof/>
              </w:rPr>
              <w:t>  </w:t>
            </w:r>
          </w:p>
        </w:tc>
      </w:tr>
      <w:tr w:rsidR="00F235FA" w14:paraId="66E523CC" w14:textId="60218F5E" w:rsidTr="006D5E26">
        <w:trPr>
          <w:jc w:val="center"/>
        </w:trPr>
        <w:tc>
          <w:tcPr>
            <w:tcW w:w="1336" w:type="pct"/>
          </w:tcPr>
          <w:p w14:paraId="0F9398FE" w14:textId="77777777" w:rsidR="00F235FA" w:rsidRDefault="00F235FA" w:rsidP="00F235FA">
            <w:pPr>
              <w:ind w:left="157"/>
            </w:pPr>
            <w:r>
              <w:t>Past Year</w:t>
            </w:r>
          </w:p>
        </w:tc>
        <w:tc>
          <w:tcPr>
            <w:tcW w:w="916" w:type="pct"/>
            <w:vAlign w:val="bottom"/>
          </w:tcPr>
          <w:p w14:paraId="7F0DAE69" w14:textId="1CA744D4" w:rsidR="00F235FA" w:rsidRDefault="00F235FA" w:rsidP="00F235FA">
            <w:pPr>
              <w:jc w:val="center"/>
            </w:pPr>
            <w:r w:rsidRPr="00755119">
              <w:rPr>
                <w:noProof/>
              </w:rPr>
              <w:t xml:space="preserve">8.9 (0.52) </w:t>
            </w:r>
          </w:p>
        </w:tc>
        <w:tc>
          <w:tcPr>
            <w:tcW w:w="916" w:type="pct"/>
            <w:vAlign w:val="bottom"/>
          </w:tcPr>
          <w:p w14:paraId="4AE8FAAA" w14:textId="3CFBA492" w:rsidR="00F235FA" w:rsidRDefault="00F235FA" w:rsidP="00F235FA">
            <w:pPr>
              <w:jc w:val="center"/>
            </w:pPr>
            <w:r w:rsidRPr="00755119">
              <w:rPr>
                <w:noProof/>
              </w:rPr>
              <w:t>7.9-10.0</w:t>
            </w:r>
            <w:r>
              <w:rPr>
                <w:noProof/>
              </w:rPr>
              <w:t>  </w:t>
            </w:r>
          </w:p>
        </w:tc>
        <w:tc>
          <w:tcPr>
            <w:tcW w:w="916" w:type="pct"/>
            <w:vAlign w:val="bottom"/>
          </w:tcPr>
          <w:p w14:paraId="65E0B24F" w14:textId="7662D510" w:rsidR="00F235FA" w:rsidRPr="00755119" w:rsidRDefault="00F235FA" w:rsidP="00F235FA">
            <w:pPr>
              <w:jc w:val="center"/>
              <w:rPr>
                <w:noProof/>
              </w:rPr>
            </w:pPr>
            <w:r w:rsidRPr="00755119">
              <w:rPr>
                <w:noProof/>
              </w:rPr>
              <w:t>12.1 (0.73)</w:t>
            </w:r>
          </w:p>
        </w:tc>
        <w:tc>
          <w:tcPr>
            <w:tcW w:w="916" w:type="pct"/>
          </w:tcPr>
          <w:p w14:paraId="028602B0" w14:textId="11F96D6B" w:rsidR="00F235FA" w:rsidRPr="00755119" w:rsidRDefault="00F235FA" w:rsidP="00F235FA">
            <w:pPr>
              <w:jc w:val="center"/>
              <w:rPr>
                <w:noProof/>
              </w:rPr>
            </w:pPr>
            <w:r w:rsidRPr="00755119">
              <w:rPr>
                <w:noProof/>
              </w:rPr>
              <w:t>10.7-13.6</w:t>
            </w:r>
            <w:r>
              <w:rPr>
                <w:noProof/>
              </w:rPr>
              <w:t>  </w:t>
            </w:r>
          </w:p>
        </w:tc>
      </w:tr>
    </w:tbl>
    <w:p w14:paraId="28DE1C1C" w14:textId="77777777" w:rsidR="00F235FA" w:rsidRPr="00BE28F5" w:rsidRDefault="00F235FA" w:rsidP="00593AB4">
      <w:pPr>
        <w:pStyle w:val="BodyText"/>
        <w:rPr>
          <w:rFonts w:asciiTheme="majorBidi" w:hAnsiTheme="majorBidi" w:cstheme="majorBidi"/>
          <w:szCs w:val="24"/>
        </w:rPr>
      </w:pPr>
    </w:p>
    <w:p w14:paraId="6CA73FBC" w14:textId="77777777" w:rsidR="00BF56C0" w:rsidRPr="00BE28F5" w:rsidRDefault="00BF56C0" w:rsidP="00650219">
      <w:pPr>
        <w:pStyle w:val="Heading2"/>
        <w:rPr>
          <w:rFonts w:asciiTheme="majorBidi" w:hAnsiTheme="majorBidi" w:cstheme="majorBidi"/>
          <w:szCs w:val="24"/>
        </w:rPr>
      </w:pPr>
      <w:r w:rsidRPr="00BE28F5">
        <w:rPr>
          <w:rFonts w:asciiTheme="majorBidi" w:hAnsiTheme="majorBidi" w:cstheme="majorBidi"/>
          <w:szCs w:val="24"/>
        </w:rPr>
        <w:t>S2.</w:t>
      </w:r>
      <w:r w:rsidRPr="00BE28F5">
        <w:rPr>
          <w:rFonts w:asciiTheme="majorBidi" w:hAnsiTheme="majorBidi" w:cstheme="majorBidi"/>
          <w:szCs w:val="24"/>
        </w:rPr>
        <w:tab/>
      </w:r>
      <w:r w:rsidR="00FA448F" w:rsidRPr="00BE28F5">
        <w:rPr>
          <w:rFonts w:asciiTheme="majorBidi" w:hAnsiTheme="majorBidi" w:cstheme="majorBidi"/>
          <w:szCs w:val="24"/>
        </w:rPr>
        <w:t>Depression Treatment</w:t>
      </w:r>
      <w:r w:rsidR="00650219" w:rsidRPr="00BE28F5">
        <w:rPr>
          <w:rFonts w:asciiTheme="majorBidi" w:hAnsiTheme="majorBidi" w:cstheme="majorBidi"/>
          <w:szCs w:val="24"/>
        </w:rPr>
        <w:t xml:space="preserve"> among Adolescents with Past Year Major Depressive Episode(s) (MDE)</w:t>
      </w:r>
    </w:p>
    <w:p w14:paraId="43873BCC" w14:textId="72E4AFD9" w:rsidR="001C133F" w:rsidRPr="00BE28F5" w:rsidRDefault="00EC309B" w:rsidP="00EC309B">
      <w:pPr>
        <w:pStyle w:val="BodyText1"/>
        <w:rPr>
          <w:rFonts w:asciiTheme="majorBidi" w:hAnsiTheme="majorBidi" w:cstheme="majorBidi"/>
          <w:sz w:val="24"/>
          <w:szCs w:val="24"/>
        </w:rPr>
      </w:pPr>
      <w:r w:rsidRPr="00BE28F5">
        <w:rPr>
          <w:rFonts w:asciiTheme="majorBidi" w:hAnsiTheme="majorBidi" w:cstheme="majorBidi"/>
          <w:sz w:val="24"/>
          <w:szCs w:val="24"/>
        </w:rPr>
        <w:t>Associations between residential transience and mental health treatment were similar for models examining any past year mental health treatment and treatment for depression (Table S</w:t>
      </w:r>
      <w:r w:rsidR="006D5E26">
        <w:rPr>
          <w:rFonts w:asciiTheme="majorBidi" w:hAnsiTheme="majorBidi" w:cstheme="majorBidi"/>
          <w:sz w:val="24"/>
          <w:szCs w:val="24"/>
        </w:rPr>
        <w:t>3</w:t>
      </w:r>
      <w:r w:rsidRPr="00BE28F5">
        <w:rPr>
          <w:rFonts w:asciiTheme="majorBidi" w:hAnsiTheme="majorBidi" w:cstheme="majorBidi"/>
          <w:sz w:val="24"/>
          <w:szCs w:val="24"/>
        </w:rPr>
        <w:t xml:space="preserve">) </w:t>
      </w:r>
      <w:r w:rsidR="001C133F" w:rsidRPr="00BE28F5">
        <w:rPr>
          <w:rFonts w:asciiTheme="majorBidi" w:hAnsiTheme="majorBidi" w:cstheme="majorBidi"/>
          <w:sz w:val="24"/>
          <w:szCs w:val="24"/>
        </w:rPr>
        <w:t>Adolescents with recent transience were more likely to report treatment for MDE in the past year than those with no transience in the past 5 years (AOR = 1.43, 95% = 1.17-1.74), but there was no significant difference in the likelihood of treatment for MDE for those with distal transience compared with adolescents with MDE with no transience (AOR = 1.23, 95% CI = 0.96-1.57).</w:t>
      </w:r>
    </w:p>
    <w:p w14:paraId="360DE0DE" w14:textId="3189EB2F" w:rsidR="001C133F" w:rsidRPr="00BE28F5" w:rsidRDefault="001C133F" w:rsidP="001C133F">
      <w:pPr>
        <w:pStyle w:val="tabfigtitle"/>
        <w:rPr>
          <w:rFonts w:asciiTheme="majorBidi" w:hAnsiTheme="majorBidi" w:cstheme="majorBidi"/>
          <w:sz w:val="24"/>
          <w:szCs w:val="24"/>
        </w:rPr>
      </w:pPr>
      <w:r w:rsidRPr="00BE28F5">
        <w:rPr>
          <w:rFonts w:asciiTheme="majorBidi" w:hAnsiTheme="majorBidi" w:cstheme="majorBidi"/>
          <w:sz w:val="24"/>
          <w:szCs w:val="24"/>
        </w:rPr>
        <w:lastRenderedPageBreak/>
        <w:t xml:space="preserve">Table </w:t>
      </w:r>
      <w:r w:rsidR="00EC309B" w:rsidRPr="00BE28F5">
        <w:rPr>
          <w:rFonts w:asciiTheme="majorBidi" w:hAnsiTheme="majorBidi" w:cstheme="majorBidi"/>
          <w:sz w:val="24"/>
          <w:szCs w:val="24"/>
        </w:rPr>
        <w:t>S</w:t>
      </w:r>
      <w:r w:rsidR="006D5E26">
        <w:rPr>
          <w:rFonts w:asciiTheme="majorBidi" w:hAnsiTheme="majorBidi" w:cstheme="majorBidi"/>
          <w:sz w:val="24"/>
          <w:szCs w:val="24"/>
        </w:rPr>
        <w:t>3</w:t>
      </w:r>
      <w:r w:rsidR="00EC309B" w:rsidRPr="00BE28F5">
        <w:rPr>
          <w:rFonts w:asciiTheme="majorBidi" w:hAnsiTheme="majorBidi" w:cstheme="majorBidi"/>
          <w:sz w:val="24"/>
          <w:szCs w:val="24"/>
        </w:rPr>
        <w:t xml:space="preserve"> </w:t>
      </w:r>
      <w:r w:rsidRPr="00BE28F5">
        <w:rPr>
          <w:rFonts w:asciiTheme="majorBidi" w:hAnsiTheme="majorBidi" w:cstheme="majorBidi"/>
          <w:sz w:val="24"/>
          <w:szCs w:val="24"/>
        </w:rPr>
        <w:t>Past Year MDE and Mental Health Treatment among Adolescents Aged 12 to 17: Annual Averages, Adjusted Odds Ratios (AOR), and 95% Confidence Intervals (95% 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3737"/>
        <w:gridCol w:w="1399"/>
        <w:gridCol w:w="1403"/>
        <w:gridCol w:w="1403"/>
        <w:gridCol w:w="1408"/>
      </w:tblGrid>
      <w:tr w:rsidR="001C133F" w:rsidRPr="00BE28F5" w14:paraId="33EC0BE4" w14:textId="77777777" w:rsidTr="00EC309B">
        <w:trPr>
          <w:cantSplit/>
          <w:trHeight w:val="20"/>
          <w:tblHeader/>
        </w:trPr>
        <w:tc>
          <w:tcPr>
            <w:tcW w:w="1999" w:type="pct"/>
            <w:vMerge w:val="restart"/>
            <w:vAlign w:val="bottom"/>
          </w:tcPr>
          <w:p w14:paraId="5BDEDC28" w14:textId="77777777" w:rsidR="001C133F" w:rsidRPr="00BE28F5" w:rsidRDefault="001C133F" w:rsidP="001C133F">
            <w:pPr>
              <w:pStyle w:val="TableHeader"/>
              <w:rPr>
                <w:rFonts w:asciiTheme="majorBidi" w:hAnsiTheme="majorBidi" w:cstheme="majorBidi"/>
                <w:b w:val="0"/>
                <w:bCs/>
                <w:sz w:val="24"/>
                <w:szCs w:val="24"/>
              </w:rPr>
            </w:pPr>
            <w:r w:rsidRPr="00BE28F5">
              <w:rPr>
                <w:rFonts w:asciiTheme="majorBidi" w:hAnsiTheme="majorBidi" w:cstheme="majorBidi"/>
                <w:b w:val="0"/>
                <w:bCs/>
                <w:sz w:val="24"/>
                <w:szCs w:val="24"/>
              </w:rPr>
              <w:t>Variable</w:t>
            </w:r>
          </w:p>
        </w:tc>
        <w:tc>
          <w:tcPr>
            <w:tcW w:w="1498" w:type="pct"/>
            <w:gridSpan w:val="2"/>
            <w:vAlign w:val="bottom"/>
          </w:tcPr>
          <w:p w14:paraId="0FB0C546" w14:textId="262594B8" w:rsidR="001C133F" w:rsidRPr="00BE28F5" w:rsidRDefault="001C133F" w:rsidP="001C133F">
            <w:pPr>
              <w:pStyle w:val="TableHeader"/>
              <w:rPr>
                <w:rFonts w:asciiTheme="majorBidi" w:hAnsiTheme="majorBidi" w:cstheme="majorBidi"/>
                <w:b w:val="0"/>
                <w:bCs/>
                <w:sz w:val="24"/>
                <w:szCs w:val="24"/>
              </w:rPr>
            </w:pPr>
            <w:r w:rsidRPr="00BE28F5">
              <w:rPr>
                <w:rFonts w:asciiTheme="majorBidi" w:hAnsiTheme="majorBidi" w:cstheme="majorBidi"/>
                <w:b w:val="0"/>
                <w:bCs/>
                <w:sz w:val="24"/>
                <w:szCs w:val="24"/>
              </w:rPr>
              <w:t>Any Past Year Mental Health Treatment among Adolescents with MDE</w:t>
            </w:r>
          </w:p>
        </w:tc>
        <w:tc>
          <w:tcPr>
            <w:tcW w:w="1504" w:type="pct"/>
            <w:gridSpan w:val="2"/>
            <w:vAlign w:val="bottom"/>
          </w:tcPr>
          <w:p w14:paraId="0B8CC0A3" w14:textId="0AC70C1F" w:rsidR="001C133F" w:rsidRPr="00BE28F5" w:rsidRDefault="001C133F" w:rsidP="001C133F">
            <w:pPr>
              <w:pStyle w:val="TableHeader"/>
              <w:rPr>
                <w:rFonts w:asciiTheme="majorBidi" w:hAnsiTheme="majorBidi" w:cstheme="majorBidi"/>
                <w:b w:val="0"/>
                <w:bCs/>
                <w:sz w:val="24"/>
                <w:szCs w:val="24"/>
              </w:rPr>
            </w:pPr>
            <w:r w:rsidRPr="00BE28F5">
              <w:rPr>
                <w:rFonts w:asciiTheme="majorBidi" w:hAnsiTheme="majorBidi" w:cstheme="majorBidi"/>
                <w:b w:val="0"/>
                <w:bCs/>
                <w:sz w:val="24"/>
                <w:szCs w:val="24"/>
              </w:rPr>
              <w:t>Past Year Mental Health Treatment for Depression among Adolescents with MDE</w:t>
            </w:r>
          </w:p>
        </w:tc>
      </w:tr>
      <w:tr w:rsidR="00EC309B" w:rsidRPr="00BE28F5" w14:paraId="4C901CED" w14:textId="77777777" w:rsidTr="00EC309B">
        <w:trPr>
          <w:cantSplit/>
          <w:trHeight w:val="20"/>
          <w:tblHeader/>
        </w:trPr>
        <w:tc>
          <w:tcPr>
            <w:tcW w:w="1999" w:type="pct"/>
            <w:vMerge/>
            <w:vAlign w:val="bottom"/>
          </w:tcPr>
          <w:p w14:paraId="0190F1B0" w14:textId="77777777" w:rsidR="00EC309B" w:rsidRPr="00BE28F5" w:rsidRDefault="00EC309B" w:rsidP="001C133F">
            <w:pPr>
              <w:pStyle w:val="TableHeader"/>
              <w:rPr>
                <w:rFonts w:asciiTheme="majorBidi" w:hAnsiTheme="majorBidi" w:cstheme="majorBidi"/>
                <w:b w:val="0"/>
                <w:bCs/>
                <w:sz w:val="24"/>
                <w:szCs w:val="24"/>
              </w:rPr>
            </w:pPr>
          </w:p>
        </w:tc>
        <w:tc>
          <w:tcPr>
            <w:tcW w:w="748" w:type="pct"/>
            <w:vAlign w:val="bottom"/>
          </w:tcPr>
          <w:p w14:paraId="3094A7D5" w14:textId="1128BA5C" w:rsidR="00EC309B" w:rsidRPr="00BE28F5" w:rsidRDefault="00EC309B" w:rsidP="001C133F">
            <w:pPr>
              <w:pStyle w:val="TableHeader"/>
              <w:rPr>
                <w:rFonts w:asciiTheme="majorBidi" w:hAnsiTheme="majorBidi" w:cstheme="majorBidi"/>
                <w:b w:val="0"/>
                <w:bCs/>
                <w:sz w:val="24"/>
                <w:szCs w:val="24"/>
              </w:rPr>
            </w:pPr>
            <w:r w:rsidRPr="00BE28F5">
              <w:rPr>
                <w:rFonts w:asciiTheme="majorBidi" w:hAnsiTheme="majorBidi" w:cstheme="majorBidi"/>
                <w:b w:val="0"/>
                <w:bCs/>
                <w:sz w:val="24"/>
                <w:szCs w:val="24"/>
              </w:rPr>
              <w:t>AOR</w:t>
            </w:r>
          </w:p>
        </w:tc>
        <w:tc>
          <w:tcPr>
            <w:tcW w:w="750" w:type="pct"/>
            <w:vAlign w:val="bottom"/>
          </w:tcPr>
          <w:p w14:paraId="51F76760" w14:textId="62821EA1" w:rsidR="00EC309B" w:rsidRPr="00BE28F5" w:rsidRDefault="00EC309B" w:rsidP="001C133F">
            <w:pPr>
              <w:pStyle w:val="TableHeader"/>
              <w:rPr>
                <w:rFonts w:asciiTheme="majorBidi" w:hAnsiTheme="majorBidi" w:cstheme="majorBidi"/>
                <w:b w:val="0"/>
                <w:bCs/>
                <w:sz w:val="24"/>
                <w:szCs w:val="24"/>
              </w:rPr>
            </w:pPr>
            <w:r w:rsidRPr="00BE28F5">
              <w:rPr>
                <w:rFonts w:asciiTheme="majorBidi" w:hAnsiTheme="majorBidi" w:cstheme="majorBidi"/>
                <w:b w:val="0"/>
                <w:bCs/>
                <w:sz w:val="24"/>
                <w:szCs w:val="24"/>
              </w:rPr>
              <w:t>95% CI</w:t>
            </w:r>
          </w:p>
        </w:tc>
        <w:tc>
          <w:tcPr>
            <w:tcW w:w="750" w:type="pct"/>
            <w:vAlign w:val="bottom"/>
          </w:tcPr>
          <w:p w14:paraId="1B45C0C8" w14:textId="34DE0412" w:rsidR="00EC309B" w:rsidRPr="00BE28F5" w:rsidRDefault="00EC309B" w:rsidP="001C133F">
            <w:pPr>
              <w:pStyle w:val="TableHeader"/>
              <w:rPr>
                <w:rFonts w:asciiTheme="majorBidi" w:hAnsiTheme="majorBidi" w:cstheme="majorBidi"/>
                <w:b w:val="0"/>
                <w:bCs/>
                <w:sz w:val="24"/>
                <w:szCs w:val="24"/>
              </w:rPr>
            </w:pPr>
            <w:r w:rsidRPr="00BE28F5">
              <w:rPr>
                <w:rFonts w:asciiTheme="majorBidi" w:hAnsiTheme="majorBidi" w:cstheme="majorBidi"/>
                <w:b w:val="0"/>
                <w:bCs/>
                <w:sz w:val="24"/>
                <w:szCs w:val="24"/>
              </w:rPr>
              <w:t>AOR</w:t>
            </w:r>
          </w:p>
        </w:tc>
        <w:tc>
          <w:tcPr>
            <w:tcW w:w="753" w:type="pct"/>
            <w:vAlign w:val="bottom"/>
          </w:tcPr>
          <w:p w14:paraId="5E016DDB" w14:textId="444EEA80" w:rsidR="00EC309B" w:rsidRPr="00BE28F5" w:rsidRDefault="00EC309B" w:rsidP="001C133F">
            <w:pPr>
              <w:pStyle w:val="TableHeader"/>
              <w:rPr>
                <w:rFonts w:asciiTheme="majorBidi" w:hAnsiTheme="majorBidi" w:cstheme="majorBidi"/>
                <w:b w:val="0"/>
                <w:bCs/>
                <w:sz w:val="24"/>
                <w:szCs w:val="24"/>
              </w:rPr>
            </w:pPr>
            <w:r w:rsidRPr="00BE28F5">
              <w:rPr>
                <w:rFonts w:asciiTheme="majorBidi" w:hAnsiTheme="majorBidi" w:cstheme="majorBidi"/>
                <w:b w:val="0"/>
                <w:bCs/>
                <w:sz w:val="24"/>
                <w:szCs w:val="24"/>
              </w:rPr>
              <w:t>95% CI</w:t>
            </w:r>
          </w:p>
        </w:tc>
      </w:tr>
      <w:tr w:rsidR="001C133F" w:rsidRPr="00BE28F5" w14:paraId="1264EB34" w14:textId="77777777" w:rsidTr="00EC309B">
        <w:trPr>
          <w:cantSplit/>
          <w:trHeight w:val="20"/>
        </w:trPr>
        <w:tc>
          <w:tcPr>
            <w:tcW w:w="5000" w:type="pct"/>
            <w:gridSpan w:val="5"/>
            <w:hideMark/>
          </w:tcPr>
          <w:p w14:paraId="4FB29E04" w14:textId="0F500F58" w:rsidR="001C133F" w:rsidRPr="00BE28F5" w:rsidRDefault="001C133F" w:rsidP="001C133F">
            <w:pPr>
              <w:keepNext/>
              <w:spacing w:line="480" w:lineRule="auto"/>
              <w:rPr>
                <w:rFonts w:asciiTheme="majorBidi" w:hAnsiTheme="majorBidi" w:cstheme="majorBidi"/>
                <w:bCs/>
                <w:szCs w:val="24"/>
              </w:rPr>
            </w:pPr>
          </w:p>
        </w:tc>
      </w:tr>
      <w:tr w:rsidR="001C133F" w:rsidRPr="00BE28F5" w14:paraId="759C3E58" w14:textId="77777777" w:rsidTr="00EC309B">
        <w:trPr>
          <w:cantSplit/>
          <w:trHeight w:val="20"/>
        </w:trPr>
        <w:tc>
          <w:tcPr>
            <w:tcW w:w="1999" w:type="pct"/>
            <w:hideMark/>
          </w:tcPr>
          <w:p w14:paraId="449FE502"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None</w:t>
            </w:r>
          </w:p>
        </w:tc>
        <w:tc>
          <w:tcPr>
            <w:tcW w:w="748" w:type="pct"/>
          </w:tcPr>
          <w:p w14:paraId="452163A1" w14:textId="643DF904"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1.00</w:t>
            </w:r>
          </w:p>
        </w:tc>
        <w:tc>
          <w:tcPr>
            <w:tcW w:w="750" w:type="pct"/>
          </w:tcPr>
          <w:p w14:paraId="2CF7F287" w14:textId="77777777" w:rsidR="001C133F" w:rsidRPr="00BE28F5" w:rsidRDefault="001C133F" w:rsidP="001C133F">
            <w:pPr>
              <w:tabs>
                <w:tab w:val="decimal" w:pos="246"/>
              </w:tabs>
              <w:spacing w:line="480" w:lineRule="auto"/>
              <w:rPr>
                <w:rFonts w:asciiTheme="majorBidi" w:hAnsiTheme="majorBidi" w:cstheme="majorBidi"/>
                <w:szCs w:val="24"/>
              </w:rPr>
            </w:pPr>
          </w:p>
        </w:tc>
        <w:tc>
          <w:tcPr>
            <w:tcW w:w="750" w:type="pct"/>
          </w:tcPr>
          <w:p w14:paraId="3F1FF31E" w14:textId="3886F99A"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1.00</w:t>
            </w:r>
          </w:p>
        </w:tc>
        <w:tc>
          <w:tcPr>
            <w:tcW w:w="753" w:type="pct"/>
          </w:tcPr>
          <w:p w14:paraId="47BEAA14" w14:textId="77777777" w:rsidR="001C133F" w:rsidRPr="00BE28F5" w:rsidRDefault="001C133F" w:rsidP="001C133F">
            <w:pPr>
              <w:tabs>
                <w:tab w:val="decimal" w:pos="408"/>
              </w:tabs>
              <w:spacing w:line="480" w:lineRule="auto"/>
              <w:rPr>
                <w:rFonts w:asciiTheme="majorBidi" w:hAnsiTheme="majorBidi" w:cstheme="majorBidi"/>
                <w:szCs w:val="24"/>
              </w:rPr>
            </w:pPr>
          </w:p>
        </w:tc>
      </w:tr>
      <w:tr w:rsidR="001C133F" w:rsidRPr="00BE28F5" w14:paraId="1747DC90" w14:textId="77777777" w:rsidTr="00EC309B">
        <w:trPr>
          <w:cantSplit/>
          <w:trHeight w:val="20"/>
        </w:trPr>
        <w:tc>
          <w:tcPr>
            <w:tcW w:w="1999" w:type="pct"/>
            <w:hideMark/>
          </w:tcPr>
          <w:p w14:paraId="0610BBCB"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Distal (Past 5 Years but Not Past Year)</w:t>
            </w:r>
          </w:p>
        </w:tc>
        <w:tc>
          <w:tcPr>
            <w:tcW w:w="748" w:type="pct"/>
          </w:tcPr>
          <w:p w14:paraId="4B011E1B" w14:textId="2D22590C"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1.18 </w:t>
            </w:r>
          </w:p>
        </w:tc>
        <w:tc>
          <w:tcPr>
            <w:tcW w:w="750" w:type="pct"/>
          </w:tcPr>
          <w:p w14:paraId="04ECD6F7" w14:textId="19BEDB82" w:rsidR="001C133F" w:rsidRPr="00BE28F5" w:rsidRDefault="001C133F" w:rsidP="001C133F">
            <w:pPr>
              <w:tabs>
                <w:tab w:val="decimal" w:pos="246"/>
              </w:tabs>
              <w:spacing w:line="480" w:lineRule="auto"/>
              <w:rPr>
                <w:rFonts w:asciiTheme="majorBidi" w:hAnsiTheme="majorBidi" w:cstheme="majorBidi"/>
                <w:szCs w:val="24"/>
              </w:rPr>
            </w:pPr>
            <w:r w:rsidRPr="00BE28F5">
              <w:rPr>
                <w:rFonts w:asciiTheme="majorBidi" w:hAnsiTheme="majorBidi" w:cstheme="majorBidi"/>
                <w:szCs w:val="24"/>
              </w:rPr>
              <w:t>(0.92-1.51)</w:t>
            </w:r>
          </w:p>
        </w:tc>
        <w:tc>
          <w:tcPr>
            <w:tcW w:w="750" w:type="pct"/>
          </w:tcPr>
          <w:p w14:paraId="0CFF7D74" w14:textId="49F7BBE7"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1.23 </w:t>
            </w:r>
          </w:p>
        </w:tc>
        <w:tc>
          <w:tcPr>
            <w:tcW w:w="753" w:type="pct"/>
          </w:tcPr>
          <w:p w14:paraId="407C75B3" w14:textId="3FF0772B"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(0.96-1.57)</w:t>
            </w:r>
          </w:p>
        </w:tc>
      </w:tr>
      <w:tr w:rsidR="001C133F" w:rsidRPr="00BE28F5" w14:paraId="1D9ECCD4" w14:textId="77777777" w:rsidTr="00EC309B">
        <w:trPr>
          <w:cantSplit/>
          <w:trHeight w:val="20"/>
        </w:trPr>
        <w:tc>
          <w:tcPr>
            <w:tcW w:w="1999" w:type="pct"/>
            <w:hideMark/>
          </w:tcPr>
          <w:p w14:paraId="3AE539C8"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Recent (Past Year)</w:t>
            </w:r>
          </w:p>
        </w:tc>
        <w:tc>
          <w:tcPr>
            <w:tcW w:w="748" w:type="pct"/>
          </w:tcPr>
          <w:p w14:paraId="06E693B6" w14:textId="071875D4"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1.40 </w:t>
            </w:r>
          </w:p>
        </w:tc>
        <w:tc>
          <w:tcPr>
            <w:tcW w:w="750" w:type="pct"/>
          </w:tcPr>
          <w:p w14:paraId="56BD6FBA" w14:textId="506D0B40" w:rsidR="001C133F" w:rsidRPr="00BE28F5" w:rsidRDefault="001C133F" w:rsidP="001C133F">
            <w:pPr>
              <w:tabs>
                <w:tab w:val="decimal" w:pos="246"/>
              </w:tabs>
              <w:spacing w:line="480" w:lineRule="auto"/>
              <w:rPr>
                <w:rFonts w:asciiTheme="majorBidi" w:hAnsiTheme="majorBidi" w:cstheme="majorBidi"/>
                <w:szCs w:val="24"/>
              </w:rPr>
            </w:pPr>
            <w:r w:rsidRPr="00BE28F5">
              <w:rPr>
                <w:rFonts w:asciiTheme="majorBidi" w:hAnsiTheme="majorBidi" w:cstheme="majorBidi"/>
                <w:szCs w:val="24"/>
              </w:rPr>
              <w:t>(1.15-1.70)</w:t>
            </w:r>
          </w:p>
        </w:tc>
        <w:tc>
          <w:tcPr>
            <w:tcW w:w="750" w:type="pct"/>
          </w:tcPr>
          <w:p w14:paraId="3C741EC4" w14:textId="025569CD"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1.43 </w:t>
            </w:r>
          </w:p>
        </w:tc>
        <w:tc>
          <w:tcPr>
            <w:tcW w:w="753" w:type="pct"/>
          </w:tcPr>
          <w:p w14:paraId="4DCD2A22" w14:textId="21C87EE5"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(1.17-1.74)</w:t>
            </w:r>
          </w:p>
        </w:tc>
      </w:tr>
      <w:tr w:rsidR="001C133F" w:rsidRPr="00BE28F5" w14:paraId="46A67457" w14:textId="77777777" w:rsidTr="00EC309B">
        <w:trPr>
          <w:cantSplit/>
          <w:trHeight w:val="20"/>
        </w:trPr>
        <w:tc>
          <w:tcPr>
            <w:tcW w:w="5000" w:type="pct"/>
            <w:gridSpan w:val="5"/>
            <w:hideMark/>
          </w:tcPr>
          <w:p w14:paraId="70249649" w14:textId="77777777" w:rsidR="001C133F" w:rsidRPr="00BE28F5" w:rsidRDefault="001C133F" w:rsidP="001C133F">
            <w:pPr>
              <w:keepNext/>
              <w:tabs>
                <w:tab w:val="decimal" w:pos="246"/>
              </w:tabs>
              <w:spacing w:line="480" w:lineRule="auto"/>
              <w:rPr>
                <w:rFonts w:asciiTheme="majorBidi" w:hAnsiTheme="majorBidi" w:cstheme="majorBidi"/>
                <w:bCs/>
                <w:szCs w:val="24"/>
              </w:rPr>
            </w:pPr>
            <w:r w:rsidRPr="00BE28F5">
              <w:rPr>
                <w:rFonts w:asciiTheme="majorBidi" w:hAnsiTheme="majorBidi" w:cstheme="majorBidi"/>
                <w:bCs/>
                <w:szCs w:val="24"/>
              </w:rPr>
              <w:t>Gender</w:t>
            </w:r>
          </w:p>
        </w:tc>
      </w:tr>
      <w:tr w:rsidR="001C133F" w:rsidRPr="00BE28F5" w14:paraId="2E661C47" w14:textId="77777777" w:rsidTr="00EC309B">
        <w:trPr>
          <w:cantSplit/>
          <w:trHeight w:val="20"/>
        </w:trPr>
        <w:tc>
          <w:tcPr>
            <w:tcW w:w="1999" w:type="pct"/>
            <w:hideMark/>
          </w:tcPr>
          <w:p w14:paraId="7ACA1753"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Male</w:t>
            </w:r>
          </w:p>
        </w:tc>
        <w:tc>
          <w:tcPr>
            <w:tcW w:w="748" w:type="pct"/>
          </w:tcPr>
          <w:p w14:paraId="35EDD6AB" w14:textId="28D73BE2"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0.72 </w:t>
            </w:r>
          </w:p>
        </w:tc>
        <w:tc>
          <w:tcPr>
            <w:tcW w:w="750" w:type="pct"/>
          </w:tcPr>
          <w:p w14:paraId="0051405B" w14:textId="64211FE5" w:rsidR="001C133F" w:rsidRPr="00BE28F5" w:rsidRDefault="001C133F" w:rsidP="001C133F">
            <w:pPr>
              <w:tabs>
                <w:tab w:val="decimal" w:pos="246"/>
              </w:tabs>
              <w:spacing w:line="480" w:lineRule="auto"/>
              <w:rPr>
                <w:rFonts w:asciiTheme="majorBidi" w:hAnsiTheme="majorBidi" w:cstheme="majorBidi"/>
                <w:szCs w:val="24"/>
              </w:rPr>
            </w:pPr>
            <w:r w:rsidRPr="00BE28F5">
              <w:rPr>
                <w:rFonts w:asciiTheme="majorBidi" w:hAnsiTheme="majorBidi" w:cstheme="majorBidi"/>
                <w:szCs w:val="24"/>
              </w:rPr>
              <w:t>(0.64-0.82)</w:t>
            </w:r>
          </w:p>
        </w:tc>
        <w:tc>
          <w:tcPr>
            <w:tcW w:w="750" w:type="pct"/>
          </w:tcPr>
          <w:p w14:paraId="481E9B8E" w14:textId="65D18961"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0.69 </w:t>
            </w:r>
          </w:p>
        </w:tc>
        <w:tc>
          <w:tcPr>
            <w:tcW w:w="753" w:type="pct"/>
          </w:tcPr>
          <w:p w14:paraId="59426EC7" w14:textId="32902B60"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(0.61-0.79)</w:t>
            </w:r>
          </w:p>
        </w:tc>
      </w:tr>
      <w:tr w:rsidR="001C133F" w:rsidRPr="00BE28F5" w14:paraId="4C8B0DB9" w14:textId="77777777" w:rsidTr="00EC309B">
        <w:trPr>
          <w:cantSplit/>
          <w:trHeight w:val="20"/>
        </w:trPr>
        <w:tc>
          <w:tcPr>
            <w:tcW w:w="1999" w:type="pct"/>
            <w:hideMark/>
          </w:tcPr>
          <w:p w14:paraId="1E579781"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Female</w:t>
            </w:r>
          </w:p>
        </w:tc>
        <w:tc>
          <w:tcPr>
            <w:tcW w:w="748" w:type="pct"/>
          </w:tcPr>
          <w:p w14:paraId="215BF3D3" w14:textId="21F90E2B"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1.00</w:t>
            </w:r>
          </w:p>
        </w:tc>
        <w:tc>
          <w:tcPr>
            <w:tcW w:w="750" w:type="pct"/>
          </w:tcPr>
          <w:p w14:paraId="5FA5B5D3" w14:textId="77777777" w:rsidR="001C133F" w:rsidRPr="00BE28F5" w:rsidRDefault="001C133F" w:rsidP="001C133F">
            <w:pPr>
              <w:tabs>
                <w:tab w:val="decimal" w:pos="246"/>
              </w:tabs>
              <w:spacing w:line="480" w:lineRule="auto"/>
              <w:rPr>
                <w:rFonts w:asciiTheme="majorBidi" w:hAnsiTheme="majorBidi" w:cstheme="majorBidi"/>
                <w:szCs w:val="24"/>
              </w:rPr>
            </w:pPr>
          </w:p>
        </w:tc>
        <w:tc>
          <w:tcPr>
            <w:tcW w:w="750" w:type="pct"/>
          </w:tcPr>
          <w:p w14:paraId="733D4720" w14:textId="6AA141FD"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1.00</w:t>
            </w:r>
          </w:p>
        </w:tc>
        <w:tc>
          <w:tcPr>
            <w:tcW w:w="753" w:type="pct"/>
          </w:tcPr>
          <w:p w14:paraId="10DE90E9" w14:textId="77777777" w:rsidR="001C133F" w:rsidRPr="00BE28F5" w:rsidRDefault="001C133F" w:rsidP="001C133F">
            <w:pPr>
              <w:tabs>
                <w:tab w:val="decimal" w:pos="408"/>
              </w:tabs>
              <w:spacing w:line="480" w:lineRule="auto"/>
              <w:rPr>
                <w:rFonts w:asciiTheme="majorBidi" w:hAnsiTheme="majorBidi" w:cstheme="majorBidi"/>
                <w:szCs w:val="24"/>
              </w:rPr>
            </w:pPr>
          </w:p>
        </w:tc>
      </w:tr>
      <w:tr w:rsidR="001C133F" w:rsidRPr="00BE28F5" w14:paraId="72BAA1A9" w14:textId="77777777" w:rsidTr="00EC309B">
        <w:trPr>
          <w:cantSplit/>
          <w:trHeight w:val="20"/>
        </w:trPr>
        <w:tc>
          <w:tcPr>
            <w:tcW w:w="5000" w:type="pct"/>
            <w:gridSpan w:val="5"/>
            <w:hideMark/>
          </w:tcPr>
          <w:p w14:paraId="0D9A47A1" w14:textId="77777777" w:rsidR="001C133F" w:rsidRPr="00BE28F5" w:rsidRDefault="001C133F" w:rsidP="001C133F">
            <w:pPr>
              <w:keepNext/>
              <w:tabs>
                <w:tab w:val="decimal" w:pos="246"/>
              </w:tabs>
              <w:spacing w:line="480" w:lineRule="auto"/>
              <w:rPr>
                <w:rFonts w:asciiTheme="majorBidi" w:hAnsiTheme="majorBidi" w:cstheme="majorBidi"/>
                <w:bCs/>
                <w:szCs w:val="24"/>
              </w:rPr>
            </w:pPr>
            <w:r w:rsidRPr="00BE28F5">
              <w:rPr>
                <w:rFonts w:asciiTheme="majorBidi" w:hAnsiTheme="majorBidi" w:cstheme="majorBidi"/>
                <w:bCs/>
                <w:szCs w:val="24"/>
              </w:rPr>
              <w:t>Age</w:t>
            </w:r>
          </w:p>
        </w:tc>
      </w:tr>
      <w:tr w:rsidR="001C133F" w:rsidRPr="00BE28F5" w14:paraId="6AA0DA1B" w14:textId="77777777" w:rsidTr="00EC309B">
        <w:trPr>
          <w:cantSplit/>
          <w:trHeight w:val="20"/>
        </w:trPr>
        <w:tc>
          <w:tcPr>
            <w:tcW w:w="1999" w:type="pct"/>
            <w:hideMark/>
          </w:tcPr>
          <w:p w14:paraId="7CD8B6BE"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12-13</w:t>
            </w:r>
          </w:p>
        </w:tc>
        <w:tc>
          <w:tcPr>
            <w:tcW w:w="748" w:type="pct"/>
          </w:tcPr>
          <w:p w14:paraId="20E79C06" w14:textId="3F6AB0ED"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1.58 </w:t>
            </w:r>
          </w:p>
        </w:tc>
        <w:tc>
          <w:tcPr>
            <w:tcW w:w="750" w:type="pct"/>
          </w:tcPr>
          <w:p w14:paraId="7059558A" w14:textId="7B1250DB" w:rsidR="001C133F" w:rsidRPr="00BE28F5" w:rsidRDefault="001C133F" w:rsidP="001C133F">
            <w:pPr>
              <w:tabs>
                <w:tab w:val="decimal" w:pos="246"/>
              </w:tabs>
              <w:spacing w:line="480" w:lineRule="auto"/>
              <w:rPr>
                <w:rFonts w:asciiTheme="majorBidi" w:hAnsiTheme="majorBidi" w:cstheme="majorBidi"/>
                <w:szCs w:val="24"/>
              </w:rPr>
            </w:pPr>
            <w:r w:rsidRPr="00BE28F5">
              <w:rPr>
                <w:rFonts w:asciiTheme="majorBidi" w:hAnsiTheme="majorBidi" w:cstheme="majorBidi"/>
                <w:szCs w:val="24"/>
              </w:rPr>
              <w:t>(1.33-1.87)</w:t>
            </w:r>
          </w:p>
        </w:tc>
        <w:tc>
          <w:tcPr>
            <w:tcW w:w="750" w:type="pct"/>
          </w:tcPr>
          <w:p w14:paraId="2E33744A" w14:textId="08B4DCD2"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0.80 </w:t>
            </w:r>
          </w:p>
        </w:tc>
        <w:tc>
          <w:tcPr>
            <w:tcW w:w="753" w:type="pct"/>
          </w:tcPr>
          <w:p w14:paraId="0700F6C1" w14:textId="1D881020"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(0.68-0.95)</w:t>
            </w:r>
          </w:p>
        </w:tc>
      </w:tr>
      <w:tr w:rsidR="001C133F" w:rsidRPr="00BE28F5" w14:paraId="78965812" w14:textId="77777777" w:rsidTr="00EC309B">
        <w:trPr>
          <w:cantSplit/>
          <w:trHeight w:val="20"/>
        </w:trPr>
        <w:tc>
          <w:tcPr>
            <w:tcW w:w="1999" w:type="pct"/>
            <w:hideMark/>
          </w:tcPr>
          <w:p w14:paraId="37DC2523"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14-15</w:t>
            </w:r>
          </w:p>
        </w:tc>
        <w:tc>
          <w:tcPr>
            <w:tcW w:w="748" w:type="pct"/>
          </w:tcPr>
          <w:p w14:paraId="138975B3" w14:textId="07DF5912"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1.40 </w:t>
            </w:r>
          </w:p>
        </w:tc>
        <w:tc>
          <w:tcPr>
            <w:tcW w:w="750" w:type="pct"/>
          </w:tcPr>
          <w:p w14:paraId="1B752088" w14:textId="1E68B8EB" w:rsidR="001C133F" w:rsidRPr="00BE28F5" w:rsidRDefault="001C133F" w:rsidP="001C133F">
            <w:pPr>
              <w:tabs>
                <w:tab w:val="decimal" w:pos="246"/>
              </w:tabs>
              <w:spacing w:line="480" w:lineRule="auto"/>
              <w:rPr>
                <w:rFonts w:asciiTheme="majorBidi" w:hAnsiTheme="majorBidi" w:cstheme="majorBidi"/>
                <w:szCs w:val="24"/>
              </w:rPr>
            </w:pPr>
            <w:r w:rsidRPr="00BE28F5">
              <w:rPr>
                <w:rFonts w:asciiTheme="majorBidi" w:hAnsiTheme="majorBidi" w:cstheme="majorBidi"/>
                <w:szCs w:val="24"/>
              </w:rPr>
              <w:t>(1.24-1.59)</w:t>
            </w:r>
          </w:p>
        </w:tc>
        <w:tc>
          <w:tcPr>
            <w:tcW w:w="750" w:type="pct"/>
          </w:tcPr>
          <w:p w14:paraId="776DC656" w14:textId="328ADDBF"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0.88 </w:t>
            </w:r>
          </w:p>
        </w:tc>
        <w:tc>
          <w:tcPr>
            <w:tcW w:w="753" w:type="pct"/>
          </w:tcPr>
          <w:p w14:paraId="495ED5A4" w14:textId="1469C214"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(0.78-1.00)</w:t>
            </w:r>
          </w:p>
        </w:tc>
      </w:tr>
      <w:tr w:rsidR="001C133F" w:rsidRPr="00BE28F5" w14:paraId="3F0509E6" w14:textId="77777777" w:rsidTr="00EC309B">
        <w:trPr>
          <w:cantSplit/>
          <w:trHeight w:val="20"/>
        </w:trPr>
        <w:tc>
          <w:tcPr>
            <w:tcW w:w="1999" w:type="pct"/>
            <w:hideMark/>
          </w:tcPr>
          <w:p w14:paraId="3ABD97A3"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16-17</w:t>
            </w:r>
          </w:p>
        </w:tc>
        <w:tc>
          <w:tcPr>
            <w:tcW w:w="748" w:type="pct"/>
          </w:tcPr>
          <w:p w14:paraId="166F0DAD" w14:textId="38473D00"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1.00</w:t>
            </w:r>
          </w:p>
        </w:tc>
        <w:tc>
          <w:tcPr>
            <w:tcW w:w="750" w:type="pct"/>
          </w:tcPr>
          <w:p w14:paraId="3D6C67EF" w14:textId="77777777" w:rsidR="001C133F" w:rsidRPr="00BE28F5" w:rsidRDefault="001C133F" w:rsidP="001C133F">
            <w:pPr>
              <w:tabs>
                <w:tab w:val="decimal" w:pos="246"/>
              </w:tabs>
              <w:spacing w:line="480" w:lineRule="auto"/>
              <w:rPr>
                <w:rFonts w:asciiTheme="majorBidi" w:hAnsiTheme="majorBidi" w:cstheme="majorBidi"/>
                <w:szCs w:val="24"/>
              </w:rPr>
            </w:pPr>
          </w:p>
        </w:tc>
        <w:tc>
          <w:tcPr>
            <w:tcW w:w="750" w:type="pct"/>
          </w:tcPr>
          <w:p w14:paraId="02DC1D9C" w14:textId="1FFC0AA2"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1.00</w:t>
            </w:r>
          </w:p>
        </w:tc>
        <w:tc>
          <w:tcPr>
            <w:tcW w:w="753" w:type="pct"/>
          </w:tcPr>
          <w:p w14:paraId="51689EB8" w14:textId="77777777" w:rsidR="001C133F" w:rsidRPr="00BE28F5" w:rsidRDefault="001C133F" w:rsidP="001C133F">
            <w:pPr>
              <w:tabs>
                <w:tab w:val="decimal" w:pos="408"/>
              </w:tabs>
              <w:spacing w:line="480" w:lineRule="auto"/>
              <w:rPr>
                <w:rFonts w:asciiTheme="majorBidi" w:hAnsiTheme="majorBidi" w:cstheme="majorBidi"/>
                <w:szCs w:val="24"/>
              </w:rPr>
            </w:pPr>
          </w:p>
        </w:tc>
      </w:tr>
      <w:tr w:rsidR="001C133F" w:rsidRPr="00BE28F5" w14:paraId="69590477" w14:textId="77777777" w:rsidTr="00EC309B">
        <w:trPr>
          <w:cantSplit/>
          <w:trHeight w:val="20"/>
        </w:trPr>
        <w:tc>
          <w:tcPr>
            <w:tcW w:w="5000" w:type="pct"/>
            <w:gridSpan w:val="5"/>
            <w:hideMark/>
          </w:tcPr>
          <w:p w14:paraId="3F598BE7" w14:textId="77777777" w:rsidR="001C133F" w:rsidRPr="00BE28F5" w:rsidRDefault="001C133F" w:rsidP="001C133F">
            <w:pPr>
              <w:keepNext/>
              <w:tabs>
                <w:tab w:val="decimal" w:pos="246"/>
              </w:tabs>
              <w:spacing w:line="480" w:lineRule="auto"/>
              <w:rPr>
                <w:rFonts w:asciiTheme="majorBidi" w:hAnsiTheme="majorBidi" w:cstheme="majorBidi"/>
                <w:bCs/>
                <w:szCs w:val="24"/>
              </w:rPr>
            </w:pPr>
            <w:r w:rsidRPr="00BE28F5">
              <w:rPr>
                <w:rFonts w:asciiTheme="majorBidi" w:hAnsiTheme="majorBidi" w:cstheme="majorBidi"/>
                <w:bCs/>
                <w:szCs w:val="24"/>
              </w:rPr>
              <w:t>Race/Ethnicity</w:t>
            </w:r>
          </w:p>
        </w:tc>
      </w:tr>
      <w:tr w:rsidR="001C133F" w:rsidRPr="00BE28F5" w14:paraId="77AFA0BF" w14:textId="77777777" w:rsidTr="00EC309B">
        <w:trPr>
          <w:cantSplit/>
          <w:trHeight w:val="20"/>
        </w:trPr>
        <w:tc>
          <w:tcPr>
            <w:tcW w:w="1999" w:type="pct"/>
            <w:hideMark/>
          </w:tcPr>
          <w:p w14:paraId="170D4A7C"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NH White</w:t>
            </w:r>
          </w:p>
        </w:tc>
        <w:tc>
          <w:tcPr>
            <w:tcW w:w="748" w:type="pct"/>
          </w:tcPr>
          <w:p w14:paraId="73EF372F" w14:textId="32BF5F0F"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1.00</w:t>
            </w:r>
          </w:p>
        </w:tc>
        <w:tc>
          <w:tcPr>
            <w:tcW w:w="750" w:type="pct"/>
          </w:tcPr>
          <w:p w14:paraId="3B24F27F" w14:textId="77777777" w:rsidR="001C133F" w:rsidRPr="00BE28F5" w:rsidRDefault="001C133F" w:rsidP="001C133F">
            <w:pPr>
              <w:tabs>
                <w:tab w:val="decimal" w:pos="246"/>
              </w:tabs>
              <w:spacing w:line="480" w:lineRule="auto"/>
              <w:rPr>
                <w:rFonts w:asciiTheme="majorBidi" w:hAnsiTheme="majorBidi" w:cstheme="majorBidi"/>
                <w:szCs w:val="24"/>
              </w:rPr>
            </w:pPr>
          </w:p>
        </w:tc>
        <w:tc>
          <w:tcPr>
            <w:tcW w:w="750" w:type="pct"/>
          </w:tcPr>
          <w:p w14:paraId="1377C5AF" w14:textId="72AE8D99"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1.00</w:t>
            </w:r>
          </w:p>
        </w:tc>
        <w:tc>
          <w:tcPr>
            <w:tcW w:w="753" w:type="pct"/>
          </w:tcPr>
          <w:p w14:paraId="74E7925A" w14:textId="77777777" w:rsidR="001C133F" w:rsidRPr="00BE28F5" w:rsidRDefault="001C133F" w:rsidP="001C133F">
            <w:pPr>
              <w:tabs>
                <w:tab w:val="decimal" w:pos="408"/>
              </w:tabs>
              <w:spacing w:line="480" w:lineRule="auto"/>
              <w:rPr>
                <w:rFonts w:asciiTheme="majorBidi" w:hAnsiTheme="majorBidi" w:cstheme="majorBidi"/>
                <w:szCs w:val="24"/>
              </w:rPr>
            </w:pPr>
          </w:p>
        </w:tc>
      </w:tr>
      <w:tr w:rsidR="001C133F" w:rsidRPr="00BE28F5" w14:paraId="7939B97B" w14:textId="77777777" w:rsidTr="00EC309B">
        <w:trPr>
          <w:cantSplit/>
          <w:trHeight w:val="20"/>
        </w:trPr>
        <w:tc>
          <w:tcPr>
            <w:tcW w:w="1999" w:type="pct"/>
            <w:hideMark/>
          </w:tcPr>
          <w:p w14:paraId="27B6B912"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NH Black</w:t>
            </w:r>
          </w:p>
        </w:tc>
        <w:tc>
          <w:tcPr>
            <w:tcW w:w="748" w:type="pct"/>
          </w:tcPr>
          <w:p w14:paraId="27E6C0C8" w14:textId="2D7B2DE7"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0.70 </w:t>
            </w:r>
          </w:p>
        </w:tc>
        <w:tc>
          <w:tcPr>
            <w:tcW w:w="750" w:type="pct"/>
          </w:tcPr>
          <w:p w14:paraId="5A7E78F2" w14:textId="699CD28E" w:rsidR="001C133F" w:rsidRPr="00BE28F5" w:rsidRDefault="001C133F" w:rsidP="001C133F">
            <w:pPr>
              <w:tabs>
                <w:tab w:val="decimal" w:pos="246"/>
              </w:tabs>
              <w:spacing w:line="480" w:lineRule="auto"/>
              <w:rPr>
                <w:rFonts w:asciiTheme="majorBidi" w:hAnsiTheme="majorBidi" w:cstheme="majorBidi"/>
                <w:szCs w:val="24"/>
              </w:rPr>
            </w:pPr>
            <w:r w:rsidRPr="00BE28F5">
              <w:rPr>
                <w:rFonts w:asciiTheme="majorBidi" w:hAnsiTheme="majorBidi" w:cstheme="majorBidi"/>
                <w:szCs w:val="24"/>
              </w:rPr>
              <w:t>(0.58-0.84)</w:t>
            </w:r>
          </w:p>
        </w:tc>
        <w:tc>
          <w:tcPr>
            <w:tcW w:w="750" w:type="pct"/>
          </w:tcPr>
          <w:p w14:paraId="40F2AFE9" w14:textId="4046710B"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0.65 </w:t>
            </w:r>
          </w:p>
        </w:tc>
        <w:tc>
          <w:tcPr>
            <w:tcW w:w="753" w:type="pct"/>
          </w:tcPr>
          <w:p w14:paraId="395348E0" w14:textId="696B9C91"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(0.54-0.78)</w:t>
            </w:r>
          </w:p>
        </w:tc>
      </w:tr>
      <w:tr w:rsidR="001C133F" w:rsidRPr="00BE28F5" w14:paraId="528D3A58" w14:textId="77777777" w:rsidTr="00EC309B">
        <w:trPr>
          <w:cantSplit/>
          <w:trHeight w:val="20"/>
        </w:trPr>
        <w:tc>
          <w:tcPr>
            <w:tcW w:w="1999" w:type="pct"/>
            <w:hideMark/>
          </w:tcPr>
          <w:p w14:paraId="368D91FB"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NH American Indian/Alaska Native</w:t>
            </w:r>
          </w:p>
        </w:tc>
        <w:tc>
          <w:tcPr>
            <w:tcW w:w="748" w:type="pct"/>
          </w:tcPr>
          <w:p w14:paraId="70260C0B" w14:textId="60626441"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1.11 </w:t>
            </w:r>
          </w:p>
        </w:tc>
        <w:tc>
          <w:tcPr>
            <w:tcW w:w="750" w:type="pct"/>
          </w:tcPr>
          <w:p w14:paraId="7EA8F53B" w14:textId="39ACFBF0" w:rsidR="001C133F" w:rsidRPr="00BE28F5" w:rsidRDefault="001C133F" w:rsidP="001C133F">
            <w:pPr>
              <w:tabs>
                <w:tab w:val="decimal" w:pos="246"/>
              </w:tabs>
              <w:spacing w:line="480" w:lineRule="auto"/>
              <w:rPr>
                <w:rFonts w:asciiTheme="majorBidi" w:hAnsiTheme="majorBidi" w:cstheme="majorBidi"/>
                <w:szCs w:val="24"/>
              </w:rPr>
            </w:pPr>
            <w:r w:rsidRPr="00BE28F5">
              <w:rPr>
                <w:rFonts w:asciiTheme="majorBidi" w:hAnsiTheme="majorBidi" w:cstheme="majorBidi"/>
                <w:szCs w:val="24"/>
              </w:rPr>
              <w:t>(0.61-1.99)</w:t>
            </w:r>
          </w:p>
        </w:tc>
        <w:tc>
          <w:tcPr>
            <w:tcW w:w="750" w:type="pct"/>
          </w:tcPr>
          <w:p w14:paraId="32D4E6B9" w14:textId="3C49F65C"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1.03 </w:t>
            </w:r>
          </w:p>
        </w:tc>
        <w:tc>
          <w:tcPr>
            <w:tcW w:w="753" w:type="pct"/>
          </w:tcPr>
          <w:p w14:paraId="2CA41EA6" w14:textId="7C7D0EE5"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(0.54-1.96)</w:t>
            </w:r>
          </w:p>
        </w:tc>
      </w:tr>
      <w:tr w:rsidR="001C133F" w:rsidRPr="00BE28F5" w14:paraId="063C93F0" w14:textId="77777777" w:rsidTr="00EC309B">
        <w:trPr>
          <w:cantSplit/>
          <w:trHeight w:val="20"/>
        </w:trPr>
        <w:tc>
          <w:tcPr>
            <w:tcW w:w="1999" w:type="pct"/>
            <w:hideMark/>
          </w:tcPr>
          <w:p w14:paraId="0F0431B1"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lastRenderedPageBreak/>
              <w:t>NH Native Hawaiian/</w:t>
            </w:r>
            <w:proofErr w:type="gramStart"/>
            <w:r w:rsidRPr="00BE28F5">
              <w:rPr>
                <w:rFonts w:asciiTheme="majorBidi" w:hAnsiTheme="majorBidi" w:cstheme="majorBidi"/>
                <w:szCs w:val="24"/>
              </w:rPr>
              <w:t>Other</w:t>
            </w:r>
            <w:proofErr w:type="gramEnd"/>
            <w:r w:rsidRPr="00BE28F5">
              <w:rPr>
                <w:rFonts w:asciiTheme="majorBidi" w:hAnsiTheme="majorBidi" w:cstheme="majorBidi"/>
                <w:szCs w:val="24"/>
              </w:rPr>
              <w:t xml:space="preserve"> Pacific Islander</w:t>
            </w:r>
          </w:p>
        </w:tc>
        <w:tc>
          <w:tcPr>
            <w:tcW w:w="748" w:type="pct"/>
          </w:tcPr>
          <w:p w14:paraId="2EF3001C" w14:textId="618F9AFE"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0.49 </w:t>
            </w:r>
          </w:p>
        </w:tc>
        <w:tc>
          <w:tcPr>
            <w:tcW w:w="750" w:type="pct"/>
          </w:tcPr>
          <w:p w14:paraId="3B57FD7A" w14:textId="5D39E4BA" w:rsidR="001C133F" w:rsidRPr="00BE28F5" w:rsidRDefault="001C133F" w:rsidP="001C133F">
            <w:pPr>
              <w:tabs>
                <w:tab w:val="decimal" w:pos="246"/>
              </w:tabs>
              <w:spacing w:line="480" w:lineRule="auto"/>
              <w:rPr>
                <w:rFonts w:asciiTheme="majorBidi" w:hAnsiTheme="majorBidi" w:cstheme="majorBidi"/>
                <w:szCs w:val="24"/>
              </w:rPr>
            </w:pPr>
            <w:r w:rsidRPr="00BE28F5">
              <w:rPr>
                <w:rFonts w:asciiTheme="majorBidi" w:hAnsiTheme="majorBidi" w:cstheme="majorBidi"/>
                <w:szCs w:val="24"/>
              </w:rPr>
              <w:t>(0.14-1.71)</w:t>
            </w:r>
          </w:p>
        </w:tc>
        <w:tc>
          <w:tcPr>
            <w:tcW w:w="750" w:type="pct"/>
          </w:tcPr>
          <w:p w14:paraId="39A3F9DA" w14:textId="1108A756"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0.71 </w:t>
            </w:r>
          </w:p>
        </w:tc>
        <w:tc>
          <w:tcPr>
            <w:tcW w:w="753" w:type="pct"/>
          </w:tcPr>
          <w:p w14:paraId="62B4F370" w14:textId="4708F926" w:rsidR="001C133F" w:rsidRPr="00BE28F5" w:rsidRDefault="001C133F" w:rsidP="001C133F">
            <w:pPr>
              <w:tabs>
                <w:tab w:val="decimal" w:pos="408"/>
              </w:tabs>
              <w:spacing w:line="480" w:lineRule="auto"/>
              <w:rPr>
                <w:rFonts w:asciiTheme="majorBidi" w:hAnsiTheme="majorBidi" w:cstheme="majorBidi"/>
                <w:szCs w:val="24"/>
              </w:rPr>
            </w:pPr>
          </w:p>
        </w:tc>
      </w:tr>
      <w:tr w:rsidR="001C133F" w:rsidRPr="00BE28F5" w14:paraId="6D49F519" w14:textId="77777777" w:rsidTr="00EC309B">
        <w:trPr>
          <w:cantSplit/>
          <w:trHeight w:val="20"/>
        </w:trPr>
        <w:tc>
          <w:tcPr>
            <w:tcW w:w="1999" w:type="pct"/>
            <w:hideMark/>
          </w:tcPr>
          <w:p w14:paraId="5D040693"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NH Asian</w:t>
            </w:r>
          </w:p>
        </w:tc>
        <w:tc>
          <w:tcPr>
            <w:tcW w:w="748" w:type="pct"/>
          </w:tcPr>
          <w:p w14:paraId="7E7D0B91" w14:textId="1F74377D"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0.71 </w:t>
            </w:r>
          </w:p>
        </w:tc>
        <w:tc>
          <w:tcPr>
            <w:tcW w:w="750" w:type="pct"/>
          </w:tcPr>
          <w:p w14:paraId="1E31B589" w14:textId="48816CCF" w:rsidR="001C133F" w:rsidRPr="00BE28F5" w:rsidRDefault="001C133F" w:rsidP="001C133F">
            <w:pPr>
              <w:tabs>
                <w:tab w:val="decimal" w:pos="246"/>
              </w:tabs>
              <w:spacing w:line="480" w:lineRule="auto"/>
              <w:rPr>
                <w:rFonts w:asciiTheme="majorBidi" w:hAnsiTheme="majorBidi" w:cstheme="majorBidi"/>
                <w:szCs w:val="24"/>
              </w:rPr>
            </w:pPr>
            <w:r w:rsidRPr="00BE28F5">
              <w:rPr>
                <w:rFonts w:asciiTheme="majorBidi" w:hAnsiTheme="majorBidi" w:cstheme="majorBidi"/>
                <w:szCs w:val="24"/>
              </w:rPr>
              <w:t>(0.51-1.00)</w:t>
            </w:r>
          </w:p>
        </w:tc>
        <w:tc>
          <w:tcPr>
            <w:tcW w:w="750" w:type="pct"/>
          </w:tcPr>
          <w:p w14:paraId="740E05FC" w14:textId="28381618"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0.43 </w:t>
            </w:r>
          </w:p>
        </w:tc>
        <w:tc>
          <w:tcPr>
            <w:tcW w:w="753" w:type="pct"/>
          </w:tcPr>
          <w:p w14:paraId="59087DBF" w14:textId="0AB468D8"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(0.29-0.64)</w:t>
            </w:r>
          </w:p>
        </w:tc>
      </w:tr>
      <w:tr w:rsidR="001C133F" w:rsidRPr="00BE28F5" w14:paraId="07414EDA" w14:textId="77777777" w:rsidTr="00EC309B">
        <w:trPr>
          <w:cantSplit/>
          <w:trHeight w:val="20"/>
        </w:trPr>
        <w:tc>
          <w:tcPr>
            <w:tcW w:w="1999" w:type="pct"/>
            <w:hideMark/>
          </w:tcPr>
          <w:p w14:paraId="494CB92A"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NH Multiple Races</w:t>
            </w:r>
          </w:p>
        </w:tc>
        <w:tc>
          <w:tcPr>
            <w:tcW w:w="748" w:type="pct"/>
          </w:tcPr>
          <w:p w14:paraId="1F686E7B" w14:textId="048B178E"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1.07 </w:t>
            </w:r>
          </w:p>
        </w:tc>
        <w:tc>
          <w:tcPr>
            <w:tcW w:w="750" w:type="pct"/>
          </w:tcPr>
          <w:p w14:paraId="04631F95" w14:textId="67135696" w:rsidR="001C133F" w:rsidRPr="00BE28F5" w:rsidRDefault="001C133F" w:rsidP="001C133F">
            <w:pPr>
              <w:tabs>
                <w:tab w:val="decimal" w:pos="246"/>
              </w:tabs>
              <w:spacing w:line="480" w:lineRule="auto"/>
              <w:rPr>
                <w:rFonts w:asciiTheme="majorBidi" w:hAnsiTheme="majorBidi" w:cstheme="majorBidi"/>
                <w:szCs w:val="24"/>
              </w:rPr>
            </w:pPr>
            <w:r w:rsidRPr="00BE28F5">
              <w:rPr>
                <w:rFonts w:asciiTheme="majorBidi" w:hAnsiTheme="majorBidi" w:cstheme="majorBidi"/>
                <w:szCs w:val="24"/>
              </w:rPr>
              <w:t>(0.81-1.41)</w:t>
            </w:r>
          </w:p>
        </w:tc>
        <w:tc>
          <w:tcPr>
            <w:tcW w:w="750" w:type="pct"/>
          </w:tcPr>
          <w:p w14:paraId="69BF41C3" w14:textId="6BED9494"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0.96 </w:t>
            </w:r>
          </w:p>
        </w:tc>
        <w:tc>
          <w:tcPr>
            <w:tcW w:w="753" w:type="pct"/>
          </w:tcPr>
          <w:p w14:paraId="694ABD3D" w14:textId="1469D4AD"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(0.72-1.28)</w:t>
            </w:r>
          </w:p>
        </w:tc>
      </w:tr>
      <w:tr w:rsidR="001C133F" w:rsidRPr="00BE28F5" w14:paraId="34190E6E" w14:textId="77777777" w:rsidTr="00EC309B">
        <w:trPr>
          <w:cantSplit/>
          <w:trHeight w:val="20"/>
        </w:trPr>
        <w:tc>
          <w:tcPr>
            <w:tcW w:w="1999" w:type="pct"/>
            <w:hideMark/>
          </w:tcPr>
          <w:p w14:paraId="6F7AC348"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Hispanic</w:t>
            </w:r>
          </w:p>
        </w:tc>
        <w:tc>
          <w:tcPr>
            <w:tcW w:w="748" w:type="pct"/>
          </w:tcPr>
          <w:p w14:paraId="53A282F0" w14:textId="3B109B55"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0.78 </w:t>
            </w:r>
          </w:p>
        </w:tc>
        <w:tc>
          <w:tcPr>
            <w:tcW w:w="750" w:type="pct"/>
          </w:tcPr>
          <w:p w14:paraId="1C860CAD" w14:textId="0723E559" w:rsidR="001C133F" w:rsidRPr="00BE28F5" w:rsidRDefault="001C133F" w:rsidP="001C133F">
            <w:pPr>
              <w:tabs>
                <w:tab w:val="decimal" w:pos="246"/>
              </w:tabs>
              <w:spacing w:line="480" w:lineRule="auto"/>
              <w:rPr>
                <w:rFonts w:asciiTheme="majorBidi" w:hAnsiTheme="majorBidi" w:cstheme="majorBidi"/>
                <w:szCs w:val="24"/>
              </w:rPr>
            </w:pPr>
            <w:r w:rsidRPr="00BE28F5">
              <w:rPr>
                <w:rFonts w:asciiTheme="majorBidi" w:hAnsiTheme="majorBidi" w:cstheme="majorBidi"/>
                <w:szCs w:val="24"/>
              </w:rPr>
              <w:t>(0.67-0.90)</w:t>
            </w:r>
          </w:p>
        </w:tc>
        <w:tc>
          <w:tcPr>
            <w:tcW w:w="750" w:type="pct"/>
          </w:tcPr>
          <w:p w14:paraId="5DA11A5E" w14:textId="0722362A"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0.70 </w:t>
            </w:r>
          </w:p>
        </w:tc>
        <w:tc>
          <w:tcPr>
            <w:tcW w:w="753" w:type="pct"/>
          </w:tcPr>
          <w:p w14:paraId="087D79F8" w14:textId="4684B0E4"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(0.60-0.81)</w:t>
            </w:r>
          </w:p>
        </w:tc>
      </w:tr>
      <w:tr w:rsidR="001C133F" w:rsidRPr="00BE28F5" w14:paraId="242F1A4A" w14:textId="77777777" w:rsidTr="00EC309B">
        <w:trPr>
          <w:cantSplit/>
          <w:trHeight w:val="20"/>
        </w:trPr>
        <w:tc>
          <w:tcPr>
            <w:tcW w:w="5000" w:type="pct"/>
            <w:gridSpan w:val="5"/>
            <w:hideMark/>
          </w:tcPr>
          <w:p w14:paraId="404B4F54" w14:textId="77777777" w:rsidR="001C133F" w:rsidRPr="00BE28F5" w:rsidRDefault="001C133F" w:rsidP="001C133F">
            <w:pPr>
              <w:keepNext/>
              <w:tabs>
                <w:tab w:val="decimal" w:pos="246"/>
              </w:tabs>
              <w:spacing w:line="480" w:lineRule="auto"/>
              <w:rPr>
                <w:rFonts w:asciiTheme="majorBidi" w:hAnsiTheme="majorBidi" w:cstheme="majorBidi"/>
                <w:bCs/>
                <w:szCs w:val="24"/>
              </w:rPr>
            </w:pPr>
            <w:r w:rsidRPr="00BE28F5">
              <w:rPr>
                <w:rFonts w:asciiTheme="majorBidi" w:hAnsiTheme="majorBidi" w:cstheme="majorBidi"/>
                <w:bCs/>
                <w:szCs w:val="24"/>
              </w:rPr>
              <w:t>Metropolitan Area</w:t>
            </w:r>
          </w:p>
        </w:tc>
      </w:tr>
      <w:tr w:rsidR="001C133F" w:rsidRPr="00BE28F5" w14:paraId="413F2B1E" w14:textId="77777777" w:rsidTr="00EC309B">
        <w:trPr>
          <w:cantSplit/>
          <w:trHeight w:val="20"/>
        </w:trPr>
        <w:tc>
          <w:tcPr>
            <w:tcW w:w="1999" w:type="pct"/>
            <w:hideMark/>
          </w:tcPr>
          <w:p w14:paraId="3E105B61"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Large</w:t>
            </w:r>
          </w:p>
        </w:tc>
        <w:tc>
          <w:tcPr>
            <w:tcW w:w="748" w:type="pct"/>
          </w:tcPr>
          <w:p w14:paraId="148E718E" w14:textId="57C3C113"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1.15 </w:t>
            </w:r>
          </w:p>
        </w:tc>
        <w:tc>
          <w:tcPr>
            <w:tcW w:w="750" w:type="pct"/>
          </w:tcPr>
          <w:p w14:paraId="37A71BD8" w14:textId="0BD2DF68" w:rsidR="001C133F" w:rsidRPr="00BE28F5" w:rsidRDefault="001C133F" w:rsidP="001C133F">
            <w:pPr>
              <w:tabs>
                <w:tab w:val="decimal" w:pos="246"/>
              </w:tabs>
              <w:spacing w:line="480" w:lineRule="auto"/>
              <w:rPr>
                <w:rFonts w:asciiTheme="majorBidi" w:hAnsiTheme="majorBidi" w:cstheme="majorBidi"/>
                <w:szCs w:val="24"/>
              </w:rPr>
            </w:pPr>
            <w:r w:rsidRPr="00BE28F5">
              <w:rPr>
                <w:rFonts w:asciiTheme="majorBidi" w:hAnsiTheme="majorBidi" w:cstheme="majorBidi"/>
                <w:szCs w:val="24"/>
              </w:rPr>
              <w:t>(0.98-1.34)</w:t>
            </w:r>
          </w:p>
        </w:tc>
        <w:tc>
          <w:tcPr>
            <w:tcW w:w="750" w:type="pct"/>
          </w:tcPr>
          <w:p w14:paraId="20E3FD58" w14:textId="33D142AB"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1.19 </w:t>
            </w:r>
          </w:p>
        </w:tc>
        <w:tc>
          <w:tcPr>
            <w:tcW w:w="753" w:type="pct"/>
          </w:tcPr>
          <w:p w14:paraId="657AE492" w14:textId="7DF76233"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(1.01-1.39)</w:t>
            </w:r>
          </w:p>
        </w:tc>
      </w:tr>
      <w:tr w:rsidR="001C133F" w:rsidRPr="00BE28F5" w14:paraId="5FC22923" w14:textId="77777777" w:rsidTr="00EC309B">
        <w:trPr>
          <w:cantSplit/>
          <w:trHeight w:val="20"/>
        </w:trPr>
        <w:tc>
          <w:tcPr>
            <w:tcW w:w="1999" w:type="pct"/>
            <w:hideMark/>
          </w:tcPr>
          <w:p w14:paraId="2F65FA96"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Small</w:t>
            </w:r>
          </w:p>
        </w:tc>
        <w:tc>
          <w:tcPr>
            <w:tcW w:w="748" w:type="pct"/>
          </w:tcPr>
          <w:p w14:paraId="764B1A6A" w14:textId="167F34B1"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1.14 </w:t>
            </w:r>
          </w:p>
        </w:tc>
        <w:tc>
          <w:tcPr>
            <w:tcW w:w="750" w:type="pct"/>
          </w:tcPr>
          <w:p w14:paraId="3A41511D" w14:textId="29152F03" w:rsidR="001C133F" w:rsidRPr="00BE28F5" w:rsidRDefault="001C133F" w:rsidP="001C133F">
            <w:pPr>
              <w:tabs>
                <w:tab w:val="decimal" w:pos="246"/>
              </w:tabs>
              <w:spacing w:line="480" w:lineRule="auto"/>
              <w:rPr>
                <w:rFonts w:asciiTheme="majorBidi" w:hAnsiTheme="majorBidi" w:cstheme="majorBidi"/>
                <w:szCs w:val="24"/>
              </w:rPr>
            </w:pPr>
            <w:r w:rsidRPr="00BE28F5">
              <w:rPr>
                <w:rFonts w:asciiTheme="majorBidi" w:hAnsiTheme="majorBidi" w:cstheme="majorBidi"/>
                <w:szCs w:val="24"/>
              </w:rPr>
              <w:t>(0.97-1.33)</w:t>
            </w:r>
          </w:p>
        </w:tc>
        <w:tc>
          <w:tcPr>
            <w:tcW w:w="750" w:type="pct"/>
          </w:tcPr>
          <w:p w14:paraId="76D1A212" w14:textId="2CB94F39"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1.09 </w:t>
            </w:r>
          </w:p>
        </w:tc>
        <w:tc>
          <w:tcPr>
            <w:tcW w:w="753" w:type="pct"/>
          </w:tcPr>
          <w:p w14:paraId="634372E4" w14:textId="5C20FBF9"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(0.92-1.29)</w:t>
            </w:r>
          </w:p>
        </w:tc>
      </w:tr>
      <w:tr w:rsidR="001C133F" w:rsidRPr="00BE28F5" w14:paraId="4C60FA76" w14:textId="77777777" w:rsidTr="00EC309B">
        <w:trPr>
          <w:cantSplit/>
          <w:trHeight w:val="20"/>
        </w:trPr>
        <w:tc>
          <w:tcPr>
            <w:tcW w:w="1999" w:type="pct"/>
            <w:hideMark/>
          </w:tcPr>
          <w:p w14:paraId="36B109EB"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Nonmetropolitan</w:t>
            </w:r>
          </w:p>
        </w:tc>
        <w:tc>
          <w:tcPr>
            <w:tcW w:w="748" w:type="pct"/>
          </w:tcPr>
          <w:p w14:paraId="40D64CEB" w14:textId="786F571F"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1.00</w:t>
            </w:r>
          </w:p>
        </w:tc>
        <w:tc>
          <w:tcPr>
            <w:tcW w:w="750" w:type="pct"/>
          </w:tcPr>
          <w:p w14:paraId="7851B753" w14:textId="77777777" w:rsidR="001C133F" w:rsidRPr="00BE28F5" w:rsidRDefault="001C133F" w:rsidP="001C133F">
            <w:pPr>
              <w:tabs>
                <w:tab w:val="decimal" w:pos="246"/>
              </w:tabs>
              <w:spacing w:line="480" w:lineRule="auto"/>
              <w:rPr>
                <w:rFonts w:asciiTheme="majorBidi" w:hAnsiTheme="majorBidi" w:cstheme="majorBidi"/>
                <w:szCs w:val="24"/>
              </w:rPr>
            </w:pPr>
          </w:p>
        </w:tc>
        <w:tc>
          <w:tcPr>
            <w:tcW w:w="750" w:type="pct"/>
          </w:tcPr>
          <w:p w14:paraId="71F2D0D4" w14:textId="626E2E08"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1.00</w:t>
            </w:r>
          </w:p>
        </w:tc>
        <w:tc>
          <w:tcPr>
            <w:tcW w:w="753" w:type="pct"/>
          </w:tcPr>
          <w:p w14:paraId="0B424197" w14:textId="77777777" w:rsidR="001C133F" w:rsidRPr="00BE28F5" w:rsidRDefault="001C133F" w:rsidP="001C133F">
            <w:pPr>
              <w:tabs>
                <w:tab w:val="decimal" w:pos="408"/>
              </w:tabs>
              <w:spacing w:line="480" w:lineRule="auto"/>
              <w:rPr>
                <w:rFonts w:asciiTheme="majorBidi" w:hAnsiTheme="majorBidi" w:cstheme="majorBidi"/>
                <w:szCs w:val="24"/>
              </w:rPr>
            </w:pPr>
          </w:p>
        </w:tc>
      </w:tr>
      <w:tr w:rsidR="001C133F" w:rsidRPr="00BE28F5" w14:paraId="1265379B" w14:textId="77777777" w:rsidTr="00EC309B">
        <w:trPr>
          <w:cantSplit/>
          <w:trHeight w:val="20"/>
        </w:trPr>
        <w:tc>
          <w:tcPr>
            <w:tcW w:w="5000" w:type="pct"/>
            <w:gridSpan w:val="5"/>
            <w:hideMark/>
          </w:tcPr>
          <w:p w14:paraId="3F754F05" w14:textId="77777777" w:rsidR="001C133F" w:rsidRPr="00BE28F5" w:rsidRDefault="001C133F" w:rsidP="001C133F">
            <w:pPr>
              <w:keepNext/>
              <w:tabs>
                <w:tab w:val="decimal" w:pos="246"/>
              </w:tabs>
              <w:spacing w:line="480" w:lineRule="auto"/>
              <w:rPr>
                <w:rFonts w:asciiTheme="majorBidi" w:hAnsiTheme="majorBidi" w:cstheme="majorBidi"/>
                <w:bCs/>
                <w:szCs w:val="24"/>
              </w:rPr>
            </w:pPr>
            <w:r w:rsidRPr="00BE28F5">
              <w:rPr>
                <w:rFonts w:asciiTheme="majorBidi" w:hAnsiTheme="majorBidi" w:cstheme="majorBidi"/>
                <w:bCs/>
                <w:szCs w:val="24"/>
              </w:rPr>
              <w:t>Poverty Status</w:t>
            </w:r>
          </w:p>
        </w:tc>
      </w:tr>
      <w:tr w:rsidR="001C133F" w:rsidRPr="00BE28F5" w14:paraId="3F7E5443" w14:textId="77777777" w:rsidTr="00EC309B">
        <w:trPr>
          <w:cantSplit/>
          <w:trHeight w:val="20"/>
        </w:trPr>
        <w:tc>
          <w:tcPr>
            <w:tcW w:w="1999" w:type="pct"/>
            <w:hideMark/>
          </w:tcPr>
          <w:p w14:paraId="5012DF0B"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&lt; 100% FPL</w:t>
            </w:r>
          </w:p>
        </w:tc>
        <w:tc>
          <w:tcPr>
            <w:tcW w:w="748" w:type="pct"/>
          </w:tcPr>
          <w:p w14:paraId="7F038980" w14:textId="43B782F1"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0.89 </w:t>
            </w:r>
          </w:p>
        </w:tc>
        <w:tc>
          <w:tcPr>
            <w:tcW w:w="750" w:type="pct"/>
          </w:tcPr>
          <w:p w14:paraId="45BEF1E7" w14:textId="72272134" w:rsidR="001C133F" w:rsidRPr="00BE28F5" w:rsidRDefault="001C133F" w:rsidP="001C133F">
            <w:pPr>
              <w:tabs>
                <w:tab w:val="decimal" w:pos="246"/>
              </w:tabs>
              <w:spacing w:line="480" w:lineRule="auto"/>
              <w:rPr>
                <w:rFonts w:asciiTheme="majorBidi" w:hAnsiTheme="majorBidi" w:cstheme="majorBidi"/>
                <w:szCs w:val="24"/>
              </w:rPr>
            </w:pPr>
            <w:r w:rsidRPr="00BE28F5">
              <w:rPr>
                <w:rFonts w:asciiTheme="majorBidi" w:hAnsiTheme="majorBidi" w:cstheme="majorBidi"/>
                <w:szCs w:val="24"/>
              </w:rPr>
              <w:t>(0.76-1.04)</w:t>
            </w:r>
          </w:p>
        </w:tc>
        <w:tc>
          <w:tcPr>
            <w:tcW w:w="750" w:type="pct"/>
          </w:tcPr>
          <w:p w14:paraId="4953153E" w14:textId="6231B6EF"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0.90 </w:t>
            </w:r>
          </w:p>
        </w:tc>
        <w:tc>
          <w:tcPr>
            <w:tcW w:w="753" w:type="pct"/>
          </w:tcPr>
          <w:p w14:paraId="1362BBB3" w14:textId="2843D028"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(0.77-1.05)</w:t>
            </w:r>
          </w:p>
        </w:tc>
      </w:tr>
      <w:tr w:rsidR="001C133F" w:rsidRPr="00BE28F5" w14:paraId="4DF1699A" w14:textId="77777777" w:rsidTr="00EC309B">
        <w:trPr>
          <w:cantSplit/>
          <w:trHeight w:val="20"/>
        </w:trPr>
        <w:tc>
          <w:tcPr>
            <w:tcW w:w="1999" w:type="pct"/>
            <w:hideMark/>
          </w:tcPr>
          <w:p w14:paraId="6C735418"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100-199% FPL</w:t>
            </w:r>
          </w:p>
        </w:tc>
        <w:tc>
          <w:tcPr>
            <w:tcW w:w="748" w:type="pct"/>
          </w:tcPr>
          <w:p w14:paraId="1F6E210B" w14:textId="4C95667F"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0.86 </w:t>
            </w:r>
          </w:p>
        </w:tc>
        <w:tc>
          <w:tcPr>
            <w:tcW w:w="750" w:type="pct"/>
          </w:tcPr>
          <w:p w14:paraId="5EF67471" w14:textId="1A89F96B" w:rsidR="001C133F" w:rsidRPr="00BE28F5" w:rsidRDefault="001C133F" w:rsidP="001C133F">
            <w:pPr>
              <w:tabs>
                <w:tab w:val="decimal" w:pos="246"/>
              </w:tabs>
              <w:spacing w:line="480" w:lineRule="auto"/>
              <w:rPr>
                <w:rFonts w:asciiTheme="majorBidi" w:hAnsiTheme="majorBidi" w:cstheme="majorBidi"/>
                <w:szCs w:val="24"/>
              </w:rPr>
            </w:pPr>
            <w:r w:rsidRPr="00BE28F5">
              <w:rPr>
                <w:rFonts w:asciiTheme="majorBidi" w:hAnsiTheme="majorBidi" w:cstheme="majorBidi"/>
                <w:szCs w:val="24"/>
              </w:rPr>
              <w:t>(0.75-1.00)</w:t>
            </w:r>
          </w:p>
        </w:tc>
        <w:tc>
          <w:tcPr>
            <w:tcW w:w="750" w:type="pct"/>
          </w:tcPr>
          <w:p w14:paraId="2FDDFDE6" w14:textId="3A324B33"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1.03 </w:t>
            </w:r>
          </w:p>
        </w:tc>
        <w:tc>
          <w:tcPr>
            <w:tcW w:w="753" w:type="pct"/>
          </w:tcPr>
          <w:p w14:paraId="72623B24" w14:textId="367BA863"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(0.89-1.19)</w:t>
            </w:r>
          </w:p>
        </w:tc>
      </w:tr>
      <w:tr w:rsidR="001C133F" w:rsidRPr="00BE28F5" w14:paraId="41208FB1" w14:textId="77777777" w:rsidTr="00EC309B">
        <w:trPr>
          <w:cantSplit/>
          <w:trHeight w:val="20"/>
        </w:trPr>
        <w:tc>
          <w:tcPr>
            <w:tcW w:w="1999" w:type="pct"/>
            <w:hideMark/>
          </w:tcPr>
          <w:p w14:paraId="416D07D9"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 200% FPL</w:t>
            </w:r>
          </w:p>
        </w:tc>
        <w:tc>
          <w:tcPr>
            <w:tcW w:w="748" w:type="pct"/>
          </w:tcPr>
          <w:p w14:paraId="0ED2E494" w14:textId="40F7B508"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1.00</w:t>
            </w:r>
          </w:p>
        </w:tc>
        <w:tc>
          <w:tcPr>
            <w:tcW w:w="750" w:type="pct"/>
          </w:tcPr>
          <w:p w14:paraId="4B97C5F3" w14:textId="77777777" w:rsidR="001C133F" w:rsidRPr="00BE28F5" w:rsidRDefault="001C133F" w:rsidP="001C133F">
            <w:pPr>
              <w:tabs>
                <w:tab w:val="decimal" w:pos="246"/>
              </w:tabs>
              <w:spacing w:line="480" w:lineRule="auto"/>
              <w:rPr>
                <w:rFonts w:asciiTheme="majorBidi" w:hAnsiTheme="majorBidi" w:cstheme="majorBidi"/>
                <w:szCs w:val="24"/>
              </w:rPr>
            </w:pPr>
          </w:p>
        </w:tc>
        <w:tc>
          <w:tcPr>
            <w:tcW w:w="750" w:type="pct"/>
          </w:tcPr>
          <w:p w14:paraId="1891E05C" w14:textId="79E8D04A"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1.00</w:t>
            </w:r>
          </w:p>
        </w:tc>
        <w:tc>
          <w:tcPr>
            <w:tcW w:w="753" w:type="pct"/>
          </w:tcPr>
          <w:p w14:paraId="2F58DE2C" w14:textId="77777777" w:rsidR="001C133F" w:rsidRPr="00BE28F5" w:rsidRDefault="001C133F" w:rsidP="001C133F">
            <w:pPr>
              <w:tabs>
                <w:tab w:val="decimal" w:pos="408"/>
              </w:tabs>
              <w:spacing w:line="480" w:lineRule="auto"/>
              <w:rPr>
                <w:rFonts w:asciiTheme="majorBidi" w:hAnsiTheme="majorBidi" w:cstheme="majorBidi"/>
                <w:szCs w:val="24"/>
              </w:rPr>
            </w:pPr>
          </w:p>
        </w:tc>
      </w:tr>
      <w:tr w:rsidR="001C133F" w:rsidRPr="00BE28F5" w14:paraId="2A84A320" w14:textId="77777777" w:rsidTr="00EC309B">
        <w:trPr>
          <w:cantSplit/>
          <w:trHeight w:val="20"/>
        </w:trPr>
        <w:tc>
          <w:tcPr>
            <w:tcW w:w="5000" w:type="pct"/>
            <w:gridSpan w:val="5"/>
            <w:hideMark/>
          </w:tcPr>
          <w:p w14:paraId="19353D7D" w14:textId="77777777" w:rsidR="001C133F" w:rsidRPr="00BE28F5" w:rsidRDefault="001C133F" w:rsidP="001C133F">
            <w:pPr>
              <w:keepNext/>
              <w:tabs>
                <w:tab w:val="decimal" w:pos="246"/>
              </w:tabs>
              <w:spacing w:line="480" w:lineRule="auto"/>
              <w:rPr>
                <w:rFonts w:asciiTheme="majorBidi" w:hAnsiTheme="majorBidi" w:cstheme="majorBidi"/>
                <w:bCs/>
                <w:szCs w:val="24"/>
              </w:rPr>
            </w:pPr>
            <w:r w:rsidRPr="00BE28F5">
              <w:rPr>
                <w:rFonts w:asciiTheme="majorBidi" w:hAnsiTheme="majorBidi" w:cstheme="majorBidi"/>
                <w:bCs/>
                <w:szCs w:val="24"/>
              </w:rPr>
              <w:t>Health Insurance</w:t>
            </w:r>
          </w:p>
        </w:tc>
      </w:tr>
      <w:tr w:rsidR="001C133F" w:rsidRPr="00BE28F5" w14:paraId="2A31269A" w14:textId="77777777" w:rsidTr="00EC309B">
        <w:trPr>
          <w:cantSplit/>
          <w:trHeight w:val="20"/>
        </w:trPr>
        <w:tc>
          <w:tcPr>
            <w:tcW w:w="1999" w:type="pct"/>
            <w:tcBorders>
              <w:top w:val="nil"/>
            </w:tcBorders>
            <w:hideMark/>
          </w:tcPr>
          <w:p w14:paraId="3D72DDBD"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Yes</w:t>
            </w:r>
          </w:p>
        </w:tc>
        <w:tc>
          <w:tcPr>
            <w:tcW w:w="748" w:type="pct"/>
            <w:tcBorders>
              <w:top w:val="nil"/>
            </w:tcBorders>
          </w:tcPr>
          <w:p w14:paraId="7AB170B3" w14:textId="27FDA66B"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1.51 </w:t>
            </w:r>
          </w:p>
        </w:tc>
        <w:tc>
          <w:tcPr>
            <w:tcW w:w="750" w:type="pct"/>
            <w:tcBorders>
              <w:top w:val="nil"/>
            </w:tcBorders>
          </w:tcPr>
          <w:p w14:paraId="043D8974" w14:textId="48E62219" w:rsidR="001C133F" w:rsidRPr="00BE28F5" w:rsidRDefault="001C133F" w:rsidP="001C133F">
            <w:pPr>
              <w:tabs>
                <w:tab w:val="decimal" w:pos="246"/>
              </w:tabs>
              <w:spacing w:line="480" w:lineRule="auto"/>
              <w:rPr>
                <w:rFonts w:asciiTheme="majorBidi" w:hAnsiTheme="majorBidi" w:cstheme="majorBidi"/>
                <w:szCs w:val="24"/>
              </w:rPr>
            </w:pPr>
            <w:r w:rsidRPr="00BE28F5">
              <w:rPr>
                <w:rFonts w:asciiTheme="majorBidi" w:hAnsiTheme="majorBidi" w:cstheme="majorBidi"/>
                <w:szCs w:val="24"/>
              </w:rPr>
              <w:t>(1.19-1.92)</w:t>
            </w:r>
          </w:p>
        </w:tc>
        <w:tc>
          <w:tcPr>
            <w:tcW w:w="750" w:type="pct"/>
            <w:tcBorders>
              <w:top w:val="nil"/>
            </w:tcBorders>
          </w:tcPr>
          <w:p w14:paraId="47CED585" w14:textId="3FB70102"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1.48 </w:t>
            </w:r>
          </w:p>
        </w:tc>
        <w:tc>
          <w:tcPr>
            <w:tcW w:w="753" w:type="pct"/>
            <w:tcBorders>
              <w:top w:val="nil"/>
            </w:tcBorders>
          </w:tcPr>
          <w:p w14:paraId="64E239DD" w14:textId="4A0749FF" w:rsidR="001C133F" w:rsidRPr="00BE28F5" w:rsidRDefault="001C133F" w:rsidP="001C133F">
            <w:pPr>
              <w:tabs>
                <w:tab w:val="decimal" w:pos="408"/>
              </w:tabs>
              <w:spacing w:line="480" w:lineRule="auto"/>
              <w:rPr>
                <w:rFonts w:asciiTheme="majorBidi" w:hAnsiTheme="majorBidi" w:cstheme="majorBidi"/>
                <w:szCs w:val="24"/>
              </w:rPr>
            </w:pPr>
          </w:p>
        </w:tc>
      </w:tr>
      <w:tr w:rsidR="001C133F" w:rsidRPr="00BE28F5" w14:paraId="2D77D3E3" w14:textId="77777777" w:rsidTr="00EC309B">
        <w:trPr>
          <w:cantSplit/>
          <w:trHeight w:val="20"/>
        </w:trPr>
        <w:tc>
          <w:tcPr>
            <w:tcW w:w="1999" w:type="pct"/>
            <w:hideMark/>
          </w:tcPr>
          <w:p w14:paraId="3AA29BA4"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No</w:t>
            </w:r>
          </w:p>
        </w:tc>
        <w:tc>
          <w:tcPr>
            <w:tcW w:w="748" w:type="pct"/>
          </w:tcPr>
          <w:p w14:paraId="0B39B72D" w14:textId="18BB845D"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1.00</w:t>
            </w:r>
          </w:p>
        </w:tc>
        <w:tc>
          <w:tcPr>
            <w:tcW w:w="750" w:type="pct"/>
          </w:tcPr>
          <w:p w14:paraId="4034EF99" w14:textId="77777777" w:rsidR="001C133F" w:rsidRPr="00BE28F5" w:rsidRDefault="001C133F" w:rsidP="001C133F">
            <w:pPr>
              <w:tabs>
                <w:tab w:val="decimal" w:pos="246"/>
              </w:tabs>
              <w:spacing w:line="480" w:lineRule="auto"/>
              <w:rPr>
                <w:rFonts w:asciiTheme="majorBidi" w:hAnsiTheme="majorBidi" w:cstheme="majorBidi"/>
                <w:szCs w:val="24"/>
              </w:rPr>
            </w:pPr>
          </w:p>
        </w:tc>
        <w:tc>
          <w:tcPr>
            <w:tcW w:w="750" w:type="pct"/>
          </w:tcPr>
          <w:p w14:paraId="49D8878A" w14:textId="6CD1B35B"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1.00</w:t>
            </w:r>
          </w:p>
        </w:tc>
        <w:tc>
          <w:tcPr>
            <w:tcW w:w="753" w:type="pct"/>
          </w:tcPr>
          <w:p w14:paraId="12D49380" w14:textId="77777777" w:rsidR="001C133F" w:rsidRPr="00BE28F5" w:rsidRDefault="001C133F" w:rsidP="001C133F">
            <w:pPr>
              <w:tabs>
                <w:tab w:val="decimal" w:pos="408"/>
              </w:tabs>
              <w:spacing w:line="480" w:lineRule="auto"/>
              <w:rPr>
                <w:rFonts w:asciiTheme="majorBidi" w:hAnsiTheme="majorBidi" w:cstheme="majorBidi"/>
                <w:szCs w:val="24"/>
              </w:rPr>
            </w:pPr>
          </w:p>
        </w:tc>
      </w:tr>
      <w:tr w:rsidR="001C133F" w:rsidRPr="00BE28F5" w14:paraId="0347E518" w14:textId="77777777" w:rsidTr="00EC309B">
        <w:trPr>
          <w:cantSplit/>
          <w:trHeight w:val="20"/>
        </w:trPr>
        <w:tc>
          <w:tcPr>
            <w:tcW w:w="5000" w:type="pct"/>
            <w:gridSpan w:val="5"/>
          </w:tcPr>
          <w:p w14:paraId="69086CEE" w14:textId="14AE9E78" w:rsidR="001C133F" w:rsidRPr="00BE28F5" w:rsidRDefault="001C133F" w:rsidP="001C133F">
            <w:pPr>
              <w:keepNext/>
              <w:tabs>
                <w:tab w:val="decimal" w:pos="246"/>
              </w:tabs>
              <w:spacing w:line="480" w:lineRule="auto"/>
              <w:rPr>
                <w:rFonts w:asciiTheme="majorBidi" w:hAnsiTheme="majorBidi" w:cstheme="majorBidi"/>
                <w:bCs/>
                <w:szCs w:val="24"/>
              </w:rPr>
            </w:pPr>
          </w:p>
        </w:tc>
      </w:tr>
      <w:tr w:rsidR="001C133F" w:rsidRPr="00BE28F5" w14:paraId="0B65EAC5" w14:textId="77777777" w:rsidTr="00EC309B">
        <w:trPr>
          <w:cantSplit/>
          <w:trHeight w:val="20"/>
        </w:trPr>
        <w:tc>
          <w:tcPr>
            <w:tcW w:w="1999" w:type="pct"/>
          </w:tcPr>
          <w:p w14:paraId="782C7C24"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No PM Use</w:t>
            </w:r>
          </w:p>
        </w:tc>
        <w:tc>
          <w:tcPr>
            <w:tcW w:w="748" w:type="pct"/>
          </w:tcPr>
          <w:p w14:paraId="5DA37AA6" w14:textId="6565D3EB"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1.00</w:t>
            </w:r>
          </w:p>
        </w:tc>
        <w:tc>
          <w:tcPr>
            <w:tcW w:w="750" w:type="pct"/>
          </w:tcPr>
          <w:p w14:paraId="63A50FBD" w14:textId="77777777" w:rsidR="001C133F" w:rsidRPr="00BE28F5" w:rsidRDefault="001C133F" w:rsidP="001C133F">
            <w:pPr>
              <w:tabs>
                <w:tab w:val="decimal" w:pos="246"/>
              </w:tabs>
              <w:spacing w:line="480" w:lineRule="auto"/>
              <w:rPr>
                <w:rFonts w:asciiTheme="majorBidi" w:hAnsiTheme="majorBidi" w:cstheme="majorBidi"/>
                <w:szCs w:val="24"/>
              </w:rPr>
            </w:pPr>
          </w:p>
        </w:tc>
        <w:tc>
          <w:tcPr>
            <w:tcW w:w="750" w:type="pct"/>
          </w:tcPr>
          <w:p w14:paraId="4E59B2E8" w14:textId="0E7FD67C"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1.00</w:t>
            </w:r>
          </w:p>
        </w:tc>
        <w:tc>
          <w:tcPr>
            <w:tcW w:w="753" w:type="pct"/>
          </w:tcPr>
          <w:p w14:paraId="623141AD" w14:textId="77777777" w:rsidR="001C133F" w:rsidRPr="00BE28F5" w:rsidRDefault="001C133F" w:rsidP="001C133F">
            <w:pPr>
              <w:tabs>
                <w:tab w:val="decimal" w:pos="408"/>
              </w:tabs>
              <w:spacing w:line="480" w:lineRule="auto"/>
              <w:rPr>
                <w:rFonts w:asciiTheme="majorBidi" w:hAnsiTheme="majorBidi" w:cstheme="majorBidi"/>
                <w:szCs w:val="24"/>
              </w:rPr>
            </w:pPr>
          </w:p>
        </w:tc>
      </w:tr>
      <w:tr w:rsidR="001C133F" w:rsidRPr="00BE28F5" w14:paraId="7FD8356F" w14:textId="77777777" w:rsidTr="00EC309B">
        <w:trPr>
          <w:cantSplit/>
          <w:trHeight w:val="20"/>
        </w:trPr>
        <w:tc>
          <w:tcPr>
            <w:tcW w:w="1999" w:type="pct"/>
          </w:tcPr>
          <w:p w14:paraId="5FEC4F45"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lastRenderedPageBreak/>
              <w:t>PM Use but No Dependence</w:t>
            </w:r>
          </w:p>
        </w:tc>
        <w:tc>
          <w:tcPr>
            <w:tcW w:w="748" w:type="pct"/>
          </w:tcPr>
          <w:p w14:paraId="07AA03C1" w14:textId="59540D0A"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1.06 </w:t>
            </w:r>
          </w:p>
        </w:tc>
        <w:tc>
          <w:tcPr>
            <w:tcW w:w="750" w:type="pct"/>
          </w:tcPr>
          <w:p w14:paraId="205EB5FE" w14:textId="0885291B" w:rsidR="001C133F" w:rsidRPr="00BE28F5" w:rsidRDefault="001C133F" w:rsidP="001C133F">
            <w:pPr>
              <w:tabs>
                <w:tab w:val="decimal" w:pos="246"/>
              </w:tabs>
              <w:spacing w:line="480" w:lineRule="auto"/>
              <w:rPr>
                <w:rFonts w:asciiTheme="majorBidi" w:hAnsiTheme="majorBidi" w:cstheme="majorBidi"/>
                <w:szCs w:val="24"/>
              </w:rPr>
            </w:pPr>
            <w:r w:rsidRPr="00BE28F5">
              <w:rPr>
                <w:rFonts w:asciiTheme="majorBidi" w:hAnsiTheme="majorBidi" w:cstheme="majorBidi"/>
                <w:szCs w:val="24"/>
              </w:rPr>
              <w:t>(0.88-1.27)</w:t>
            </w:r>
          </w:p>
        </w:tc>
        <w:tc>
          <w:tcPr>
            <w:tcW w:w="750" w:type="pct"/>
          </w:tcPr>
          <w:p w14:paraId="6C78918F" w14:textId="77869692"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1.20 </w:t>
            </w:r>
          </w:p>
        </w:tc>
        <w:tc>
          <w:tcPr>
            <w:tcW w:w="753" w:type="pct"/>
          </w:tcPr>
          <w:p w14:paraId="6875154E" w14:textId="014B4DDD"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(0.99-1.45)</w:t>
            </w:r>
          </w:p>
        </w:tc>
      </w:tr>
      <w:tr w:rsidR="001C133F" w:rsidRPr="00BE28F5" w14:paraId="37FE17C2" w14:textId="77777777" w:rsidTr="00EC309B">
        <w:trPr>
          <w:cantSplit/>
          <w:trHeight w:val="20"/>
        </w:trPr>
        <w:tc>
          <w:tcPr>
            <w:tcW w:w="1999" w:type="pct"/>
          </w:tcPr>
          <w:p w14:paraId="2486DBF6"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PM Dependence</w:t>
            </w:r>
          </w:p>
        </w:tc>
        <w:tc>
          <w:tcPr>
            <w:tcW w:w="748" w:type="pct"/>
          </w:tcPr>
          <w:p w14:paraId="64B130ED" w14:textId="40F6BD46"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1.46 </w:t>
            </w:r>
          </w:p>
        </w:tc>
        <w:tc>
          <w:tcPr>
            <w:tcW w:w="750" w:type="pct"/>
          </w:tcPr>
          <w:p w14:paraId="7CAED5A7" w14:textId="54C803CA" w:rsidR="001C133F" w:rsidRPr="00BE28F5" w:rsidRDefault="001C133F" w:rsidP="001C133F">
            <w:pPr>
              <w:tabs>
                <w:tab w:val="decimal" w:pos="246"/>
              </w:tabs>
              <w:spacing w:line="480" w:lineRule="auto"/>
              <w:rPr>
                <w:rFonts w:asciiTheme="majorBidi" w:hAnsiTheme="majorBidi" w:cstheme="majorBidi"/>
                <w:szCs w:val="24"/>
              </w:rPr>
            </w:pPr>
            <w:r w:rsidRPr="00BE28F5">
              <w:rPr>
                <w:rFonts w:asciiTheme="majorBidi" w:hAnsiTheme="majorBidi" w:cstheme="majorBidi"/>
                <w:szCs w:val="24"/>
              </w:rPr>
              <w:t>(1.10-1.94)</w:t>
            </w:r>
          </w:p>
        </w:tc>
        <w:tc>
          <w:tcPr>
            <w:tcW w:w="750" w:type="pct"/>
          </w:tcPr>
          <w:p w14:paraId="5A47548A" w14:textId="18464E20"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1.32 </w:t>
            </w:r>
          </w:p>
        </w:tc>
        <w:tc>
          <w:tcPr>
            <w:tcW w:w="753" w:type="pct"/>
          </w:tcPr>
          <w:p w14:paraId="7D83091F" w14:textId="5C2FF11F"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(1.01-1.73)</w:t>
            </w:r>
          </w:p>
        </w:tc>
      </w:tr>
      <w:tr w:rsidR="001C133F" w:rsidRPr="00BE28F5" w14:paraId="6988F814" w14:textId="77777777" w:rsidTr="00EC309B">
        <w:trPr>
          <w:cantSplit/>
          <w:trHeight w:val="20"/>
        </w:trPr>
        <w:tc>
          <w:tcPr>
            <w:tcW w:w="5000" w:type="pct"/>
            <w:gridSpan w:val="5"/>
            <w:hideMark/>
          </w:tcPr>
          <w:p w14:paraId="29E24BF6" w14:textId="326C9038" w:rsidR="001C133F" w:rsidRPr="00BE28F5" w:rsidRDefault="001C133F" w:rsidP="001C133F">
            <w:pPr>
              <w:keepNext/>
              <w:tabs>
                <w:tab w:val="decimal" w:pos="246"/>
              </w:tabs>
              <w:spacing w:line="480" w:lineRule="auto"/>
              <w:rPr>
                <w:rFonts w:asciiTheme="majorBidi" w:hAnsiTheme="majorBidi" w:cstheme="majorBidi"/>
                <w:bCs/>
                <w:szCs w:val="24"/>
              </w:rPr>
            </w:pPr>
          </w:p>
        </w:tc>
      </w:tr>
      <w:tr w:rsidR="001C133F" w:rsidRPr="00BE28F5" w14:paraId="4169C4C7" w14:textId="77777777" w:rsidTr="00EC309B">
        <w:trPr>
          <w:cantSplit/>
          <w:trHeight w:val="20"/>
        </w:trPr>
        <w:tc>
          <w:tcPr>
            <w:tcW w:w="1999" w:type="pct"/>
            <w:hideMark/>
          </w:tcPr>
          <w:p w14:paraId="46A1FDB1"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No PY Use</w:t>
            </w:r>
          </w:p>
        </w:tc>
        <w:tc>
          <w:tcPr>
            <w:tcW w:w="748" w:type="pct"/>
          </w:tcPr>
          <w:p w14:paraId="4F8E54C1" w14:textId="4FB2864D"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1.00</w:t>
            </w:r>
          </w:p>
        </w:tc>
        <w:tc>
          <w:tcPr>
            <w:tcW w:w="750" w:type="pct"/>
          </w:tcPr>
          <w:p w14:paraId="225647B5" w14:textId="77777777" w:rsidR="001C133F" w:rsidRPr="00BE28F5" w:rsidRDefault="001C133F" w:rsidP="001C133F">
            <w:pPr>
              <w:tabs>
                <w:tab w:val="decimal" w:pos="246"/>
              </w:tabs>
              <w:spacing w:line="480" w:lineRule="auto"/>
              <w:rPr>
                <w:rFonts w:asciiTheme="majorBidi" w:hAnsiTheme="majorBidi" w:cstheme="majorBidi"/>
                <w:szCs w:val="24"/>
              </w:rPr>
            </w:pPr>
          </w:p>
        </w:tc>
        <w:tc>
          <w:tcPr>
            <w:tcW w:w="750" w:type="pct"/>
          </w:tcPr>
          <w:p w14:paraId="6309AB31" w14:textId="0ED71590"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1.00</w:t>
            </w:r>
          </w:p>
        </w:tc>
        <w:tc>
          <w:tcPr>
            <w:tcW w:w="753" w:type="pct"/>
          </w:tcPr>
          <w:p w14:paraId="04F958BC" w14:textId="77777777" w:rsidR="001C133F" w:rsidRPr="00BE28F5" w:rsidRDefault="001C133F" w:rsidP="001C133F">
            <w:pPr>
              <w:tabs>
                <w:tab w:val="decimal" w:pos="408"/>
              </w:tabs>
              <w:spacing w:line="480" w:lineRule="auto"/>
              <w:rPr>
                <w:rFonts w:asciiTheme="majorBidi" w:hAnsiTheme="majorBidi" w:cstheme="majorBidi"/>
                <w:szCs w:val="24"/>
              </w:rPr>
            </w:pPr>
          </w:p>
        </w:tc>
      </w:tr>
      <w:tr w:rsidR="001C133F" w:rsidRPr="00BE28F5" w14:paraId="3D221DA3" w14:textId="77777777" w:rsidTr="00EC309B">
        <w:trPr>
          <w:cantSplit/>
          <w:trHeight w:val="20"/>
        </w:trPr>
        <w:tc>
          <w:tcPr>
            <w:tcW w:w="1999" w:type="pct"/>
            <w:hideMark/>
          </w:tcPr>
          <w:p w14:paraId="11AEDC50"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PY Use but No AUD</w:t>
            </w:r>
          </w:p>
        </w:tc>
        <w:tc>
          <w:tcPr>
            <w:tcW w:w="748" w:type="pct"/>
          </w:tcPr>
          <w:p w14:paraId="7C46B09E" w14:textId="6C62E3C4"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0.91 </w:t>
            </w:r>
          </w:p>
        </w:tc>
        <w:tc>
          <w:tcPr>
            <w:tcW w:w="750" w:type="pct"/>
          </w:tcPr>
          <w:p w14:paraId="3EF28925" w14:textId="28C8C7B9" w:rsidR="001C133F" w:rsidRPr="00BE28F5" w:rsidRDefault="001C133F" w:rsidP="001C133F">
            <w:pPr>
              <w:tabs>
                <w:tab w:val="decimal" w:pos="246"/>
              </w:tabs>
              <w:spacing w:line="480" w:lineRule="auto"/>
              <w:rPr>
                <w:rFonts w:asciiTheme="majorBidi" w:hAnsiTheme="majorBidi" w:cstheme="majorBidi"/>
                <w:szCs w:val="24"/>
              </w:rPr>
            </w:pPr>
            <w:r w:rsidRPr="00BE28F5">
              <w:rPr>
                <w:rFonts w:asciiTheme="majorBidi" w:hAnsiTheme="majorBidi" w:cstheme="majorBidi"/>
                <w:szCs w:val="24"/>
              </w:rPr>
              <w:t>(0.80-1.04)</w:t>
            </w:r>
          </w:p>
        </w:tc>
        <w:tc>
          <w:tcPr>
            <w:tcW w:w="750" w:type="pct"/>
          </w:tcPr>
          <w:p w14:paraId="79843212" w14:textId="39A2BEE0"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0.82 </w:t>
            </w:r>
          </w:p>
        </w:tc>
        <w:tc>
          <w:tcPr>
            <w:tcW w:w="753" w:type="pct"/>
          </w:tcPr>
          <w:p w14:paraId="5F81D060" w14:textId="338179D5"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(0.72-0.94)</w:t>
            </w:r>
          </w:p>
        </w:tc>
      </w:tr>
      <w:tr w:rsidR="001C133F" w:rsidRPr="00BE28F5" w14:paraId="7689FD79" w14:textId="77777777" w:rsidTr="00EC309B">
        <w:trPr>
          <w:cantSplit/>
          <w:trHeight w:val="20"/>
        </w:trPr>
        <w:tc>
          <w:tcPr>
            <w:tcW w:w="1999" w:type="pct"/>
            <w:hideMark/>
          </w:tcPr>
          <w:p w14:paraId="60D7C856"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PY AUD</w:t>
            </w:r>
          </w:p>
        </w:tc>
        <w:tc>
          <w:tcPr>
            <w:tcW w:w="748" w:type="pct"/>
          </w:tcPr>
          <w:p w14:paraId="512D6814" w14:textId="092BADC9"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1.16 </w:t>
            </w:r>
          </w:p>
        </w:tc>
        <w:tc>
          <w:tcPr>
            <w:tcW w:w="750" w:type="pct"/>
          </w:tcPr>
          <w:p w14:paraId="55FEA320" w14:textId="6BB69D7B" w:rsidR="001C133F" w:rsidRPr="00BE28F5" w:rsidRDefault="001C133F" w:rsidP="001C133F">
            <w:pPr>
              <w:tabs>
                <w:tab w:val="decimal" w:pos="246"/>
              </w:tabs>
              <w:spacing w:line="480" w:lineRule="auto"/>
              <w:rPr>
                <w:rFonts w:asciiTheme="majorBidi" w:hAnsiTheme="majorBidi" w:cstheme="majorBidi"/>
                <w:szCs w:val="24"/>
              </w:rPr>
            </w:pPr>
            <w:r w:rsidRPr="00BE28F5">
              <w:rPr>
                <w:rFonts w:asciiTheme="majorBidi" w:hAnsiTheme="majorBidi" w:cstheme="majorBidi"/>
                <w:szCs w:val="24"/>
              </w:rPr>
              <w:t>(0.92-1.46)</w:t>
            </w:r>
          </w:p>
        </w:tc>
        <w:tc>
          <w:tcPr>
            <w:tcW w:w="750" w:type="pct"/>
          </w:tcPr>
          <w:p w14:paraId="24C4F6FE" w14:textId="57C470FE"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0.98 </w:t>
            </w:r>
          </w:p>
        </w:tc>
        <w:tc>
          <w:tcPr>
            <w:tcW w:w="753" w:type="pct"/>
          </w:tcPr>
          <w:p w14:paraId="3344251F" w14:textId="262F9D1D"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(0.78-1.23)</w:t>
            </w:r>
          </w:p>
        </w:tc>
      </w:tr>
      <w:tr w:rsidR="001C133F" w:rsidRPr="00BE28F5" w14:paraId="46B1F68B" w14:textId="77777777" w:rsidTr="00EC309B">
        <w:trPr>
          <w:cantSplit/>
          <w:trHeight w:val="20"/>
        </w:trPr>
        <w:tc>
          <w:tcPr>
            <w:tcW w:w="5000" w:type="pct"/>
            <w:gridSpan w:val="5"/>
            <w:hideMark/>
          </w:tcPr>
          <w:p w14:paraId="26CDF80E" w14:textId="64F92B40" w:rsidR="001C133F" w:rsidRPr="00BE28F5" w:rsidRDefault="001C133F" w:rsidP="001C133F">
            <w:pPr>
              <w:keepNext/>
              <w:tabs>
                <w:tab w:val="decimal" w:pos="246"/>
              </w:tabs>
              <w:spacing w:line="480" w:lineRule="auto"/>
              <w:rPr>
                <w:rFonts w:asciiTheme="majorBidi" w:hAnsiTheme="majorBidi" w:cstheme="majorBidi"/>
                <w:bCs/>
                <w:szCs w:val="24"/>
              </w:rPr>
            </w:pPr>
          </w:p>
        </w:tc>
      </w:tr>
      <w:tr w:rsidR="001C133F" w:rsidRPr="00BE28F5" w14:paraId="2B7F2CB6" w14:textId="77777777" w:rsidTr="00EC309B">
        <w:trPr>
          <w:cantSplit/>
          <w:trHeight w:val="20"/>
        </w:trPr>
        <w:tc>
          <w:tcPr>
            <w:tcW w:w="1999" w:type="pct"/>
          </w:tcPr>
          <w:p w14:paraId="344C1AF2"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No PY Use</w:t>
            </w:r>
          </w:p>
        </w:tc>
        <w:tc>
          <w:tcPr>
            <w:tcW w:w="748" w:type="pct"/>
          </w:tcPr>
          <w:p w14:paraId="66B297B2" w14:textId="319E228A"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1.00</w:t>
            </w:r>
          </w:p>
        </w:tc>
        <w:tc>
          <w:tcPr>
            <w:tcW w:w="750" w:type="pct"/>
          </w:tcPr>
          <w:p w14:paraId="6C726313" w14:textId="77777777" w:rsidR="001C133F" w:rsidRPr="00BE28F5" w:rsidRDefault="001C133F" w:rsidP="001C133F">
            <w:pPr>
              <w:tabs>
                <w:tab w:val="decimal" w:pos="246"/>
              </w:tabs>
              <w:spacing w:line="480" w:lineRule="auto"/>
              <w:rPr>
                <w:rFonts w:asciiTheme="majorBidi" w:hAnsiTheme="majorBidi" w:cstheme="majorBidi"/>
                <w:szCs w:val="24"/>
              </w:rPr>
            </w:pPr>
          </w:p>
        </w:tc>
        <w:tc>
          <w:tcPr>
            <w:tcW w:w="750" w:type="pct"/>
          </w:tcPr>
          <w:p w14:paraId="7B4FC0D1" w14:textId="1A9FE62C"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1.00</w:t>
            </w:r>
          </w:p>
        </w:tc>
        <w:tc>
          <w:tcPr>
            <w:tcW w:w="753" w:type="pct"/>
          </w:tcPr>
          <w:p w14:paraId="3DA507F0" w14:textId="77777777" w:rsidR="001C133F" w:rsidRPr="00BE28F5" w:rsidRDefault="001C133F" w:rsidP="001C133F">
            <w:pPr>
              <w:tabs>
                <w:tab w:val="decimal" w:pos="408"/>
              </w:tabs>
              <w:spacing w:line="480" w:lineRule="auto"/>
              <w:rPr>
                <w:rFonts w:asciiTheme="majorBidi" w:hAnsiTheme="majorBidi" w:cstheme="majorBidi"/>
                <w:szCs w:val="24"/>
              </w:rPr>
            </w:pPr>
          </w:p>
        </w:tc>
      </w:tr>
      <w:tr w:rsidR="001C133F" w:rsidRPr="00BE28F5" w14:paraId="1E0316C7" w14:textId="77777777" w:rsidTr="00EC309B">
        <w:trPr>
          <w:cantSplit/>
          <w:trHeight w:val="20"/>
        </w:trPr>
        <w:tc>
          <w:tcPr>
            <w:tcW w:w="1999" w:type="pct"/>
          </w:tcPr>
          <w:p w14:paraId="48E30866"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PY Use but No DUD</w:t>
            </w:r>
          </w:p>
        </w:tc>
        <w:tc>
          <w:tcPr>
            <w:tcW w:w="748" w:type="pct"/>
          </w:tcPr>
          <w:p w14:paraId="48C6196E" w14:textId="034DD7E4"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1.22 </w:t>
            </w:r>
          </w:p>
        </w:tc>
        <w:tc>
          <w:tcPr>
            <w:tcW w:w="750" w:type="pct"/>
          </w:tcPr>
          <w:p w14:paraId="72CA6BC5" w14:textId="5C5FF841" w:rsidR="001C133F" w:rsidRPr="00BE28F5" w:rsidRDefault="001C133F" w:rsidP="001C133F">
            <w:pPr>
              <w:tabs>
                <w:tab w:val="decimal" w:pos="246"/>
              </w:tabs>
              <w:spacing w:line="480" w:lineRule="auto"/>
              <w:rPr>
                <w:rFonts w:asciiTheme="majorBidi" w:hAnsiTheme="majorBidi" w:cstheme="majorBidi"/>
                <w:szCs w:val="24"/>
              </w:rPr>
            </w:pPr>
            <w:r w:rsidRPr="00BE28F5">
              <w:rPr>
                <w:rFonts w:asciiTheme="majorBidi" w:hAnsiTheme="majorBidi" w:cstheme="majorBidi"/>
                <w:szCs w:val="24"/>
              </w:rPr>
              <w:t>(1.06-1.41)</w:t>
            </w:r>
          </w:p>
        </w:tc>
        <w:tc>
          <w:tcPr>
            <w:tcW w:w="750" w:type="pct"/>
          </w:tcPr>
          <w:p w14:paraId="5A956A76" w14:textId="68C3B8D2"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1.23 </w:t>
            </w:r>
          </w:p>
        </w:tc>
        <w:tc>
          <w:tcPr>
            <w:tcW w:w="753" w:type="pct"/>
          </w:tcPr>
          <w:p w14:paraId="3122217C" w14:textId="37962DA7"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(1.06-1.42)</w:t>
            </w:r>
          </w:p>
        </w:tc>
      </w:tr>
      <w:tr w:rsidR="001C133F" w:rsidRPr="00BE28F5" w14:paraId="674994C5" w14:textId="77777777" w:rsidTr="00EC309B">
        <w:trPr>
          <w:cantSplit/>
          <w:trHeight w:val="20"/>
        </w:trPr>
        <w:tc>
          <w:tcPr>
            <w:tcW w:w="1999" w:type="pct"/>
            <w:tcBorders>
              <w:top w:val="nil"/>
            </w:tcBorders>
          </w:tcPr>
          <w:p w14:paraId="778D9FA4" w14:textId="77777777" w:rsidR="001C133F" w:rsidRPr="00BE28F5" w:rsidRDefault="001C133F" w:rsidP="001C133F">
            <w:pPr>
              <w:spacing w:line="480" w:lineRule="auto"/>
              <w:ind w:left="157"/>
              <w:rPr>
                <w:rFonts w:asciiTheme="majorBidi" w:hAnsiTheme="majorBidi" w:cstheme="majorBidi"/>
                <w:szCs w:val="24"/>
              </w:rPr>
            </w:pPr>
            <w:r w:rsidRPr="00BE28F5">
              <w:rPr>
                <w:rFonts w:asciiTheme="majorBidi" w:hAnsiTheme="majorBidi" w:cstheme="majorBidi"/>
                <w:szCs w:val="24"/>
              </w:rPr>
              <w:t>PY DUD</w:t>
            </w:r>
          </w:p>
        </w:tc>
        <w:tc>
          <w:tcPr>
            <w:tcW w:w="748" w:type="pct"/>
            <w:tcBorders>
              <w:top w:val="nil"/>
            </w:tcBorders>
          </w:tcPr>
          <w:p w14:paraId="0F323E22" w14:textId="17621F96"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1.22 </w:t>
            </w:r>
          </w:p>
        </w:tc>
        <w:tc>
          <w:tcPr>
            <w:tcW w:w="750" w:type="pct"/>
            <w:tcBorders>
              <w:top w:val="nil"/>
            </w:tcBorders>
          </w:tcPr>
          <w:p w14:paraId="15865307" w14:textId="2A626EA6" w:rsidR="001C133F" w:rsidRPr="00BE28F5" w:rsidRDefault="001C133F" w:rsidP="001C133F">
            <w:pPr>
              <w:tabs>
                <w:tab w:val="decimal" w:pos="246"/>
              </w:tabs>
              <w:spacing w:line="480" w:lineRule="auto"/>
              <w:rPr>
                <w:rFonts w:asciiTheme="majorBidi" w:hAnsiTheme="majorBidi" w:cstheme="majorBidi"/>
                <w:szCs w:val="24"/>
              </w:rPr>
            </w:pPr>
            <w:r w:rsidRPr="00BE28F5">
              <w:rPr>
                <w:rFonts w:asciiTheme="majorBidi" w:hAnsiTheme="majorBidi" w:cstheme="majorBidi"/>
                <w:szCs w:val="24"/>
              </w:rPr>
              <w:t>(0.99-1.50)</w:t>
            </w:r>
          </w:p>
        </w:tc>
        <w:tc>
          <w:tcPr>
            <w:tcW w:w="750" w:type="pct"/>
            <w:tcBorders>
              <w:top w:val="nil"/>
            </w:tcBorders>
          </w:tcPr>
          <w:p w14:paraId="5D2C019E" w14:textId="1D3B8FC7"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1.41 </w:t>
            </w:r>
          </w:p>
        </w:tc>
        <w:tc>
          <w:tcPr>
            <w:tcW w:w="753" w:type="pct"/>
            <w:tcBorders>
              <w:top w:val="nil"/>
            </w:tcBorders>
          </w:tcPr>
          <w:p w14:paraId="7C46EE93" w14:textId="110784FC" w:rsidR="001C133F" w:rsidRPr="00BE28F5" w:rsidRDefault="001C133F"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(1.15-1.74)</w:t>
            </w:r>
          </w:p>
        </w:tc>
      </w:tr>
      <w:tr w:rsidR="001C133F" w:rsidRPr="00BE28F5" w14:paraId="20301E92" w14:textId="77777777" w:rsidTr="00EC309B">
        <w:trPr>
          <w:cantSplit/>
          <w:trHeight w:val="20"/>
        </w:trPr>
        <w:tc>
          <w:tcPr>
            <w:tcW w:w="5000" w:type="pct"/>
            <w:gridSpan w:val="5"/>
          </w:tcPr>
          <w:p w14:paraId="0CDD486C" w14:textId="77777777" w:rsidR="001C133F" w:rsidRPr="00BE28F5" w:rsidRDefault="001C133F" w:rsidP="001C133F">
            <w:pPr>
              <w:keepNext/>
              <w:tabs>
                <w:tab w:val="decimal" w:pos="246"/>
              </w:tabs>
              <w:spacing w:line="480" w:lineRule="auto"/>
              <w:rPr>
                <w:rFonts w:asciiTheme="majorBidi" w:hAnsiTheme="majorBidi" w:cstheme="majorBidi"/>
                <w:bCs/>
                <w:szCs w:val="24"/>
              </w:rPr>
            </w:pPr>
            <w:r w:rsidRPr="00BE28F5">
              <w:rPr>
                <w:rFonts w:asciiTheme="majorBidi" w:hAnsiTheme="majorBidi" w:cstheme="majorBidi"/>
                <w:bCs/>
                <w:szCs w:val="24"/>
              </w:rPr>
              <w:t>Number of Parents</w:t>
            </w:r>
          </w:p>
        </w:tc>
      </w:tr>
      <w:tr w:rsidR="00EC309B" w:rsidRPr="00BE28F5" w14:paraId="4187771F" w14:textId="77777777" w:rsidTr="00EC309B">
        <w:trPr>
          <w:cantSplit/>
          <w:trHeight w:val="243"/>
        </w:trPr>
        <w:tc>
          <w:tcPr>
            <w:tcW w:w="1999" w:type="pct"/>
          </w:tcPr>
          <w:p w14:paraId="71117784" w14:textId="77777777" w:rsidR="00EC309B" w:rsidRPr="00BE28F5" w:rsidRDefault="00EC309B" w:rsidP="001C133F">
            <w:pPr>
              <w:spacing w:line="480" w:lineRule="auto"/>
              <w:ind w:left="157"/>
              <w:rPr>
                <w:rFonts w:asciiTheme="majorBidi" w:hAnsiTheme="majorBidi" w:cstheme="majorBidi"/>
                <w:szCs w:val="24"/>
              </w:rPr>
            </w:pPr>
            <w:r w:rsidRPr="00BE28F5">
              <w:rPr>
                <w:rFonts w:asciiTheme="majorBidi" w:hAnsiTheme="majorBidi" w:cstheme="majorBidi"/>
                <w:szCs w:val="24"/>
              </w:rPr>
              <w:t>None or 1</w:t>
            </w:r>
          </w:p>
        </w:tc>
        <w:tc>
          <w:tcPr>
            <w:tcW w:w="748" w:type="pct"/>
          </w:tcPr>
          <w:p w14:paraId="4622F0CC" w14:textId="66216E10" w:rsidR="00EC309B" w:rsidRPr="00BE28F5" w:rsidRDefault="00EC309B"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1.33 </w:t>
            </w:r>
          </w:p>
        </w:tc>
        <w:tc>
          <w:tcPr>
            <w:tcW w:w="750" w:type="pct"/>
          </w:tcPr>
          <w:p w14:paraId="457CA70A" w14:textId="2B8846D0" w:rsidR="00EC309B" w:rsidRPr="00BE28F5" w:rsidRDefault="00EC309B" w:rsidP="001C133F">
            <w:pPr>
              <w:tabs>
                <w:tab w:val="decimal" w:pos="246"/>
              </w:tabs>
              <w:spacing w:line="480" w:lineRule="auto"/>
              <w:rPr>
                <w:rFonts w:asciiTheme="majorBidi" w:hAnsiTheme="majorBidi" w:cstheme="majorBidi"/>
                <w:szCs w:val="24"/>
              </w:rPr>
            </w:pPr>
            <w:r w:rsidRPr="00BE28F5">
              <w:rPr>
                <w:rFonts w:asciiTheme="majorBidi" w:hAnsiTheme="majorBidi" w:cstheme="majorBidi"/>
                <w:szCs w:val="24"/>
              </w:rPr>
              <w:t>(1.18-1.50)</w:t>
            </w:r>
          </w:p>
        </w:tc>
        <w:tc>
          <w:tcPr>
            <w:tcW w:w="750" w:type="pct"/>
          </w:tcPr>
          <w:p w14:paraId="5A20F7CF" w14:textId="26115BBA" w:rsidR="00EC309B" w:rsidRPr="00BE28F5" w:rsidRDefault="00EC309B"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 xml:space="preserve">1.20 </w:t>
            </w:r>
          </w:p>
        </w:tc>
        <w:tc>
          <w:tcPr>
            <w:tcW w:w="753" w:type="pct"/>
          </w:tcPr>
          <w:p w14:paraId="3DCF9D7C" w14:textId="6498F9E4" w:rsidR="00EC309B" w:rsidRPr="00BE28F5" w:rsidRDefault="00EC309B" w:rsidP="001C133F">
            <w:pPr>
              <w:tabs>
                <w:tab w:val="decimal" w:pos="408"/>
              </w:tabs>
              <w:spacing w:line="480" w:lineRule="auto"/>
              <w:rPr>
                <w:rFonts w:asciiTheme="majorBidi" w:hAnsiTheme="majorBidi" w:cstheme="majorBidi"/>
                <w:szCs w:val="24"/>
              </w:rPr>
            </w:pPr>
          </w:p>
        </w:tc>
      </w:tr>
      <w:tr w:rsidR="00EC309B" w:rsidRPr="00BE28F5" w14:paraId="2AA6F1DF" w14:textId="77777777" w:rsidTr="00EC309B">
        <w:trPr>
          <w:cantSplit/>
          <w:trHeight w:val="20"/>
        </w:trPr>
        <w:tc>
          <w:tcPr>
            <w:tcW w:w="1999" w:type="pct"/>
          </w:tcPr>
          <w:p w14:paraId="04F1C9D7" w14:textId="77777777" w:rsidR="00EC309B" w:rsidRPr="00BE28F5" w:rsidRDefault="00EC309B" w:rsidP="001C133F">
            <w:pPr>
              <w:spacing w:line="480" w:lineRule="auto"/>
              <w:ind w:left="157"/>
              <w:rPr>
                <w:rFonts w:asciiTheme="majorBidi" w:hAnsiTheme="majorBidi" w:cstheme="majorBidi"/>
                <w:szCs w:val="24"/>
              </w:rPr>
            </w:pPr>
            <w:r w:rsidRPr="00BE28F5">
              <w:rPr>
                <w:rFonts w:asciiTheme="majorBidi" w:hAnsiTheme="majorBidi" w:cstheme="majorBidi"/>
                <w:szCs w:val="24"/>
              </w:rPr>
              <w:t>2 or more</w:t>
            </w:r>
          </w:p>
        </w:tc>
        <w:tc>
          <w:tcPr>
            <w:tcW w:w="748" w:type="pct"/>
          </w:tcPr>
          <w:p w14:paraId="4AD8EDF5" w14:textId="19A97E4C" w:rsidR="00EC309B" w:rsidRPr="00BE28F5" w:rsidRDefault="00EC309B"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1.00</w:t>
            </w:r>
          </w:p>
        </w:tc>
        <w:tc>
          <w:tcPr>
            <w:tcW w:w="750" w:type="pct"/>
          </w:tcPr>
          <w:p w14:paraId="7F2DBA53" w14:textId="77777777" w:rsidR="00EC309B" w:rsidRPr="00BE28F5" w:rsidRDefault="00EC309B" w:rsidP="001C133F">
            <w:pPr>
              <w:tabs>
                <w:tab w:val="decimal" w:pos="246"/>
              </w:tabs>
              <w:spacing w:line="480" w:lineRule="auto"/>
              <w:rPr>
                <w:rFonts w:asciiTheme="majorBidi" w:hAnsiTheme="majorBidi" w:cstheme="majorBidi"/>
                <w:szCs w:val="24"/>
              </w:rPr>
            </w:pPr>
          </w:p>
        </w:tc>
        <w:tc>
          <w:tcPr>
            <w:tcW w:w="750" w:type="pct"/>
          </w:tcPr>
          <w:p w14:paraId="1851F8B1" w14:textId="165EF48B" w:rsidR="00EC309B" w:rsidRPr="00BE28F5" w:rsidRDefault="00EC309B" w:rsidP="001C133F">
            <w:pPr>
              <w:tabs>
                <w:tab w:val="decimal" w:pos="408"/>
              </w:tabs>
              <w:spacing w:line="480" w:lineRule="auto"/>
              <w:rPr>
                <w:rFonts w:asciiTheme="majorBidi" w:hAnsiTheme="majorBidi" w:cstheme="majorBidi"/>
                <w:szCs w:val="24"/>
              </w:rPr>
            </w:pPr>
            <w:r w:rsidRPr="00BE28F5">
              <w:rPr>
                <w:rFonts w:asciiTheme="majorBidi" w:hAnsiTheme="majorBidi" w:cstheme="majorBidi"/>
                <w:szCs w:val="24"/>
              </w:rPr>
              <w:t>1.00</w:t>
            </w:r>
          </w:p>
        </w:tc>
        <w:tc>
          <w:tcPr>
            <w:tcW w:w="753" w:type="pct"/>
          </w:tcPr>
          <w:p w14:paraId="1BBE5F91" w14:textId="77777777" w:rsidR="00EC309B" w:rsidRPr="00BE28F5" w:rsidRDefault="00EC309B" w:rsidP="001C133F">
            <w:pPr>
              <w:tabs>
                <w:tab w:val="decimal" w:pos="408"/>
              </w:tabs>
              <w:spacing w:line="480" w:lineRule="auto"/>
              <w:rPr>
                <w:rFonts w:asciiTheme="majorBidi" w:hAnsiTheme="majorBidi" w:cstheme="majorBidi"/>
                <w:szCs w:val="24"/>
              </w:rPr>
            </w:pPr>
          </w:p>
        </w:tc>
      </w:tr>
    </w:tbl>
    <w:p w14:paraId="27E60BBB" w14:textId="533AADB8" w:rsidR="00BF56C0" w:rsidRPr="00BE28F5" w:rsidRDefault="00BF56C0" w:rsidP="00EC309B">
      <w:pPr>
        <w:rPr>
          <w:rFonts w:asciiTheme="majorBidi" w:eastAsia="SimSun" w:hAnsiTheme="majorBidi" w:cstheme="majorBidi"/>
          <w:szCs w:val="24"/>
          <w:lang w:eastAsia="zh-CN"/>
        </w:rPr>
      </w:pPr>
    </w:p>
    <w:sectPr w:rsidR="00BF56C0" w:rsidRPr="00BE28F5" w:rsidSect="00650219">
      <w:head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06DF6" w14:textId="77777777" w:rsidR="00044F25" w:rsidRDefault="00044F25" w:rsidP="008466B1">
      <w:r>
        <w:separator/>
      </w:r>
    </w:p>
  </w:endnote>
  <w:endnote w:type="continuationSeparator" w:id="0">
    <w:p w14:paraId="0308EBA6" w14:textId="77777777" w:rsidR="00044F25" w:rsidRDefault="00044F25" w:rsidP="0084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TIDingbat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78D33" w14:textId="77777777" w:rsidR="00044F25" w:rsidRDefault="00044F25" w:rsidP="009A57D9">
    <w:pPr>
      <w:pStyle w:val="Footer"/>
      <w:jc w:val="right"/>
    </w:pPr>
    <w:r>
      <w:rPr>
        <w:noProof/>
      </w:rPr>
      <w:drawing>
        <wp:inline distT="0" distB="0" distL="0" distR="0" wp14:anchorId="7D9F6A88" wp14:editId="67C6E003">
          <wp:extent cx="1066800" cy="425450"/>
          <wp:effectExtent l="0" t="0" r="0" b="0"/>
          <wp:docPr id="5" name="Picture 1" descr="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25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54EEF" w14:textId="77777777" w:rsidR="00044F25" w:rsidRDefault="00044F25" w:rsidP="008466B1">
      <w:r>
        <w:separator/>
      </w:r>
    </w:p>
  </w:footnote>
  <w:footnote w:type="continuationSeparator" w:id="0">
    <w:p w14:paraId="7E0DC0C0" w14:textId="77777777" w:rsidR="00044F25" w:rsidRDefault="00044F25" w:rsidP="008466B1">
      <w:r>
        <w:continuationSeparator/>
      </w:r>
    </w:p>
  </w:footnote>
  <w:footnote w:id="1">
    <w:p w14:paraId="2042A493" w14:textId="77777777" w:rsidR="00FC352A" w:rsidRDefault="00FC352A" w:rsidP="00FC352A">
      <w:pPr>
        <w:pStyle w:val="FootnoteText"/>
      </w:pPr>
      <w:r>
        <w:rPr>
          <w:rStyle w:val="FootnoteReference"/>
        </w:rPr>
        <w:footnoteRef/>
      </w:r>
      <w:r>
        <w:t xml:space="preserve"> Corresponding author. Cristie Glasheen, RTI International, 3040 E. Cornwallis Road, Research Triangle Park, NC 27709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C8F68" w14:textId="77777777" w:rsidR="00044F25" w:rsidRDefault="00044F25">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12BF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00C2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FA66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A652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F03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ACF0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D66F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02EF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70E4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E056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047E3"/>
    <w:multiLevelType w:val="hybridMultilevel"/>
    <w:tmpl w:val="794CC24C"/>
    <w:lvl w:ilvl="0" w:tplc="23B070E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07EFF"/>
    <w:multiLevelType w:val="hybridMultilevel"/>
    <w:tmpl w:val="B5367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3912B7"/>
    <w:multiLevelType w:val="hybridMultilevel"/>
    <w:tmpl w:val="40601506"/>
    <w:lvl w:ilvl="0" w:tplc="C34A5EF4">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016939"/>
    <w:multiLevelType w:val="hybridMultilevel"/>
    <w:tmpl w:val="A1D03FBC"/>
    <w:lvl w:ilvl="0" w:tplc="AB3838C0">
      <w:start w:val="1"/>
      <w:numFmt w:val="bullet"/>
      <w:pStyle w:val="table-bulletind"/>
      <w:lvlText w:val="•"/>
      <w:lvlJc w:val="left"/>
      <w:pPr>
        <w:ind w:left="576" w:hanging="288"/>
      </w:pPr>
      <w:rPr>
        <w:rFonts w:ascii="Times New Roman" w:hAnsi="Times New Roman" w:cs="Times New Roman" w:hint="default"/>
        <w:sz w:val="24"/>
        <w:szCs w:val="24"/>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15:restartNumberingAfterBreak="0">
    <w:nsid w:val="10524D46"/>
    <w:multiLevelType w:val="singleLevel"/>
    <w:tmpl w:val="F8B6EC32"/>
    <w:lvl w:ilvl="0">
      <w:start w:val="1"/>
      <w:numFmt w:val="bullet"/>
      <w:lvlText w:val="Z"/>
      <w:lvlJc w:val="left"/>
      <w:pPr>
        <w:tabs>
          <w:tab w:val="num" w:pos="720"/>
        </w:tabs>
        <w:ind w:left="720" w:hanging="360"/>
      </w:pPr>
      <w:rPr>
        <w:rFonts w:ascii="RTIDingbats" w:hAnsi="RTIDingbats" w:hint="default"/>
      </w:rPr>
    </w:lvl>
  </w:abstractNum>
  <w:abstractNum w:abstractNumId="15" w15:restartNumberingAfterBreak="0">
    <w:nsid w:val="1DC67DAC"/>
    <w:multiLevelType w:val="hybridMultilevel"/>
    <w:tmpl w:val="E2A8F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F43B66"/>
    <w:multiLevelType w:val="multilevel"/>
    <w:tmpl w:val="6A56C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C775C7"/>
    <w:multiLevelType w:val="hybridMultilevel"/>
    <w:tmpl w:val="410E1506"/>
    <w:lvl w:ilvl="0" w:tplc="08A8888E">
      <w:start w:val="1945"/>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941AC"/>
    <w:multiLevelType w:val="hybridMultilevel"/>
    <w:tmpl w:val="860E341E"/>
    <w:lvl w:ilvl="0" w:tplc="E19CA0F8">
      <w:start w:val="1"/>
      <w:numFmt w:val="bullet"/>
      <w:pStyle w:val="bullets2nd-level"/>
      <w:lvlText w:val="–"/>
      <w:lvlJc w:val="left"/>
      <w:pPr>
        <w:tabs>
          <w:tab w:val="num" w:pos="1440"/>
        </w:tabs>
        <w:ind w:left="144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63024"/>
    <w:multiLevelType w:val="multilevel"/>
    <w:tmpl w:val="EE2EDF2A"/>
    <w:lvl w:ilvl="0">
      <w:start w:val="1"/>
      <w:numFmt w:val="bullet"/>
      <w:pStyle w:val="table-bulletLM"/>
      <w:lvlText w:val="•"/>
      <w:lvlJc w:val="left"/>
      <w:pPr>
        <w:ind w:left="36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145615"/>
    <w:multiLevelType w:val="multilevel"/>
    <w:tmpl w:val="8C7AC284"/>
    <w:lvl w:ilvl="0">
      <w:start w:val="1"/>
      <w:numFmt w:val="decimal"/>
      <w:lvlText w:val="%1."/>
      <w:lvlJc w:val="left"/>
      <w:pPr>
        <w:ind w:left="1080"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3E550B0F"/>
    <w:multiLevelType w:val="multilevel"/>
    <w:tmpl w:val="895284F6"/>
    <w:lvl w:ilvl="0">
      <w:start w:val="1"/>
      <w:numFmt w:val="bullet"/>
      <w:pStyle w:val="bullets"/>
      <w:lvlText w:val="•"/>
      <w:lvlJc w:val="left"/>
      <w:pPr>
        <w:ind w:left="1080" w:hanging="360"/>
      </w:pPr>
      <w:rPr>
        <w:rFonts w:ascii="Arial" w:hAnsi="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4033202B"/>
    <w:multiLevelType w:val="multilevel"/>
    <w:tmpl w:val="CAF24134"/>
    <w:lvl w:ilvl="0">
      <w:start w:val="1"/>
      <w:numFmt w:val="decimal"/>
      <w:suff w:val="nothing"/>
      <w:lvlText w:val="Section %1."/>
      <w:lvlJc w:val="left"/>
      <w:pPr>
        <w:ind w:left="936"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5E536E9"/>
    <w:multiLevelType w:val="hybridMultilevel"/>
    <w:tmpl w:val="24C60714"/>
    <w:lvl w:ilvl="0" w:tplc="7B7CCCD2">
      <w:start w:val="1"/>
      <w:numFmt w:val="bullet"/>
      <w:pStyle w:val="table-bullet2nd"/>
      <w:lvlText w:val="–"/>
      <w:lvlJc w:val="left"/>
      <w:pPr>
        <w:tabs>
          <w:tab w:val="num" w:pos="576"/>
        </w:tabs>
        <w:ind w:left="576" w:hanging="288"/>
      </w:pPr>
      <w:rPr>
        <w:rFonts w:ascii="Verdana" w:hAnsi="Verdana" w:cs="Tahoma" w:hint="default"/>
        <w:b w:val="0"/>
        <w:i w:val="0"/>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474B540F"/>
    <w:multiLevelType w:val="hybridMultilevel"/>
    <w:tmpl w:val="4BF8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405C5"/>
    <w:multiLevelType w:val="multilevel"/>
    <w:tmpl w:val="0EE01BA6"/>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4A276CED"/>
    <w:multiLevelType w:val="hybridMultilevel"/>
    <w:tmpl w:val="1C625134"/>
    <w:lvl w:ilvl="0" w:tplc="0CB828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48600B"/>
    <w:multiLevelType w:val="multilevel"/>
    <w:tmpl w:val="E9446502"/>
    <w:lvl w:ilvl="0">
      <w:start w:val="1"/>
      <w:numFmt w:val="bullet"/>
      <w:lvlText w:val="▪"/>
      <w:lvlJc w:val="left"/>
      <w:pPr>
        <w:ind w:left="360" w:hanging="360"/>
      </w:pPr>
      <w:rPr>
        <w:rFonts w:ascii="Verdana" w:hAnsi="Verdana" w:hint="default"/>
        <w:sz w:val="20"/>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0F0516"/>
    <w:multiLevelType w:val="multilevel"/>
    <w:tmpl w:val="AF20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1106CB"/>
    <w:multiLevelType w:val="hybridMultilevel"/>
    <w:tmpl w:val="6DBC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8B4AB6"/>
    <w:multiLevelType w:val="hybridMultilevel"/>
    <w:tmpl w:val="49ACA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B1C9C"/>
    <w:multiLevelType w:val="hybridMultilevel"/>
    <w:tmpl w:val="CBA64582"/>
    <w:lvl w:ilvl="0" w:tplc="429813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515B37"/>
    <w:multiLevelType w:val="hybridMultilevel"/>
    <w:tmpl w:val="BA5E45AE"/>
    <w:lvl w:ilvl="0" w:tplc="BB16C628">
      <w:start w:val="1"/>
      <w:numFmt w:val="bullet"/>
      <w:pStyle w:val="bullets3rd-level"/>
      <w:lvlText w:val="▪"/>
      <w:lvlJc w:val="left"/>
      <w:pPr>
        <w:ind w:left="1800" w:hanging="360"/>
      </w:pPr>
      <w:rPr>
        <w:rFonts w:ascii="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7"/>
  </w:num>
  <w:num w:numId="4">
    <w:abstractNumId w:val="22"/>
  </w:num>
  <w:num w:numId="5">
    <w:abstractNumId w:val="22"/>
  </w:num>
  <w:num w:numId="6">
    <w:abstractNumId w:val="22"/>
  </w:num>
  <w:num w:numId="7">
    <w:abstractNumId w:val="21"/>
  </w:num>
  <w:num w:numId="8">
    <w:abstractNumId w:val="18"/>
  </w:num>
  <w:num w:numId="9">
    <w:abstractNumId w:val="32"/>
  </w:num>
  <w:num w:numId="10">
    <w:abstractNumId w:val="20"/>
  </w:num>
  <w:num w:numId="11">
    <w:abstractNumId w:val="26"/>
  </w:num>
  <w:num w:numId="12">
    <w:abstractNumId w:val="23"/>
  </w:num>
  <w:num w:numId="13">
    <w:abstractNumId w:val="13"/>
  </w:num>
  <w:num w:numId="14">
    <w:abstractNumId w:val="12"/>
  </w:num>
  <w:num w:numId="15">
    <w:abstractNumId w:val="12"/>
  </w:num>
  <w:num w:numId="16">
    <w:abstractNumId w:val="19"/>
  </w:num>
  <w:num w:numId="17">
    <w:abstractNumId w:val="22"/>
  </w:num>
  <w:num w:numId="18">
    <w:abstractNumId w:val="22"/>
  </w:num>
  <w:num w:numId="19">
    <w:abstractNumId w:val="2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4"/>
  </w:num>
  <w:num w:numId="31">
    <w:abstractNumId w:val="28"/>
  </w:num>
  <w:num w:numId="32">
    <w:abstractNumId w:val="17"/>
  </w:num>
  <w:num w:numId="33">
    <w:abstractNumId w:val="15"/>
  </w:num>
  <w:num w:numId="34">
    <w:abstractNumId w:val="11"/>
  </w:num>
  <w:num w:numId="35">
    <w:abstractNumId w:val="24"/>
  </w:num>
  <w:num w:numId="36">
    <w:abstractNumId w:val="10"/>
  </w:num>
  <w:num w:numId="37">
    <w:abstractNumId w:val="29"/>
  </w:num>
  <w:num w:numId="38">
    <w:abstractNumId w:val="3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rug and Alcohol Dep&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fxtxst05batsaveaxzoxwta7zpw05d9t005t&quot;&gt;FTNDinvariance_Suppl&lt;record-ids&gt;&lt;item&gt;3&lt;/item&gt;&lt;item&gt;5&lt;/item&gt;&lt;item&gt;8&lt;/item&gt;&lt;/record-ids&gt;&lt;/item&gt;&lt;item db-id=&quot;x2rszsprafxat2etffix2f2z9rvaapxe5vx0&quot;&gt;COGEND&lt;record-ids&gt;&lt;item&gt;25&lt;/item&gt;&lt;item&gt;180&lt;/item&gt;&lt;item&gt;181&lt;/item&gt;&lt;item&gt;285&lt;/item&gt;&lt;item&gt;400&lt;/item&gt;&lt;/record-ids&gt;&lt;/item&gt;&lt;/Libraries&gt;"/>
  </w:docVars>
  <w:rsids>
    <w:rsidRoot w:val="00BF56C0"/>
    <w:rsid w:val="00044B50"/>
    <w:rsid w:val="00044F25"/>
    <w:rsid w:val="00062015"/>
    <w:rsid w:val="00087D0B"/>
    <w:rsid w:val="000A0B3C"/>
    <w:rsid w:val="000B6B32"/>
    <w:rsid w:val="000B772D"/>
    <w:rsid w:val="000C4251"/>
    <w:rsid w:val="000E4056"/>
    <w:rsid w:val="001302C3"/>
    <w:rsid w:val="00133591"/>
    <w:rsid w:val="001356AF"/>
    <w:rsid w:val="0014398F"/>
    <w:rsid w:val="0014784E"/>
    <w:rsid w:val="001544E2"/>
    <w:rsid w:val="00166157"/>
    <w:rsid w:val="001867A8"/>
    <w:rsid w:val="001A1194"/>
    <w:rsid w:val="001C133F"/>
    <w:rsid w:val="001D4099"/>
    <w:rsid w:val="001F3C8F"/>
    <w:rsid w:val="00203B56"/>
    <w:rsid w:val="00222AD4"/>
    <w:rsid w:val="00243B45"/>
    <w:rsid w:val="002572AF"/>
    <w:rsid w:val="00275DD4"/>
    <w:rsid w:val="002850B1"/>
    <w:rsid w:val="00286776"/>
    <w:rsid w:val="0029439D"/>
    <w:rsid w:val="002C5EE5"/>
    <w:rsid w:val="002E6786"/>
    <w:rsid w:val="00310022"/>
    <w:rsid w:val="00355356"/>
    <w:rsid w:val="003E79ED"/>
    <w:rsid w:val="0042582B"/>
    <w:rsid w:val="0044018F"/>
    <w:rsid w:val="00473349"/>
    <w:rsid w:val="00476E14"/>
    <w:rsid w:val="00490AAF"/>
    <w:rsid w:val="004C3410"/>
    <w:rsid w:val="004C3D1B"/>
    <w:rsid w:val="004D112F"/>
    <w:rsid w:val="004D3611"/>
    <w:rsid w:val="004D72B7"/>
    <w:rsid w:val="00500AF8"/>
    <w:rsid w:val="00500EFC"/>
    <w:rsid w:val="005029AD"/>
    <w:rsid w:val="00524BE1"/>
    <w:rsid w:val="0055283A"/>
    <w:rsid w:val="005924F9"/>
    <w:rsid w:val="00593AB4"/>
    <w:rsid w:val="005A00A4"/>
    <w:rsid w:val="005A7AE2"/>
    <w:rsid w:val="005B071A"/>
    <w:rsid w:val="005B3B73"/>
    <w:rsid w:val="006011FD"/>
    <w:rsid w:val="00615384"/>
    <w:rsid w:val="00650219"/>
    <w:rsid w:val="006608DE"/>
    <w:rsid w:val="00662A99"/>
    <w:rsid w:val="00685D74"/>
    <w:rsid w:val="006B633D"/>
    <w:rsid w:val="006C27EC"/>
    <w:rsid w:val="006D5E26"/>
    <w:rsid w:val="006E519C"/>
    <w:rsid w:val="006E5F27"/>
    <w:rsid w:val="00724267"/>
    <w:rsid w:val="007A0099"/>
    <w:rsid w:val="007A73F7"/>
    <w:rsid w:val="008466B1"/>
    <w:rsid w:val="00847653"/>
    <w:rsid w:val="0084783F"/>
    <w:rsid w:val="00871757"/>
    <w:rsid w:val="00887346"/>
    <w:rsid w:val="00901FDD"/>
    <w:rsid w:val="009456ED"/>
    <w:rsid w:val="009A57D9"/>
    <w:rsid w:val="009B0693"/>
    <w:rsid w:val="009F4ADE"/>
    <w:rsid w:val="00A103CA"/>
    <w:rsid w:val="00A16E4D"/>
    <w:rsid w:val="00A2787A"/>
    <w:rsid w:val="00A30D6C"/>
    <w:rsid w:val="00A51C1D"/>
    <w:rsid w:val="00A63B75"/>
    <w:rsid w:val="00A679A2"/>
    <w:rsid w:val="00A70537"/>
    <w:rsid w:val="00A80550"/>
    <w:rsid w:val="00A90C61"/>
    <w:rsid w:val="00AC4D59"/>
    <w:rsid w:val="00AE2454"/>
    <w:rsid w:val="00AE31EB"/>
    <w:rsid w:val="00AF4956"/>
    <w:rsid w:val="00AF5F42"/>
    <w:rsid w:val="00B30BB4"/>
    <w:rsid w:val="00B67CF2"/>
    <w:rsid w:val="00B72674"/>
    <w:rsid w:val="00BD215E"/>
    <w:rsid w:val="00BE28F5"/>
    <w:rsid w:val="00BF56C0"/>
    <w:rsid w:val="00C13064"/>
    <w:rsid w:val="00C1518C"/>
    <w:rsid w:val="00C375E6"/>
    <w:rsid w:val="00C40B3A"/>
    <w:rsid w:val="00C916B8"/>
    <w:rsid w:val="00C93989"/>
    <w:rsid w:val="00C96E1F"/>
    <w:rsid w:val="00CF0BC0"/>
    <w:rsid w:val="00CF7FFD"/>
    <w:rsid w:val="00D026F8"/>
    <w:rsid w:val="00D11470"/>
    <w:rsid w:val="00D22810"/>
    <w:rsid w:val="00D30FBE"/>
    <w:rsid w:val="00D445DF"/>
    <w:rsid w:val="00D5387F"/>
    <w:rsid w:val="00D54C29"/>
    <w:rsid w:val="00D66C52"/>
    <w:rsid w:val="00D740B4"/>
    <w:rsid w:val="00D93295"/>
    <w:rsid w:val="00DA4ABE"/>
    <w:rsid w:val="00DD1A38"/>
    <w:rsid w:val="00DF4D2C"/>
    <w:rsid w:val="00E13A48"/>
    <w:rsid w:val="00E25076"/>
    <w:rsid w:val="00E30C6F"/>
    <w:rsid w:val="00E35184"/>
    <w:rsid w:val="00E35FF3"/>
    <w:rsid w:val="00E55F4B"/>
    <w:rsid w:val="00E77439"/>
    <w:rsid w:val="00E91CF0"/>
    <w:rsid w:val="00E95DC4"/>
    <w:rsid w:val="00EB78EB"/>
    <w:rsid w:val="00EC309B"/>
    <w:rsid w:val="00EF3582"/>
    <w:rsid w:val="00EF6A7B"/>
    <w:rsid w:val="00F07BF9"/>
    <w:rsid w:val="00F174F8"/>
    <w:rsid w:val="00F235FA"/>
    <w:rsid w:val="00F26B2C"/>
    <w:rsid w:val="00F3525E"/>
    <w:rsid w:val="00F37A65"/>
    <w:rsid w:val="00F6064F"/>
    <w:rsid w:val="00FA448F"/>
    <w:rsid w:val="00FA588E"/>
    <w:rsid w:val="00FB1B70"/>
    <w:rsid w:val="00FB7635"/>
    <w:rsid w:val="00FC26CD"/>
    <w:rsid w:val="00FC352A"/>
    <w:rsid w:val="00FE4D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EDCD"/>
  <w15:chartTrackingRefBased/>
  <w15:docId w15:val="{E9EAC1AA-F60C-48C5-8ECF-4544354A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384"/>
    <w:rPr>
      <w:rFonts w:ascii="Times New Roman" w:eastAsia="Times New Roman" w:hAnsi="Times New Roman"/>
      <w:sz w:val="24"/>
    </w:rPr>
  </w:style>
  <w:style w:type="paragraph" w:styleId="Heading1">
    <w:name w:val="heading 1"/>
    <w:basedOn w:val="Baseheading"/>
    <w:next w:val="BodyText"/>
    <w:link w:val="Heading1Char"/>
    <w:uiPriority w:val="9"/>
    <w:qFormat/>
    <w:rsid w:val="0044018F"/>
    <w:pPr>
      <w:spacing w:after="180"/>
    </w:pPr>
    <w:rPr>
      <w:caps/>
      <w:szCs w:val="24"/>
    </w:rPr>
  </w:style>
  <w:style w:type="paragraph" w:styleId="Heading2">
    <w:name w:val="heading 2"/>
    <w:basedOn w:val="Baseheading"/>
    <w:next w:val="BodyText"/>
    <w:link w:val="Heading2Char"/>
    <w:uiPriority w:val="9"/>
    <w:qFormat/>
    <w:rsid w:val="0044018F"/>
    <w:pPr>
      <w:spacing w:after="180"/>
      <w:outlineLvl w:val="1"/>
    </w:pPr>
  </w:style>
  <w:style w:type="paragraph" w:styleId="Heading3">
    <w:name w:val="heading 3"/>
    <w:basedOn w:val="Normal"/>
    <w:next w:val="Baseheading"/>
    <w:link w:val="Heading3Char"/>
    <w:uiPriority w:val="9"/>
    <w:qFormat/>
    <w:rsid w:val="0044018F"/>
    <w:pPr>
      <w:keepNext/>
      <w:spacing w:before="240" w:after="180"/>
      <w:outlineLvl w:val="2"/>
    </w:pPr>
    <w:rPr>
      <w:u w:val="single"/>
    </w:rPr>
  </w:style>
  <w:style w:type="paragraph" w:styleId="Heading4">
    <w:name w:val="heading 4"/>
    <w:basedOn w:val="Baseheading"/>
    <w:next w:val="Normal"/>
    <w:link w:val="Heading4Char"/>
    <w:uiPriority w:val="9"/>
    <w:unhideWhenUsed/>
    <w:qFormat/>
    <w:rsid w:val="0029439D"/>
    <w:pPr>
      <w:spacing w:after="120"/>
      <w:ind w:left="720" w:hanging="720"/>
      <w:outlineLvl w:val="3"/>
    </w:pPr>
    <w:rPr>
      <w:rFonts w:eastAsia="Times New Roman"/>
      <w:b w:val="0"/>
      <w:bCs/>
      <w:i/>
      <w:szCs w:val="28"/>
    </w:rPr>
  </w:style>
  <w:style w:type="paragraph" w:styleId="Heading5">
    <w:name w:val="heading 5"/>
    <w:basedOn w:val="Normal"/>
    <w:next w:val="Normal"/>
    <w:link w:val="Heading5Char"/>
    <w:uiPriority w:val="9"/>
    <w:unhideWhenUsed/>
    <w:qFormat/>
    <w:rsid w:val="009A57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heading">
    <w:name w:val="Base_heading"/>
    <w:rsid w:val="000B6B32"/>
    <w:pPr>
      <w:keepNext/>
      <w:spacing w:before="240" w:after="240"/>
      <w:outlineLvl w:val="0"/>
    </w:pPr>
    <w:rPr>
      <w:rFonts w:ascii="Times New Roman" w:hAnsi="Times New Roman"/>
      <w:b/>
      <w:kern w:val="28"/>
      <w:sz w:val="24"/>
      <w:szCs w:val="22"/>
      <w:lang w:eastAsia="zh-CN"/>
    </w:rPr>
  </w:style>
  <w:style w:type="paragraph" w:styleId="BodyText">
    <w:name w:val="Body Text"/>
    <w:basedOn w:val="Basetext"/>
    <w:link w:val="BodyTextChar"/>
    <w:rsid w:val="0044018F"/>
    <w:pPr>
      <w:spacing w:line="480" w:lineRule="auto"/>
      <w:ind w:firstLine="720"/>
    </w:pPr>
  </w:style>
  <w:style w:type="paragraph" w:customStyle="1" w:styleId="Basetext">
    <w:name w:val="Base_text"/>
    <w:rsid w:val="000B6B32"/>
    <w:rPr>
      <w:rFonts w:ascii="Times New Roman" w:hAnsi="Times New Roman"/>
      <w:sz w:val="24"/>
      <w:szCs w:val="22"/>
      <w:lang w:eastAsia="zh-CN"/>
    </w:rPr>
  </w:style>
  <w:style w:type="character" w:customStyle="1" w:styleId="BodyTextChar">
    <w:name w:val="Body Text Char"/>
    <w:link w:val="BodyText"/>
    <w:rsid w:val="0044018F"/>
    <w:rPr>
      <w:rFonts w:ascii="Times New Roman" w:hAnsi="Times New Roman"/>
      <w:sz w:val="24"/>
      <w:szCs w:val="22"/>
      <w:lang w:eastAsia="zh-CN"/>
    </w:rPr>
  </w:style>
  <w:style w:type="character" w:customStyle="1" w:styleId="Heading1Char">
    <w:name w:val="Heading 1 Char"/>
    <w:link w:val="Heading1"/>
    <w:uiPriority w:val="9"/>
    <w:rsid w:val="0044018F"/>
    <w:rPr>
      <w:rFonts w:ascii="Times New Roman" w:hAnsi="Times New Roman"/>
      <w:b/>
      <w:caps/>
      <w:kern w:val="28"/>
      <w:sz w:val="24"/>
      <w:szCs w:val="24"/>
      <w:lang w:eastAsia="zh-CN"/>
    </w:rPr>
  </w:style>
  <w:style w:type="character" w:customStyle="1" w:styleId="Heading2Char">
    <w:name w:val="Heading 2 Char"/>
    <w:link w:val="Heading2"/>
    <w:uiPriority w:val="9"/>
    <w:rsid w:val="0044018F"/>
    <w:rPr>
      <w:rFonts w:ascii="Times New Roman" w:hAnsi="Times New Roman"/>
      <w:b/>
      <w:kern w:val="28"/>
      <w:sz w:val="24"/>
      <w:szCs w:val="22"/>
      <w:lang w:eastAsia="zh-CN"/>
    </w:rPr>
  </w:style>
  <w:style w:type="character" w:customStyle="1" w:styleId="Heading3Char">
    <w:name w:val="Heading 3 Char"/>
    <w:link w:val="Heading3"/>
    <w:uiPriority w:val="9"/>
    <w:rsid w:val="0044018F"/>
    <w:rPr>
      <w:rFonts w:ascii="Times New Roman" w:eastAsia="Times New Roman" w:hAnsi="Times New Roman"/>
      <w:sz w:val="24"/>
      <w:u w:val="single"/>
    </w:rPr>
  </w:style>
  <w:style w:type="character" w:customStyle="1" w:styleId="Heading4Char">
    <w:name w:val="Heading 4 Char"/>
    <w:link w:val="Heading4"/>
    <w:uiPriority w:val="9"/>
    <w:rsid w:val="0029439D"/>
    <w:rPr>
      <w:rFonts w:ascii="Times New Roman" w:eastAsia="Times New Roman" w:hAnsi="Times New Roman" w:cs="Times New Roman"/>
      <w:bCs/>
      <w:i/>
      <w:kern w:val="28"/>
      <w:sz w:val="24"/>
      <w:szCs w:val="28"/>
      <w:lang w:eastAsia="zh-CN"/>
    </w:rPr>
  </w:style>
  <w:style w:type="character" w:customStyle="1" w:styleId="Heading5Char">
    <w:name w:val="Heading 5 Char"/>
    <w:link w:val="Heading5"/>
    <w:uiPriority w:val="9"/>
    <w:rsid w:val="009A57D9"/>
    <w:rPr>
      <w:rFonts w:ascii="Calibri" w:eastAsia="Times New Roman" w:hAnsi="Calibri" w:cs="Times New Roman"/>
      <w:b/>
      <w:bCs/>
      <w:i/>
      <w:iCs/>
      <w:sz w:val="26"/>
      <w:szCs w:val="26"/>
    </w:rPr>
  </w:style>
  <w:style w:type="paragraph" w:customStyle="1" w:styleId="cover-date">
    <w:name w:val="cover-date"/>
    <w:basedOn w:val="Basetext"/>
    <w:rsid w:val="00EF3582"/>
    <w:pPr>
      <w:spacing w:before="240" w:after="240"/>
      <w:jc w:val="center"/>
    </w:pPr>
  </w:style>
  <w:style w:type="paragraph" w:customStyle="1" w:styleId="cover-address">
    <w:name w:val="cover-address"/>
    <w:basedOn w:val="Basetext"/>
    <w:rsid w:val="000A0B3C"/>
    <w:pPr>
      <w:jc w:val="right"/>
    </w:pPr>
    <w:rPr>
      <w:rFonts w:ascii="Arial" w:hAnsi="Arial"/>
    </w:rPr>
  </w:style>
  <w:style w:type="paragraph" w:customStyle="1" w:styleId="cover-author">
    <w:name w:val="cover-author"/>
    <w:basedOn w:val="Basetext"/>
    <w:rsid w:val="00EF3582"/>
    <w:pPr>
      <w:spacing w:after="240"/>
      <w:ind w:left="720"/>
      <w:contextualSpacing/>
    </w:pPr>
  </w:style>
  <w:style w:type="paragraph" w:customStyle="1" w:styleId="cover-subtitle">
    <w:name w:val="cover-subtitle"/>
    <w:basedOn w:val="Baseheading"/>
    <w:rsid w:val="000A0B3C"/>
    <w:pPr>
      <w:spacing w:after="1800"/>
      <w:jc w:val="right"/>
      <w:outlineLvl w:val="1"/>
    </w:pPr>
    <w:rPr>
      <w:rFonts w:ascii="Arial" w:hAnsi="Arial"/>
      <w:sz w:val="36"/>
    </w:rPr>
  </w:style>
  <w:style w:type="paragraph" w:customStyle="1" w:styleId="cover-text">
    <w:name w:val="cover-text"/>
    <w:basedOn w:val="Basetext"/>
    <w:rsid w:val="000A0B3C"/>
    <w:pPr>
      <w:spacing w:before="480" w:after="240"/>
      <w:jc w:val="right"/>
    </w:pPr>
    <w:rPr>
      <w:rFonts w:ascii="Arial" w:hAnsi="Arial"/>
    </w:rPr>
  </w:style>
  <w:style w:type="paragraph" w:customStyle="1" w:styleId="cover-title">
    <w:name w:val="cover-title"/>
    <w:basedOn w:val="Baseheading"/>
    <w:rsid w:val="007A0099"/>
    <w:pPr>
      <w:spacing w:after="840"/>
      <w:jc w:val="right"/>
    </w:pPr>
    <w:rPr>
      <w:rFonts w:ascii="Arial Bold" w:hAnsi="Arial Bold"/>
      <w:sz w:val="48"/>
    </w:rPr>
  </w:style>
  <w:style w:type="paragraph" w:customStyle="1" w:styleId="disclaimer-text">
    <w:name w:val="disclaimer-text"/>
    <w:basedOn w:val="Basetext"/>
    <w:rsid w:val="00EF3582"/>
    <w:pPr>
      <w:spacing w:before="240" w:line="480" w:lineRule="auto"/>
      <w:jc w:val="both"/>
    </w:pPr>
  </w:style>
  <w:style w:type="paragraph" w:styleId="TOC1">
    <w:name w:val="toc 1"/>
    <w:basedOn w:val="Normal"/>
    <w:next w:val="Normal"/>
    <w:uiPriority w:val="39"/>
    <w:rsid w:val="00500AF8"/>
    <w:pPr>
      <w:tabs>
        <w:tab w:val="right" w:leader="dot" w:pos="9360"/>
      </w:tabs>
      <w:spacing w:before="240"/>
      <w:ind w:left="540" w:right="720" w:hanging="540"/>
    </w:pPr>
    <w:rPr>
      <w:noProof/>
    </w:rPr>
  </w:style>
  <w:style w:type="paragraph" w:styleId="TOC2">
    <w:name w:val="toc 2"/>
    <w:basedOn w:val="Normal"/>
    <w:next w:val="Normal"/>
    <w:uiPriority w:val="39"/>
    <w:rsid w:val="00500AF8"/>
    <w:pPr>
      <w:tabs>
        <w:tab w:val="left" w:pos="1080"/>
        <w:tab w:val="right" w:leader="dot" w:pos="9360"/>
      </w:tabs>
      <w:ind w:left="1080" w:right="720" w:hanging="540"/>
    </w:pPr>
    <w:rPr>
      <w:noProof/>
    </w:rPr>
  </w:style>
  <w:style w:type="paragraph" w:styleId="TOC3">
    <w:name w:val="toc 3"/>
    <w:basedOn w:val="Normal"/>
    <w:next w:val="Normal"/>
    <w:uiPriority w:val="39"/>
    <w:rsid w:val="005029AD"/>
    <w:pPr>
      <w:tabs>
        <w:tab w:val="left" w:pos="1800"/>
        <w:tab w:val="right" w:leader="dot" w:pos="9360"/>
      </w:tabs>
      <w:spacing w:before="80" w:after="40"/>
      <w:ind w:left="1800" w:right="720" w:hanging="720"/>
    </w:pPr>
    <w:rPr>
      <w:noProof/>
      <w:szCs w:val="24"/>
    </w:rPr>
  </w:style>
  <w:style w:type="paragraph" w:styleId="TOC4">
    <w:name w:val="toc 4"/>
    <w:basedOn w:val="Normal"/>
    <w:next w:val="Normal"/>
    <w:rsid w:val="00500AF8"/>
    <w:pPr>
      <w:tabs>
        <w:tab w:val="right" w:leader="dot" w:pos="9360"/>
      </w:tabs>
      <w:spacing w:before="60"/>
      <w:ind w:left="1080" w:right="630"/>
    </w:pPr>
  </w:style>
  <w:style w:type="paragraph" w:styleId="TOC5">
    <w:name w:val="toc 5"/>
    <w:basedOn w:val="Normal"/>
    <w:next w:val="Normal"/>
    <w:uiPriority w:val="39"/>
    <w:rsid w:val="00500AF8"/>
    <w:pPr>
      <w:tabs>
        <w:tab w:val="right" w:leader="dot" w:pos="9360"/>
      </w:tabs>
      <w:ind w:left="540" w:right="720" w:hanging="540"/>
    </w:pPr>
  </w:style>
  <w:style w:type="paragraph" w:styleId="TOCHeading">
    <w:name w:val="TOC Heading"/>
    <w:basedOn w:val="Baseheading"/>
    <w:next w:val="Normal"/>
    <w:uiPriority w:val="39"/>
    <w:qFormat/>
    <w:rsid w:val="00500AF8"/>
    <w:pPr>
      <w:jc w:val="center"/>
      <w:outlineLvl w:val="9"/>
    </w:pPr>
    <w:rPr>
      <w:rFonts w:ascii="Times New Roman Bold" w:eastAsia="Times New Roman" w:hAnsi="Times New Roman Bold"/>
      <w:bCs/>
      <w:caps/>
      <w:kern w:val="32"/>
      <w:szCs w:val="32"/>
    </w:rPr>
  </w:style>
  <w:style w:type="paragraph" w:customStyle="1" w:styleId="TOCsubheading">
    <w:name w:val="TOC_subheading"/>
    <w:basedOn w:val="TOC1"/>
    <w:qFormat/>
    <w:rsid w:val="00E55F4B"/>
    <w:pPr>
      <w:tabs>
        <w:tab w:val="right" w:pos="9360"/>
      </w:tabs>
    </w:pPr>
  </w:style>
  <w:style w:type="paragraph" w:customStyle="1" w:styleId="es-heading1">
    <w:name w:val="es-heading_1"/>
    <w:basedOn w:val="Baseheading"/>
    <w:rsid w:val="009F4ADE"/>
    <w:pPr>
      <w:jc w:val="center"/>
    </w:pPr>
    <w:rPr>
      <w:rFonts w:ascii="Times New Roman Bold" w:hAnsi="Times New Roman Bold"/>
      <w:caps/>
    </w:rPr>
  </w:style>
  <w:style w:type="paragraph" w:customStyle="1" w:styleId="es-heading2">
    <w:name w:val="es-heading_2"/>
    <w:basedOn w:val="Baseheading"/>
    <w:qFormat/>
    <w:rsid w:val="009F4ADE"/>
    <w:pPr>
      <w:ind w:left="720" w:hanging="720"/>
    </w:pPr>
  </w:style>
  <w:style w:type="paragraph" w:customStyle="1" w:styleId="es-heading3">
    <w:name w:val="es-heading_3"/>
    <w:basedOn w:val="Baseheading"/>
    <w:qFormat/>
    <w:rsid w:val="009F4ADE"/>
    <w:pPr>
      <w:ind w:left="1440" w:hanging="720"/>
    </w:pPr>
  </w:style>
  <w:style w:type="paragraph" w:customStyle="1" w:styleId="bullets">
    <w:name w:val="bullets"/>
    <w:basedOn w:val="Basetext"/>
    <w:rsid w:val="002C5EE5"/>
    <w:pPr>
      <w:numPr>
        <w:numId w:val="7"/>
      </w:numPr>
      <w:spacing w:line="480" w:lineRule="auto"/>
    </w:pPr>
  </w:style>
  <w:style w:type="paragraph" w:customStyle="1" w:styleId="bullets2nd-level">
    <w:name w:val="bullets_2nd-level"/>
    <w:basedOn w:val="Basetext"/>
    <w:rsid w:val="002C5EE5"/>
    <w:pPr>
      <w:numPr>
        <w:numId w:val="8"/>
      </w:numPr>
      <w:spacing w:line="480" w:lineRule="auto"/>
    </w:pPr>
  </w:style>
  <w:style w:type="paragraph" w:customStyle="1" w:styleId="bullets3rd-level">
    <w:name w:val="bullets_3rd-level"/>
    <w:basedOn w:val="Basetext"/>
    <w:rsid w:val="002C5EE5"/>
    <w:pPr>
      <w:numPr>
        <w:numId w:val="9"/>
      </w:numPr>
      <w:spacing w:line="480" w:lineRule="auto"/>
    </w:pPr>
  </w:style>
  <w:style w:type="paragraph" w:styleId="ListContinue">
    <w:name w:val="List Continue"/>
    <w:basedOn w:val="Normal"/>
    <w:rsid w:val="00133591"/>
    <w:pPr>
      <w:spacing w:after="240"/>
      <w:ind w:left="1080"/>
    </w:pPr>
  </w:style>
  <w:style w:type="paragraph" w:customStyle="1" w:styleId="numbers">
    <w:name w:val="numbers"/>
    <w:basedOn w:val="Basetext"/>
    <w:rsid w:val="002C5EE5"/>
    <w:pPr>
      <w:spacing w:line="480" w:lineRule="auto"/>
      <w:ind w:left="1080" w:hanging="360"/>
    </w:pPr>
  </w:style>
  <w:style w:type="paragraph" w:customStyle="1" w:styleId="numbers2nd-level">
    <w:name w:val="numbers_2nd-level"/>
    <w:basedOn w:val="Basetext"/>
    <w:rsid w:val="002C5EE5"/>
    <w:pPr>
      <w:spacing w:line="480" w:lineRule="auto"/>
      <w:ind w:left="1440" w:hanging="360"/>
    </w:pPr>
  </w:style>
  <w:style w:type="paragraph" w:customStyle="1" w:styleId="equation">
    <w:name w:val="equation"/>
    <w:rsid w:val="004C3410"/>
    <w:pPr>
      <w:tabs>
        <w:tab w:val="center" w:pos="4680"/>
        <w:tab w:val="right" w:pos="9360"/>
      </w:tabs>
      <w:spacing w:after="240" w:line="480" w:lineRule="atLeast"/>
    </w:pPr>
    <w:rPr>
      <w:rFonts w:ascii="Times New Roman" w:eastAsia="Times New Roman" w:hAnsi="Times New Roman"/>
      <w:sz w:val="24"/>
    </w:rPr>
  </w:style>
  <w:style w:type="paragraph" w:customStyle="1" w:styleId="table-bullet2nd">
    <w:name w:val="table-bullet_2nd"/>
    <w:basedOn w:val="Basetext"/>
    <w:rsid w:val="00524BE1"/>
    <w:pPr>
      <w:numPr>
        <w:numId w:val="12"/>
      </w:numPr>
      <w:spacing w:before="120" w:after="120"/>
    </w:pPr>
    <w:rPr>
      <w:szCs w:val="18"/>
    </w:rPr>
  </w:style>
  <w:style w:type="paragraph" w:customStyle="1" w:styleId="table-bulletind">
    <w:name w:val="table-bullet_ind"/>
    <w:basedOn w:val="Basetext"/>
    <w:rsid w:val="00524BE1"/>
    <w:pPr>
      <w:numPr>
        <w:numId w:val="13"/>
      </w:numPr>
      <w:spacing w:before="120" w:after="120"/>
    </w:pPr>
    <w:rPr>
      <w:rFonts w:eastAsia="MS Mincho"/>
    </w:rPr>
  </w:style>
  <w:style w:type="paragraph" w:customStyle="1" w:styleId="table-bulletLM">
    <w:name w:val="table-bullet_LM"/>
    <w:basedOn w:val="Basetext"/>
    <w:qFormat/>
    <w:rsid w:val="00524BE1"/>
    <w:pPr>
      <w:numPr>
        <w:numId w:val="16"/>
      </w:numPr>
      <w:autoSpaceDE w:val="0"/>
      <w:autoSpaceDN w:val="0"/>
      <w:adjustRightInd w:val="0"/>
      <w:spacing w:before="120" w:after="120"/>
    </w:pPr>
    <w:rPr>
      <w:rFonts w:eastAsia="Times New Roman"/>
      <w:snapToGrid w:val="0"/>
      <w:szCs w:val="24"/>
    </w:rPr>
  </w:style>
  <w:style w:type="paragraph" w:customStyle="1" w:styleId="table-headers">
    <w:name w:val="table-headers"/>
    <w:basedOn w:val="Basetext"/>
    <w:qFormat/>
    <w:rsid w:val="00BF56C0"/>
    <w:pPr>
      <w:keepNext/>
      <w:spacing w:before="80" w:after="80"/>
      <w:jc w:val="center"/>
    </w:pPr>
    <w:rPr>
      <w:b/>
      <w:snapToGrid w:val="0"/>
    </w:rPr>
  </w:style>
  <w:style w:type="paragraph" w:customStyle="1" w:styleId="table-text">
    <w:name w:val="table-text"/>
    <w:basedOn w:val="Basetext"/>
    <w:rsid w:val="00BF56C0"/>
    <w:pPr>
      <w:spacing w:before="60" w:after="60"/>
    </w:pPr>
  </w:style>
  <w:style w:type="paragraph" w:customStyle="1" w:styleId="table-textindent">
    <w:name w:val="table-text_indent"/>
    <w:basedOn w:val="Basetext"/>
    <w:qFormat/>
    <w:rsid w:val="00BF56C0"/>
    <w:pPr>
      <w:spacing w:before="60" w:after="60"/>
      <w:ind w:left="216"/>
    </w:pPr>
    <w:rPr>
      <w:snapToGrid w:val="0"/>
    </w:rPr>
  </w:style>
  <w:style w:type="paragraph" w:customStyle="1" w:styleId="table-title">
    <w:name w:val="table-title"/>
    <w:basedOn w:val="Baseheading"/>
    <w:rsid w:val="00BF56C0"/>
    <w:pPr>
      <w:keepLines/>
      <w:spacing w:before="120" w:after="120"/>
    </w:pPr>
  </w:style>
  <w:style w:type="paragraph" w:customStyle="1" w:styleId="figure-notealt-1">
    <w:name w:val="figure-note_alt-1"/>
    <w:basedOn w:val="Basetext"/>
    <w:rsid w:val="006B633D"/>
    <w:pPr>
      <w:keepLines/>
      <w:spacing w:before="60"/>
    </w:pPr>
  </w:style>
  <w:style w:type="paragraph" w:customStyle="1" w:styleId="figure-sourcealt-1">
    <w:name w:val="figure-source_alt-1"/>
    <w:basedOn w:val="Basetext"/>
    <w:rsid w:val="006B633D"/>
    <w:pPr>
      <w:keepLines/>
      <w:spacing w:before="120"/>
    </w:pPr>
  </w:style>
  <w:style w:type="paragraph" w:customStyle="1" w:styleId="figure-sourcestd">
    <w:name w:val="figure-source_std"/>
    <w:basedOn w:val="Basetext"/>
    <w:rsid w:val="006B633D"/>
    <w:pPr>
      <w:keepLines/>
      <w:spacing w:before="120" w:after="240" w:line="480" w:lineRule="auto"/>
    </w:pPr>
  </w:style>
  <w:style w:type="paragraph" w:customStyle="1" w:styleId="app-heading1">
    <w:name w:val="app-heading_1"/>
    <w:basedOn w:val="Baseheading"/>
    <w:rsid w:val="00C40B3A"/>
    <w:pPr>
      <w:jc w:val="center"/>
    </w:pPr>
    <w:rPr>
      <w:rFonts w:ascii="Times New Roman Bold" w:hAnsi="Times New Roman Bold"/>
      <w:caps/>
    </w:rPr>
  </w:style>
  <w:style w:type="paragraph" w:styleId="ListContinue2">
    <w:name w:val="List Continue 2"/>
    <w:basedOn w:val="Normal"/>
    <w:uiPriority w:val="99"/>
    <w:rsid w:val="00133591"/>
    <w:pPr>
      <w:spacing w:after="120"/>
      <w:ind w:left="720"/>
      <w:contextualSpacing/>
    </w:pPr>
  </w:style>
  <w:style w:type="paragraph" w:styleId="ListParagraph">
    <w:name w:val="List Paragraph"/>
    <w:basedOn w:val="Normal"/>
    <w:uiPriority w:val="34"/>
    <w:qFormat/>
    <w:rsid w:val="00133591"/>
    <w:pPr>
      <w:ind w:left="720"/>
    </w:pPr>
  </w:style>
  <w:style w:type="paragraph" w:customStyle="1" w:styleId="biblio-entry">
    <w:name w:val="biblio-entry"/>
    <w:basedOn w:val="Basetext"/>
    <w:rsid w:val="0044018F"/>
    <w:pPr>
      <w:keepLines/>
      <w:spacing w:line="480" w:lineRule="auto"/>
      <w:ind w:left="720" w:hanging="720"/>
    </w:pPr>
  </w:style>
  <w:style w:type="paragraph" w:customStyle="1" w:styleId="biblio-header">
    <w:name w:val="biblio-header"/>
    <w:basedOn w:val="Baseheading"/>
    <w:rsid w:val="0044018F"/>
    <w:rPr>
      <w:rFonts w:ascii="Times New Roman Bold" w:hAnsi="Times New Roman Bold"/>
      <w:caps/>
    </w:rPr>
  </w:style>
  <w:style w:type="paragraph" w:styleId="BlockText">
    <w:name w:val="Block Text"/>
    <w:basedOn w:val="Basetext"/>
    <w:rsid w:val="00D11470"/>
    <w:pPr>
      <w:spacing w:after="240"/>
      <w:ind w:left="1440" w:right="1440"/>
    </w:pPr>
  </w:style>
  <w:style w:type="paragraph" w:customStyle="1" w:styleId="figure-inline">
    <w:name w:val="figure-inline"/>
    <w:basedOn w:val="Basetext"/>
    <w:rsid w:val="00524BE1"/>
    <w:pPr>
      <w:keepNext/>
      <w:jc w:val="center"/>
    </w:pPr>
  </w:style>
  <w:style w:type="paragraph" w:customStyle="1" w:styleId="figure-inlinew-box">
    <w:name w:val="figure-inline_w-box"/>
    <w:basedOn w:val="Basetext"/>
    <w:rsid w:val="002C5EE5"/>
    <w:pPr>
      <w:keepNext/>
      <w:pBdr>
        <w:top w:val="single" w:sz="12" w:space="6" w:color="auto"/>
        <w:left w:val="single" w:sz="12" w:space="6" w:color="auto"/>
        <w:bottom w:val="single" w:sz="12" w:space="6" w:color="auto"/>
        <w:right w:val="single" w:sz="12" w:space="6" w:color="auto"/>
      </w:pBdr>
      <w:spacing w:before="240"/>
      <w:ind w:left="180" w:right="180"/>
      <w:jc w:val="center"/>
    </w:pPr>
  </w:style>
  <w:style w:type="paragraph" w:customStyle="1" w:styleId="figure-title">
    <w:name w:val="figure-title"/>
    <w:basedOn w:val="Baseheading"/>
    <w:rsid w:val="00524BE1"/>
    <w:pPr>
      <w:keepLines/>
      <w:spacing w:before="0" w:after="0" w:line="480" w:lineRule="auto"/>
    </w:pPr>
  </w:style>
  <w:style w:type="character" w:styleId="FootnoteReference">
    <w:name w:val="footnote reference"/>
    <w:rsid w:val="00C40B3A"/>
    <w:rPr>
      <w:rFonts w:ascii="Times New Roman" w:hAnsi="Times New Roman"/>
      <w:b w:val="0"/>
      <w:i w:val="0"/>
      <w:color w:val="auto"/>
      <w:spacing w:val="0"/>
      <w:w w:val="100"/>
      <w:kern w:val="0"/>
      <w:position w:val="0"/>
      <w:sz w:val="24"/>
      <w:vertAlign w:val="superscript"/>
    </w:rPr>
  </w:style>
  <w:style w:type="paragraph" w:styleId="FootnoteText">
    <w:name w:val="footnote text"/>
    <w:basedOn w:val="Normal"/>
    <w:link w:val="FootnoteTextChar"/>
    <w:rsid w:val="00C40B3A"/>
    <w:pPr>
      <w:spacing w:after="240"/>
      <w:ind w:left="274" w:hanging="274"/>
    </w:pPr>
    <w:rPr>
      <w:sz w:val="20"/>
    </w:rPr>
  </w:style>
  <w:style w:type="character" w:customStyle="1" w:styleId="FootnoteTextChar">
    <w:name w:val="Footnote Text Char"/>
    <w:link w:val="FootnoteText"/>
    <w:rsid w:val="00C40B3A"/>
    <w:rPr>
      <w:rFonts w:ascii="Times New Roman" w:eastAsia="Times New Roman" w:hAnsi="Times New Roman"/>
      <w:lang w:eastAsia="en-US"/>
    </w:rPr>
  </w:style>
  <w:style w:type="paragraph" w:customStyle="1" w:styleId="table-continued">
    <w:name w:val="table-continued"/>
    <w:basedOn w:val="Basetext"/>
    <w:rsid w:val="00C1518C"/>
    <w:pPr>
      <w:jc w:val="right"/>
    </w:pPr>
  </w:style>
  <w:style w:type="paragraph" w:customStyle="1" w:styleId="table-titlecontinued">
    <w:name w:val="table-title_continued"/>
    <w:basedOn w:val="Baseheading"/>
    <w:rsid w:val="0044018F"/>
    <w:pPr>
      <w:spacing w:before="0"/>
    </w:pPr>
  </w:style>
  <w:style w:type="paragraph" w:customStyle="1" w:styleId="ack-header">
    <w:name w:val="ack-header"/>
    <w:basedOn w:val="Baseheading"/>
    <w:rsid w:val="006C27EC"/>
    <w:pPr>
      <w:jc w:val="center"/>
    </w:pPr>
    <w:rPr>
      <w:rFonts w:ascii="Times New Roman Bold" w:hAnsi="Times New Roman Bold"/>
      <w:caps/>
    </w:rPr>
  </w:style>
  <w:style w:type="paragraph" w:customStyle="1" w:styleId="ack-text">
    <w:name w:val="ack-text"/>
    <w:basedOn w:val="Basetext"/>
    <w:rsid w:val="006C27EC"/>
    <w:pPr>
      <w:spacing w:after="240"/>
      <w:ind w:firstLine="720"/>
    </w:pPr>
  </w:style>
  <w:style w:type="paragraph" w:customStyle="1" w:styleId="titlepage-title">
    <w:name w:val="titlepage-title"/>
    <w:basedOn w:val="Basetext"/>
    <w:next w:val="Title"/>
    <w:rsid w:val="002C5EE5"/>
    <w:pPr>
      <w:spacing w:after="240"/>
      <w:jc w:val="center"/>
    </w:pPr>
    <w:rPr>
      <w:rFonts w:ascii="Times New Roman Bold" w:hAnsi="Times New Roman Bold"/>
      <w:b/>
      <w:szCs w:val="24"/>
    </w:rPr>
  </w:style>
  <w:style w:type="paragraph" w:styleId="Title">
    <w:name w:val="Title"/>
    <w:basedOn w:val="Normal"/>
    <w:next w:val="Normal"/>
    <w:link w:val="TitleChar"/>
    <w:uiPriority w:val="10"/>
    <w:qFormat/>
    <w:rsid w:val="005924F9"/>
    <w:pPr>
      <w:spacing w:before="240" w:after="60"/>
      <w:jc w:val="center"/>
      <w:outlineLvl w:val="0"/>
    </w:pPr>
    <w:rPr>
      <w:rFonts w:ascii="Cambria" w:eastAsia="SimSun" w:hAnsi="Cambria"/>
      <w:b/>
      <w:bCs/>
      <w:kern w:val="28"/>
      <w:sz w:val="32"/>
      <w:szCs w:val="32"/>
    </w:rPr>
  </w:style>
  <w:style w:type="character" w:customStyle="1" w:styleId="TitleChar">
    <w:name w:val="Title Char"/>
    <w:link w:val="Title"/>
    <w:uiPriority w:val="10"/>
    <w:rsid w:val="005924F9"/>
    <w:rPr>
      <w:rFonts w:ascii="Cambria" w:eastAsia="SimSun" w:hAnsi="Cambria" w:cs="Times New Roman"/>
      <w:b/>
      <w:bCs/>
      <w:kern w:val="28"/>
      <w:sz w:val="32"/>
      <w:szCs w:val="32"/>
    </w:rPr>
  </w:style>
  <w:style w:type="paragraph" w:styleId="Footer">
    <w:name w:val="footer"/>
    <w:basedOn w:val="Normal"/>
    <w:link w:val="FooterChar"/>
    <w:uiPriority w:val="99"/>
    <w:rsid w:val="00B72674"/>
    <w:pPr>
      <w:tabs>
        <w:tab w:val="center" w:pos="4680"/>
        <w:tab w:val="right" w:pos="9360"/>
      </w:tabs>
      <w:jc w:val="center"/>
    </w:pPr>
  </w:style>
  <w:style w:type="character" w:customStyle="1" w:styleId="FooterChar">
    <w:name w:val="Footer Char"/>
    <w:link w:val="Footer"/>
    <w:uiPriority w:val="99"/>
    <w:rsid w:val="00B72674"/>
    <w:rPr>
      <w:rFonts w:ascii="Times New Roman" w:eastAsia="Times New Roman" w:hAnsi="Times New Roman"/>
      <w:sz w:val="24"/>
    </w:rPr>
  </w:style>
  <w:style w:type="paragraph" w:customStyle="1" w:styleId="body-textcontinued">
    <w:name w:val="body-text_continued"/>
    <w:basedOn w:val="Basetext"/>
    <w:rsid w:val="002C5EE5"/>
    <w:pPr>
      <w:spacing w:line="480" w:lineRule="auto"/>
    </w:pPr>
  </w:style>
  <w:style w:type="paragraph" w:customStyle="1" w:styleId="table-notealt-1">
    <w:name w:val="table-note_alt-1"/>
    <w:basedOn w:val="Basetext"/>
    <w:rsid w:val="00A51C1D"/>
    <w:pPr>
      <w:keepLines/>
      <w:spacing w:before="60"/>
    </w:pPr>
  </w:style>
  <w:style w:type="paragraph" w:customStyle="1" w:styleId="table-sourcealt-1">
    <w:name w:val="table-source_alt-1"/>
    <w:basedOn w:val="Basetext"/>
    <w:rsid w:val="00A51C1D"/>
    <w:pPr>
      <w:keepLines/>
      <w:spacing w:before="120"/>
    </w:pPr>
  </w:style>
  <w:style w:type="paragraph" w:customStyle="1" w:styleId="table-sourcestd">
    <w:name w:val="table-source_std"/>
    <w:basedOn w:val="Basetext"/>
    <w:rsid w:val="006B633D"/>
    <w:pPr>
      <w:keepLines/>
      <w:spacing w:before="120" w:after="240" w:line="480" w:lineRule="auto"/>
    </w:pPr>
  </w:style>
  <w:style w:type="paragraph" w:customStyle="1" w:styleId="cover-project-no">
    <w:name w:val="cover-project-no"/>
    <w:basedOn w:val="Basetext"/>
    <w:rsid w:val="00473349"/>
    <w:pPr>
      <w:spacing w:before="480" w:after="240"/>
      <w:jc w:val="right"/>
    </w:pPr>
    <w:rPr>
      <w:rFonts w:ascii="Arial" w:hAnsi="Arial"/>
    </w:rPr>
  </w:style>
  <w:style w:type="paragraph" w:customStyle="1" w:styleId="author-list-name">
    <w:name w:val="author-list-name"/>
    <w:basedOn w:val="Basetext"/>
    <w:rsid w:val="00EF3582"/>
    <w:pPr>
      <w:autoSpaceDE w:val="0"/>
      <w:autoSpaceDN w:val="0"/>
      <w:adjustRightInd w:val="0"/>
      <w:spacing w:before="240" w:after="240"/>
      <w:jc w:val="center"/>
    </w:pPr>
    <w:rPr>
      <w:szCs w:val="24"/>
    </w:rPr>
  </w:style>
  <w:style w:type="paragraph" w:customStyle="1" w:styleId="titlepage-text">
    <w:name w:val="titlepage-text"/>
    <w:basedOn w:val="Basetext"/>
    <w:rsid w:val="00EF3582"/>
    <w:pPr>
      <w:spacing w:before="240"/>
    </w:pPr>
  </w:style>
  <w:style w:type="paragraph" w:customStyle="1" w:styleId="titlepage-project-no">
    <w:name w:val="titlepage-project-no"/>
    <w:basedOn w:val="Basetext"/>
    <w:rsid w:val="005A00A4"/>
    <w:pPr>
      <w:spacing w:before="240" w:after="240"/>
      <w:jc w:val="center"/>
    </w:pPr>
  </w:style>
  <w:style w:type="paragraph" w:customStyle="1" w:styleId="summary-header">
    <w:name w:val="summary-header"/>
    <w:basedOn w:val="Baseheading"/>
    <w:rsid w:val="00F3525E"/>
    <w:pPr>
      <w:autoSpaceDE w:val="0"/>
      <w:autoSpaceDN w:val="0"/>
      <w:adjustRightInd w:val="0"/>
      <w:jc w:val="center"/>
    </w:pPr>
    <w:rPr>
      <w:rFonts w:ascii="Times New Roman Bold" w:eastAsia="Times New Roman" w:hAnsi="Times New Roman Bold"/>
      <w:caps/>
      <w:szCs w:val="24"/>
    </w:rPr>
  </w:style>
  <w:style w:type="paragraph" w:customStyle="1" w:styleId="summary-text">
    <w:name w:val="summary-text"/>
    <w:basedOn w:val="Basetext"/>
    <w:rsid w:val="00203B56"/>
    <w:pPr>
      <w:autoSpaceDE w:val="0"/>
      <w:autoSpaceDN w:val="0"/>
      <w:adjustRightInd w:val="0"/>
      <w:spacing w:after="240"/>
      <w:ind w:firstLine="720"/>
    </w:pPr>
    <w:rPr>
      <w:szCs w:val="24"/>
    </w:rPr>
  </w:style>
  <w:style w:type="paragraph" w:customStyle="1" w:styleId="table-notealt-2">
    <w:name w:val="table-note_alt-2"/>
    <w:basedOn w:val="Basetext"/>
    <w:rsid w:val="006B633D"/>
    <w:pPr>
      <w:keepLines/>
      <w:autoSpaceDE w:val="0"/>
      <w:autoSpaceDN w:val="0"/>
      <w:adjustRightInd w:val="0"/>
      <w:spacing w:before="60" w:after="240"/>
    </w:pPr>
    <w:rPr>
      <w:szCs w:val="24"/>
    </w:rPr>
  </w:style>
  <w:style w:type="paragraph" w:customStyle="1" w:styleId="table-notestd">
    <w:name w:val="table-note_std"/>
    <w:basedOn w:val="Basetext"/>
    <w:rsid w:val="00A51C1D"/>
    <w:pPr>
      <w:keepLines/>
      <w:autoSpaceDE w:val="0"/>
      <w:autoSpaceDN w:val="0"/>
      <w:adjustRightInd w:val="0"/>
      <w:spacing w:before="120"/>
    </w:pPr>
    <w:rPr>
      <w:szCs w:val="24"/>
    </w:rPr>
  </w:style>
  <w:style w:type="paragraph" w:customStyle="1" w:styleId="figure-notealt-2">
    <w:name w:val="figure-note_alt-2"/>
    <w:basedOn w:val="Basetext"/>
    <w:rsid w:val="006B633D"/>
    <w:pPr>
      <w:keepLines/>
      <w:autoSpaceDE w:val="0"/>
      <w:autoSpaceDN w:val="0"/>
      <w:adjustRightInd w:val="0"/>
      <w:spacing w:before="60" w:after="240"/>
    </w:pPr>
    <w:rPr>
      <w:szCs w:val="24"/>
    </w:rPr>
  </w:style>
  <w:style w:type="paragraph" w:customStyle="1" w:styleId="figure-notestd">
    <w:name w:val="figure-note_std"/>
    <w:basedOn w:val="Basetext"/>
    <w:rsid w:val="006B633D"/>
    <w:pPr>
      <w:keepLines/>
      <w:autoSpaceDE w:val="0"/>
      <w:autoSpaceDN w:val="0"/>
      <w:adjustRightInd w:val="0"/>
      <w:spacing w:before="120" w:line="480" w:lineRule="auto"/>
    </w:pPr>
    <w:rPr>
      <w:szCs w:val="24"/>
    </w:rPr>
  </w:style>
  <w:style w:type="paragraph" w:customStyle="1" w:styleId="titlepage-subtitle">
    <w:name w:val="titlepage-subtitle"/>
    <w:basedOn w:val="Baseheading"/>
    <w:qFormat/>
    <w:rsid w:val="00D66C52"/>
    <w:pPr>
      <w:autoSpaceDE w:val="0"/>
      <w:autoSpaceDN w:val="0"/>
      <w:adjustRightInd w:val="0"/>
      <w:jc w:val="center"/>
    </w:pPr>
    <w:rPr>
      <w:rFonts w:eastAsia="Times New Roman"/>
      <w:b w:val="0"/>
      <w:bCs/>
      <w:szCs w:val="24"/>
    </w:rPr>
  </w:style>
  <w:style w:type="paragraph" w:styleId="Header">
    <w:name w:val="header"/>
    <w:basedOn w:val="Normal"/>
    <w:link w:val="HeaderChar"/>
    <w:uiPriority w:val="99"/>
    <w:rsid w:val="008466B1"/>
    <w:pPr>
      <w:tabs>
        <w:tab w:val="center" w:pos="4320"/>
        <w:tab w:val="right" w:pos="8640"/>
      </w:tabs>
    </w:pPr>
  </w:style>
  <w:style w:type="character" w:customStyle="1" w:styleId="HeaderChar">
    <w:name w:val="Header Char"/>
    <w:link w:val="Header"/>
    <w:uiPriority w:val="99"/>
    <w:rsid w:val="008466B1"/>
    <w:rPr>
      <w:rFonts w:ascii="Times New Roman" w:eastAsia="Times New Roman" w:hAnsi="Times New Roman"/>
      <w:sz w:val="24"/>
    </w:rPr>
  </w:style>
  <w:style w:type="character" w:styleId="PageNumber">
    <w:name w:val="page number"/>
    <w:basedOn w:val="DefaultParagraphFont"/>
    <w:rsid w:val="008466B1"/>
  </w:style>
  <w:style w:type="character" w:styleId="Hyperlink">
    <w:name w:val="Hyperlink"/>
    <w:uiPriority w:val="99"/>
    <w:rsid w:val="008466B1"/>
    <w:rPr>
      <w:color w:val="0000FF"/>
      <w:u w:val="single"/>
    </w:rPr>
  </w:style>
  <w:style w:type="character" w:styleId="CommentReference">
    <w:name w:val="annotation reference"/>
    <w:uiPriority w:val="99"/>
    <w:rsid w:val="008466B1"/>
    <w:rPr>
      <w:sz w:val="16"/>
      <w:szCs w:val="16"/>
    </w:rPr>
  </w:style>
  <w:style w:type="paragraph" w:styleId="CommentText">
    <w:name w:val="annotation text"/>
    <w:basedOn w:val="Normal"/>
    <w:link w:val="CommentTextChar"/>
    <w:rsid w:val="008466B1"/>
    <w:rPr>
      <w:sz w:val="20"/>
    </w:rPr>
  </w:style>
  <w:style w:type="character" w:customStyle="1" w:styleId="CommentTextChar">
    <w:name w:val="Comment Text Char"/>
    <w:link w:val="CommentText"/>
    <w:rsid w:val="008466B1"/>
    <w:rPr>
      <w:rFonts w:ascii="Times New Roman" w:eastAsia="Times New Roman" w:hAnsi="Times New Roman"/>
    </w:rPr>
  </w:style>
  <w:style w:type="paragraph" w:styleId="BalloonText">
    <w:name w:val="Balloon Text"/>
    <w:basedOn w:val="Normal"/>
    <w:link w:val="BalloonTextChar"/>
    <w:uiPriority w:val="99"/>
    <w:semiHidden/>
    <w:unhideWhenUsed/>
    <w:rsid w:val="008466B1"/>
    <w:rPr>
      <w:rFonts w:ascii="Segoe UI" w:hAnsi="Segoe UI" w:cs="Segoe UI"/>
      <w:sz w:val="18"/>
      <w:szCs w:val="18"/>
    </w:rPr>
  </w:style>
  <w:style w:type="character" w:customStyle="1" w:styleId="BalloonTextChar">
    <w:name w:val="Balloon Text Char"/>
    <w:link w:val="BalloonText"/>
    <w:uiPriority w:val="99"/>
    <w:semiHidden/>
    <w:rsid w:val="008466B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70537"/>
    <w:rPr>
      <w:b/>
      <w:bCs/>
    </w:rPr>
  </w:style>
  <w:style w:type="character" w:customStyle="1" w:styleId="CommentSubjectChar">
    <w:name w:val="Comment Subject Char"/>
    <w:link w:val="CommentSubject"/>
    <w:uiPriority w:val="99"/>
    <w:semiHidden/>
    <w:rsid w:val="00A70537"/>
    <w:rPr>
      <w:rFonts w:ascii="Times New Roman" w:eastAsia="Times New Roman" w:hAnsi="Times New Roman"/>
      <w:b/>
      <w:bCs/>
    </w:rPr>
  </w:style>
  <w:style w:type="paragraph" w:styleId="Quote">
    <w:name w:val="Quote"/>
    <w:basedOn w:val="Normal"/>
    <w:next w:val="Normal"/>
    <w:link w:val="QuoteChar"/>
    <w:uiPriority w:val="29"/>
    <w:qFormat/>
    <w:rsid w:val="002C5EE5"/>
    <w:pPr>
      <w:spacing w:line="480" w:lineRule="auto"/>
      <w:ind w:left="864" w:right="864"/>
      <w:jc w:val="center"/>
    </w:pPr>
    <w:rPr>
      <w:i/>
      <w:iCs/>
    </w:rPr>
  </w:style>
  <w:style w:type="character" w:customStyle="1" w:styleId="QuoteChar">
    <w:name w:val="Quote Char"/>
    <w:link w:val="Quote"/>
    <w:uiPriority w:val="29"/>
    <w:rsid w:val="002C5EE5"/>
    <w:rPr>
      <w:rFonts w:ascii="Times New Roman" w:eastAsia="Times New Roman" w:hAnsi="Times New Roman"/>
      <w:i/>
      <w:iCs/>
      <w:sz w:val="24"/>
    </w:rPr>
  </w:style>
  <w:style w:type="table" w:styleId="TableGrid">
    <w:name w:val="Table Grid"/>
    <w:basedOn w:val="TableNormal"/>
    <w:uiPriority w:val="39"/>
    <w:rsid w:val="00BF56C0"/>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app">
    <w:name w:val="table-title_app"/>
    <w:basedOn w:val="table-titlecontinued"/>
    <w:qFormat/>
    <w:rsid w:val="000B772D"/>
  </w:style>
  <w:style w:type="paragraph" w:styleId="NormalWeb">
    <w:name w:val="Normal (Web)"/>
    <w:basedOn w:val="Normal"/>
    <w:uiPriority w:val="99"/>
    <w:semiHidden/>
    <w:unhideWhenUsed/>
    <w:rsid w:val="00BF56C0"/>
    <w:pPr>
      <w:spacing w:before="100" w:beforeAutospacing="1" w:after="100" w:afterAutospacing="1"/>
    </w:pPr>
    <w:rPr>
      <w:szCs w:val="24"/>
    </w:rPr>
  </w:style>
  <w:style w:type="paragraph" w:customStyle="1" w:styleId="EndNoteBibliographyTitle">
    <w:name w:val="EndNote Bibliography Title"/>
    <w:basedOn w:val="Normal"/>
    <w:link w:val="EndNoteBibliographyTitleChar"/>
    <w:rsid w:val="00BF56C0"/>
    <w:pPr>
      <w:spacing w:line="259" w:lineRule="auto"/>
      <w:jc w:val="center"/>
    </w:pPr>
    <w:rPr>
      <w:rFonts w:eastAsia="Calibri"/>
      <w:noProof/>
      <w:szCs w:val="22"/>
    </w:rPr>
  </w:style>
  <w:style w:type="character" w:customStyle="1" w:styleId="EndNoteBibliographyTitleChar">
    <w:name w:val="EndNote Bibliography Title Char"/>
    <w:link w:val="EndNoteBibliographyTitle"/>
    <w:rsid w:val="00BF56C0"/>
    <w:rPr>
      <w:rFonts w:ascii="Times New Roman" w:eastAsia="Calibri" w:hAnsi="Times New Roman"/>
      <w:noProof/>
      <w:sz w:val="24"/>
      <w:szCs w:val="22"/>
    </w:rPr>
  </w:style>
  <w:style w:type="paragraph" w:customStyle="1" w:styleId="EndNoteBibliography">
    <w:name w:val="EndNote Bibliography"/>
    <w:basedOn w:val="Normal"/>
    <w:link w:val="EndNoteBibliographyChar"/>
    <w:rsid w:val="00BF56C0"/>
    <w:pPr>
      <w:spacing w:after="160"/>
    </w:pPr>
    <w:rPr>
      <w:rFonts w:eastAsia="Calibri"/>
      <w:noProof/>
      <w:szCs w:val="22"/>
    </w:rPr>
  </w:style>
  <w:style w:type="character" w:customStyle="1" w:styleId="EndNoteBibliographyChar">
    <w:name w:val="EndNote Bibliography Char"/>
    <w:link w:val="EndNoteBibliography"/>
    <w:rsid w:val="00BF56C0"/>
    <w:rPr>
      <w:rFonts w:ascii="Times New Roman" w:eastAsia="Calibri" w:hAnsi="Times New Roman"/>
      <w:noProof/>
      <w:sz w:val="24"/>
      <w:szCs w:val="22"/>
    </w:rPr>
  </w:style>
  <w:style w:type="character" w:styleId="FollowedHyperlink">
    <w:name w:val="FollowedHyperlink"/>
    <w:uiPriority w:val="99"/>
    <w:semiHidden/>
    <w:unhideWhenUsed/>
    <w:rsid w:val="00BF56C0"/>
    <w:rPr>
      <w:color w:val="954F72"/>
      <w:u w:val="single"/>
    </w:rPr>
  </w:style>
  <w:style w:type="character" w:styleId="Emphasis">
    <w:name w:val="Emphasis"/>
    <w:uiPriority w:val="20"/>
    <w:qFormat/>
    <w:rsid w:val="00BF56C0"/>
    <w:rPr>
      <w:i/>
      <w:iCs/>
    </w:rPr>
  </w:style>
  <w:style w:type="character" w:customStyle="1" w:styleId="apple-converted-space">
    <w:name w:val="apple-converted-space"/>
    <w:rsid w:val="00BF56C0"/>
  </w:style>
  <w:style w:type="paragraph" w:styleId="Revision">
    <w:name w:val="Revision"/>
    <w:hidden/>
    <w:uiPriority w:val="99"/>
    <w:semiHidden/>
    <w:rsid w:val="00BF56C0"/>
    <w:rPr>
      <w:rFonts w:eastAsia="Calibri" w:cs="Arial"/>
      <w:sz w:val="22"/>
      <w:szCs w:val="22"/>
    </w:rPr>
  </w:style>
  <w:style w:type="paragraph" w:customStyle="1" w:styleId="BodyText1">
    <w:name w:val="Body Text1"/>
    <w:basedOn w:val="Normal"/>
    <w:rsid w:val="001C133F"/>
    <w:pPr>
      <w:spacing w:line="480" w:lineRule="auto"/>
      <w:ind w:firstLine="720"/>
    </w:pPr>
    <w:rPr>
      <w:sz w:val="20"/>
    </w:rPr>
  </w:style>
  <w:style w:type="paragraph" w:customStyle="1" w:styleId="tabfigtitle">
    <w:name w:val="tab/fig title"/>
    <w:basedOn w:val="Normal"/>
    <w:rsid w:val="001C133F"/>
    <w:pPr>
      <w:keepNext/>
      <w:keepLines/>
      <w:spacing w:line="480" w:lineRule="auto"/>
    </w:pPr>
    <w:rPr>
      <w:b/>
      <w:sz w:val="20"/>
    </w:rPr>
  </w:style>
  <w:style w:type="paragraph" w:customStyle="1" w:styleId="tabfigsource">
    <w:name w:val="tab/fig source"/>
    <w:basedOn w:val="Normal"/>
    <w:rsid w:val="001C133F"/>
    <w:pPr>
      <w:keepLines/>
      <w:spacing w:line="480" w:lineRule="auto"/>
      <w:ind w:left="187" w:hanging="187"/>
    </w:pPr>
    <w:rPr>
      <w:sz w:val="20"/>
    </w:rPr>
  </w:style>
  <w:style w:type="paragraph" w:customStyle="1" w:styleId="TableHeader">
    <w:name w:val="Table Header"/>
    <w:basedOn w:val="Normal"/>
    <w:qFormat/>
    <w:rsid w:val="001C133F"/>
    <w:pPr>
      <w:keepNext/>
      <w:spacing w:line="480" w:lineRule="auto"/>
      <w:jc w:val="center"/>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BAA27-3FF8-43AF-95C2-EC8ED284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Inera Inc</Company>
  <LinksUpToDate>false</LinksUpToDate>
  <CharactersWithSpaces>6680</CharactersWithSpaces>
  <SharedDoc>false</SharedDoc>
  <HLinks>
    <vt:vector size="6" baseType="variant">
      <vt:variant>
        <vt:i4>655422</vt:i4>
      </vt:variant>
      <vt:variant>
        <vt:i4>0</vt:i4>
      </vt:variant>
      <vt:variant>
        <vt:i4>0</vt:i4>
      </vt:variant>
      <vt:variant>
        <vt:i4>5</vt:i4>
      </vt:variant>
      <vt:variant>
        <vt:lpwstr>mailto:________________@rti.org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Bogus</dc:creator>
  <cp:keywords/>
  <cp:lastModifiedBy>Glasheen, Cristie</cp:lastModifiedBy>
  <cp:revision>5</cp:revision>
  <dcterms:created xsi:type="dcterms:W3CDTF">2018-08-22T14:43:00Z</dcterms:created>
  <dcterms:modified xsi:type="dcterms:W3CDTF">2018-08-30T15:33:00Z</dcterms:modified>
</cp:coreProperties>
</file>