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6B" w:rsidRPr="004902BB" w:rsidRDefault="001D696B" w:rsidP="004902BB">
      <w:pPr>
        <w:spacing w:line="480" w:lineRule="auto"/>
        <w:rPr>
          <w:rFonts w:ascii="Times New Roman" w:hAnsi="Times New Roman" w:cs="Times New Roman"/>
          <w:b/>
          <w:i/>
          <w:sz w:val="24"/>
          <w:szCs w:val="24"/>
        </w:rPr>
      </w:pPr>
      <w:r w:rsidRPr="004902BB">
        <w:rPr>
          <w:rFonts w:ascii="Times New Roman" w:hAnsi="Times New Roman" w:cs="Times New Roman"/>
          <w:b/>
          <w:i/>
          <w:sz w:val="24"/>
          <w:szCs w:val="24"/>
        </w:rPr>
        <w:t>Sample exclusion criteria:</w:t>
      </w:r>
    </w:p>
    <w:p w:rsidR="00C10C55" w:rsidRDefault="001D696B" w:rsidP="004902BB">
      <w:pPr>
        <w:spacing w:line="480" w:lineRule="auto"/>
        <w:rPr>
          <w:rFonts w:ascii="Times New Roman" w:hAnsi="Times New Roman" w:cs="Times New Roman"/>
          <w:sz w:val="24"/>
          <w:szCs w:val="24"/>
        </w:rPr>
      </w:pPr>
      <w:r>
        <w:rPr>
          <w:rFonts w:ascii="Times New Roman" w:hAnsi="Times New Roman" w:cs="Times New Roman"/>
          <w:sz w:val="24"/>
          <w:szCs w:val="24"/>
        </w:rPr>
        <w:t>Children were excluded from analyses if they: 1) had missing AEDC scores (</w:t>
      </w:r>
      <w:r w:rsidRPr="00500ACF">
        <w:rPr>
          <w:rFonts w:ascii="Times New Roman" w:hAnsi="Times New Roman" w:cs="Times New Roman"/>
          <w:i/>
          <w:sz w:val="24"/>
          <w:szCs w:val="24"/>
        </w:rPr>
        <w:t>n</w:t>
      </w:r>
      <w:r>
        <w:rPr>
          <w:rFonts w:ascii="Times New Roman" w:hAnsi="Times New Roman" w:cs="Times New Roman"/>
          <w:sz w:val="24"/>
          <w:szCs w:val="24"/>
        </w:rPr>
        <w:t xml:space="preserve">=382); 2) were from a multiple birth, in which case one child from each twin or triplet set was randomly selected (excluded </w:t>
      </w:r>
      <w:r w:rsidRPr="00500ACF">
        <w:rPr>
          <w:rFonts w:ascii="Times New Roman" w:hAnsi="Times New Roman" w:cs="Times New Roman"/>
          <w:i/>
          <w:sz w:val="24"/>
          <w:szCs w:val="24"/>
        </w:rPr>
        <w:t>n</w:t>
      </w:r>
      <w:r>
        <w:rPr>
          <w:rFonts w:ascii="Times New Roman" w:hAnsi="Times New Roman" w:cs="Times New Roman"/>
          <w:sz w:val="24"/>
          <w:szCs w:val="24"/>
        </w:rPr>
        <w:t>=274); 3) had a parent who had died during the study period (</w:t>
      </w:r>
      <w:r w:rsidRPr="00500ACF">
        <w:rPr>
          <w:rFonts w:ascii="Times New Roman" w:hAnsi="Times New Roman" w:cs="Times New Roman"/>
          <w:i/>
          <w:sz w:val="24"/>
          <w:szCs w:val="24"/>
        </w:rPr>
        <w:t>n</w:t>
      </w:r>
      <w:r>
        <w:rPr>
          <w:rFonts w:ascii="Times New Roman" w:hAnsi="Times New Roman" w:cs="Times New Roman"/>
          <w:sz w:val="24"/>
          <w:szCs w:val="24"/>
        </w:rPr>
        <w:t>=132); 4)</w:t>
      </w:r>
      <w:r w:rsidRPr="00213C30">
        <w:rPr>
          <w:rFonts w:ascii="Times New Roman" w:hAnsi="Times New Roman" w:cs="Times New Roman"/>
          <w:sz w:val="24"/>
          <w:szCs w:val="24"/>
        </w:rPr>
        <w:t xml:space="preserve"> </w:t>
      </w:r>
      <w:r>
        <w:rPr>
          <w:rFonts w:ascii="Times New Roman" w:hAnsi="Times New Roman" w:cs="Times New Roman"/>
          <w:sz w:val="24"/>
          <w:szCs w:val="24"/>
        </w:rPr>
        <w:t>were identified by the teacher as ‘special needs’ in the AEDC dataset (</w:t>
      </w:r>
      <w:r w:rsidRPr="00500ACF">
        <w:rPr>
          <w:rFonts w:ascii="Times New Roman" w:hAnsi="Times New Roman" w:cs="Times New Roman"/>
          <w:i/>
          <w:sz w:val="24"/>
          <w:szCs w:val="24"/>
        </w:rPr>
        <w:t>n</w:t>
      </w:r>
      <w:r>
        <w:rPr>
          <w:rFonts w:ascii="Times New Roman" w:hAnsi="Times New Roman" w:cs="Times New Roman"/>
          <w:sz w:val="24"/>
          <w:szCs w:val="24"/>
        </w:rPr>
        <w:t>=753); or 5) had a diagnosis of developmental disorder (e.g., autism) or cerebral palsy in the Health Department datasets (</w:t>
      </w:r>
      <w:r w:rsidRPr="00500ACF">
        <w:rPr>
          <w:rFonts w:ascii="Times New Roman" w:hAnsi="Times New Roman" w:cs="Times New Roman"/>
          <w:i/>
          <w:sz w:val="24"/>
          <w:szCs w:val="24"/>
        </w:rPr>
        <w:t>n</w:t>
      </w:r>
      <w:r>
        <w:rPr>
          <w:rFonts w:ascii="Times New Roman" w:hAnsi="Times New Roman" w:cs="Times New Roman"/>
          <w:sz w:val="24"/>
          <w:szCs w:val="24"/>
        </w:rPr>
        <w:t>=41). Children considered as ‘special needs’ are those with a diagnosed disability (physical, intellectual), as identified on the child’s school record. AEDC category scores are not calculated for these children, since they have already been identified as having substantial developmental needs, and are receiving in-school assistance. Children with a developmental disorder or cerebral palsy were likewise excluded to limit the potential for confounding school readiness outcomes with pre-existing developmental conditions. Children whose parents had died were excluded from the sample to limit the potential for confounding the association between developmental vulnerability and parental death, with the association between developmental vulnerability and parental psychiatric disorder.</w:t>
      </w:r>
    </w:p>
    <w:p w:rsidR="001D696B" w:rsidRPr="004902BB" w:rsidRDefault="001D696B" w:rsidP="004902BB">
      <w:pPr>
        <w:spacing w:line="480" w:lineRule="auto"/>
        <w:rPr>
          <w:rFonts w:ascii="Times New Roman" w:hAnsi="Times New Roman" w:cs="Times New Roman"/>
          <w:b/>
          <w:i/>
          <w:sz w:val="24"/>
          <w:szCs w:val="24"/>
        </w:rPr>
      </w:pPr>
      <w:r w:rsidRPr="004902BB">
        <w:rPr>
          <w:rFonts w:ascii="Times New Roman" w:hAnsi="Times New Roman" w:cs="Times New Roman"/>
          <w:b/>
          <w:i/>
          <w:sz w:val="24"/>
          <w:szCs w:val="24"/>
        </w:rPr>
        <w:t>Details of data sources for covariates:</w:t>
      </w:r>
    </w:p>
    <w:p w:rsidR="00B5557A" w:rsidRDefault="00B5557A" w:rsidP="004902BB">
      <w:pPr>
        <w:spacing w:line="480" w:lineRule="auto"/>
        <w:rPr>
          <w:rFonts w:ascii="Times New Roman" w:hAnsi="Times New Roman" w:cs="Times New Roman"/>
          <w:sz w:val="24"/>
          <w:szCs w:val="24"/>
        </w:rPr>
      </w:pPr>
      <w:r w:rsidRPr="00057E27">
        <w:rPr>
          <w:rFonts w:ascii="Times New Roman" w:hAnsi="Times New Roman" w:cs="Times New Roman"/>
          <w:sz w:val="24"/>
          <w:szCs w:val="24"/>
        </w:rPr>
        <w:t>Datasets were linked by the WA Data Linkage Branch by matching</w:t>
      </w:r>
      <w:bookmarkStart w:id="0" w:name="_GoBack"/>
      <w:bookmarkEnd w:id="0"/>
      <w:r w:rsidRPr="00057E27">
        <w:rPr>
          <w:rFonts w:ascii="Times New Roman" w:hAnsi="Times New Roman" w:cs="Times New Roman"/>
          <w:sz w:val="24"/>
          <w:szCs w:val="24"/>
        </w:rPr>
        <w:t xml:space="preserve"> identifiers common to the sets of records (e.g.</w:t>
      </w:r>
      <w:r>
        <w:rPr>
          <w:rFonts w:ascii="Times New Roman" w:hAnsi="Times New Roman" w:cs="Times New Roman"/>
          <w:sz w:val="24"/>
          <w:szCs w:val="24"/>
        </w:rPr>
        <w:t>,</w:t>
      </w:r>
      <w:r w:rsidRPr="00057E27">
        <w:rPr>
          <w:rFonts w:ascii="Times New Roman" w:hAnsi="Times New Roman" w:cs="Times New Roman"/>
          <w:sz w:val="24"/>
          <w:szCs w:val="24"/>
        </w:rPr>
        <w:t xml:space="preserve"> name, address etc</w:t>
      </w:r>
      <w:r>
        <w:rPr>
          <w:rFonts w:ascii="Times New Roman" w:hAnsi="Times New Roman" w:cs="Times New Roman"/>
          <w:sz w:val="24"/>
          <w:szCs w:val="24"/>
        </w:rPr>
        <w:t>.</w:t>
      </w:r>
      <w:r w:rsidRPr="00057E27">
        <w:rPr>
          <w:rFonts w:ascii="Times New Roman" w:hAnsi="Times New Roman" w:cs="Times New Roman"/>
          <w:sz w:val="24"/>
          <w:szCs w:val="24"/>
        </w:rPr>
        <w:t>)</w:t>
      </w:r>
      <w:r>
        <w:rPr>
          <w:rFonts w:ascii="Times New Roman" w:hAnsi="Times New Roman" w:cs="Times New Roman"/>
          <w:sz w:val="24"/>
          <w:szCs w:val="24"/>
        </w:rPr>
        <w:t xml:space="preserve">, using a probabilistic matching approach and clerical review </w:t>
      </w:r>
      <w:r w:rsidRPr="00995BD5">
        <w:rPr>
          <w:rFonts w:ascii="Times New Roman" w:hAnsi="Times New Roman" w:cs="Times New Roman"/>
          <w:noProof/>
          <w:sz w:val="24"/>
          <w:szCs w:val="24"/>
        </w:rPr>
        <w:t xml:space="preserve">(Holman </w:t>
      </w:r>
      <w:r w:rsidRPr="00500ACF">
        <w:rPr>
          <w:rFonts w:ascii="Times New Roman" w:hAnsi="Times New Roman" w:cs="Times New Roman"/>
          <w:i/>
          <w:noProof/>
          <w:sz w:val="24"/>
          <w:szCs w:val="24"/>
        </w:rPr>
        <w:t>et al</w:t>
      </w:r>
      <w:r w:rsidRPr="00995BD5">
        <w:rPr>
          <w:rFonts w:ascii="Times New Roman" w:hAnsi="Times New Roman" w:cs="Times New Roman"/>
          <w:noProof/>
          <w:sz w:val="24"/>
          <w:szCs w:val="24"/>
        </w:rPr>
        <w:t>., 2008)</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Biological child-parent links were made using the WA Family Connections Genealogical System (</w:t>
      </w:r>
      <w:r w:rsidRPr="008F4EBF">
        <w:rPr>
          <w:rFonts w:ascii="Times New Roman" w:hAnsi="Times New Roman" w:cs="Times New Roman"/>
          <w:sz w:val="24"/>
          <w:szCs w:val="24"/>
        </w:rPr>
        <w:t xml:space="preserve">Glasson </w:t>
      </w:r>
      <w:r w:rsidRPr="008F4EBF">
        <w:rPr>
          <w:rFonts w:ascii="Times New Roman" w:hAnsi="Times New Roman" w:cs="Times New Roman"/>
          <w:i/>
          <w:sz w:val="24"/>
          <w:szCs w:val="24"/>
        </w:rPr>
        <w:t>et al</w:t>
      </w:r>
      <w:r w:rsidRPr="008F4EBF">
        <w:rPr>
          <w:rFonts w:ascii="Times New Roman" w:hAnsi="Times New Roman" w:cs="Times New Roman"/>
          <w:sz w:val="24"/>
          <w:szCs w:val="24"/>
        </w:rPr>
        <w:t>., 2008),</w:t>
      </w:r>
      <w:r>
        <w:rPr>
          <w:rFonts w:ascii="Times New Roman" w:hAnsi="Times New Roman" w:cs="Times New Roman"/>
          <w:sz w:val="24"/>
          <w:szCs w:val="24"/>
        </w:rPr>
        <w:t xml:space="preserve"> which uses birth records to link children with parents within administrative data sets.</w:t>
      </w:r>
    </w:p>
    <w:p w:rsidR="001D696B" w:rsidRDefault="001D696B" w:rsidP="001D696B">
      <w:pPr>
        <w:pStyle w:val="Body"/>
        <w:rPr>
          <w:b/>
          <w:i/>
        </w:rPr>
      </w:pPr>
      <w:r>
        <w:rPr>
          <w:b/>
          <w:i/>
        </w:rPr>
        <w:t>Child characteristics</w:t>
      </w:r>
    </w:p>
    <w:p w:rsidR="001D696B" w:rsidRDefault="001D696B" w:rsidP="001D696B">
      <w:pPr>
        <w:pStyle w:val="Body"/>
      </w:pPr>
      <w:r>
        <w:t xml:space="preserve">Child gender, year of birth, and Aboriginality were obtained from the Midwives Notification System, provided by the WA Health Department, and Birth Registrations, from </w:t>
      </w:r>
      <w:r>
        <w:lastRenderedPageBreak/>
        <w:t>the WA Department of the Attorney General. These datasets contain pregnancy and birth information for all births in WA.</w:t>
      </w:r>
      <w:r w:rsidRPr="00EE1817">
        <w:t xml:space="preserve"> </w:t>
      </w:r>
      <w:r>
        <w:t xml:space="preserve">In the AEDC dataset, teacher-reported information identified children who spoke English as a second language (ESL). If there were any values for Aboriginality missing from the birth information, this was imputed from the AEDC dataset, which takes this information from the child’s school enrolment record. </w:t>
      </w:r>
    </w:p>
    <w:p w:rsidR="001D696B" w:rsidRDefault="001D696B" w:rsidP="001D696B">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Parent characteristics</w:t>
      </w:r>
      <w:r>
        <w:rPr>
          <w:rFonts w:ascii="Times New Roman" w:hAnsi="Times New Roman" w:cs="Times New Roman"/>
          <w:sz w:val="24"/>
          <w:szCs w:val="24"/>
        </w:rPr>
        <w:t xml:space="preserve"> </w:t>
      </w:r>
    </w:p>
    <w:p w:rsidR="001D696B" w:rsidRDefault="001D696B" w:rsidP="001D69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Parental age and mother’s marital status were obtained from the Midwives Notification System and Birth Registrations, and were recorded at the time of the child’s birth. </w:t>
      </w:r>
    </w:p>
    <w:p w:rsidR="001D696B" w:rsidRPr="00500ACF" w:rsidRDefault="001D696B" w:rsidP="001D696B">
      <w:pPr>
        <w:spacing w:after="0" w:line="480" w:lineRule="auto"/>
        <w:ind w:firstLine="720"/>
        <w:rPr>
          <w:rFonts w:ascii="Times New Roman" w:hAnsi="Times New Roman" w:cs="Times New Roman"/>
          <w:i/>
          <w:sz w:val="24"/>
          <w:szCs w:val="24"/>
        </w:rPr>
      </w:pPr>
      <w:r w:rsidRPr="00500ACF">
        <w:rPr>
          <w:rFonts w:ascii="Times New Roman" w:hAnsi="Times New Roman" w:cs="Times New Roman"/>
          <w:b/>
          <w:i/>
          <w:sz w:val="24"/>
          <w:szCs w:val="24"/>
        </w:rPr>
        <w:t>Community characteristics</w:t>
      </w:r>
      <w:r w:rsidRPr="00500ACF">
        <w:rPr>
          <w:rFonts w:ascii="Times New Roman" w:hAnsi="Times New Roman" w:cs="Times New Roman"/>
          <w:i/>
          <w:sz w:val="24"/>
          <w:szCs w:val="24"/>
        </w:rPr>
        <w:t xml:space="preserve"> </w:t>
      </w:r>
    </w:p>
    <w:p w:rsidR="001D696B" w:rsidRDefault="001D696B" w:rsidP="001D69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AEDC dataset, each child is assigned an ID for the local community in which they were residing at the time of AEDC completion. Each local community ID has corresponding values for the Australian Standard Geographical Classification </w:t>
      </w:r>
      <w:r>
        <w:rPr>
          <w:rFonts w:ascii="Times New Roman" w:hAnsi="Times New Roman" w:cs="Times New Roman"/>
          <w:noProof/>
          <w:sz w:val="24"/>
          <w:szCs w:val="24"/>
        </w:rPr>
        <w:t xml:space="preserve">(ASGC; </w:t>
      </w:r>
      <w:r w:rsidRPr="00995BD5">
        <w:rPr>
          <w:rFonts w:ascii="Times New Roman" w:hAnsi="Times New Roman" w:cs="Times New Roman"/>
          <w:noProof/>
          <w:sz w:val="24"/>
          <w:szCs w:val="24"/>
        </w:rPr>
        <w:t>Australian Bureau of Statistics</w:t>
      </w:r>
      <w:r>
        <w:rPr>
          <w:rFonts w:ascii="Times New Roman" w:hAnsi="Times New Roman" w:cs="Times New Roman"/>
          <w:noProof/>
          <w:sz w:val="24"/>
          <w:szCs w:val="24"/>
        </w:rPr>
        <w:t xml:space="preserve">, </w:t>
      </w:r>
      <w:r w:rsidRPr="00995BD5">
        <w:rPr>
          <w:rFonts w:ascii="Times New Roman" w:hAnsi="Times New Roman" w:cs="Times New Roman"/>
          <w:noProof/>
          <w:sz w:val="24"/>
          <w:szCs w:val="24"/>
        </w:rPr>
        <w:t>2011a</w:t>
      </w:r>
      <w:r w:rsidRPr="009A390B">
        <w:rPr>
          <w:rFonts w:ascii="Times New Roman" w:hAnsi="Times New Roman" w:cs="Times New Roman"/>
          <w:noProof/>
          <w:sz w:val="24"/>
          <w:szCs w:val="24"/>
        </w:rPr>
        <w:t>)</w:t>
      </w:r>
      <w:r w:rsidRPr="00057E27">
        <w:rPr>
          <w:rFonts w:ascii="Times New Roman" w:hAnsi="Times New Roman" w:cs="Times New Roman"/>
          <w:sz w:val="24"/>
          <w:szCs w:val="24"/>
        </w:rPr>
        <w:t xml:space="preserve"> and </w:t>
      </w:r>
      <w:r>
        <w:rPr>
          <w:rFonts w:ascii="Times New Roman" w:hAnsi="Times New Roman" w:cs="Times New Roman"/>
          <w:sz w:val="24"/>
          <w:szCs w:val="24"/>
        </w:rPr>
        <w:t xml:space="preserve">Index of Relative Socioeconomic Disadvantage </w:t>
      </w:r>
      <w:r>
        <w:rPr>
          <w:rFonts w:ascii="Times New Roman" w:hAnsi="Times New Roman" w:cs="Times New Roman"/>
          <w:noProof/>
          <w:sz w:val="24"/>
          <w:szCs w:val="24"/>
        </w:rPr>
        <w:t xml:space="preserve">(IRSD; </w:t>
      </w:r>
      <w:r w:rsidRPr="00995BD5">
        <w:rPr>
          <w:rFonts w:ascii="Times New Roman" w:hAnsi="Times New Roman" w:cs="Times New Roman"/>
          <w:noProof/>
          <w:sz w:val="24"/>
          <w:szCs w:val="24"/>
        </w:rPr>
        <w:t>Australian Bureau of Statistics</w:t>
      </w:r>
      <w:r>
        <w:rPr>
          <w:rFonts w:ascii="Times New Roman" w:hAnsi="Times New Roman" w:cs="Times New Roman"/>
          <w:noProof/>
          <w:sz w:val="24"/>
          <w:szCs w:val="24"/>
        </w:rPr>
        <w:t>, 2011b</w:t>
      </w:r>
      <w:r w:rsidRPr="009A390B">
        <w:rPr>
          <w:rFonts w:ascii="Times New Roman" w:hAnsi="Times New Roman" w:cs="Times New Roman"/>
          <w:noProof/>
          <w:sz w:val="24"/>
          <w:szCs w:val="24"/>
        </w:rPr>
        <w:t>)</w:t>
      </w:r>
      <w:r w:rsidRPr="00057E27">
        <w:rPr>
          <w:rFonts w:ascii="Times New Roman" w:hAnsi="Times New Roman" w:cs="Times New Roman"/>
          <w:sz w:val="24"/>
          <w:szCs w:val="24"/>
        </w:rPr>
        <w:t xml:space="preserve">, </w:t>
      </w:r>
      <w:r>
        <w:rPr>
          <w:rFonts w:ascii="Times New Roman" w:hAnsi="Times New Roman" w:cs="Times New Roman"/>
          <w:sz w:val="24"/>
          <w:szCs w:val="24"/>
        </w:rPr>
        <w:t>which are</w:t>
      </w:r>
      <w:r w:rsidRPr="00057E27">
        <w:rPr>
          <w:rFonts w:ascii="Times New Roman" w:hAnsi="Times New Roman" w:cs="Times New Roman"/>
          <w:sz w:val="24"/>
          <w:szCs w:val="24"/>
        </w:rPr>
        <w:t xml:space="preserve"> determined by the </w:t>
      </w:r>
      <w:r>
        <w:rPr>
          <w:rFonts w:ascii="Times New Roman" w:hAnsi="Times New Roman" w:cs="Times New Roman"/>
          <w:sz w:val="24"/>
          <w:szCs w:val="24"/>
        </w:rPr>
        <w:t>Australian Bureau of Statistics</w:t>
      </w:r>
      <w:r w:rsidRPr="00057E27">
        <w:rPr>
          <w:rFonts w:ascii="Times New Roman" w:hAnsi="Times New Roman" w:cs="Times New Roman"/>
          <w:sz w:val="24"/>
          <w:szCs w:val="24"/>
        </w:rPr>
        <w:t xml:space="preserve">. </w:t>
      </w:r>
      <w:r>
        <w:rPr>
          <w:rFonts w:ascii="Times New Roman" w:hAnsi="Times New Roman" w:cs="Times New Roman"/>
          <w:sz w:val="24"/>
          <w:szCs w:val="24"/>
        </w:rPr>
        <w:t>The</w:t>
      </w:r>
      <w:r w:rsidRPr="001F0717">
        <w:rPr>
          <w:rFonts w:ascii="Times New Roman" w:hAnsi="Times New Roman" w:cs="Times New Roman"/>
          <w:sz w:val="24"/>
          <w:szCs w:val="24"/>
        </w:rPr>
        <w:t xml:space="preserve"> ASGC classifies a geographical area as metropolitan, inner/outer regional, or remote/very remote, based on the access to goods, services, and opportunities for social interaction in that area. Due to smaller cohort numbers outside the metropolitan areas, these five </w:t>
      </w:r>
      <w:r>
        <w:rPr>
          <w:rFonts w:ascii="Times New Roman" w:hAnsi="Times New Roman" w:cs="Times New Roman"/>
          <w:sz w:val="24"/>
          <w:szCs w:val="24"/>
        </w:rPr>
        <w:t>categories</w:t>
      </w:r>
      <w:r w:rsidRPr="001F0717">
        <w:rPr>
          <w:rFonts w:ascii="Times New Roman" w:hAnsi="Times New Roman" w:cs="Times New Roman"/>
          <w:sz w:val="24"/>
          <w:szCs w:val="24"/>
        </w:rPr>
        <w:t xml:space="preserve"> were collapsed into three (metropolitan, regional, remote). The IRSD is derived from census information that reflects </w:t>
      </w:r>
      <w:r>
        <w:rPr>
          <w:rFonts w:ascii="Times New Roman" w:hAnsi="Times New Roman" w:cs="Times New Roman"/>
          <w:sz w:val="24"/>
          <w:szCs w:val="24"/>
        </w:rPr>
        <w:t xml:space="preserve">area-level </w:t>
      </w:r>
      <w:r w:rsidRPr="001F0717">
        <w:rPr>
          <w:rFonts w:ascii="Times New Roman" w:hAnsi="Times New Roman" w:cs="Times New Roman"/>
          <w:sz w:val="24"/>
          <w:szCs w:val="24"/>
        </w:rPr>
        <w:t>disadvantage such as low income, low educational attainment, high unemployment, and jobs in relatively unskilled occupations.</w:t>
      </w:r>
      <w:r>
        <w:rPr>
          <w:rFonts w:ascii="Times New Roman" w:hAnsi="Times New Roman" w:cs="Times New Roman"/>
          <w:sz w:val="24"/>
          <w:szCs w:val="24"/>
        </w:rPr>
        <w:t xml:space="preserve"> Local communities are given a score ranging from 1 (most disadvantaged) to 5 (least disadvantaged). </w:t>
      </w:r>
    </w:p>
    <w:p w:rsidR="001D696B" w:rsidRDefault="001D696B" w:rsidP="001D696B"/>
    <w:p w:rsidR="009301CC" w:rsidRDefault="009301CC" w:rsidP="001D696B"/>
    <w:p w:rsidR="004902BB" w:rsidRDefault="004902BB" w:rsidP="004902BB">
      <w:pPr>
        <w:jc w:val="center"/>
        <w:rPr>
          <w:rFonts w:ascii="Times New Roman" w:hAnsi="Times New Roman" w:cs="Times New Roman"/>
          <w:b/>
          <w:sz w:val="24"/>
        </w:rPr>
        <w:sectPr w:rsidR="004902BB">
          <w:pgSz w:w="11906" w:h="16838"/>
          <w:pgMar w:top="1440" w:right="1440" w:bottom="1440" w:left="1440" w:header="708" w:footer="708" w:gutter="0"/>
          <w:cols w:space="708"/>
          <w:docGrid w:linePitch="360"/>
        </w:sectPr>
      </w:pPr>
    </w:p>
    <w:p w:rsidR="004902BB" w:rsidRPr="004902BB" w:rsidRDefault="004902BB" w:rsidP="004902BB">
      <w:pPr>
        <w:jc w:val="center"/>
        <w:rPr>
          <w:rFonts w:ascii="Times New Roman" w:hAnsi="Times New Roman" w:cs="Times New Roman"/>
          <w:b/>
          <w:sz w:val="24"/>
        </w:rPr>
      </w:pPr>
      <w:r w:rsidRPr="004902BB">
        <w:rPr>
          <w:rFonts w:ascii="Times New Roman" w:hAnsi="Times New Roman" w:cs="Times New Roman"/>
          <w:b/>
          <w:sz w:val="24"/>
        </w:rPr>
        <w:lastRenderedPageBreak/>
        <w:t>References for supplementary material</w:t>
      </w:r>
    </w:p>
    <w:p w:rsidR="009301CC" w:rsidRDefault="009301CC" w:rsidP="001D696B"/>
    <w:p w:rsidR="009301CC" w:rsidRPr="00995BD5" w:rsidRDefault="009301CC" w:rsidP="009301CC">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3F6738">
        <w:rPr>
          <w:rFonts w:ascii="Times New Roman" w:hAnsi="Times New Roman" w:cs="Times New Roman"/>
          <w:b/>
          <w:noProof/>
          <w:sz w:val="24"/>
          <w:szCs w:val="24"/>
        </w:rPr>
        <w:t>Australian Bureau of Statistics</w:t>
      </w:r>
      <w:r w:rsidRPr="00C31446">
        <w:rPr>
          <w:rFonts w:ascii="Times New Roman" w:hAnsi="Times New Roman" w:cs="Times New Roman"/>
          <w:noProof/>
          <w:sz w:val="24"/>
          <w:szCs w:val="24"/>
        </w:rPr>
        <w:t xml:space="preserve"> (2011a).</w:t>
      </w:r>
      <w:r>
        <w:rPr>
          <w:rFonts w:ascii="Times New Roman" w:hAnsi="Times New Roman" w:cs="Times New Roman"/>
          <w:noProof/>
          <w:sz w:val="24"/>
          <w:szCs w:val="24"/>
        </w:rPr>
        <w:t xml:space="preserve"> </w:t>
      </w:r>
      <w:r w:rsidRPr="003F6738">
        <w:rPr>
          <w:rFonts w:ascii="Times New Roman" w:hAnsi="Times New Roman" w:cs="Times New Roman"/>
          <w:noProof/>
          <w:sz w:val="24"/>
          <w:szCs w:val="24"/>
        </w:rPr>
        <w:t>Australian Standard Geographical Classification.</w:t>
      </w:r>
      <w:r>
        <w:rPr>
          <w:rFonts w:ascii="Times New Roman" w:hAnsi="Times New Roman" w:cs="Times New Roman"/>
          <w:noProof/>
          <w:sz w:val="24"/>
          <w:szCs w:val="24"/>
        </w:rPr>
        <w:t xml:space="preserve"> (</w:t>
      </w:r>
      <w:hyperlink r:id="rId4" w:history="1">
        <w:r w:rsidRPr="00616EE7">
          <w:rPr>
            <w:rStyle w:val="Hyperlink"/>
            <w:rFonts w:ascii="Times New Roman" w:hAnsi="Times New Roman" w:cs="Times New Roman"/>
            <w:noProof/>
            <w:sz w:val="24"/>
            <w:szCs w:val="24"/>
          </w:rPr>
          <w:t>http://www.abs.gov.au/websitedbs/D3310114.nsf/home/Australian+Standard+Geographical+Classification+(ASGC)</w:t>
        </w:r>
      </w:hyperlink>
      <w:r>
        <w:rPr>
          <w:rFonts w:ascii="Times New Roman" w:hAnsi="Times New Roman" w:cs="Times New Roman"/>
          <w:noProof/>
          <w:sz w:val="24"/>
          <w:szCs w:val="24"/>
        </w:rPr>
        <w:t>)</w:t>
      </w:r>
    </w:p>
    <w:p w:rsidR="009301CC" w:rsidRPr="00995BD5" w:rsidRDefault="009301CC" w:rsidP="009301CC">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3F6738">
        <w:rPr>
          <w:rFonts w:ascii="Times New Roman" w:hAnsi="Times New Roman" w:cs="Times New Roman"/>
          <w:b/>
          <w:noProof/>
          <w:sz w:val="24"/>
          <w:szCs w:val="24"/>
        </w:rPr>
        <w:t xml:space="preserve">Australian Bureau of Statistics </w:t>
      </w:r>
      <w:r w:rsidRPr="00C31446">
        <w:rPr>
          <w:rFonts w:ascii="Times New Roman" w:hAnsi="Times New Roman" w:cs="Times New Roman"/>
          <w:noProof/>
          <w:sz w:val="24"/>
          <w:szCs w:val="24"/>
        </w:rPr>
        <w:t>(2011b).</w:t>
      </w:r>
      <w:r w:rsidRPr="00995BD5">
        <w:rPr>
          <w:rFonts w:ascii="Times New Roman" w:hAnsi="Times New Roman" w:cs="Times New Roman"/>
          <w:noProof/>
          <w:sz w:val="24"/>
          <w:szCs w:val="24"/>
        </w:rPr>
        <w:t xml:space="preserve"> Index of Relative Socio-economic Disadvantage. </w:t>
      </w:r>
      <w:r>
        <w:rPr>
          <w:rFonts w:ascii="Times New Roman" w:hAnsi="Times New Roman" w:cs="Times New Roman"/>
          <w:noProof/>
          <w:sz w:val="24"/>
          <w:szCs w:val="24"/>
        </w:rPr>
        <w:t>(</w:t>
      </w:r>
      <w:hyperlink r:id="rId5" w:history="1">
        <w:r w:rsidRPr="00616EE7">
          <w:rPr>
            <w:rStyle w:val="Hyperlink"/>
            <w:rFonts w:ascii="Times New Roman" w:hAnsi="Times New Roman" w:cs="Times New Roman"/>
            <w:noProof/>
            <w:sz w:val="24"/>
            <w:szCs w:val="24"/>
          </w:rPr>
          <w:t>http://www.abs.gov.au/ausstats/abs@.nsf/Lookup/2033.0.55.001main+features100052011</w:t>
        </w:r>
      </w:hyperlink>
      <w:r>
        <w:rPr>
          <w:rFonts w:ascii="Times New Roman" w:hAnsi="Times New Roman" w:cs="Times New Roman"/>
          <w:noProof/>
          <w:sz w:val="24"/>
          <w:szCs w:val="24"/>
        </w:rPr>
        <w:t>)</w:t>
      </w:r>
    </w:p>
    <w:p w:rsidR="00136963" w:rsidRPr="00522C09" w:rsidRDefault="00136963" w:rsidP="00136963">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Pr>
          <w:rFonts w:ascii="Times New Roman" w:hAnsi="Times New Roman" w:cs="Times New Roman"/>
          <w:b/>
          <w:noProof/>
          <w:sz w:val="24"/>
          <w:szCs w:val="24"/>
        </w:rPr>
        <w:t xml:space="preserve">Glasson EJ, de Klerk NH, Bass AJ, Rosman DL, Palmer LJ, &amp; Holman CDJ </w:t>
      </w:r>
      <w:r w:rsidRPr="00522C09">
        <w:rPr>
          <w:rFonts w:ascii="Times New Roman" w:hAnsi="Times New Roman" w:cs="Times New Roman"/>
          <w:noProof/>
          <w:sz w:val="24"/>
          <w:szCs w:val="24"/>
        </w:rPr>
        <w:t>(2008).</w:t>
      </w:r>
      <w:r>
        <w:rPr>
          <w:rFonts w:ascii="Times New Roman" w:hAnsi="Times New Roman" w:cs="Times New Roman"/>
          <w:noProof/>
          <w:sz w:val="24"/>
          <w:szCs w:val="24"/>
        </w:rPr>
        <w:t xml:space="preserve"> Cohort profile: The Western Australian Familiy Connections Genealogical Project. </w:t>
      </w:r>
      <w:r w:rsidRPr="00522C09">
        <w:rPr>
          <w:rFonts w:ascii="Times New Roman" w:hAnsi="Times New Roman" w:cs="Times New Roman"/>
          <w:i/>
          <w:noProof/>
          <w:sz w:val="24"/>
          <w:szCs w:val="24"/>
        </w:rPr>
        <w:t>International Journal of Epidemiology</w:t>
      </w:r>
      <w:r>
        <w:rPr>
          <w:rFonts w:ascii="Times New Roman" w:hAnsi="Times New Roman" w:cs="Times New Roman"/>
          <w:noProof/>
          <w:sz w:val="24"/>
          <w:szCs w:val="24"/>
        </w:rPr>
        <w:t xml:space="preserve">, </w:t>
      </w:r>
      <w:r w:rsidRPr="00522C09">
        <w:rPr>
          <w:rFonts w:ascii="Times New Roman" w:hAnsi="Times New Roman" w:cs="Times New Roman"/>
          <w:b/>
          <w:noProof/>
          <w:sz w:val="24"/>
          <w:szCs w:val="24"/>
        </w:rPr>
        <w:t>37</w:t>
      </w:r>
      <w:r>
        <w:rPr>
          <w:rFonts w:ascii="Times New Roman" w:hAnsi="Times New Roman" w:cs="Times New Roman"/>
          <w:noProof/>
          <w:sz w:val="24"/>
          <w:szCs w:val="24"/>
        </w:rPr>
        <w:t>, 30-35.</w:t>
      </w:r>
    </w:p>
    <w:p w:rsidR="00136963" w:rsidRPr="00995BD5" w:rsidRDefault="00136963" w:rsidP="00136963">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Pr>
          <w:rFonts w:ascii="Times New Roman" w:hAnsi="Times New Roman" w:cs="Times New Roman"/>
          <w:b/>
          <w:noProof/>
          <w:sz w:val="24"/>
          <w:szCs w:val="24"/>
        </w:rPr>
        <w:t xml:space="preserve">Holman CDJ, Bass JA, Rosman DL, Smith MB, Semmens JB, Glasson EJ, Brook EL, Trutwein B, Rouse IL, Watson CR, de Klerk NH, &amp; </w:t>
      </w:r>
      <w:r w:rsidRPr="00FA4D82">
        <w:rPr>
          <w:rFonts w:ascii="Times New Roman" w:hAnsi="Times New Roman" w:cs="Times New Roman"/>
          <w:b/>
          <w:noProof/>
          <w:sz w:val="24"/>
          <w:szCs w:val="24"/>
        </w:rPr>
        <w:t>Stanley FJ</w:t>
      </w:r>
      <w:r w:rsidRPr="00995BD5">
        <w:rPr>
          <w:rFonts w:ascii="Times New Roman" w:hAnsi="Times New Roman" w:cs="Times New Roman"/>
          <w:noProof/>
          <w:sz w:val="24"/>
          <w:szCs w:val="24"/>
        </w:rPr>
        <w:t xml:space="preserve"> (2008). A decade of data linkage in Western Australia: Strategic design, applications and benefits of the WA data linkage system. </w:t>
      </w:r>
      <w:r w:rsidRPr="00995BD5">
        <w:rPr>
          <w:rFonts w:ascii="Times New Roman" w:hAnsi="Times New Roman" w:cs="Times New Roman"/>
          <w:i/>
          <w:iCs/>
          <w:noProof/>
          <w:sz w:val="24"/>
          <w:szCs w:val="24"/>
        </w:rPr>
        <w:t>Australian Health Review</w:t>
      </w:r>
      <w:r w:rsidRPr="00995BD5">
        <w:rPr>
          <w:rFonts w:ascii="Times New Roman" w:hAnsi="Times New Roman" w:cs="Times New Roman"/>
          <w:noProof/>
          <w:sz w:val="24"/>
          <w:szCs w:val="24"/>
        </w:rPr>
        <w:t xml:space="preserve">, </w:t>
      </w:r>
      <w:r w:rsidRPr="00FA4D82">
        <w:rPr>
          <w:rFonts w:ascii="Times New Roman" w:hAnsi="Times New Roman" w:cs="Times New Roman"/>
          <w:b/>
          <w:iCs/>
          <w:noProof/>
          <w:sz w:val="24"/>
          <w:szCs w:val="24"/>
        </w:rPr>
        <w:t>32</w:t>
      </w:r>
      <w:r w:rsidRPr="00995BD5">
        <w:rPr>
          <w:rFonts w:ascii="Times New Roman" w:hAnsi="Times New Roman" w:cs="Times New Roman"/>
          <w:noProof/>
          <w:sz w:val="24"/>
          <w:szCs w:val="24"/>
        </w:rPr>
        <w:t xml:space="preserve">, 766–777. </w:t>
      </w:r>
    </w:p>
    <w:p w:rsidR="009301CC" w:rsidRPr="001D696B" w:rsidRDefault="009301CC" w:rsidP="001D696B"/>
    <w:sectPr w:rsidR="009301CC" w:rsidRPr="001D6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6B"/>
    <w:rsid w:val="00136963"/>
    <w:rsid w:val="001D696B"/>
    <w:rsid w:val="004902BB"/>
    <w:rsid w:val="009301CC"/>
    <w:rsid w:val="00B5557A"/>
    <w:rsid w:val="00C10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697D"/>
  <w15:chartTrackingRefBased/>
  <w15:docId w15:val="{4FA1274A-19F5-4159-B87F-B8FB9B4A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1D696B"/>
    <w:pPr>
      <w:spacing w:after="0" w:line="480" w:lineRule="auto"/>
      <w:ind w:firstLine="720"/>
    </w:pPr>
    <w:rPr>
      <w:rFonts w:ascii="Times New Roman" w:hAnsi="Times New Roman" w:cs="Times New Roman"/>
      <w:sz w:val="24"/>
      <w:szCs w:val="24"/>
    </w:rPr>
  </w:style>
  <w:style w:type="character" w:customStyle="1" w:styleId="BodyChar">
    <w:name w:val="Body Char"/>
    <w:basedOn w:val="DefaultParagraphFont"/>
    <w:link w:val="Body"/>
    <w:rsid w:val="001D696B"/>
    <w:rPr>
      <w:rFonts w:ascii="Times New Roman" w:hAnsi="Times New Roman" w:cs="Times New Roman"/>
      <w:sz w:val="24"/>
      <w:szCs w:val="24"/>
    </w:rPr>
  </w:style>
  <w:style w:type="character" w:styleId="Hyperlink">
    <w:name w:val="Hyperlink"/>
    <w:basedOn w:val="DefaultParagraphFont"/>
    <w:uiPriority w:val="99"/>
    <w:unhideWhenUsed/>
    <w:rsid w:val="00930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s.gov.au/ausstats/abs@.nsf/Lookup/2033.0.55.001main+features100052011" TargetMode="External"/><Relationship Id="rId4" Type="http://schemas.openxmlformats.org/officeDocument/2006/relationships/hyperlink" Target="http://www.abs.gov.au/websitedbs/D3310114.nsf/home/Australian+Standard+Geographical+Classification+(AS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Bell</dc:creator>
  <cp:keywords/>
  <dc:description/>
  <cp:lastModifiedBy>Megan Bell</cp:lastModifiedBy>
  <cp:revision>1</cp:revision>
  <dcterms:created xsi:type="dcterms:W3CDTF">2018-02-06T05:39:00Z</dcterms:created>
  <dcterms:modified xsi:type="dcterms:W3CDTF">2018-02-06T07:27:00Z</dcterms:modified>
</cp:coreProperties>
</file>