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E3" w:rsidRDefault="00D56110">
      <w:pPr>
        <w:rPr>
          <w:b/>
          <w:bCs/>
        </w:rPr>
      </w:pPr>
      <w:r>
        <w:rPr>
          <w:b/>
          <w:bCs/>
        </w:rPr>
        <w:t xml:space="preserve">Supplementary Material </w:t>
      </w:r>
      <w:r w:rsidR="00B318E1">
        <w:rPr>
          <w:b/>
          <w:bCs/>
        </w:rPr>
        <w:t>S</w:t>
      </w:r>
      <w:r w:rsidR="000B2B9E" w:rsidRPr="00F97702">
        <w:rPr>
          <w:b/>
          <w:bCs/>
        </w:rPr>
        <w:t xml:space="preserve">1. </w:t>
      </w:r>
      <w:r w:rsidR="005F49FD">
        <w:rPr>
          <w:b/>
          <w:bCs/>
        </w:rPr>
        <w:t>H</w:t>
      </w:r>
      <w:r w:rsidR="000B2B9E" w:rsidRPr="00F97702">
        <w:rPr>
          <w:b/>
          <w:bCs/>
        </w:rPr>
        <w:t>armonization initiatives</w:t>
      </w:r>
      <w:r w:rsidR="007745B7" w:rsidRPr="00F97702">
        <w:rPr>
          <w:b/>
          <w:bCs/>
        </w:rPr>
        <w:t xml:space="preserve"> </w:t>
      </w:r>
      <w:r w:rsidR="000B2B9E" w:rsidRPr="00F97702">
        <w:rPr>
          <w:b/>
          <w:bCs/>
        </w:rPr>
        <w:t>inform</w:t>
      </w:r>
      <w:r w:rsidR="005F49FD">
        <w:rPr>
          <w:b/>
          <w:bCs/>
        </w:rPr>
        <w:t>ing</w:t>
      </w:r>
      <w:r w:rsidR="000B2B9E" w:rsidRPr="00F97702">
        <w:rPr>
          <w:b/>
          <w:bCs/>
        </w:rPr>
        <w:t xml:space="preserve"> the paper</w:t>
      </w:r>
      <w:r w:rsidR="00873F50">
        <w:rPr>
          <w:b/>
          <w:bCs/>
        </w:rPr>
        <w:t xml:space="preserve"> content</w:t>
      </w:r>
    </w:p>
    <w:p w:rsidR="00EE78A6" w:rsidRDefault="007745B7">
      <w:r w:rsidRPr="003052D6">
        <w:t xml:space="preserve">The harmonization initiatives </w:t>
      </w:r>
      <w:r w:rsidR="00BE711F" w:rsidRPr="003052D6">
        <w:t>listed include</w:t>
      </w:r>
      <w:r w:rsidRPr="003052D6">
        <w:t xml:space="preserve"> </w:t>
      </w:r>
      <w:r w:rsidR="00DA328A" w:rsidRPr="003052D6">
        <w:t xml:space="preserve">collaborative </w:t>
      </w:r>
      <w:r w:rsidR="00BE711F" w:rsidRPr="003052D6">
        <w:t>projects</w:t>
      </w:r>
      <w:r w:rsidRPr="003052D6">
        <w:t xml:space="preserve"> </w:t>
      </w:r>
      <w:r w:rsidR="00BE711F" w:rsidRPr="003052D6">
        <w:t>requiring harmonization of epidemiological data from multiple individual studies</w:t>
      </w:r>
      <w:r w:rsidR="00501827">
        <w:t>.</w:t>
      </w:r>
      <w:r w:rsidR="00A0048B" w:rsidRPr="003052D6">
        <w:t xml:space="preserve"> </w:t>
      </w:r>
      <w:r w:rsidR="00362EE3" w:rsidRPr="003052D6">
        <w:t xml:space="preserve">The </w:t>
      </w:r>
      <w:r w:rsidR="00A26786" w:rsidRPr="003052D6">
        <w:t xml:space="preserve">initiatives </w:t>
      </w:r>
      <w:r w:rsidR="00362EE3" w:rsidRPr="003052D6">
        <w:t>illustrate a variety</w:t>
      </w:r>
      <w:r w:rsidRPr="003052D6">
        <w:t xml:space="preserve"> of research questions, </w:t>
      </w:r>
      <w:r w:rsidR="00362EE3" w:rsidRPr="003052D6">
        <w:t>project sizes (number of participating studies, number of variables harmonized)</w:t>
      </w:r>
      <w:r w:rsidRPr="003052D6">
        <w:t>, study populations, and analytical approaches, showcasing the divers</w:t>
      </w:r>
      <w:r w:rsidR="00362EE3" w:rsidRPr="003052D6">
        <w:t xml:space="preserve">ity of </w:t>
      </w:r>
      <w:r w:rsidRPr="003052D6">
        <w:t>experience that inform</w:t>
      </w:r>
      <w:r w:rsidR="00670A19">
        <w:t>ed</w:t>
      </w:r>
      <w:r w:rsidRPr="003052D6">
        <w:t xml:space="preserve"> the current work</w:t>
      </w:r>
      <w:r w:rsidR="00EE78A6" w:rsidRPr="003052D6">
        <w:t>.</w:t>
      </w:r>
      <w:r w:rsidR="00753C16" w:rsidRPr="003052D6">
        <w:t xml:space="preserve"> Harmonization initiative names are informal descriptive labels for the purposes of the table.</w:t>
      </w:r>
      <w:r w:rsidR="00857621" w:rsidRPr="003052D6">
        <w:t xml:space="preserve"> Core variables </w:t>
      </w:r>
      <w:r w:rsidR="00E33660" w:rsidRPr="003052D6">
        <w:t>refer to</w:t>
      </w:r>
      <w:r w:rsidR="003C5BAC" w:rsidRPr="003052D6">
        <w:t xml:space="preserve"> the </w:t>
      </w:r>
      <w:proofErr w:type="spellStart"/>
      <w:r w:rsidR="003B2C75" w:rsidRPr="003052D6">
        <w:t>DataSchema</w:t>
      </w:r>
      <w:proofErr w:type="spellEnd"/>
      <w:r w:rsidR="003B2C75" w:rsidRPr="003052D6">
        <w:t xml:space="preserve"> </w:t>
      </w:r>
      <w:r w:rsidR="003C5BAC" w:rsidRPr="003052D6">
        <w:t>variables generated across studies.</w:t>
      </w:r>
      <w:r w:rsidR="00B318E1" w:rsidRPr="003052D6">
        <w:t xml:space="preserve"> </w:t>
      </w:r>
      <w:r w:rsidR="00362EE3" w:rsidRPr="003052D6">
        <w:t>Known dates and n</w:t>
      </w:r>
      <w:r w:rsidR="00B318E1" w:rsidRPr="003052D6">
        <w:t>umber</w:t>
      </w:r>
      <w:r w:rsidR="00362EE3" w:rsidRPr="003052D6">
        <w:t xml:space="preserve">s were provided when possible but </w:t>
      </w:r>
      <w:r w:rsidR="00857621" w:rsidRPr="003052D6">
        <w:t xml:space="preserve">are </w:t>
      </w:r>
      <w:r w:rsidR="0026356D" w:rsidRPr="003052D6">
        <w:t>sometimes</w:t>
      </w:r>
      <w:r w:rsidR="00362EE3" w:rsidRPr="003052D6">
        <w:t xml:space="preserve"> approxim</w:t>
      </w:r>
      <w:r w:rsidR="0026356D" w:rsidRPr="003052D6">
        <w:t>ate,</w:t>
      </w:r>
      <w:r w:rsidR="00857621" w:rsidRPr="003052D6">
        <w:t xml:space="preserve"> </w:t>
      </w:r>
      <w:r w:rsidR="00362EE3" w:rsidRPr="003052D6">
        <w:t>not available</w:t>
      </w:r>
      <w:r w:rsidR="0026356D" w:rsidRPr="003052D6">
        <w:t xml:space="preserve"> (NA), or not applicable</w:t>
      </w:r>
      <w:r w:rsidR="00857621" w:rsidRPr="003052D6">
        <w:t xml:space="preserve"> (N/A)</w:t>
      </w:r>
      <w:r w:rsidR="00655DCF">
        <w:t xml:space="preserve"> at time of publication</w:t>
      </w:r>
      <w:r w:rsidR="00B318E1" w:rsidRPr="003052D6">
        <w:t>.</w:t>
      </w:r>
      <w:r w:rsidR="00FB2825">
        <w:t xml:space="preserve"> </w:t>
      </w:r>
    </w:p>
    <w:p w:rsidR="005C4619" w:rsidRDefault="005C4619"/>
    <w:tbl>
      <w:tblPr>
        <w:tblW w:w="12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1410"/>
        <w:gridCol w:w="581"/>
        <w:gridCol w:w="806"/>
        <w:gridCol w:w="3927"/>
        <w:gridCol w:w="1830"/>
        <w:gridCol w:w="829"/>
        <w:gridCol w:w="891"/>
        <w:gridCol w:w="1325"/>
      </w:tblGrid>
      <w:tr w:rsidR="001C3104" w:rsidRPr="005C4619" w:rsidTr="001C3104">
        <w:trPr>
          <w:trHeight w:val="720"/>
        </w:trPr>
        <w:tc>
          <w:tcPr>
            <w:tcW w:w="1342" w:type="dxa"/>
            <w:shd w:val="clear" w:color="auto" w:fill="auto"/>
            <w:vAlign w:val="center"/>
            <w:hideMark/>
          </w:tcPr>
          <w:p w:rsidR="001C3104" w:rsidRPr="005C4619" w:rsidRDefault="001C3104" w:rsidP="001C3104">
            <w:pPr>
              <w:spacing w:after="0" w:line="240" w:lineRule="auto"/>
              <w:jc w:val="center"/>
              <w:rPr>
                <w:rFonts w:ascii="Calibri" w:eastAsia="Times New Roman" w:hAnsi="Calibri" w:cs="Calibri"/>
                <w:b/>
                <w:bCs/>
                <w:color w:val="000000"/>
                <w:sz w:val="18"/>
                <w:szCs w:val="18"/>
                <w:lang w:val="en-CA" w:eastAsia="en-CA"/>
              </w:rPr>
            </w:pPr>
            <w:r w:rsidRPr="005C4619">
              <w:rPr>
                <w:rFonts w:ascii="Calibri" w:eastAsia="Times New Roman" w:hAnsi="Calibri" w:cs="Calibri"/>
                <w:b/>
                <w:bCs/>
                <w:color w:val="000000"/>
                <w:sz w:val="18"/>
                <w:szCs w:val="18"/>
                <w:lang w:val="en-CA" w:eastAsia="en-CA"/>
              </w:rPr>
              <w:t>Research networks</w:t>
            </w:r>
          </w:p>
        </w:tc>
        <w:tc>
          <w:tcPr>
            <w:tcW w:w="1410" w:type="dxa"/>
            <w:vAlign w:val="center"/>
          </w:tcPr>
          <w:p w:rsidR="001C3104" w:rsidRPr="005C4619" w:rsidRDefault="001C3104" w:rsidP="00C06945">
            <w:pPr>
              <w:spacing w:after="0" w:line="240" w:lineRule="auto"/>
              <w:jc w:val="center"/>
              <w:rPr>
                <w:rFonts w:ascii="Calibri" w:eastAsia="Times New Roman" w:hAnsi="Calibri" w:cs="Calibri"/>
                <w:b/>
                <w:bCs/>
                <w:color w:val="000000"/>
                <w:sz w:val="18"/>
                <w:szCs w:val="18"/>
                <w:lang w:val="en-CA" w:eastAsia="en-CA"/>
              </w:rPr>
            </w:pPr>
            <w:r w:rsidRPr="005C4619">
              <w:rPr>
                <w:rFonts w:ascii="Calibri" w:eastAsia="Times New Roman" w:hAnsi="Calibri" w:cs="Calibri"/>
                <w:b/>
                <w:bCs/>
                <w:color w:val="000000"/>
                <w:sz w:val="18"/>
                <w:szCs w:val="18"/>
                <w:lang w:val="en-CA" w:eastAsia="en-CA"/>
              </w:rPr>
              <w:t>Harmonization initiative</w:t>
            </w:r>
          </w:p>
        </w:tc>
        <w:tc>
          <w:tcPr>
            <w:tcW w:w="581" w:type="dxa"/>
            <w:shd w:val="clear" w:color="auto" w:fill="auto"/>
            <w:noWrap/>
            <w:vAlign w:val="center"/>
            <w:hideMark/>
          </w:tcPr>
          <w:p w:rsidR="001C3104" w:rsidRPr="005C4619" w:rsidRDefault="001C3104" w:rsidP="001C3104">
            <w:pPr>
              <w:spacing w:after="0" w:line="240" w:lineRule="auto"/>
              <w:jc w:val="center"/>
              <w:rPr>
                <w:rFonts w:ascii="Calibri" w:eastAsia="Times New Roman" w:hAnsi="Calibri" w:cs="Calibri"/>
                <w:b/>
                <w:bCs/>
                <w:color w:val="000000"/>
                <w:sz w:val="18"/>
                <w:szCs w:val="18"/>
                <w:lang w:val="en-CA" w:eastAsia="en-CA"/>
              </w:rPr>
            </w:pPr>
            <w:r w:rsidRPr="005C4619">
              <w:rPr>
                <w:rFonts w:ascii="Calibri" w:eastAsia="Times New Roman" w:hAnsi="Calibri" w:cs="Calibri"/>
                <w:b/>
                <w:bCs/>
                <w:color w:val="000000"/>
                <w:sz w:val="18"/>
                <w:szCs w:val="18"/>
                <w:lang w:val="en-CA" w:eastAsia="en-CA"/>
              </w:rPr>
              <w:t>Start</w:t>
            </w:r>
          </w:p>
        </w:tc>
        <w:tc>
          <w:tcPr>
            <w:tcW w:w="806" w:type="dxa"/>
            <w:shd w:val="clear" w:color="auto" w:fill="auto"/>
            <w:noWrap/>
            <w:vAlign w:val="center"/>
            <w:hideMark/>
          </w:tcPr>
          <w:p w:rsidR="001C3104" w:rsidRPr="005C4619" w:rsidRDefault="001C3104" w:rsidP="001C3104">
            <w:pPr>
              <w:spacing w:after="0" w:line="240" w:lineRule="auto"/>
              <w:jc w:val="center"/>
              <w:rPr>
                <w:rFonts w:ascii="Calibri" w:eastAsia="Times New Roman" w:hAnsi="Calibri" w:cs="Calibri"/>
                <w:b/>
                <w:bCs/>
                <w:color w:val="000000"/>
                <w:sz w:val="18"/>
                <w:szCs w:val="18"/>
                <w:lang w:val="en-CA" w:eastAsia="en-CA"/>
              </w:rPr>
            </w:pPr>
            <w:r w:rsidRPr="005C4619">
              <w:rPr>
                <w:rFonts w:ascii="Calibri" w:eastAsia="Times New Roman" w:hAnsi="Calibri" w:cs="Calibri"/>
                <w:b/>
                <w:bCs/>
                <w:color w:val="000000"/>
                <w:sz w:val="18"/>
                <w:szCs w:val="18"/>
                <w:lang w:val="en-CA" w:eastAsia="en-CA"/>
              </w:rPr>
              <w:t>End</w:t>
            </w:r>
          </w:p>
        </w:tc>
        <w:tc>
          <w:tcPr>
            <w:tcW w:w="3927" w:type="dxa"/>
            <w:shd w:val="clear" w:color="auto" w:fill="auto"/>
            <w:vAlign w:val="center"/>
            <w:hideMark/>
          </w:tcPr>
          <w:p w:rsidR="001C3104" w:rsidRPr="005C4619" w:rsidRDefault="001C3104" w:rsidP="001C3104">
            <w:pPr>
              <w:spacing w:after="0" w:line="240" w:lineRule="auto"/>
              <w:jc w:val="center"/>
              <w:rPr>
                <w:rFonts w:ascii="Calibri" w:eastAsia="Times New Roman" w:hAnsi="Calibri" w:cs="Calibri"/>
                <w:b/>
                <w:bCs/>
                <w:color w:val="000000"/>
                <w:sz w:val="18"/>
                <w:szCs w:val="18"/>
                <w:lang w:val="en-CA" w:eastAsia="en-CA"/>
              </w:rPr>
            </w:pPr>
            <w:r w:rsidRPr="005C4619">
              <w:rPr>
                <w:rFonts w:ascii="Calibri" w:eastAsia="Times New Roman" w:hAnsi="Calibri" w:cs="Calibri"/>
                <w:b/>
                <w:bCs/>
                <w:color w:val="000000"/>
                <w:sz w:val="18"/>
                <w:szCs w:val="18"/>
                <w:lang w:val="en-CA" w:eastAsia="en-CA"/>
              </w:rPr>
              <w:t>Objectives</w:t>
            </w:r>
          </w:p>
        </w:tc>
        <w:tc>
          <w:tcPr>
            <w:tcW w:w="1830" w:type="dxa"/>
            <w:shd w:val="clear" w:color="auto" w:fill="auto"/>
            <w:vAlign w:val="center"/>
            <w:hideMark/>
          </w:tcPr>
          <w:p w:rsidR="001C3104" w:rsidRPr="005C4619" w:rsidRDefault="001C3104" w:rsidP="001C3104">
            <w:pPr>
              <w:spacing w:after="0" w:line="240" w:lineRule="auto"/>
              <w:jc w:val="center"/>
              <w:rPr>
                <w:rFonts w:ascii="Calibri" w:eastAsia="Times New Roman" w:hAnsi="Calibri" w:cs="Calibri"/>
                <w:b/>
                <w:bCs/>
                <w:color w:val="000000"/>
                <w:sz w:val="18"/>
                <w:szCs w:val="18"/>
                <w:lang w:val="en-CA" w:eastAsia="en-CA"/>
              </w:rPr>
            </w:pPr>
            <w:r w:rsidRPr="005C4619">
              <w:rPr>
                <w:rFonts w:ascii="Calibri" w:eastAsia="Times New Roman" w:hAnsi="Calibri" w:cs="Calibri"/>
                <w:b/>
                <w:bCs/>
                <w:color w:val="000000"/>
                <w:sz w:val="18"/>
                <w:szCs w:val="18"/>
                <w:lang w:val="en-CA" w:eastAsia="en-CA"/>
              </w:rPr>
              <w:t xml:space="preserve">Regions represented </w:t>
            </w:r>
            <w:r w:rsidRPr="005C4619">
              <w:rPr>
                <w:rFonts w:ascii="Calibri" w:eastAsia="Times New Roman" w:hAnsi="Calibri" w:cs="Calibri"/>
                <w:b/>
                <w:bCs/>
                <w:color w:val="000000"/>
                <w:sz w:val="18"/>
                <w:szCs w:val="18"/>
                <w:lang w:val="en-CA" w:eastAsia="en-CA"/>
              </w:rPr>
              <w:br/>
              <w:t>(# countries)</w:t>
            </w:r>
          </w:p>
        </w:tc>
        <w:tc>
          <w:tcPr>
            <w:tcW w:w="829" w:type="dxa"/>
            <w:shd w:val="clear" w:color="auto" w:fill="auto"/>
            <w:vAlign w:val="center"/>
            <w:hideMark/>
          </w:tcPr>
          <w:p w:rsidR="001C3104" w:rsidRPr="005C4619" w:rsidRDefault="001C3104" w:rsidP="001C3104">
            <w:pPr>
              <w:spacing w:after="0" w:line="240" w:lineRule="auto"/>
              <w:jc w:val="center"/>
              <w:rPr>
                <w:rFonts w:ascii="Calibri" w:eastAsia="Times New Roman" w:hAnsi="Calibri" w:cs="Calibri"/>
                <w:b/>
                <w:bCs/>
                <w:color w:val="000000"/>
                <w:sz w:val="18"/>
                <w:szCs w:val="18"/>
                <w:lang w:val="en-CA" w:eastAsia="en-CA"/>
              </w:rPr>
            </w:pPr>
            <w:r w:rsidRPr="005C4619">
              <w:rPr>
                <w:rFonts w:ascii="Calibri" w:eastAsia="Times New Roman" w:hAnsi="Calibri" w:cs="Calibri"/>
                <w:b/>
                <w:bCs/>
                <w:color w:val="000000"/>
                <w:sz w:val="18"/>
                <w:szCs w:val="18"/>
                <w:lang w:val="en-CA" w:eastAsia="en-CA"/>
              </w:rPr>
              <w:t>Number of studies</w:t>
            </w:r>
          </w:p>
        </w:tc>
        <w:tc>
          <w:tcPr>
            <w:tcW w:w="891" w:type="dxa"/>
            <w:shd w:val="clear" w:color="auto" w:fill="auto"/>
            <w:vAlign w:val="center"/>
            <w:hideMark/>
          </w:tcPr>
          <w:p w:rsidR="001C3104" w:rsidRPr="005C4619" w:rsidRDefault="001C3104" w:rsidP="001C3104">
            <w:pPr>
              <w:spacing w:after="0" w:line="240" w:lineRule="auto"/>
              <w:jc w:val="center"/>
              <w:rPr>
                <w:rFonts w:ascii="Calibri" w:eastAsia="Times New Roman" w:hAnsi="Calibri" w:cs="Calibri"/>
                <w:b/>
                <w:bCs/>
                <w:color w:val="000000"/>
                <w:sz w:val="18"/>
                <w:szCs w:val="18"/>
                <w:lang w:val="en-CA" w:eastAsia="en-CA"/>
              </w:rPr>
            </w:pPr>
            <w:r w:rsidRPr="005C4619">
              <w:rPr>
                <w:rFonts w:ascii="Calibri" w:eastAsia="Times New Roman" w:hAnsi="Calibri" w:cs="Calibri"/>
                <w:b/>
                <w:bCs/>
                <w:color w:val="000000"/>
                <w:sz w:val="18"/>
                <w:szCs w:val="18"/>
                <w:lang w:val="en-CA" w:eastAsia="en-CA"/>
              </w:rPr>
              <w:t>Core variables</w:t>
            </w:r>
          </w:p>
        </w:tc>
        <w:tc>
          <w:tcPr>
            <w:tcW w:w="1325" w:type="dxa"/>
            <w:shd w:val="clear" w:color="auto" w:fill="auto"/>
            <w:vAlign w:val="center"/>
            <w:hideMark/>
          </w:tcPr>
          <w:p w:rsidR="001C3104" w:rsidRPr="005C4619" w:rsidRDefault="001C3104" w:rsidP="001C3104">
            <w:pPr>
              <w:spacing w:after="0" w:line="240" w:lineRule="auto"/>
              <w:jc w:val="center"/>
              <w:rPr>
                <w:rFonts w:ascii="Calibri" w:eastAsia="Times New Roman" w:hAnsi="Calibri" w:cs="Calibri"/>
                <w:b/>
                <w:bCs/>
                <w:color w:val="000000"/>
                <w:sz w:val="18"/>
                <w:szCs w:val="18"/>
                <w:lang w:val="en-CA" w:eastAsia="en-CA"/>
              </w:rPr>
            </w:pPr>
            <w:r w:rsidRPr="005C4619">
              <w:rPr>
                <w:rFonts w:ascii="Calibri" w:eastAsia="Times New Roman" w:hAnsi="Calibri" w:cs="Calibri"/>
                <w:b/>
                <w:bCs/>
                <w:color w:val="000000"/>
                <w:sz w:val="18"/>
                <w:szCs w:val="18"/>
                <w:lang w:val="en-CA" w:eastAsia="en-CA"/>
              </w:rPr>
              <w:t>Analytical approaches</w:t>
            </w:r>
          </w:p>
        </w:tc>
      </w:tr>
      <w:tr w:rsidR="001C3104" w:rsidRPr="005C4619" w:rsidTr="001C3104">
        <w:trPr>
          <w:trHeight w:val="1030"/>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ATHLOS</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ATHLOS core variables</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2015</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2021</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identify patterns of healthy ageing trajectories and their determinants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(24), North America (5), Asia (4), Africa (2), South America (2), Austral</w:t>
            </w:r>
            <w:r w:rsidR="000C46B0">
              <w:rPr>
                <w:rFonts w:ascii="Calibri" w:eastAsia="Times New Roman" w:hAnsi="Calibri" w:cs="Calibri"/>
                <w:color w:val="000000"/>
                <w:sz w:val="18"/>
                <w:szCs w:val="18"/>
                <w:lang w:val="en-CA" w:eastAsia="en-CA"/>
              </w:rPr>
              <w:t>as</w:t>
            </w:r>
            <w:r w:rsidRPr="005C4619">
              <w:rPr>
                <w:rFonts w:ascii="Calibri" w:eastAsia="Times New Roman" w:hAnsi="Calibri" w:cs="Calibri"/>
                <w:color w:val="000000"/>
                <w:sz w:val="18"/>
                <w:szCs w:val="18"/>
                <w:lang w:val="en-CA" w:eastAsia="en-CA"/>
              </w:rPr>
              <w:t>ia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18</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183</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r w:rsidR="001C3104" w:rsidRPr="005C4619" w:rsidTr="001C3104">
        <w:trPr>
          <w:trHeight w:val="341"/>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BBMRI-LPC</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BBMRI-LPC pilot</w:t>
            </w:r>
            <w:r w:rsidR="00587993">
              <w:rPr>
                <w:rFonts w:ascii="Calibri" w:eastAsia="Times New Roman" w:hAnsi="Calibri" w:cs="Calibri"/>
                <w:color w:val="000000"/>
                <w:sz w:val="18"/>
                <w:szCs w:val="18"/>
                <w:lang w:val="en-CA" w:eastAsia="en-CA"/>
              </w:rPr>
              <w:t xml:space="preserve"> project</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2013</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2017</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 xml:space="preserve">To </w:t>
            </w:r>
            <w:r>
              <w:rPr>
                <w:rFonts w:ascii="Calibri" w:eastAsia="Times New Roman" w:hAnsi="Calibri" w:cs="Calibri"/>
                <w:color w:val="000000"/>
                <w:sz w:val="18"/>
                <w:szCs w:val="18"/>
                <w:lang w:val="en-CA" w:eastAsia="en-CA"/>
              </w:rPr>
              <w:t>pilot</w:t>
            </w:r>
            <w:r w:rsidRPr="005C4619">
              <w:rPr>
                <w:rFonts w:ascii="Calibri" w:eastAsia="Times New Roman" w:hAnsi="Calibri" w:cs="Calibri"/>
                <w:color w:val="000000"/>
                <w:sz w:val="18"/>
                <w:szCs w:val="18"/>
                <w:lang w:val="en-CA" w:eastAsia="en-CA"/>
              </w:rPr>
              <w:t xml:space="preserve"> harmonization of large prospective study data on human health and disease and to develop recommendations for future research infrastructure</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Pr>
                <w:rFonts w:ascii="Calibri" w:eastAsia="Times New Roman" w:hAnsi="Calibri" w:cs="Calibri"/>
                <w:color w:val="000000"/>
                <w:sz w:val="18"/>
                <w:szCs w:val="18"/>
                <w:lang w:val="en-CA" w:eastAsia="en-CA"/>
              </w:rPr>
              <w:t>Pooled</w:t>
            </w:r>
          </w:p>
        </w:tc>
      </w:tr>
      <w:tr w:rsidR="001C3104" w:rsidRPr="005C4619" w:rsidTr="001C3104">
        <w:trPr>
          <w:trHeight w:val="512"/>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BioSHaRE</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Environmental Determinants of Health Project</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2011</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2019</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study the effect of environmental exposures, specifically air pollution and traffic noise, on the health of the population</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(3)</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4</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76</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480"/>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BioSHaRE</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Healthy Obese Project</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2011</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2014</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gain insights into the characterization, determinants and consequences of metabolically healthy obese individuals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(7), North America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11</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100</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584"/>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CanPath</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CanPath</w:t>
            </w:r>
            <w:proofErr w:type="spellEnd"/>
            <w:r w:rsidRPr="005C4619">
              <w:rPr>
                <w:rFonts w:ascii="Calibri" w:eastAsia="Times New Roman" w:hAnsi="Calibri" w:cs="Calibri"/>
                <w:color w:val="000000"/>
                <w:sz w:val="18"/>
                <w:szCs w:val="18"/>
                <w:lang w:val="en-CA" w:eastAsia="en-CA"/>
              </w:rPr>
              <w:t xml:space="preserve"> core data</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2008</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support leading-edge research on environmental, lifestyle, and genetic risk factors for development and progression of cancer and chronic disease</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Canada</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6</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2826</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r w:rsidR="001C3104" w:rsidRPr="005C4619" w:rsidTr="001C3104">
        <w:trPr>
          <w:trHeight w:val="449"/>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CAPACIty</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CAPACIty</w:t>
            </w:r>
            <w:proofErr w:type="spellEnd"/>
            <w:r w:rsidRPr="005C4619">
              <w:rPr>
                <w:rFonts w:ascii="Calibri" w:eastAsia="Times New Roman" w:hAnsi="Calibri" w:cs="Calibri"/>
                <w:color w:val="000000"/>
                <w:sz w:val="18"/>
                <w:szCs w:val="18"/>
                <w:lang w:val="en-CA" w:eastAsia="en-CA"/>
              </w:rPr>
              <w:t xml:space="preserve"> core data</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create a national data infrastructure and collaboration to inform interventions to better predict, prevent and treat serious diabetes-related complications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Canada</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10</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242"/>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CHICOS</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Childhood asthma</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2013</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 xml:space="preserve">To assess associations between pregnancy, birth, and early life factors and childhood wheezing and </w:t>
            </w:r>
            <w:r w:rsidRPr="005C4619">
              <w:rPr>
                <w:rFonts w:ascii="Calibri" w:eastAsia="Times New Roman" w:hAnsi="Calibri" w:cs="Calibri"/>
                <w:color w:val="000000"/>
                <w:sz w:val="18"/>
                <w:szCs w:val="18"/>
                <w:lang w:val="en-CA" w:eastAsia="en-CA"/>
              </w:rPr>
              <w:lastRenderedPageBreak/>
              <w:t>asthma</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lastRenderedPageBreak/>
              <w:t>Europe (16)</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31</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25+</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r w:rsidRPr="005C4619">
              <w:rPr>
                <w:rFonts w:ascii="Calibri" w:eastAsia="Times New Roman" w:hAnsi="Calibri" w:cs="Calibri"/>
                <w:color w:val="000000"/>
                <w:sz w:val="18"/>
                <w:szCs w:val="18"/>
                <w:lang w:val="en-CA" w:eastAsia="en-CA"/>
              </w:rPr>
              <w:br/>
              <w:t>Meta-analysis</w:t>
            </w:r>
          </w:p>
        </w:tc>
      </w:tr>
      <w:tr w:rsidR="001C3104" w:rsidRPr="005C4619" w:rsidTr="001C3104">
        <w:trPr>
          <w:trHeight w:val="480"/>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lastRenderedPageBreak/>
              <w:t>CHICOS</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Light-to-moderate drinking and SGA</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2017</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investigate light drinking during pregnancy in association with preterm delivery and small size for gestational age</w:t>
            </w:r>
            <w:r>
              <w:rPr>
                <w:rFonts w:ascii="Calibri" w:eastAsia="Times New Roman" w:hAnsi="Calibri" w:cs="Calibri"/>
                <w:color w:val="000000"/>
                <w:sz w:val="18"/>
                <w:szCs w:val="18"/>
                <w:lang w:val="en-CA" w:eastAsia="en-CA"/>
              </w:rPr>
              <w:t xml:space="preserve"> (SGA)</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(7)</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9</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140</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r w:rsidR="001C3104" w:rsidRPr="005C4619" w:rsidTr="001C3104">
        <w:trPr>
          <w:trHeight w:val="368"/>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CHICOS,</w:t>
            </w:r>
            <w:r w:rsidRPr="005C4619">
              <w:rPr>
                <w:rFonts w:ascii="Calibri" w:eastAsia="Times New Roman" w:hAnsi="Calibri" w:cs="Calibri"/>
                <w:color w:val="000000"/>
                <w:sz w:val="18"/>
                <w:szCs w:val="18"/>
                <w:lang w:val="en-CA" w:eastAsia="en-CA"/>
              </w:rPr>
              <w:br/>
              <w:t>ENRIECO</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Maternal factors and birth outcomes</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2016</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assess associations between maternal factors and birth weight</w:t>
            </w:r>
            <w:r w:rsidR="004B555E">
              <w:rPr>
                <w:rFonts w:ascii="Calibri" w:eastAsia="Times New Roman" w:hAnsi="Calibri" w:cs="Calibri"/>
                <w:color w:val="000000"/>
                <w:sz w:val="18"/>
                <w:szCs w:val="18"/>
                <w:lang w:val="en-CA" w:eastAsia="en-CA"/>
              </w:rPr>
              <w:t>,</w:t>
            </w:r>
            <w:r w:rsidRPr="005C4619">
              <w:rPr>
                <w:rFonts w:ascii="Calibri" w:eastAsia="Times New Roman" w:hAnsi="Calibri" w:cs="Calibri"/>
                <w:color w:val="000000"/>
                <w:sz w:val="18"/>
                <w:szCs w:val="18"/>
                <w:lang w:val="en-CA" w:eastAsia="en-CA"/>
              </w:rPr>
              <w:t xml:space="preserve"> and length of gestation</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(11)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13</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25+</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r w:rsidRPr="005C4619">
              <w:rPr>
                <w:rFonts w:ascii="Calibri" w:eastAsia="Times New Roman" w:hAnsi="Calibri" w:cs="Calibri"/>
                <w:color w:val="000000"/>
                <w:sz w:val="18"/>
                <w:szCs w:val="18"/>
                <w:lang w:val="en-CA" w:eastAsia="en-CA"/>
              </w:rPr>
              <w:br/>
              <w:t>Meta-analysis</w:t>
            </w:r>
          </w:p>
        </w:tc>
      </w:tr>
      <w:tr w:rsidR="001C3104" w:rsidRPr="005C4619" w:rsidTr="001C3104">
        <w:trPr>
          <w:trHeight w:val="521"/>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Childbirth Network</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Women's Health Epidemiology</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2016</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2017</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investigate effects of birth interventions provided in different birth settings on maternal and children's health outcomes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30</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r w:rsidR="001C3104" w:rsidRPr="005C4619" w:rsidTr="001C3104">
        <w:trPr>
          <w:trHeight w:val="476"/>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CHPT</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CHPT harmonization</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2015</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2018</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evaluate harmonization potential across cohorts for research on determinants and etiology of cancer and other major chronic diseases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(11), North America (2)</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12</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126</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r>
      <w:tr w:rsidR="001C3104" w:rsidRPr="005C4619" w:rsidTr="001C3104">
        <w:trPr>
          <w:trHeight w:val="800"/>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Chronic LBP IPD Meta-Analysis Group</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LBP IPDMA</w:t>
            </w:r>
          </w:p>
        </w:tc>
        <w:tc>
          <w:tcPr>
            <w:tcW w:w="581"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2019</w:t>
            </w:r>
          </w:p>
        </w:tc>
        <w:tc>
          <w:tcPr>
            <w:tcW w:w="806"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assess treatment effects of exercise therapy for reducing pain and functional limitations in adults with persistent low back pain and modifying effects of individual characteristics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(9), Asia (1), Australasia (1), North America (1), South America (1)</w:t>
            </w:r>
          </w:p>
        </w:tc>
        <w:tc>
          <w:tcPr>
            <w:tcW w:w="829"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27</w:t>
            </w:r>
          </w:p>
        </w:tc>
        <w:tc>
          <w:tcPr>
            <w:tcW w:w="891"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25</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r w:rsidR="001C3104" w:rsidRPr="005C4619" w:rsidTr="001C3104">
        <w:trPr>
          <w:trHeight w:val="539"/>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CITF</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CITF core data</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catalyse, support, and, where appropriate and feasible, harmonize the design and rapid implementation of population-based studies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Canada</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44</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95</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r w:rsidR="001C3104" w:rsidRPr="005C4619" w:rsidTr="001C3104">
        <w:trPr>
          <w:trHeight w:val="503"/>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Cohorts.se</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F14AB5">
              <w:rPr>
                <w:rFonts w:ascii="Calibri" w:eastAsia="Times New Roman" w:hAnsi="Calibri" w:cs="Calibri"/>
                <w:color w:val="000000"/>
                <w:sz w:val="18"/>
                <w:szCs w:val="18"/>
                <w:lang w:val="en-CA" w:eastAsia="en-CA"/>
              </w:rPr>
              <w:t>Rare diseases project</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establish risks factors for and protective factors against rare diseases, including variations in associations by sex and other subgroups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Sweden</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35</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70</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r w:rsidR="001C3104" w:rsidRPr="005C4619" w:rsidTr="001C3104">
        <w:trPr>
          <w:trHeight w:val="467"/>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2A2A2A"/>
                <w:sz w:val="18"/>
                <w:szCs w:val="18"/>
                <w:lang w:val="en-CA" w:eastAsia="en-CA"/>
              </w:rPr>
            </w:pPr>
            <w:r w:rsidRPr="005C4619">
              <w:rPr>
                <w:rFonts w:ascii="Calibri" w:eastAsia="Times New Roman" w:hAnsi="Calibri" w:cs="Calibri"/>
                <w:color w:val="2A2A2A"/>
                <w:sz w:val="18"/>
                <w:szCs w:val="18"/>
                <w:lang w:val="en-CA" w:eastAsia="en-CA"/>
              </w:rPr>
              <w:t>ENPADASI</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ENPADASI harmonization</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2016</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assess associations between increased dietary fat and decreased carbohydrate intake with circulating HDL and non-HDL cholesterol</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(4)</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8</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16</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341"/>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ESCAPE</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Air pollution and low birthweight</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2008</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2012</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assess the effect of maternal exposure to low concentrations of ambient air pollution on birthweight</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(12)</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14</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25+</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r w:rsidRPr="005C4619">
              <w:rPr>
                <w:rFonts w:ascii="Calibri" w:eastAsia="Times New Roman" w:hAnsi="Calibri" w:cs="Calibri"/>
                <w:color w:val="000000"/>
                <w:sz w:val="18"/>
                <w:szCs w:val="18"/>
                <w:lang w:val="en-CA" w:eastAsia="en-CA"/>
              </w:rPr>
              <w:br/>
              <w:t>Meta-analysis</w:t>
            </w:r>
          </w:p>
        </w:tc>
      </w:tr>
      <w:tr w:rsidR="001C3104" w:rsidRPr="005C4619" w:rsidTr="001C3104">
        <w:trPr>
          <w:trHeight w:val="701"/>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 Child Cohort Network (</w:t>
            </w:r>
            <w:proofErr w:type="spellStart"/>
            <w:r w:rsidRPr="005C4619">
              <w:rPr>
                <w:rFonts w:ascii="Calibri" w:eastAsia="Times New Roman" w:hAnsi="Calibri" w:cs="Calibri"/>
                <w:color w:val="000000"/>
                <w:sz w:val="18"/>
                <w:szCs w:val="18"/>
                <w:lang w:val="en-CA" w:eastAsia="en-CA"/>
              </w:rPr>
              <w:t>LifeCycle</w:t>
            </w:r>
            <w:proofErr w:type="spellEnd"/>
            <w:r w:rsidRPr="005C4619">
              <w:rPr>
                <w:rFonts w:ascii="Calibri" w:eastAsia="Times New Roman" w:hAnsi="Calibri" w:cs="Calibri"/>
                <w:color w:val="000000"/>
                <w:sz w:val="18"/>
                <w:szCs w:val="18"/>
                <w:lang w:val="en-CA" w:eastAsia="en-CA"/>
              </w:rPr>
              <w:t>)</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LifeCycle</w:t>
            </w:r>
            <w:proofErr w:type="spellEnd"/>
            <w:r w:rsidRPr="005C4619">
              <w:rPr>
                <w:rFonts w:ascii="Calibri" w:eastAsia="Times New Roman" w:hAnsi="Calibri" w:cs="Calibri"/>
                <w:color w:val="000000"/>
                <w:sz w:val="18"/>
                <w:szCs w:val="18"/>
                <w:lang w:val="en-CA" w:eastAsia="en-CA"/>
              </w:rPr>
              <w:t xml:space="preserve"> core data</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2017</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2022</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bring together data from pregnancy and child cohort studies in an open and sustainable data resource for research on early exposures and health trajectories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(12), Australasia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17</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1396</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260"/>
        </w:trPr>
        <w:tc>
          <w:tcPr>
            <w:tcW w:w="1342" w:type="dxa"/>
            <w:shd w:val="clear" w:color="auto" w:fill="auto"/>
            <w:hideMark/>
          </w:tcPr>
          <w:p w:rsidR="001C3104" w:rsidRPr="005C4619" w:rsidRDefault="000A2B28"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EUCANConnect</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Gestational age and body size pilot</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2019</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study the association between gestational age at birth and body size in early infancy through adulthood</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(9), Australasia (1), North America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16</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252</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520"/>
        </w:trPr>
        <w:tc>
          <w:tcPr>
            <w:tcW w:w="1342" w:type="dxa"/>
            <w:shd w:val="clear" w:color="auto" w:fill="auto"/>
            <w:hideMark/>
          </w:tcPr>
          <w:p w:rsidR="001C3104" w:rsidRPr="005C4619" w:rsidRDefault="000A2B28"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EUCANConnect</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Prenatal stress and preterm birth pilot</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2019</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assess the impact of prenatal stress on gestational age at delivery</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(2), North America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5</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113</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539"/>
        </w:trPr>
        <w:tc>
          <w:tcPr>
            <w:tcW w:w="1342" w:type="dxa"/>
            <w:shd w:val="clear" w:color="auto" w:fill="auto"/>
            <w:hideMark/>
          </w:tcPr>
          <w:p w:rsidR="001C3104" w:rsidRPr="005C4619" w:rsidRDefault="000A2B28"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lastRenderedPageBreak/>
              <w:t>EUCANConnect</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Green spaces and child health pilot</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investigate the associations between exposure to green spaces and multiple child health outcomes across Europe</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(8)</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10</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200+</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750"/>
        </w:trPr>
        <w:tc>
          <w:tcPr>
            <w:tcW w:w="1342" w:type="dxa"/>
            <w:shd w:val="clear" w:color="auto" w:fill="auto"/>
            <w:hideMark/>
          </w:tcPr>
          <w:p w:rsidR="001C3104" w:rsidRPr="005C4619" w:rsidRDefault="000A2B28"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EUCANConnect</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Childhood respiratory outcomes pilot</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perform a meta-analysis using personalized risk and prevention models in order to predict the development of respiratory outcomes in later childhood</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(12), Australasia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15</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60+</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548"/>
        </w:trPr>
        <w:tc>
          <w:tcPr>
            <w:tcW w:w="1342" w:type="dxa"/>
            <w:shd w:val="clear" w:color="auto" w:fill="auto"/>
            <w:hideMark/>
          </w:tcPr>
          <w:p w:rsidR="001C3104" w:rsidRPr="005C4619" w:rsidRDefault="000A2B28"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EUCANConnect</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Urban exposome and cognitive function pilot</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estimate the associations between urban exposome during early-life and cognitive and psychomotor function in children</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(7), North America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10</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130+</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720"/>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EUCANConnect</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Urban exposome and emotional issues pilot</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investigate the associations between urban exposome during early-life and emotional and behavioral issues in children</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(7), North America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12</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115+</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512"/>
        </w:trPr>
        <w:tc>
          <w:tcPr>
            <w:tcW w:w="1342" w:type="dxa"/>
            <w:shd w:val="clear" w:color="auto" w:fill="auto"/>
            <w:hideMark/>
          </w:tcPr>
          <w:p w:rsidR="001C3104" w:rsidRPr="005C4619" w:rsidRDefault="00105059" w:rsidP="001C3104">
            <w:pPr>
              <w:spacing w:after="0" w:line="240" w:lineRule="auto"/>
              <w:jc w:val="center"/>
              <w:rPr>
                <w:rFonts w:ascii="Calibri" w:eastAsia="Times New Roman" w:hAnsi="Calibri" w:cs="Calibri"/>
                <w:color w:val="000000"/>
                <w:sz w:val="18"/>
                <w:szCs w:val="18"/>
                <w:lang w:val="en-CA" w:eastAsia="en-CA"/>
              </w:rPr>
            </w:pPr>
            <w:proofErr w:type="spellStart"/>
            <w:r w:rsidRPr="00105059">
              <w:rPr>
                <w:rFonts w:ascii="Calibri" w:eastAsia="Times New Roman" w:hAnsi="Calibri" w:cs="Calibri"/>
                <w:color w:val="000000"/>
                <w:sz w:val="18"/>
                <w:szCs w:val="18"/>
                <w:lang w:val="en-CA" w:eastAsia="en-CA"/>
              </w:rPr>
              <w:t>euCanSHare</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Public health use case</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assess data harmonization and sharing between European and Canadian cardiovascular cohorts, and to describe and estimate risk factors and outcomes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North America</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1325"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r>
      <w:tr w:rsidR="001C3104" w:rsidRPr="005C4619" w:rsidTr="001C3104">
        <w:trPr>
          <w:trHeight w:val="647"/>
        </w:trPr>
        <w:tc>
          <w:tcPr>
            <w:tcW w:w="1342" w:type="dxa"/>
            <w:shd w:val="clear" w:color="auto" w:fill="auto"/>
            <w:hideMark/>
          </w:tcPr>
          <w:p w:rsidR="001C3104" w:rsidRPr="005C4619" w:rsidRDefault="00105059" w:rsidP="001C3104">
            <w:pPr>
              <w:spacing w:after="0" w:line="240" w:lineRule="auto"/>
              <w:jc w:val="center"/>
              <w:rPr>
                <w:rFonts w:ascii="Calibri" w:eastAsia="Times New Roman" w:hAnsi="Calibri" w:cs="Calibri"/>
                <w:color w:val="000000"/>
                <w:sz w:val="18"/>
                <w:szCs w:val="18"/>
                <w:lang w:val="en-CA" w:eastAsia="en-CA"/>
              </w:rPr>
            </w:pPr>
            <w:proofErr w:type="spellStart"/>
            <w:r w:rsidRPr="00105059">
              <w:rPr>
                <w:rFonts w:ascii="Calibri" w:eastAsia="Times New Roman" w:hAnsi="Calibri" w:cs="Calibri"/>
                <w:color w:val="000000"/>
                <w:sz w:val="18"/>
                <w:szCs w:val="18"/>
                <w:lang w:val="en-CA" w:eastAsia="en-CA"/>
              </w:rPr>
              <w:t>euCanSHare</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RadiOMICS</w:t>
            </w:r>
            <w:proofErr w:type="spellEnd"/>
            <w:r w:rsidRPr="005C4619">
              <w:rPr>
                <w:rFonts w:ascii="Calibri" w:eastAsia="Times New Roman" w:hAnsi="Calibri" w:cs="Calibri"/>
                <w:color w:val="000000"/>
                <w:sz w:val="18"/>
                <w:szCs w:val="18"/>
                <w:lang w:val="en-CA" w:eastAsia="en-CA"/>
              </w:rPr>
              <w:t xml:space="preserve"> analyse – </w:t>
            </w:r>
            <w:proofErr w:type="spellStart"/>
            <w:r w:rsidRPr="005C4619">
              <w:rPr>
                <w:rFonts w:ascii="Calibri" w:eastAsia="Times New Roman" w:hAnsi="Calibri" w:cs="Calibri"/>
                <w:color w:val="000000"/>
                <w:sz w:val="18"/>
                <w:szCs w:val="18"/>
                <w:lang w:val="en-CA" w:eastAsia="en-CA"/>
              </w:rPr>
              <w:t>multiomics</w:t>
            </w:r>
            <w:proofErr w:type="spellEnd"/>
            <w:r w:rsidRPr="005C4619">
              <w:rPr>
                <w:rFonts w:ascii="Calibri" w:eastAsia="Times New Roman" w:hAnsi="Calibri" w:cs="Calibri"/>
                <w:color w:val="000000"/>
                <w:sz w:val="18"/>
                <w:szCs w:val="18"/>
                <w:lang w:val="en-CA" w:eastAsia="en-CA"/>
              </w:rPr>
              <w:t xml:space="preserve"> use case</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derive an integrative model of multi-omics data that outperforms conventional mono-source models and demonstrate feasibility for integrative analysis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North America</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1325"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r>
      <w:tr w:rsidR="001C3104" w:rsidRPr="005C4619" w:rsidTr="001C3104">
        <w:trPr>
          <w:trHeight w:val="566"/>
        </w:trPr>
        <w:tc>
          <w:tcPr>
            <w:tcW w:w="1342" w:type="dxa"/>
            <w:shd w:val="clear" w:color="auto" w:fill="auto"/>
            <w:hideMark/>
          </w:tcPr>
          <w:p w:rsidR="001C3104" w:rsidRPr="005C4619" w:rsidRDefault="00105059" w:rsidP="001C3104">
            <w:pPr>
              <w:spacing w:after="0" w:line="240" w:lineRule="auto"/>
              <w:jc w:val="center"/>
              <w:rPr>
                <w:rFonts w:ascii="Calibri" w:eastAsia="Times New Roman" w:hAnsi="Calibri" w:cs="Calibri"/>
                <w:color w:val="000000"/>
                <w:sz w:val="18"/>
                <w:szCs w:val="18"/>
                <w:lang w:val="en-CA" w:eastAsia="en-CA"/>
              </w:rPr>
            </w:pPr>
            <w:proofErr w:type="spellStart"/>
            <w:r w:rsidRPr="00105059">
              <w:rPr>
                <w:rFonts w:ascii="Calibri" w:eastAsia="Times New Roman" w:hAnsi="Calibri" w:cs="Calibri"/>
                <w:color w:val="000000"/>
                <w:sz w:val="18"/>
                <w:szCs w:val="18"/>
                <w:lang w:val="en-CA" w:eastAsia="en-CA"/>
              </w:rPr>
              <w:t>euCanSHare</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Diabetic cardiomyopathy use case</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demonstrate differences in mortality, cardiovascular death, and heart failure in patients with and without diabetes, and to assess myocardial differences using MRI</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North America</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1325"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r>
      <w:tr w:rsidR="001C3104" w:rsidRPr="005C4619" w:rsidTr="001C3104">
        <w:trPr>
          <w:trHeight w:val="440"/>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GOING-FWD</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GOING-FWD harmonization</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2019</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assess gender-related determinants of clinical cost-sensitive outcomes and patient-related outcome measures in noncommunicable chronic diseases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(4), North America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30</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300</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F14AB5" w:rsidTr="001C3104">
        <w:trPr>
          <w:trHeight w:val="584"/>
        </w:trPr>
        <w:tc>
          <w:tcPr>
            <w:tcW w:w="1342" w:type="dxa"/>
            <w:shd w:val="clear" w:color="auto" w:fill="auto"/>
            <w:hideMark/>
          </w:tcPr>
          <w:p w:rsidR="001C3104" w:rsidRPr="00F14AB5"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GOING-FWD</w:t>
            </w:r>
          </w:p>
        </w:tc>
        <w:tc>
          <w:tcPr>
            <w:tcW w:w="1410" w:type="dxa"/>
          </w:tcPr>
          <w:p w:rsidR="001C3104" w:rsidRPr="00F14AB5" w:rsidRDefault="001C3104" w:rsidP="00C06945">
            <w:pPr>
              <w:spacing w:after="0" w:line="240" w:lineRule="auto"/>
              <w:jc w:val="center"/>
              <w:rPr>
                <w:rFonts w:ascii="Calibri" w:eastAsia="Times New Roman" w:hAnsi="Calibri" w:cs="Calibri"/>
                <w:color w:val="000000"/>
                <w:sz w:val="18"/>
                <w:szCs w:val="18"/>
                <w:lang w:val="en-CA" w:eastAsia="en-CA"/>
              </w:rPr>
            </w:pPr>
            <w:proofErr w:type="spellStart"/>
            <w:r w:rsidRPr="00F14AB5">
              <w:rPr>
                <w:rFonts w:ascii="Calibri" w:eastAsia="Times New Roman" w:hAnsi="Calibri" w:cs="Calibri"/>
                <w:color w:val="000000"/>
                <w:sz w:val="18"/>
                <w:szCs w:val="18"/>
                <w:lang w:val="en-CA" w:eastAsia="en-CA"/>
              </w:rPr>
              <w:t>USGo</w:t>
            </w:r>
            <w:proofErr w:type="spellEnd"/>
            <w:r w:rsidRPr="00F14AB5">
              <w:rPr>
                <w:rFonts w:ascii="Calibri" w:eastAsia="Times New Roman" w:hAnsi="Calibri" w:cs="Calibri"/>
                <w:color w:val="000000"/>
                <w:sz w:val="18"/>
                <w:szCs w:val="18"/>
                <w:lang w:val="en-CA" w:eastAsia="en-CA"/>
              </w:rPr>
              <w:t xml:space="preserve"> </w:t>
            </w:r>
            <w:r>
              <w:rPr>
                <w:rFonts w:ascii="Calibri" w:eastAsia="Times New Roman" w:hAnsi="Calibri" w:cs="Calibri"/>
                <w:color w:val="000000"/>
                <w:sz w:val="18"/>
                <w:szCs w:val="18"/>
                <w:lang w:val="en-CA" w:eastAsia="en-CA"/>
              </w:rPr>
              <w:t>harmonization</w:t>
            </w:r>
          </w:p>
        </w:tc>
        <w:tc>
          <w:tcPr>
            <w:tcW w:w="581" w:type="dxa"/>
            <w:shd w:val="clear" w:color="auto" w:fill="auto"/>
            <w:noWrap/>
            <w:hideMark/>
          </w:tcPr>
          <w:p w:rsidR="001C3104" w:rsidRPr="00F14AB5" w:rsidRDefault="001C3104" w:rsidP="001C3104">
            <w:pPr>
              <w:spacing w:after="0" w:line="240" w:lineRule="auto"/>
              <w:rPr>
                <w:rFonts w:ascii="Calibri" w:eastAsia="Times New Roman" w:hAnsi="Calibri" w:cs="Calibri"/>
                <w:color w:val="000000"/>
                <w:sz w:val="18"/>
                <w:szCs w:val="18"/>
                <w:lang w:val="en-CA" w:eastAsia="en-CA"/>
              </w:rPr>
            </w:pPr>
            <w:r w:rsidRPr="00F14AB5">
              <w:rPr>
                <w:rFonts w:ascii="Calibri" w:eastAsia="Times New Roman" w:hAnsi="Calibri" w:cs="Calibri"/>
                <w:color w:val="000000"/>
                <w:sz w:val="18"/>
                <w:szCs w:val="18"/>
                <w:lang w:val="en-CA" w:eastAsia="en-CA"/>
              </w:rPr>
              <w:t>2021</w:t>
            </w:r>
          </w:p>
        </w:tc>
        <w:tc>
          <w:tcPr>
            <w:tcW w:w="806" w:type="dxa"/>
            <w:shd w:val="clear" w:color="auto" w:fill="auto"/>
            <w:noWrap/>
            <w:hideMark/>
          </w:tcPr>
          <w:p w:rsidR="001C3104" w:rsidRPr="00F14AB5" w:rsidRDefault="001C3104" w:rsidP="001C3104">
            <w:pPr>
              <w:spacing w:after="0" w:line="240" w:lineRule="auto"/>
              <w:rPr>
                <w:rFonts w:ascii="Calibri" w:eastAsia="Times New Roman" w:hAnsi="Calibri" w:cs="Calibri"/>
                <w:color w:val="000000"/>
                <w:sz w:val="18"/>
                <w:szCs w:val="18"/>
                <w:lang w:val="en-CA" w:eastAsia="en-CA"/>
              </w:rPr>
            </w:pPr>
            <w:r w:rsidRPr="00F14AB5">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F14AB5" w:rsidRDefault="001C3104" w:rsidP="001C3104">
            <w:pPr>
              <w:spacing w:after="0" w:line="240" w:lineRule="auto"/>
              <w:rPr>
                <w:rFonts w:ascii="Calibri" w:eastAsia="Times New Roman" w:hAnsi="Calibri" w:cs="Calibri"/>
                <w:color w:val="000000"/>
                <w:sz w:val="18"/>
                <w:szCs w:val="18"/>
                <w:lang w:val="en-CA" w:eastAsia="en-CA"/>
              </w:rPr>
            </w:pPr>
            <w:r w:rsidRPr="00F14AB5">
              <w:rPr>
                <w:rFonts w:ascii="Calibri" w:eastAsia="Times New Roman" w:hAnsi="Calibri" w:cs="Calibri"/>
                <w:color w:val="000000"/>
                <w:sz w:val="18"/>
                <w:szCs w:val="18"/>
                <w:lang w:val="en-CA" w:eastAsia="en-CA"/>
              </w:rPr>
              <w:t>To conduct a systematic assessment of gender-related variables and quality indicators of health care management on patient-reported outcomes</w:t>
            </w:r>
          </w:p>
        </w:tc>
        <w:tc>
          <w:tcPr>
            <w:tcW w:w="1830" w:type="dxa"/>
            <w:shd w:val="clear" w:color="auto" w:fill="auto"/>
            <w:hideMark/>
          </w:tcPr>
          <w:p w:rsidR="001C3104" w:rsidRPr="00F14AB5" w:rsidRDefault="001C3104" w:rsidP="001C3104">
            <w:pPr>
              <w:spacing w:after="0" w:line="240" w:lineRule="auto"/>
              <w:rPr>
                <w:rFonts w:ascii="Calibri" w:eastAsia="Times New Roman" w:hAnsi="Calibri" w:cs="Calibri"/>
                <w:color w:val="000000"/>
                <w:sz w:val="18"/>
                <w:szCs w:val="18"/>
                <w:lang w:val="en-CA" w:eastAsia="en-CA"/>
              </w:rPr>
            </w:pPr>
            <w:r w:rsidRPr="00F14AB5">
              <w:rPr>
                <w:rFonts w:ascii="Calibri" w:eastAsia="Times New Roman" w:hAnsi="Calibri" w:cs="Calibri"/>
                <w:color w:val="000000"/>
                <w:sz w:val="18"/>
                <w:szCs w:val="18"/>
                <w:lang w:val="en-CA" w:eastAsia="en-CA"/>
              </w:rPr>
              <w:t>United States</w:t>
            </w:r>
          </w:p>
        </w:tc>
        <w:tc>
          <w:tcPr>
            <w:tcW w:w="829" w:type="dxa"/>
            <w:shd w:val="clear" w:color="auto" w:fill="auto"/>
            <w:noWrap/>
            <w:hideMark/>
          </w:tcPr>
          <w:p w:rsidR="001C3104" w:rsidRPr="00F14AB5" w:rsidRDefault="001C3104" w:rsidP="001C3104">
            <w:pPr>
              <w:spacing w:after="0" w:line="240" w:lineRule="auto"/>
              <w:rPr>
                <w:rFonts w:ascii="Calibri" w:eastAsia="Times New Roman" w:hAnsi="Calibri" w:cs="Calibri"/>
                <w:color w:val="000000"/>
                <w:sz w:val="18"/>
                <w:szCs w:val="18"/>
                <w:lang w:val="en-CA" w:eastAsia="en-CA"/>
              </w:rPr>
            </w:pPr>
            <w:r w:rsidRPr="00F14AB5">
              <w:rPr>
                <w:rFonts w:ascii="Calibri" w:eastAsia="Times New Roman" w:hAnsi="Calibri" w:cs="Calibri"/>
                <w:color w:val="000000"/>
                <w:sz w:val="18"/>
                <w:szCs w:val="18"/>
                <w:lang w:val="en-CA" w:eastAsia="en-CA"/>
              </w:rPr>
              <w:t>4</w:t>
            </w:r>
          </w:p>
        </w:tc>
        <w:tc>
          <w:tcPr>
            <w:tcW w:w="891" w:type="dxa"/>
            <w:shd w:val="clear" w:color="auto" w:fill="auto"/>
            <w:noWrap/>
            <w:hideMark/>
          </w:tcPr>
          <w:p w:rsidR="001C3104" w:rsidRPr="00F14AB5" w:rsidRDefault="001C3104" w:rsidP="001C3104">
            <w:pPr>
              <w:spacing w:after="0" w:line="240" w:lineRule="auto"/>
              <w:rPr>
                <w:rFonts w:ascii="Calibri" w:eastAsia="Times New Roman" w:hAnsi="Calibri" w:cs="Calibri"/>
                <w:color w:val="000000"/>
                <w:sz w:val="18"/>
                <w:szCs w:val="18"/>
                <w:lang w:val="en-CA" w:eastAsia="en-CA"/>
              </w:rPr>
            </w:pPr>
            <w:r w:rsidRPr="00F14AB5">
              <w:rPr>
                <w:rFonts w:ascii="Calibri" w:eastAsia="Times New Roman" w:hAnsi="Calibri" w:cs="Calibri"/>
                <w:color w:val="000000"/>
                <w:sz w:val="18"/>
                <w:szCs w:val="18"/>
                <w:lang w:val="en-CA" w:eastAsia="en-CA"/>
              </w:rPr>
              <w:t>100+</w:t>
            </w:r>
          </w:p>
        </w:tc>
        <w:tc>
          <w:tcPr>
            <w:tcW w:w="1325" w:type="dxa"/>
            <w:shd w:val="clear" w:color="auto" w:fill="auto"/>
            <w:hideMark/>
          </w:tcPr>
          <w:p w:rsidR="001C3104" w:rsidRPr="00F14AB5" w:rsidRDefault="001C3104" w:rsidP="001C3104">
            <w:pPr>
              <w:spacing w:after="0" w:line="240" w:lineRule="auto"/>
              <w:rPr>
                <w:rFonts w:ascii="Calibri" w:eastAsia="Times New Roman" w:hAnsi="Calibri" w:cs="Calibri"/>
                <w:color w:val="000000"/>
                <w:sz w:val="18"/>
                <w:szCs w:val="18"/>
                <w:lang w:val="en-CA" w:eastAsia="en-CA"/>
              </w:rPr>
            </w:pPr>
            <w:r w:rsidRPr="00F14AB5">
              <w:rPr>
                <w:rFonts w:ascii="Calibri" w:eastAsia="Times New Roman" w:hAnsi="Calibri" w:cs="Calibri"/>
                <w:color w:val="000000"/>
                <w:sz w:val="18"/>
                <w:szCs w:val="18"/>
                <w:lang w:val="en-CA" w:eastAsia="en-CA"/>
              </w:rPr>
              <w:t>Pooled</w:t>
            </w:r>
          </w:p>
        </w:tc>
      </w:tr>
      <w:tr w:rsidR="001C3104" w:rsidRPr="005C4619" w:rsidTr="001C3104">
        <w:trPr>
          <w:trHeight w:val="638"/>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HeLTI</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HeLTI</w:t>
            </w:r>
            <w:proofErr w:type="spellEnd"/>
            <w:r w:rsidRPr="005C4619">
              <w:rPr>
                <w:rFonts w:ascii="Calibri" w:eastAsia="Times New Roman" w:hAnsi="Calibri" w:cs="Calibri"/>
                <w:color w:val="000000"/>
                <w:sz w:val="18"/>
                <w:szCs w:val="18"/>
                <w:lang w:val="en-CA" w:eastAsia="en-CA"/>
              </w:rPr>
              <w:t xml:space="preserve"> Prospective Harmonization</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2017</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identify a core set of variables for research on improving health, child development, and prevention of non-communicable diseases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Asia (2), Africa (1), North America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4</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1967</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r>
      <w:tr w:rsidR="001C3104" w:rsidRPr="005C4619" w:rsidTr="001C3104">
        <w:trPr>
          <w:trHeight w:val="692"/>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IALSA</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Healthy Neuroticism</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2017</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rigorously analyze evidence for “healthy neuroticism,” i.e., the significant moderation of the neuroticism-health relationship by conscientiousness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(2), North America (1), Australasia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15</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Meta-analysis</w:t>
            </w:r>
          </w:p>
        </w:tc>
      </w:tr>
      <w:tr w:rsidR="001C3104" w:rsidRPr="005C4619" w:rsidTr="001C3104">
        <w:trPr>
          <w:trHeight w:val="720"/>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lastRenderedPageBreak/>
              <w:t>IALSA</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Handgrip Strength and Cognitive Function</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2017</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2021</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conduct a coordinated multi-study analysis of the longitudinal association between handgrip strength and cognitive function in older adults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(4), North America (2)</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9</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25+</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Meta-analysis</w:t>
            </w:r>
          </w:p>
        </w:tc>
      </w:tr>
      <w:tr w:rsidR="001C3104" w:rsidRPr="005C4619" w:rsidTr="001C3104">
        <w:trPr>
          <w:trHeight w:val="809"/>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IALSA</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Trajectories of Big Five Personality Traits</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2017</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assess change in adulthood in self-reported Big Five personality traits using techniques designed to enhance replicability of results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(4), North America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16</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35+</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Meta-analysis</w:t>
            </w:r>
          </w:p>
        </w:tc>
      </w:tr>
      <w:tr w:rsidR="001C3104" w:rsidRPr="005C4619" w:rsidTr="001C3104">
        <w:trPr>
          <w:trHeight w:val="647"/>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IALSA,</w:t>
            </w:r>
            <w:r w:rsidRPr="005C4619">
              <w:rPr>
                <w:rFonts w:ascii="Calibri" w:eastAsia="Times New Roman" w:hAnsi="Calibri" w:cs="Calibri"/>
                <w:color w:val="000000"/>
                <w:sz w:val="18"/>
                <w:szCs w:val="18"/>
                <w:lang w:val="en-CA" w:eastAsia="en-CA"/>
              </w:rPr>
              <w:br/>
              <w:t>BRAIN</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IALSA/BRAIN exploratory harmonization</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2016</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2018</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evaluate harmonization potential across cohorts for research on determinants of within-person aging-related changes in cognitive and physical capabilities and mental health</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North America (2), Europe (3), Asia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9</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72</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r>
      <w:tr w:rsidR="001C3104" w:rsidRPr="005C4619" w:rsidTr="001C3104">
        <w:trPr>
          <w:trHeight w:val="548"/>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ICAD</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ICAD harmonization</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2018</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2019</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provide a large resource suitable for addressing a wide range of questions on health impacts and determinants of physical activity in young people</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(7), Australasia (1), North America (1), South America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106</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r w:rsidR="001C3104" w:rsidRPr="005C4619" w:rsidTr="001C3104">
        <w:trPr>
          <w:trHeight w:val="431"/>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ICM cardio</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ICM-UKB harmonization</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2019</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investigate the impact of various risk factors associated with cardiovascular diseases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(1), North America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125</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r w:rsidR="001C3104" w:rsidRPr="005C4619" w:rsidTr="001C3104">
        <w:trPr>
          <w:trHeight w:val="521"/>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InterConnect</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LTPA and anthropometric outcomes</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2014</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2018</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examine the association between leisure time physical activity (LTPA) during early and late pregnancy and newborn anthropometric outcomes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North America</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8</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30</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746"/>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InterConnect</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Food group intakes and T2D</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2015</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examine the prospective associations of some food group intakes with the risk of incident type 2 diabetes (T2D)</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North America, South America, Middle East, South Asia, South East Asia, Australasia</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30</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50</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674"/>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InterConnect</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Dietary patterns and type 2 diabetes</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2016</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replicate associations between exploratory dietary patterns and incident type 2 diabetes in cohorts across the world</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North America, South America, Middle East, South Asia, South East Asia, Australasia</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25</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70</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593"/>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INTIMIC</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Healthy Diet for a Healthy Life</w:t>
            </w:r>
          </w:p>
        </w:tc>
        <w:tc>
          <w:tcPr>
            <w:tcW w:w="581"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2018</w:t>
            </w:r>
          </w:p>
        </w:tc>
        <w:tc>
          <w:tcPr>
            <w:tcW w:w="806"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2022</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assemble available knowledge of the microbiota and other aspects of microbiome research in a FAIR data fashion and share information with various stakeholders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w:t>
            </w:r>
          </w:p>
        </w:tc>
        <w:tc>
          <w:tcPr>
            <w:tcW w:w="829"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891"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557"/>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IPD-MA</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IPD-MA core data</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 xml:space="preserve">To investigate the impact of the length of storage of red blood cell units as a risk factor for hospital-acquired infections </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Canada</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7</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154</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r w:rsidR="001C3104" w:rsidRPr="005C4619" w:rsidTr="001C3104">
        <w:trPr>
          <w:trHeight w:val="881"/>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lastRenderedPageBreak/>
              <w:t>LifeCycle</w:t>
            </w:r>
            <w:proofErr w:type="spellEnd"/>
            <w:r w:rsidRPr="005C4619">
              <w:rPr>
                <w:rFonts w:ascii="Calibri" w:eastAsia="Times New Roman" w:hAnsi="Calibri" w:cs="Calibri"/>
                <w:color w:val="000000"/>
                <w:sz w:val="18"/>
                <w:szCs w:val="18"/>
                <w:lang w:val="en-CA" w:eastAsia="en-CA"/>
              </w:rPr>
              <w:t xml:space="preserve">, </w:t>
            </w:r>
            <w:proofErr w:type="spellStart"/>
            <w:r w:rsidRPr="005C4619">
              <w:rPr>
                <w:rFonts w:ascii="Calibri" w:eastAsia="Times New Roman" w:hAnsi="Calibri" w:cs="Calibri"/>
                <w:color w:val="000000"/>
                <w:sz w:val="18"/>
                <w:szCs w:val="18"/>
                <w:lang w:val="en-CA" w:eastAsia="en-CA"/>
              </w:rPr>
              <w:t>EarlyNutrition</w:t>
            </w:r>
            <w:proofErr w:type="spellEnd"/>
            <w:r w:rsidRPr="005C4619">
              <w:rPr>
                <w:rFonts w:ascii="Calibri" w:eastAsia="Times New Roman" w:hAnsi="Calibri" w:cs="Calibri"/>
                <w:color w:val="000000"/>
                <w:sz w:val="18"/>
                <w:szCs w:val="18"/>
                <w:lang w:val="en-CA" w:eastAsia="en-CA"/>
              </w:rPr>
              <w:t xml:space="preserve"> Project, </w:t>
            </w:r>
            <w:r w:rsidRPr="005C4619">
              <w:rPr>
                <w:rFonts w:ascii="Calibri" w:eastAsia="Times New Roman" w:hAnsi="Calibri" w:cs="Calibri"/>
                <w:color w:val="000000"/>
                <w:sz w:val="18"/>
                <w:szCs w:val="18"/>
                <w:lang w:val="en-CA" w:eastAsia="en-CA"/>
              </w:rPr>
              <w:br/>
              <w:t>CHICOS</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MOCO collaboration</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2017</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2019</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examine Maternal Obesity and Childhood Outcomes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(16), North America (2), Australasia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39</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15+</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r w:rsidR="001C3104" w:rsidRPr="005C4619" w:rsidTr="001C3104">
        <w:trPr>
          <w:trHeight w:val="350"/>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LITMUS</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LITMUS pilot</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develop, validate, and qualify better biomarkers for testing Non-Alcoholic Fatty Liver Disease (NAFLD)</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w:t>
            </w:r>
          </w:p>
        </w:tc>
        <w:tc>
          <w:tcPr>
            <w:tcW w:w="829"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891"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1325"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620"/>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LONGITOOLS</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LONGITOOLS pilot</w:t>
            </w:r>
          </w:p>
        </w:tc>
        <w:tc>
          <w:tcPr>
            <w:tcW w:w="581"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study the interactions between environment, lifestyle, and health in determining risks of chronic cardiovascular and metabolic diseases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w:t>
            </w:r>
          </w:p>
        </w:tc>
        <w:tc>
          <w:tcPr>
            <w:tcW w:w="829"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25</w:t>
            </w:r>
          </w:p>
        </w:tc>
        <w:tc>
          <w:tcPr>
            <w:tcW w:w="891"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1325"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584"/>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MINDMAP</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MINDMAP harmonization</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2016</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build a data harmonization platform to support cross-national research on ageing, mental well-being, and the urban environment</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(7), North America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7</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2890</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r w:rsidR="001C3104" w:rsidRPr="005C4619" w:rsidTr="001C3104">
        <w:trPr>
          <w:trHeight w:val="539"/>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MIRACUM</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MIRACUM harmonization</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2018</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establish data integration centers in university hospitals to manage, compute, and share data extracted from electronic health records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Germany</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10</w:t>
            </w:r>
          </w:p>
        </w:tc>
        <w:tc>
          <w:tcPr>
            <w:tcW w:w="891"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240"/>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MOBAND</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MOBAND-CP study</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2017</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study cerebral palsy aetiology in a prospective design</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(2)</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1000</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r w:rsidR="001C3104" w:rsidRPr="005C4619" w:rsidTr="001C3104">
        <w:trPr>
          <w:trHeight w:val="548"/>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MOBYDIck</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MOBYDIck</w:t>
            </w:r>
            <w:proofErr w:type="spellEnd"/>
            <w:r w:rsidRPr="005C4619">
              <w:rPr>
                <w:rFonts w:ascii="Calibri" w:eastAsia="Times New Roman" w:hAnsi="Calibri" w:cs="Calibri"/>
                <w:color w:val="000000"/>
                <w:sz w:val="18"/>
                <w:szCs w:val="18"/>
                <w:lang w:val="en-CA" w:eastAsia="en-CA"/>
              </w:rPr>
              <w:t xml:space="preserve"> core data</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2021</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investigate if oral high-dosage DHA supplementation in very preterm infants increases composite outcome of BPD free survival</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Australasia (1), North America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83</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r>
      <w:tr w:rsidR="001C3104" w:rsidRPr="005C4619" w:rsidTr="001C3104">
        <w:trPr>
          <w:trHeight w:val="611"/>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MORGAM</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MORGAM core data</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1998</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investigate relationships between development of cardiovascular diseases and their classic and genetic risk factors and biomarkers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Australasia</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30</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281</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r w:rsidR="001C3104" w:rsidRPr="005C4619" w:rsidTr="007237A7">
        <w:trPr>
          <w:trHeight w:val="530"/>
        </w:trPr>
        <w:tc>
          <w:tcPr>
            <w:tcW w:w="1342" w:type="dxa"/>
            <w:shd w:val="clear" w:color="auto" w:fill="auto"/>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p>
        </w:tc>
        <w:tc>
          <w:tcPr>
            <w:tcW w:w="581" w:type="dxa"/>
            <w:shd w:val="clear" w:color="auto" w:fill="auto"/>
            <w:noWrap/>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
        </w:tc>
        <w:tc>
          <w:tcPr>
            <w:tcW w:w="806" w:type="dxa"/>
            <w:shd w:val="clear" w:color="auto" w:fill="auto"/>
            <w:noWrap/>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
        </w:tc>
        <w:tc>
          <w:tcPr>
            <w:tcW w:w="3927" w:type="dxa"/>
            <w:shd w:val="clear" w:color="auto" w:fill="auto"/>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p>
        </w:tc>
        <w:tc>
          <w:tcPr>
            <w:tcW w:w="1830" w:type="dxa"/>
            <w:shd w:val="clear" w:color="auto" w:fill="auto"/>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p>
        </w:tc>
        <w:tc>
          <w:tcPr>
            <w:tcW w:w="829" w:type="dxa"/>
            <w:shd w:val="clear" w:color="auto" w:fill="auto"/>
            <w:noWrap/>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
        </w:tc>
        <w:tc>
          <w:tcPr>
            <w:tcW w:w="891" w:type="dxa"/>
            <w:shd w:val="clear" w:color="auto" w:fill="auto"/>
            <w:noWrap/>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
        </w:tc>
        <w:tc>
          <w:tcPr>
            <w:tcW w:w="1325" w:type="dxa"/>
            <w:shd w:val="clear" w:color="auto" w:fill="auto"/>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
        </w:tc>
      </w:tr>
      <w:tr w:rsidR="007D0AFE" w:rsidRPr="007D0AFE" w:rsidTr="008E23A0">
        <w:trPr>
          <w:trHeight w:val="512"/>
        </w:trPr>
        <w:tc>
          <w:tcPr>
            <w:tcW w:w="1342" w:type="dxa"/>
            <w:shd w:val="clear" w:color="auto" w:fill="auto"/>
            <w:hideMark/>
          </w:tcPr>
          <w:p w:rsidR="007D0AFE" w:rsidRPr="007D0AFE" w:rsidRDefault="007D0AFE" w:rsidP="007D0AFE">
            <w:pPr>
              <w:spacing w:after="0" w:line="240" w:lineRule="auto"/>
              <w:jc w:val="center"/>
              <w:rPr>
                <w:rFonts w:ascii="Calibri" w:eastAsia="Times New Roman" w:hAnsi="Calibri" w:cs="Calibri"/>
                <w:color w:val="000000"/>
                <w:sz w:val="18"/>
                <w:szCs w:val="18"/>
                <w:lang w:val="en-CA" w:eastAsia="en-CA"/>
              </w:rPr>
            </w:pPr>
            <w:r w:rsidRPr="007D0AFE">
              <w:rPr>
                <w:rFonts w:ascii="Calibri" w:eastAsia="Times New Roman" w:hAnsi="Calibri" w:cs="Calibri"/>
                <w:color w:val="000000"/>
                <w:sz w:val="18"/>
                <w:szCs w:val="18"/>
                <w:lang w:val="en-CA" w:eastAsia="en-CA"/>
              </w:rPr>
              <w:t>NEAR</w:t>
            </w:r>
          </w:p>
        </w:tc>
        <w:tc>
          <w:tcPr>
            <w:tcW w:w="1410" w:type="dxa"/>
          </w:tcPr>
          <w:p w:rsidR="007D0AFE" w:rsidRPr="007D0AFE" w:rsidRDefault="007D0AFE" w:rsidP="007D0AFE">
            <w:pPr>
              <w:spacing w:after="0" w:line="240" w:lineRule="auto"/>
              <w:jc w:val="center"/>
              <w:rPr>
                <w:rFonts w:ascii="Calibri" w:eastAsia="Times New Roman" w:hAnsi="Calibri" w:cs="Calibri"/>
                <w:color w:val="000000"/>
                <w:sz w:val="18"/>
                <w:szCs w:val="18"/>
                <w:lang w:val="en-CA" w:eastAsia="en-CA"/>
              </w:rPr>
            </w:pPr>
            <w:r w:rsidRPr="007D0AFE">
              <w:rPr>
                <w:rFonts w:ascii="Calibri" w:eastAsia="Times New Roman" w:hAnsi="Calibri" w:cs="Calibri"/>
                <w:color w:val="000000"/>
                <w:sz w:val="18"/>
                <w:szCs w:val="18"/>
                <w:lang w:val="en-CA" w:eastAsia="en-CA"/>
              </w:rPr>
              <w:t>Physical function</w:t>
            </w:r>
            <w:r w:rsidR="00655DCF">
              <w:rPr>
                <w:rFonts w:ascii="Calibri" w:eastAsia="Times New Roman" w:hAnsi="Calibri" w:cs="Calibri"/>
                <w:color w:val="000000"/>
                <w:sz w:val="18"/>
                <w:szCs w:val="18"/>
                <w:lang w:val="en-CA" w:eastAsia="en-CA"/>
              </w:rPr>
              <w:t xml:space="preserve"> before death</w:t>
            </w:r>
          </w:p>
        </w:tc>
        <w:tc>
          <w:tcPr>
            <w:tcW w:w="581" w:type="dxa"/>
            <w:shd w:val="clear" w:color="auto" w:fill="auto"/>
            <w:noWrap/>
            <w:hideMark/>
          </w:tcPr>
          <w:p w:rsidR="007D0AFE" w:rsidRPr="007D0AFE" w:rsidRDefault="007D0AFE" w:rsidP="007D0AFE">
            <w:pPr>
              <w:spacing w:after="0" w:line="240" w:lineRule="auto"/>
              <w:jc w:val="center"/>
              <w:rPr>
                <w:rFonts w:ascii="Calibri" w:eastAsia="Times New Roman" w:hAnsi="Calibri" w:cs="Calibri"/>
                <w:color w:val="000000"/>
                <w:sz w:val="18"/>
                <w:szCs w:val="18"/>
                <w:lang w:val="en-CA" w:eastAsia="en-CA"/>
              </w:rPr>
            </w:pPr>
            <w:r w:rsidRPr="007D0AFE">
              <w:rPr>
                <w:rFonts w:ascii="Calibri" w:eastAsia="Times New Roman" w:hAnsi="Calibri" w:cs="Calibri"/>
                <w:color w:val="000000"/>
                <w:sz w:val="18"/>
                <w:szCs w:val="18"/>
                <w:lang w:val="en-CA" w:eastAsia="en-CA"/>
              </w:rPr>
              <w:t>2019</w:t>
            </w:r>
          </w:p>
        </w:tc>
        <w:tc>
          <w:tcPr>
            <w:tcW w:w="806" w:type="dxa"/>
            <w:shd w:val="clear" w:color="auto" w:fill="auto"/>
            <w:noWrap/>
            <w:hideMark/>
          </w:tcPr>
          <w:p w:rsidR="007D0AFE" w:rsidRPr="007D0AFE" w:rsidRDefault="00655DCF" w:rsidP="007D0AFE">
            <w:pPr>
              <w:spacing w:after="0" w:line="240" w:lineRule="auto"/>
              <w:jc w:val="center"/>
              <w:rPr>
                <w:rFonts w:ascii="Calibri" w:eastAsia="Times New Roman" w:hAnsi="Calibri" w:cs="Calibri"/>
                <w:color w:val="000000"/>
                <w:sz w:val="18"/>
                <w:szCs w:val="18"/>
                <w:lang w:val="en-CA" w:eastAsia="en-CA"/>
              </w:rPr>
            </w:pPr>
            <w:r>
              <w:rPr>
                <w:rFonts w:ascii="Calibri" w:eastAsia="Times New Roman" w:hAnsi="Calibri" w:cs="Calibri"/>
                <w:color w:val="000000"/>
                <w:sz w:val="18"/>
                <w:szCs w:val="18"/>
                <w:lang w:val="en-CA" w:eastAsia="en-CA"/>
              </w:rPr>
              <w:t>ongoing</w:t>
            </w:r>
          </w:p>
        </w:tc>
        <w:tc>
          <w:tcPr>
            <w:tcW w:w="3927" w:type="dxa"/>
            <w:shd w:val="clear" w:color="auto" w:fill="auto"/>
            <w:hideMark/>
          </w:tcPr>
          <w:p w:rsidR="007D0AFE" w:rsidRPr="007D0AFE" w:rsidRDefault="00DE45C5" w:rsidP="007D0AFE">
            <w:pPr>
              <w:spacing w:after="0" w:line="240" w:lineRule="auto"/>
              <w:jc w:val="center"/>
              <w:rPr>
                <w:rFonts w:ascii="Calibri" w:eastAsia="Times New Roman" w:hAnsi="Calibri" w:cs="Calibri"/>
                <w:color w:val="000000"/>
                <w:sz w:val="18"/>
                <w:szCs w:val="18"/>
                <w:lang w:val="en-CA" w:eastAsia="en-CA"/>
              </w:rPr>
            </w:pPr>
            <w:r w:rsidRPr="00DE45C5">
              <w:rPr>
                <w:rFonts w:ascii="Calibri" w:eastAsia="Times New Roman" w:hAnsi="Calibri" w:cs="Calibri"/>
                <w:color w:val="000000"/>
                <w:sz w:val="18"/>
                <w:szCs w:val="18"/>
                <w:lang w:val="en-CA" w:eastAsia="en-CA"/>
              </w:rPr>
              <w:t>To investigate inequalities and temporal trends in physical functioning and longevity among older people in Finland and Sweden</w:t>
            </w:r>
          </w:p>
        </w:tc>
        <w:tc>
          <w:tcPr>
            <w:tcW w:w="1830" w:type="dxa"/>
            <w:shd w:val="clear" w:color="auto" w:fill="auto"/>
            <w:hideMark/>
          </w:tcPr>
          <w:p w:rsidR="007D0AFE" w:rsidRPr="007D0AFE" w:rsidRDefault="007D0AFE" w:rsidP="007D0AFE">
            <w:pPr>
              <w:spacing w:after="0" w:line="240" w:lineRule="auto"/>
              <w:jc w:val="center"/>
              <w:rPr>
                <w:rFonts w:ascii="Calibri" w:eastAsia="Times New Roman" w:hAnsi="Calibri" w:cs="Calibri"/>
                <w:color w:val="000000"/>
                <w:sz w:val="18"/>
                <w:szCs w:val="18"/>
                <w:lang w:val="en-CA" w:eastAsia="en-CA"/>
              </w:rPr>
            </w:pPr>
            <w:r w:rsidRPr="007D0AFE">
              <w:rPr>
                <w:rFonts w:ascii="Calibri" w:eastAsia="Times New Roman" w:hAnsi="Calibri" w:cs="Calibri"/>
                <w:color w:val="000000"/>
                <w:sz w:val="18"/>
                <w:szCs w:val="18"/>
                <w:lang w:val="en-CA" w:eastAsia="en-CA"/>
              </w:rPr>
              <w:t>Europe (2)</w:t>
            </w:r>
          </w:p>
        </w:tc>
        <w:tc>
          <w:tcPr>
            <w:tcW w:w="829" w:type="dxa"/>
            <w:shd w:val="clear" w:color="auto" w:fill="auto"/>
            <w:noWrap/>
            <w:hideMark/>
          </w:tcPr>
          <w:p w:rsidR="007D0AFE" w:rsidRPr="007D0AFE" w:rsidRDefault="00DE45C5" w:rsidP="007D0AFE">
            <w:pPr>
              <w:spacing w:after="0" w:line="240" w:lineRule="auto"/>
              <w:jc w:val="center"/>
              <w:rPr>
                <w:rFonts w:ascii="Calibri" w:eastAsia="Times New Roman" w:hAnsi="Calibri" w:cs="Calibri"/>
                <w:color w:val="000000"/>
                <w:sz w:val="18"/>
                <w:szCs w:val="18"/>
                <w:lang w:val="en-CA" w:eastAsia="en-CA"/>
              </w:rPr>
            </w:pPr>
            <w:r>
              <w:rPr>
                <w:rFonts w:ascii="Calibri" w:eastAsia="Times New Roman" w:hAnsi="Calibri" w:cs="Calibri"/>
                <w:color w:val="000000"/>
                <w:sz w:val="18"/>
                <w:szCs w:val="18"/>
                <w:lang w:val="en-CA" w:eastAsia="en-CA"/>
              </w:rPr>
              <w:t>9</w:t>
            </w:r>
          </w:p>
        </w:tc>
        <w:tc>
          <w:tcPr>
            <w:tcW w:w="891" w:type="dxa"/>
            <w:shd w:val="clear" w:color="auto" w:fill="auto"/>
            <w:noWrap/>
            <w:hideMark/>
          </w:tcPr>
          <w:p w:rsidR="007D0AFE" w:rsidRPr="007D0AFE" w:rsidRDefault="00DE45C5" w:rsidP="007D0AFE">
            <w:pPr>
              <w:spacing w:after="0" w:line="240" w:lineRule="auto"/>
              <w:jc w:val="center"/>
              <w:rPr>
                <w:rFonts w:ascii="Calibri" w:eastAsia="Times New Roman" w:hAnsi="Calibri" w:cs="Calibri"/>
                <w:color w:val="000000"/>
                <w:sz w:val="18"/>
                <w:szCs w:val="18"/>
                <w:lang w:val="en-CA" w:eastAsia="en-CA"/>
              </w:rPr>
            </w:pPr>
            <w:r>
              <w:rPr>
                <w:rFonts w:ascii="Calibri" w:eastAsia="Times New Roman" w:hAnsi="Calibri" w:cs="Calibri"/>
                <w:color w:val="000000"/>
                <w:sz w:val="18"/>
                <w:szCs w:val="18"/>
                <w:lang w:val="en-CA" w:eastAsia="en-CA"/>
              </w:rPr>
              <w:t>4</w:t>
            </w:r>
            <w:r w:rsidR="007D0AFE" w:rsidRPr="007D0AFE">
              <w:rPr>
                <w:rFonts w:ascii="Calibri" w:eastAsia="Times New Roman" w:hAnsi="Calibri" w:cs="Calibri"/>
                <w:color w:val="000000"/>
                <w:sz w:val="18"/>
                <w:szCs w:val="18"/>
                <w:lang w:val="en-CA" w:eastAsia="en-CA"/>
              </w:rPr>
              <w:t>0</w:t>
            </w:r>
          </w:p>
        </w:tc>
        <w:tc>
          <w:tcPr>
            <w:tcW w:w="1325" w:type="dxa"/>
            <w:shd w:val="clear" w:color="auto" w:fill="auto"/>
            <w:hideMark/>
          </w:tcPr>
          <w:p w:rsidR="007D0AFE" w:rsidRPr="007D0AFE" w:rsidRDefault="007D0AFE" w:rsidP="007D0AFE">
            <w:pPr>
              <w:spacing w:after="0" w:line="240" w:lineRule="auto"/>
              <w:jc w:val="center"/>
              <w:rPr>
                <w:rFonts w:ascii="Calibri" w:eastAsia="Times New Roman" w:hAnsi="Calibri" w:cs="Calibri"/>
                <w:color w:val="000000"/>
                <w:sz w:val="18"/>
                <w:szCs w:val="18"/>
                <w:lang w:val="en-CA" w:eastAsia="en-CA"/>
              </w:rPr>
            </w:pPr>
            <w:r w:rsidRPr="007D0AFE">
              <w:rPr>
                <w:rFonts w:ascii="Calibri" w:eastAsia="Times New Roman" w:hAnsi="Calibri" w:cs="Calibri"/>
                <w:color w:val="000000"/>
                <w:sz w:val="18"/>
                <w:szCs w:val="18"/>
                <w:lang w:val="en-CA" w:eastAsia="en-CA"/>
              </w:rPr>
              <w:t>Pooled</w:t>
            </w:r>
          </w:p>
        </w:tc>
      </w:tr>
      <w:tr w:rsidR="00C40A76" w:rsidRPr="007D0AFE" w:rsidTr="008E23A0">
        <w:trPr>
          <w:trHeight w:val="512"/>
        </w:trPr>
        <w:tc>
          <w:tcPr>
            <w:tcW w:w="1342" w:type="dxa"/>
            <w:shd w:val="clear" w:color="auto" w:fill="auto"/>
          </w:tcPr>
          <w:p w:rsidR="00C40A76" w:rsidRPr="007D0AFE" w:rsidRDefault="00C40A76" w:rsidP="007D0AFE">
            <w:pPr>
              <w:spacing w:after="0" w:line="240" w:lineRule="auto"/>
              <w:jc w:val="center"/>
              <w:rPr>
                <w:rFonts w:ascii="Calibri" w:eastAsia="Times New Roman" w:hAnsi="Calibri" w:cs="Calibri"/>
                <w:color w:val="000000"/>
                <w:sz w:val="18"/>
                <w:szCs w:val="18"/>
                <w:lang w:val="en-CA" w:eastAsia="en-CA"/>
              </w:rPr>
            </w:pPr>
            <w:r>
              <w:rPr>
                <w:rFonts w:ascii="Calibri" w:eastAsia="Times New Roman" w:hAnsi="Calibri" w:cs="Calibri"/>
                <w:color w:val="000000"/>
                <w:sz w:val="18"/>
                <w:szCs w:val="18"/>
                <w:lang w:val="en-CA" w:eastAsia="en-CA"/>
              </w:rPr>
              <w:t>NEAR</w:t>
            </w:r>
          </w:p>
        </w:tc>
        <w:tc>
          <w:tcPr>
            <w:tcW w:w="1410" w:type="dxa"/>
          </w:tcPr>
          <w:p w:rsidR="00C40A76" w:rsidRPr="007D0AFE" w:rsidRDefault="00C40A76" w:rsidP="007D0AFE">
            <w:pPr>
              <w:spacing w:after="0" w:line="240" w:lineRule="auto"/>
              <w:jc w:val="center"/>
              <w:rPr>
                <w:rFonts w:ascii="Calibri" w:eastAsia="Times New Roman" w:hAnsi="Calibri" w:cs="Calibri"/>
                <w:color w:val="000000"/>
                <w:sz w:val="18"/>
                <w:szCs w:val="18"/>
                <w:lang w:val="en-CA" w:eastAsia="en-CA"/>
              </w:rPr>
            </w:pPr>
            <w:r w:rsidRPr="00C40A76">
              <w:rPr>
                <w:rFonts w:ascii="Calibri" w:eastAsia="Times New Roman" w:hAnsi="Calibri" w:cs="Calibri"/>
                <w:color w:val="000000"/>
                <w:sz w:val="18"/>
                <w:szCs w:val="18"/>
                <w:lang w:val="en-CA" w:eastAsia="en-CA"/>
              </w:rPr>
              <w:t>Sleep disturbances and neuroimaging correlates</w:t>
            </w:r>
          </w:p>
        </w:tc>
        <w:tc>
          <w:tcPr>
            <w:tcW w:w="581" w:type="dxa"/>
            <w:shd w:val="clear" w:color="auto" w:fill="auto"/>
            <w:noWrap/>
          </w:tcPr>
          <w:p w:rsidR="00C40A76" w:rsidRPr="007D0AFE" w:rsidRDefault="00C40A76" w:rsidP="007D0AFE">
            <w:pPr>
              <w:spacing w:after="0" w:line="240" w:lineRule="auto"/>
              <w:jc w:val="center"/>
              <w:rPr>
                <w:rFonts w:ascii="Calibri" w:eastAsia="Times New Roman" w:hAnsi="Calibri" w:cs="Calibri"/>
                <w:color w:val="000000"/>
                <w:sz w:val="18"/>
                <w:szCs w:val="18"/>
                <w:lang w:val="en-CA" w:eastAsia="en-CA"/>
              </w:rPr>
            </w:pPr>
            <w:r>
              <w:rPr>
                <w:rFonts w:ascii="Calibri" w:eastAsia="Times New Roman" w:hAnsi="Calibri" w:cs="Calibri"/>
                <w:color w:val="000000"/>
                <w:sz w:val="18"/>
                <w:szCs w:val="18"/>
                <w:lang w:val="en-CA" w:eastAsia="en-CA"/>
              </w:rPr>
              <w:t>2021</w:t>
            </w:r>
          </w:p>
        </w:tc>
        <w:tc>
          <w:tcPr>
            <w:tcW w:w="806" w:type="dxa"/>
            <w:shd w:val="clear" w:color="auto" w:fill="auto"/>
            <w:noWrap/>
          </w:tcPr>
          <w:p w:rsidR="00C40A76" w:rsidRDefault="00C40A76" w:rsidP="007D0AFE">
            <w:pPr>
              <w:spacing w:after="0" w:line="240" w:lineRule="auto"/>
              <w:jc w:val="center"/>
              <w:rPr>
                <w:rFonts w:ascii="Calibri" w:eastAsia="Times New Roman" w:hAnsi="Calibri" w:cs="Calibri"/>
                <w:color w:val="000000"/>
                <w:sz w:val="18"/>
                <w:szCs w:val="18"/>
                <w:lang w:val="en-CA" w:eastAsia="en-CA"/>
              </w:rPr>
            </w:pPr>
            <w:r>
              <w:rPr>
                <w:rFonts w:ascii="Calibri" w:eastAsia="Times New Roman" w:hAnsi="Calibri" w:cs="Calibri"/>
                <w:color w:val="000000"/>
                <w:sz w:val="18"/>
                <w:szCs w:val="18"/>
                <w:lang w:val="en-CA" w:eastAsia="en-CA"/>
              </w:rPr>
              <w:t>ongoing</w:t>
            </w:r>
          </w:p>
        </w:tc>
        <w:tc>
          <w:tcPr>
            <w:tcW w:w="3927" w:type="dxa"/>
            <w:shd w:val="clear" w:color="auto" w:fill="auto"/>
          </w:tcPr>
          <w:p w:rsidR="00C40A76" w:rsidRPr="00DE45C5" w:rsidRDefault="00C40A76" w:rsidP="007D0AFE">
            <w:pPr>
              <w:spacing w:after="0" w:line="240" w:lineRule="auto"/>
              <w:jc w:val="center"/>
              <w:rPr>
                <w:rFonts w:ascii="Calibri" w:eastAsia="Times New Roman" w:hAnsi="Calibri" w:cs="Calibri"/>
                <w:color w:val="000000"/>
                <w:sz w:val="18"/>
                <w:szCs w:val="18"/>
                <w:lang w:val="en-CA" w:eastAsia="en-CA"/>
              </w:rPr>
            </w:pPr>
            <w:r w:rsidRPr="00C40A76">
              <w:rPr>
                <w:rFonts w:ascii="Calibri" w:eastAsia="Times New Roman" w:hAnsi="Calibri" w:cs="Calibri"/>
                <w:color w:val="000000"/>
                <w:sz w:val="18"/>
                <w:szCs w:val="18"/>
                <w:lang w:val="en-CA" w:eastAsia="en-CA"/>
              </w:rPr>
              <w:t xml:space="preserve">To investigate the associations between sleep </w:t>
            </w:r>
            <w:proofErr w:type="spellStart"/>
            <w:r w:rsidRPr="00C40A76">
              <w:rPr>
                <w:rFonts w:ascii="Calibri" w:eastAsia="Times New Roman" w:hAnsi="Calibri" w:cs="Calibri"/>
                <w:color w:val="000000"/>
                <w:sz w:val="18"/>
                <w:szCs w:val="18"/>
                <w:lang w:val="en-CA" w:eastAsia="en-CA"/>
              </w:rPr>
              <w:t>disturbances</w:t>
            </w:r>
            <w:proofErr w:type="gramStart"/>
            <w:r w:rsidRPr="00C40A76">
              <w:rPr>
                <w:rFonts w:ascii="Calibri" w:eastAsia="Times New Roman" w:hAnsi="Calibri" w:cs="Calibri"/>
                <w:color w:val="000000"/>
                <w:sz w:val="18"/>
                <w:szCs w:val="18"/>
                <w:lang w:val="en-CA" w:eastAsia="en-CA"/>
              </w:rPr>
              <w:t>,neuroimaging</w:t>
            </w:r>
            <w:proofErr w:type="spellEnd"/>
            <w:proofErr w:type="gramEnd"/>
            <w:r w:rsidRPr="00C40A76">
              <w:rPr>
                <w:rFonts w:ascii="Calibri" w:eastAsia="Times New Roman" w:hAnsi="Calibri" w:cs="Calibri"/>
                <w:color w:val="000000"/>
                <w:sz w:val="18"/>
                <w:szCs w:val="18"/>
                <w:lang w:val="en-CA" w:eastAsia="en-CA"/>
              </w:rPr>
              <w:t xml:space="preserve"> correlates, and their association with cognition.</w:t>
            </w:r>
          </w:p>
        </w:tc>
        <w:tc>
          <w:tcPr>
            <w:tcW w:w="1830" w:type="dxa"/>
            <w:shd w:val="clear" w:color="auto" w:fill="auto"/>
          </w:tcPr>
          <w:p w:rsidR="00C40A76" w:rsidRPr="007D0AFE" w:rsidRDefault="00C40A76" w:rsidP="007D0AFE">
            <w:pPr>
              <w:spacing w:after="0" w:line="240" w:lineRule="auto"/>
              <w:jc w:val="center"/>
              <w:rPr>
                <w:rFonts w:ascii="Calibri" w:eastAsia="Times New Roman" w:hAnsi="Calibri" w:cs="Calibri"/>
                <w:color w:val="000000"/>
                <w:sz w:val="18"/>
                <w:szCs w:val="18"/>
                <w:lang w:val="en-CA" w:eastAsia="en-CA"/>
              </w:rPr>
            </w:pPr>
            <w:r>
              <w:rPr>
                <w:rFonts w:ascii="Calibri" w:eastAsia="Times New Roman" w:hAnsi="Calibri" w:cs="Calibri"/>
                <w:color w:val="000000"/>
                <w:sz w:val="18"/>
                <w:szCs w:val="18"/>
                <w:lang w:val="en-CA" w:eastAsia="en-CA"/>
              </w:rPr>
              <w:t>Sweden</w:t>
            </w:r>
          </w:p>
        </w:tc>
        <w:tc>
          <w:tcPr>
            <w:tcW w:w="829" w:type="dxa"/>
            <w:shd w:val="clear" w:color="auto" w:fill="auto"/>
            <w:noWrap/>
          </w:tcPr>
          <w:p w:rsidR="00C40A76" w:rsidRDefault="00C40A76" w:rsidP="007D0AFE">
            <w:pPr>
              <w:spacing w:after="0" w:line="240" w:lineRule="auto"/>
              <w:jc w:val="center"/>
              <w:rPr>
                <w:rFonts w:ascii="Calibri" w:eastAsia="Times New Roman" w:hAnsi="Calibri" w:cs="Calibri"/>
                <w:color w:val="000000"/>
                <w:sz w:val="18"/>
                <w:szCs w:val="18"/>
                <w:lang w:val="en-CA" w:eastAsia="en-CA"/>
              </w:rPr>
            </w:pPr>
            <w:r>
              <w:rPr>
                <w:rFonts w:ascii="Calibri" w:eastAsia="Times New Roman" w:hAnsi="Calibri" w:cs="Calibri"/>
                <w:color w:val="000000"/>
                <w:sz w:val="18"/>
                <w:szCs w:val="18"/>
                <w:lang w:val="en-CA" w:eastAsia="en-CA"/>
              </w:rPr>
              <w:t>3</w:t>
            </w:r>
          </w:p>
        </w:tc>
        <w:tc>
          <w:tcPr>
            <w:tcW w:w="891" w:type="dxa"/>
            <w:shd w:val="clear" w:color="auto" w:fill="auto"/>
            <w:noWrap/>
          </w:tcPr>
          <w:p w:rsidR="00C40A76" w:rsidRDefault="00C40A76" w:rsidP="007D0AFE">
            <w:pPr>
              <w:spacing w:after="0" w:line="240" w:lineRule="auto"/>
              <w:jc w:val="center"/>
              <w:rPr>
                <w:rFonts w:ascii="Calibri" w:eastAsia="Times New Roman" w:hAnsi="Calibri" w:cs="Calibri"/>
                <w:color w:val="000000"/>
                <w:sz w:val="18"/>
                <w:szCs w:val="18"/>
                <w:lang w:val="en-CA" w:eastAsia="en-CA"/>
              </w:rPr>
            </w:pPr>
            <w:r>
              <w:rPr>
                <w:rFonts w:ascii="Calibri" w:eastAsia="Times New Roman" w:hAnsi="Calibri" w:cs="Calibri"/>
                <w:color w:val="000000"/>
                <w:sz w:val="18"/>
                <w:szCs w:val="18"/>
                <w:lang w:val="en-CA" w:eastAsia="en-CA"/>
              </w:rPr>
              <w:t>NA</w:t>
            </w:r>
          </w:p>
        </w:tc>
        <w:tc>
          <w:tcPr>
            <w:tcW w:w="1325" w:type="dxa"/>
            <w:shd w:val="clear" w:color="auto" w:fill="auto"/>
          </w:tcPr>
          <w:p w:rsidR="00C40A76" w:rsidRPr="007D0AFE" w:rsidRDefault="00C40A76" w:rsidP="007D0AFE">
            <w:pPr>
              <w:spacing w:after="0" w:line="240" w:lineRule="auto"/>
              <w:jc w:val="center"/>
              <w:rPr>
                <w:rFonts w:ascii="Calibri" w:eastAsia="Times New Roman" w:hAnsi="Calibri" w:cs="Calibri"/>
                <w:color w:val="000000"/>
                <w:sz w:val="18"/>
                <w:szCs w:val="18"/>
                <w:lang w:val="en-CA" w:eastAsia="en-CA"/>
              </w:rPr>
            </w:pPr>
            <w:r>
              <w:rPr>
                <w:rFonts w:ascii="Calibri" w:eastAsia="Times New Roman" w:hAnsi="Calibri" w:cs="Calibri"/>
                <w:color w:val="000000"/>
                <w:sz w:val="18"/>
                <w:szCs w:val="18"/>
                <w:lang w:val="en-CA" w:eastAsia="en-CA"/>
              </w:rPr>
              <w:t>Pooled</w:t>
            </w:r>
          </w:p>
        </w:tc>
      </w:tr>
      <w:tr w:rsidR="001C3104" w:rsidRPr="005C4619" w:rsidTr="001C3104">
        <w:trPr>
          <w:trHeight w:val="674"/>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NFDI4Health</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NFDI4Health pilot</w:t>
            </w:r>
          </w:p>
        </w:tc>
        <w:tc>
          <w:tcPr>
            <w:tcW w:w="581"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enable FAIR data generated in clinical trials, epidemiological, and public health studies to enhance research collaboration while complying with privacy and ethical requirements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Germany</w:t>
            </w:r>
          </w:p>
        </w:tc>
        <w:tc>
          <w:tcPr>
            <w:tcW w:w="829"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891"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1325"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2535DC">
        <w:trPr>
          <w:trHeight w:val="512"/>
        </w:trPr>
        <w:tc>
          <w:tcPr>
            <w:tcW w:w="1342" w:type="dxa"/>
            <w:shd w:val="clear" w:color="auto" w:fill="auto"/>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p>
        </w:tc>
        <w:tc>
          <w:tcPr>
            <w:tcW w:w="581" w:type="dxa"/>
            <w:shd w:val="clear" w:color="auto" w:fill="auto"/>
            <w:noWrap/>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
        </w:tc>
        <w:tc>
          <w:tcPr>
            <w:tcW w:w="806" w:type="dxa"/>
            <w:shd w:val="clear" w:color="auto" w:fill="auto"/>
            <w:noWrap/>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
        </w:tc>
        <w:tc>
          <w:tcPr>
            <w:tcW w:w="3927" w:type="dxa"/>
            <w:shd w:val="clear" w:color="auto" w:fill="auto"/>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p>
        </w:tc>
        <w:tc>
          <w:tcPr>
            <w:tcW w:w="1830" w:type="dxa"/>
            <w:shd w:val="clear" w:color="auto" w:fill="auto"/>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p>
        </w:tc>
        <w:tc>
          <w:tcPr>
            <w:tcW w:w="829" w:type="dxa"/>
            <w:shd w:val="clear" w:color="auto" w:fill="auto"/>
            <w:noWrap/>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
        </w:tc>
        <w:tc>
          <w:tcPr>
            <w:tcW w:w="891" w:type="dxa"/>
            <w:shd w:val="clear" w:color="auto" w:fill="auto"/>
            <w:noWrap/>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
        </w:tc>
        <w:tc>
          <w:tcPr>
            <w:tcW w:w="1325" w:type="dxa"/>
            <w:shd w:val="clear" w:color="auto" w:fill="auto"/>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
        </w:tc>
      </w:tr>
      <w:tr w:rsidR="001C3104" w:rsidRPr="005C4619" w:rsidTr="001C3104">
        <w:trPr>
          <w:trHeight w:val="647"/>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lastRenderedPageBreak/>
              <w:t>P3G</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 xml:space="preserve">Generic </w:t>
            </w:r>
            <w:proofErr w:type="spellStart"/>
            <w:r w:rsidRPr="005C4619">
              <w:rPr>
                <w:rFonts w:ascii="Calibri" w:eastAsia="Times New Roman" w:hAnsi="Calibri" w:cs="Calibri"/>
                <w:color w:val="000000"/>
                <w:sz w:val="18"/>
                <w:szCs w:val="18"/>
                <w:lang w:val="en-CA" w:eastAsia="en-CA"/>
              </w:rPr>
              <w:t>DataShaper</w:t>
            </w:r>
            <w:proofErr w:type="spellEnd"/>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2006</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2011</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 xml:space="preserve">To evaluate the value of the </w:t>
            </w:r>
            <w:proofErr w:type="spellStart"/>
            <w:r w:rsidRPr="005C4619">
              <w:rPr>
                <w:rFonts w:ascii="Calibri" w:eastAsia="Times New Roman" w:hAnsi="Calibri" w:cs="Calibri"/>
                <w:color w:val="000000"/>
                <w:sz w:val="18"/>
                <w:szCs w:val="18"/>
                <w:lang w:val="en-CA" w:eastAsia="en-CA"/>
              </w:rPr>
              <w:t>DataSchema</w:t>
            </w:r>
            <w:proofErr w:type="spellEnd"/>
            <w:r w:rsidRPr="005C4619">
              <w:rPr>
                <w:rFonts w:ascii="Calibri" w:eastAsia="Times New Roman" w:hAnsi="Calibri" w:cs="Calibri"/>
                <w:color w:val="000000"/>
                <w:sz w:val="18"/>
                <w:szCs w:val="18"/>
                <w:lang w:val="en-CA" w:eastAsia="en-CA"/>
              </w:rPr>
              <w:t xml:space="preserve"> and Harmonization Platform for Epidemiological Research approach for retrospective harmonization of large population-based studies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(14), Asia (4), North America (2), Australasia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53</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148</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r>
      <w:tr w:rsidR="001C3104" w:rsidRPr="005C4619" w:rsidTr="001C3104">
        <w:trPr>
          <w:trHeight w:val="476"/>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ReACH</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Prenatal Alcohol Exposure</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2018</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2022</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identify correlates of maternal alcohol use before and during pregnancy and assess impacts on low birthweight and preterm birth</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Canada</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5</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56</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r w:rsidR="001C3104" w:rsidRPr="005C4619" w:rsidTr="001C3104">
        <w:trPr>
          <w:trHeight w:val="530"/>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ReACH</w:t>
            </w:r>
            <w:proofErr w:type="spellEnd"/>
            <w:r w:rsidRPr="005C4619">
              <w:rPr>
                <w:rFonts w:ascii="Calibri" w:eastAsia="Times New Roman" w:hAnsi="Calibri" w:cs="Calibri"/>
                <w:color w:val="000000"/>
                <w:sz w:val="18"/>
                <w:szCs w:val="18"/>
                <w:lang w:val="en-CA" w:eastAsia="en-CA"/>
              </w:rPr>
              <w:t xml:space="preserve">, </w:t>
            </w:r>
            <w:r w:rsidRPr="005C4619">
              <w:rPr>
                <w:rFonts w:ascii="Calibri" w:eastAsia="Times New Roman" w:hAnsi="Calibri" w:cs="Calibri"/>
                <w:color w:val="000000"/>
                <w:sz w:val="18"/>
                <w:szCs w:val="18"/>
                <w:lang w:val="en-CA" w:eastAsia="en-CA"/>
              </w:rPr>
              <w:br/>
            </w:r>
            <w:proofErr w:type="spellStart"/>
            <w:r w:rsidRPr="005C4619">
              <w:rPr>
                <w:rFonts w:ascii="Calibri" w:eastAsia="Times New Roman" w:hAnsi="Calibri" w:cs="Calibri"/>
                <w:color w:val="000000"/>
                <w:sz w:val="18"/>
                <w:szCs w:val="18"/>
                <w:lang w:val="en-CA" w:eastAsia="en-CA"/>
              </w:rPr>
              <w:t>EUCANConnect</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ReACH</w:t>
            </w:r>
            <w:proofErr w:type="spellEnd"/>
            <w:r w:rsidRPr="005C4619">
              <w:rPr>
                <w:rFonts w:ascii="Calibri" w:eastAsia="Times New Roman" w:hAnsi="Calibri" w:cs="Calibri"/>
                <w:color w:val="000000"/>
                <w:sz w:val="18"/>
                <w:szCs w:val="18"/>
                <w:lang w:val="en-CA" w:eastAsia="en-CA"/>
              </w:rPr>
              <w:t xml:space="preserve"> exploratory harmonization</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2022</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evaluate harmonization potential across Canadian cohorts for research on the impact of prenatal factors on birth outcomes and children's health</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Canada</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24</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349</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r>
      <w:tr w:rsidR="001C3104" w:rsidRPr="005C4619" w:rsidTr="001C3104">
        <w:trPr>
          <w:trHeight w:val="404"/>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RECAP Preterm Consortium</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Adult outcomes of VPT and VLBW</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2019</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compare major adult outcomes between Very Preterm (VPT) and Very Low Birth Weight (VLBW) and term born participants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(6), Australasia (2)</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11</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567</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r w:rsidRPr="005C4619">
              <w:rPr>
                <w:rFonts w:ascii="Calibri" w:eastAsia="Times New Roman" w:hAnsi="Calibri" w:cs="Calibri"/>
                <w:color w:val="000000"/>
                <w:sz w:val="18"/>
                <w:szCs w:val="18"/>
                <w:lang w:val="en-CA" w:eastAsia="en-CA"/>
              </w:rPr>
              <w:br/>
              <w:t>Meta-analysis</w:t>
            </w:r>
          </w:p>
        </w:tc>
      </w:tr>
      <w:tr w:rsidR="001C3104" w:rsidRPr="005C4619" w:rsidTr="001C3104">
        <w:trPr>
          <w:trHeight w:val="960"/>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RECAP Preterm Consortium</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EPT RECAP</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perform a comparative analysis of extremely preterm</w:t>
            </w:r>
            <w:r>
              <w:rPr>
                <w:rFonts w:ascii="Calibri" w:eastAsia="Times New Roman" w:hAnsi="Calibri" w:cs="Calibri"/>
                <w:color w:val="000000"/>
                <w:sz w:val="18"/>
                <w:szCs w:val="18"/>
                <w:lang w:val="en-CA" w:eastAsia="en-CA"/>
              </w:rPr>
              <w:t xml:space="preserve"> (EPT)</w:t>
            </w:r>
            <w:r w:rsidRPr="005C4619">
              <w:rPr>
                <w:rFonts w:ascii="Calibri" w:eastAsia="Times New Roman" w:hAnsi="Calibri" w:cs="Calibri"/>
                <w:color w:val="000000"/>
                <w:sz w:val="18"/>
                <w:szCs w:val="18"/>
                <w:lang w:val="en-CA" w:eastAsia="en-CA"/>
              </w:rPr>
              <w:t xml:space="preserve"> birth cohorts in Europe to identify similarities and differences for the determination of baseline populations in perinatal epidemiology</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(14)</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17</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631</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368"/>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ReCoDID</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DENGUE project</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2019</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develop a harmonization system and implement data harmonization for dengue research</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South America (5), Central America (1), multi-national</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8</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100+</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r>
      <w:tr w:rsidR="001C3104" w:rsidRPr="005C4619" w:rsidTr="001C3104">
        <w:trPr>
          <w:trHeight w:val="422"/>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proofErr w:type="spellStart"/>
            <w:r w:rsidRPr="005C4619">
              <w:rPr>
                <w:rFonts w:ascii="Calibri" w:eastAsia="Times New Roman" w:hAnsi="Calibri" w:cs="Calibri"/>
                <w:color w:val="000000"/>
                <w:sz w:val="18"/>
                <w:szCs w:val="18"/>
                <w:lang w:val="en-CA" w:eastAsia="en-CA"/>
              </w:rPr>
              <w:t>ReCoDID</w:t>
            </w:r>
            <w:proofErr w:type="spellEnd"/>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ZIKA project</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2019</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develop a harmonization system and implement data harmonization for Zika research</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South America, Central America, Africa, Asia, Europe, North America</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8</w:t>
            </w:r>
          </w:p>
        </w:tc>
        <w:tc>
          <w:tcPr>
            <w:tcW w:w="891"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r>
      <w:tr w:rsidR="001C3104" w:rsidRPr="005C4619" w:rsidTr="001C3104">
        <w:trPr>
          <w:trHeight w:val="296"/>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RESET</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RESET core data</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explore reversing type 2 diabetes with a low energy diet and exercise intervention in adults under 40 years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(1), North America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w:t>
            </w:r>
          </w:p>
        </w:tc>
        <w:tc>
          <w:tcPr>
            <w:tcW w:w="891"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r>
      <w:tr w:rsidR="001C3104" w:rsidRPr="005C4619" w:rsidTr="001C3104">
        <w:trPr>
          <w:trHeight w:val="746"/>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SPIRIT</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SPIRIT harmonization</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2014</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ongoing</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harmonize pregnancy and birth cohort data and establish an infrastructure for research on the intra-uterine determinants of child health and development, and perinatal health services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Asia (1), North America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4</w:t>
            </w:r>
          </w:p>
        </w:tc>
        <w:tc>
          <w:tcPr>
            <w:tcW w:w="891"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Federated</w:t>
            </w:r>
          </w:p>
        </w:tc>
      </w:tr>
      <w:tr w:rsidR="001C3104" w:rsidRPr="005C4619" w:rsidTr="001C3104">
        <w:trPr>
          <w:trHeight w:val="494"/>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STROKOG</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Poststroke cognitive impairment</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2016</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investigate profiles of and risk factors for post-stroke cognitive impairment in diverse ethno-racial groups</w:t>
            </w:r>
          </w:p>
        </w:tc>
        <w:tc>
          <w:tcPr>
            <w:tcW w:w="1830" w:type="dxa"/>
            <w:shd w:val="clear" w:color="auto" w:fill="auto"/>
            <w:hideMark/>
          </w:tcPr>
          <w:p w:rsidR="001C3104" w:rsidRPr="00F14AB5" w:rsidRDefault="001C3104" w:rsidP="001C3104">
            <w:pPr>
              <w:spacing w:after="0" w:line="240" w:lineRule="auto"/>
              <w:rPr>
                <w:rFonts w:ascii="Calibri" w:eastAsia="Times New Roman" w:hAnsi="Calibri" w:cs="Calibri"/>
                <w:color w:val="000000"/>
                <w:sz w:val="18"/>
                <w:szCs w:val="18"/>
                <w:lang w:val="es-ES" w:eastAsia="en-CA"/>
              </w:rPr>
            </w:pPr>
            <w:proofErr w:type="spellStart"/>
            <w:r w:rsidRPr="00F14AB5">
              <w:rPr>
                <w:rFonts w:ascii="Calibri" w:eastAsia="Times New Roman" w:hAnsi="Calibri" w:cs="Calibri"/>
                <w:color w:val="000000"/>
                <w:sz w:val="18"/>
                <w:szCs w:val="18"/>
                <w:lang w:val="es-ES" w:eastAsia="en-CA"/>
              </w:rPr>
              <w:t>Europe</w:t>
            </w:r>
            <w:proofErr w:type="spellEnd"/>
            <w:r w:rsidRPr="00F14AB5">
              <w:rPr>
                <w:rFonts w:ascii="Calibri" w:eastAsia="Times New Roman" w:hAnsi="Calibri" w:cs="Calibri"/>
                <w:color w:val="000000"/>
                <w:sz w:val="18"/>
                <w:szCs w:val="18"/>
                <w:lang w:val="es-ES" w:eastAsia="en-CA"/>
              </w:rPr>
              <w:t xml:space="preserve">, Asia, </w:t>
            </w:r>
            <w:proofErr w:type="spellStart"/>
            <w:r w:rsidRPr="00F14AB5">
              <w:rPr>
                <w:rFonts w:ascii="Calibri" w:eastAsia="Times New Roman" w:hAnsi="Calibri" w:cs="Calibri"/>
                <w:color w:val="000000"/>
                <w:sz w:val="18"/>
                <w:szCs w:val="18"/>
                <w:lang w:val="es-ES" w:eastAsia="en-CA"/>
              </w:rPr>
              <w:t>Africa</w:t>
            </w:r>
            <w:proofErr w:type="spellEnd"/>
            <w:r w:rsidRPr="00F14AB5">
              <w:rPr>
                <w:rFonts w:ascii="Calibri" w:eastAsia="Times New Roman" w:hAnsi="Calibri" w:cs="Calibri"/>
                <w:color w:val="000000"/>
                <w:sz w:val="18"/>
                <w:szCs w:val="18"/>
                <w:lang w:val="es-ES" w:eastAsia="en-CA"/>
              </w:rPr>
              <w:t xml:space="preserve">, Australasia, North </w:t>
            </w:r>
            <w:proofErr w:type="spellStart"/>
            <w:r w:rsidRPr="00F14AB5">
              <w:rPr>
                <w:rFonts w:ascii="Calibri" w:eastAsia="Times New Roman" w:hAnsi="Calibri" w:cs="Calibri"/>
                <w:color w:val="000000"/>
                <w:sz w:val="18"/>
                <w:szCs w:val="18"/>
                <w:lang w:val="es-ES" w:eastAsia="en-CA"/>
              </w:rPr>
              <w:t>America</w:t>
            </w:r>
            <w:proofErr w:type="spellEnd"/>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13</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59</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r w:rsidR="001C3104" w:rsidRPr="005C4619" w:rsidTr="001C3104">
        <w:trPr>
          <w:trHeight w:val="960"/>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WHO</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Baseline determinants of aging</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2020</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support research on the impact of cross-national differences in policies and actions on global population health and aging</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(31), Asia (10), Africa (3), North America (3), South America (2), Australasia (1)</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12</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60</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r w:rsidR="001C3104" w:rsidRPr="005C4619" w:rsidTr="001C3104">
        <w:trPr>
          <w:trHeight w:val="296"/>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 xml:space="preserve">Multi-Center </w:t>
            </w:r>
            <w:r w:rsidRPr="005C4619">
              <w:rPr>
                <w:rFonts w:ascii="Calibri" w:eastAsia="Times New Roman" w:hAnsi="Calibri" w:cs="Calibri"/>
                <w:color w:val="000000"/>
                <w:sz w:val="18"/>
                <w:szCs w:val="18"/>
                <w:lang w:val="en-CA" w:eastAsia="en-CA"/>
              </w:rPr>
              <w:lastRenderedPageBreak/>
              <w:t>Sleep Study</w:t>
            </w:r>
          </w:p>
        </w:tc>
        <w:tc>
          <w:tcPr>
            <w:tcW w:w="58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lastRenderedPageBreak/>
              <w:t>2017</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2017</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 xml:space="preserve">To investigate sleep disturbances in midlife and </w:t>
            </w:r>
            <w:r w:rsidRPr="005C4619">
              <w:rPr>
                <w:rFonts w:ascii="Calibri" w:eastAsia="Times New Roman" w:hAnsi="Calibri" w:cs="Calibri"/>
                <w:color w:val="000000"/>
                <w:sz w:val="18"/>
                <w:szCs w:val="18"/>
                <w:lang w:val="en-CA" w:eastAsia="en-CA"/>
              </w:rPr>
              <w:lastRenderedPageBreak/>
              <w:t>late life, and their associations with dementia and cognitive status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lastRenderedPageBreak/>
              <w:t>Europe (2)</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4</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11</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r w:rsidR="001C3104" w:rsidRPr="005C4619" w:rsidTr="001C3104">
        <w:trPr>
          <w:trHeight w:val="296"/>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lastRenderedPageBreak/>
              <w:t>N/A</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Breastfeeding and diabetes</w:t>
            </w:r>
          </w:p>
        </w:tc>
        <w:tc>
          <w:tcPr>
            <w:tcW w:w="581"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2017</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study the relation between the duration of full and any breastfeeding and risk of type 1 diabetes</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(2)</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10+</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Meta-analysis</w:t>
            </w:r>
          </w:p>
        </w:tc>
      </w:tr>
      <w:tr w:rsidR="001C3104" w:rsidRPr="005C4619" w:rsidTr="001C3104">
        <w:trPr>
          <w:trHeight w:val="566"/>
        </w:trPr>
        <w:tc>
          <w:tcPr>
            <w:tcW w:w="1342"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1410" w:type="dxa"/>
          </w:tcPr>
          <w:p w:rsidR="001C3104" w:rsidRPr="005C4619" w:rsidRDefault="001C3104" w:rsidP="00C06945">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Smoking, education, and preterm birth</w:t>
            </w:r>
          </w:p>
        </w:tc>
        <w:tc>
          <w:tcPr>
            <w:tcW w:w="581"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NA</w:t>
            </w:r>
          </w:p>
        </w:tc>
        <w:tc>
          <w:tcPr>
            <w:tcW w:w="806"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2019</w:t>
            </w:r>
          </w:p>
        </w:tc>
        <w:tc>
          <w:tcPr>
            <w:tcW w:w="3927"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To study to which extent smoking during pregnancy mediates educational disparities in preterm delivery</w:t>
            </w:r>
          </w:p>
        </w:tc>
        <w:tc>
          <w:tcPr>
            <w:tcW w:w="1830" w:type="dxa"/>
            <w:shd w:val="clear" w:color="auto" w:fill="auto"/>
            <w:hideMark/>
          </w:tcPr>
          <w:p w:rsidR="001C3104" w:rsidRPr="005C4619" w:rsidRDefault="001C3104" w:rsidP="001C3104">
            <w:pPr>
              <w:spacing w:after="0" w:line="240" w:lineRule="auto"/>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Europe (3)</w:t>
            </w:r>
          </w:p>
        </w:tc>
        <w:tc>
          <w:tcPr>
            <w:tcW w:w="829"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3</w:t>
            </w:r>
          </w:p>
        </w:tc>
        <w:tc>
          <w:tcPr>
            <w:tcW w:w="891" w:type="dxa"/>
            <w:shd w:val="clear" w:color="auto" w:fill="auto"/>
            <w:noWrap/>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10+</w:t>
            </w:r>
          </w:p>
        </w:tc>
        <w:tc>
          <w:tcPr>
            <w:tcW w:w="1325" w:type="dxa"/>
            <w:shd w:val="clear" w:color="auto" w:fill="auto"/>
            <w:hideMark/>
          </w:tcPr>
          <w:p w:rsidR="001C3104" w:rsidRPr="005C4619" w:rsidRDefault="001C3104" w:rsidP="001C3104">
            <w:pPr>
              <w:spacing w:after="0" w:line="240" w:lineRule="auto"/>
              <w:jc w:val="center"/>
              <w:rPr>
                <w:rFonts w:ascii="Calibri" w:eastAsia="Times New Roman" w:hAnsi="Calibri" w:cs="Calibri"/>
                <w:color w:val="000000"/>
                <w:sz w:val="18"/>
                <w:szCs w:val="18"/>
                <w:lang w:val="en-CA" w:eastAsia="en-CA"/>
              </w:rPr>
            </w:pPr>
            <w:r w:rsidRPr="005C4619">
              <w:rPr>
                <w:rFonts w:ascii="Calibri" w:eastAsia="Times New Roman" w:hAnsi="Calibri" w:cs="Calibri"/>
                <w:color w:val="000000"/>
                <w:sz w:val="18"/>
                <w:szCs w:val="18"/>
                <w:lang w:val="en-CA" w:eastAsia="en-CA"/>
              </w:rPr>
              <w:t>Pooled</w:t>
            </w:r>
          </w:p>
        </w:tc>
      </w:tr>
    </w:tbl>
    <w:p w:rsidR="00857621" w:rsidRDefault="00857621" w:rsidP="00BE711F">
      <w:pPr>
        <w:rPr>
          <w:sz w:val="18"/>
          <w:szCs w:val="18"/>
        </w:rPr>
      </w:pPr>
    </w:p>
    <w:p w:rsidR="00BE711F" w:rsidRPr="00467B58" w:rsidRDefault="008B0188" w:rsidP="00BE711F">
      <w:pPr>
        <w:rPr>
          <w:sz w:val="18"/>
          <w:szCs w:val="18"/>
        </w:rPr>
      </w:pPr>
      <w:r w:rsidRPr="00467B58">
        <w:rPr>
          <w:sz w:val="18"/>
          <w:szCs w:val="18"/>
        </w:rPr>
        <w:t xml:space="preserve">Network </w:t>
      </w:r>
      <w:r w:rsidR="00467B58">
        <w:rPr>
          <w:sz w:val="18"/>
          <w:szCs w:val="18"/>
        </w:rPr>
        <w:t>a</w:t>
      </w:r>
      <w:r w:rsidR="00BE711F" w:rsidRPr="00467B58">
        <w:rPr>
          <w:sz w:val="18"/>
          <w:szCs w:val="18"/>
        </w:rPr>
        <w:t>cronyms and abbreviations used in Table S1.</w:t>
      </w:r>
    </w:p>
    <w:tbl>
      <w:tblPr>
        <w:tblW w:w="12870" w:type="dxa"/>
        <w:tblLook w:val="04A0"/>
      </w:tblPr>
      <w:tblGrid>
        <w:gridCol w:w="2250"/>
        <w:gridCol w:w="10620"/>
      </w:tblGrid>
      <w:tr w:rsidR="00BE711F" w:rsidRPr="00624BC5" w:rsidTr="00690AAE">
        <w:trPr>
          <w:trHeight w:val="210"/>
        </w:trPr>
        <w:tc>
          <w:tcPr>
            <w:tcW w:w="2250" w:type="dxa"/>
            <w:tcBorders>
              <w:top w:val="nil"/>
              <w:left w:val="nil"/>
              <w:bottom w:val="single" w:sz="4" w:space="0" w:color="auto"/>
              <w:right w:val="nil"/>
            </w:tcBorders>
            <w:shd w:val="clear" w:color="auto" w:fill="auto"/>
            <w:noWrap/>
            <w:vAlign w:val="bottom"/>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Acronym/Abbreviation</w:t>
            </w:r>
          </w:p>
        </w:tc>
        <w:tc>
          <w:tcPr>
            <w:tcW w:w="10620" w:type="dxa"/>
            <w:tcBorders>
              <w:top w:val="nil"/>
              <w:left w:val="nil"/>
              <w:bottom w:val="single" w:sz="4" w:space="0" w:color="auto"/>
              <w:right w:val="nil"/>
            </w:tcBorders>
            <w:shd w:val="clear" w:color="auto" w:fill="auto"/>
            <w:vAlign w:val="bottom"/>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Full name</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ATHLOS</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Ageing Trajectories of Health: Longitudinal Opportunities and Synergies</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BBMRI-LPC</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Biobanking and Biomolecular Resources Research Infrastructure - Large Prospective Cohorts</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proofErr w:type="spellStart"/>
            <w:r w:rsidRPr="00624BC5">
              <w:rPr>
                <w:rFonts w:ascii="Calibri" w:eastAsia="Times New Roman" w:hAnsi="Calibri" w:cs="Calibri"/>
                <w:color w:val="000000"/>
                <w:sz w:val="18"/>
                <w:szCs w:val="18"/>
                <w:lang w:val="en-CA" w:eastAsia="en-CA"/>
              </w:rPr>
              <w:t>BioSHaRE</w:t>
            </w:r>
            <w:proofErr w:type="spellEnd"/>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Biobank Standardisation and Harmonisation for Research Excellence in the European Union</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BRAIN</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Broad and Deep Analyses in Neurodegeneration</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proofErr w:type="spellStart"/>
            <w:r w:rsidRPr="00624BC5">
              <w:rPr>
                <w:rFonts w:ascii="Calibri" w:eastAsia="Times New Roman" w:hAnsi="Calibri" w:cs="Calibri"/>
                <w:color w:val="000000"/>
                <w:sz w:val="18"/>
                <w:szCs w:val="18"/>
                <w:lang w:val="en-CA" w:eastAsia="en-CA"/>
              </w:rPr>
              <w:t>CanPath</w:t>
            </w:r>
            <w:proofErr w:type="spellEnd"/>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Canadian Partnership for Tomorrow's Health</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proofErr w:type="spellStart"/>
            <w:r w:rsidRPr="00624BC5">
              <w:rPr>
                <w:rFonts w:ascii="Calibri" w:eastAsia="Times New Roman" w:hAnsi="Calibri" w:cs="Calibri"/>
                <w:color w:val="000000"/>
                <w:sz w:val="18"/>
                <w:szCs w:val="18"/>
                <w:lang w:val="en-CA" w:eastAsia="en-CA"/>
              </w:rPr>
              <w:t>CAPACIty</w:t>
            </w:r>
            <w:proofErr w:type="spellEnd"/>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proofErr w:type="spellStart"/>
            <w:r w:rsidRPr="00624BC5">
              <w:rPr>
                <w:rFonts w:ascii="Calibri" w:eastAsia="Times New Roman" w:hAnsi="Calibri" w:cs="Calibri"/>
                <w:color w:val="000000"/>
                <w:sz w:val="18"/>
                <w:szCs w:val="18"/>
                <w:lang w:val="en-CA" w:eastAsia="en-CA"/>
              </w:rPr>
              <w:t>CAnadian</w:t>
            </w:r>
            <w:proofErr w:type="spellEnd"/>
            <w:r w:rsidRPr="00624BC5">
              <w:rPr>
                <w:rFonts w:ascii="Calibri" w:eastAsia="Times New Roman" w:hAnsi="Calibri" w:cs="Calibri"/>
                <w:color w:val="000000"/>
                <w:sz w:val="18"/>
                <w:szCs w:val="18"/>
                <w:lang w:val="en-CA" w:eastAsia="en-CA"/>
              </w:rPr>
              <w:t xml:space="preserve"> </w:t>
            </w:r>
            <w:proofErr w:type="spellStart"/>
            <w:r w:rsidRPr="00624BC5">
              <w:rPr>
                <w:rFonts w:ascii="Calibri" w:eastAsia="Times New Roman" w:hAnsi="Calibri" w:cs="Calibri"/>
                <w:color w:val="000000"/>
                <w:sz w:val="18"/>
                <w:szCs w:val="18"/>
                <w:lang w:val="en-CA" w:eastAsia="en-CA"/>
              </w:rPr>
              <w:t>PediAtric</w:t>
            </w:r>
            <w:proofErr w:type="spellEnd"/>
            <w:r w:rsidRPr="00624BC5">
              <w:rPr>
                <w:rFonts w:ascii="Calibri" w:eastAsia="Times New Roman" w:hAnsi="Calibri" w:cs="Calibri"/>
                <w:color w:val="000000"/>
                <w:sz w:val="18"/>
                <w:szCs w:val="18"/>
                <w:lang w:val="en-CA" w:eastAsia="en-CA"/>
              </w:rPr>
              <w:t xml:space="preserve"> diabetes </w:t>
            </w:r>
            <w:proofErr w:type="spellStart"/>
            <w:r w:rsidRPr="00624BC5">
              <w:rPr>
                <w:rFonts w:ascii="Calibri" w:eastAsia="Times New Roman" w:hAnsi="Calibri" w:cs="Calibri"/>
                <w:color w:val="000000"/>
                <w:sz w:val="18"/>
                <w:szCs w:val="18"/>
                <w:lang w:val="en-CA" w:eastAsia="en-CA"/>
              </w:rPr>
              <w:t>ConsortIum</w:t>
            </w:r>
            <w:proofErr w:type="spellEnd"/>
          </w:p>
        </w:tc>
      </w:tr>
      <w:tr w:rsidR="00BE711F" w:rsidRPr="00624BC5" w:rsidTr="00690AAE">
        <w:trPr>
          <w:trHeight w:val="108"/>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Chronic LBP IPDMA Group</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Chronic Lower Back Pain Individual Participant Data Meta-Analysis Group</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CHICOS</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Developing a Child Cohort Research Strategy for Europe</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CHPT</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Cross-cohort Harmonization Project for Tomorrow</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CITF</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COVID-19 Immunity Task Force</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Cohorts.se</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Swedish Cohort Consortium</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proofErr w:type="spellStart"/>
            <w:r w:rsidRPr="00624BC5">
              <w:rPr>
                <w:rFonts w:ascii="Calibri" w:eastAsia="Times New Roman" w:hAnsi="Calibri" w:cs="Calibri"/>
                <w:color w:val="000000"/>
                <w:sz w:val="18"/>
                <w:szCs w:val="18"/>
                <w:lang w:val="en-CA" w:eastAsia="en-CA"/>
              </w:rPr>
              <w:t>EarlyNutrition</w:t>
            </w:r>
            <w:proofErr w:type="spellEnd"/>
            <w:r w:rsidRPr="00624BC5">
              <w:rPr>
                <w:rFonts w:ascii="Calibri" w:eastAsia="Times New Roman" w:hAnsi="Calibri" w:cs="Calibri"/>
                <w:color w:val="000000"/>
                <w:sz w:val="18"/>
                <w:szCs w:val="18"/>
                <w:lang w:val="en-CA" w:eastAsia="en-CA"/>
              </w:rPr>
              <w:t xml:space="preserve"> Project</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Long-term effects of early nutrition on later health</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2A2A2A"/>
                <w:sz w:val="18"/>
                <w:szCs w:val="18"/>
                <w:lang w:val="en-CA" w:eastAsia="en-CA"/>
              </w:rPr>
            </w:pPr>
            <w:r w:rsidRPr="00624BC5">
              <w:rPr>
                <w:rFonts w:ascii="Calibri" w:eastAsia="Times New Roman" w:hAnsi="Calibri" w:cs="Calibri"/>
                <w:color w:val="2A2A2A"/>
                <w:sz w:val="18"/>
                <w:szCs w:val="18"/>
                <w:lang w:val="en-CA" w:eastAsia="en-CA"/>
              </w:rPr>
              <w:t>ENPADASI</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European Nutritional Phenotype Assessment and Data Sharing Initiative</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2A2A2A"/>
                <w:sz w:val="18"/>
                <w:szCs w:val="18"/>
                <w:lang w:val="en-CA" w:eastAsia="en-CA"/>
              </w:rPr>
            </w:pPr>
            <w:r w:rsidRPr="00624BC5">
              <w:rPr>
                <w:rFonts w:ascii="Calibri" w:eastAsia="Times New Roman" w:hAnsi="Calibri" w:cs="Calibri"/>
                <w:color w:val="2A2A2A"/>
                <w:sz w:val="18"/>
                <w:szCs w:val="18"/>
                <w:lang w:val="en-CA" w:eastAsia="en-CA"/>
              </w:rPr>
              <w:t>ENRIECO</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Environmental Health Risks in European Birth Cohorts</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ESCAPE</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European study of cohorts for air pollution effects</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EU Child Cohort Network</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A Europe-wide network of cohort studies started in early life</w:t>
            </w:r>
          </w:p>
        </w:tc>
      </w:tr>
      <w:tr w:rsidR="00BE711F" w:rsidRPr="00624BC5" w:rsidTr="00690AAE">
        <w:trPr>
          <w:trHeight w:val="126"/>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EUCAN-Connect</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A federated FAIR platform enabling large-scale analysis of high-value cohort data connecting Europe and Canada in personalized health</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EUCAN-Share</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An EU-Canada Joint Infrastructure for Next-Generation Multi-Study Heart Research</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GOING-FWD</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 xml:space="preserve">Gender Outcomes </w:t>
            </w:r>
            <w:proofErr w:type="spellStart"/>
            <w:r w:rsidRPr="00624BC5">
              <w:rPr>
                <w:rFonts w:ascii="Calibri" w:eastAsia="Times New Roman" w:hAnsi="Calibri" w:cs="Calibri"/>
                <w:color w:val="000000"/>
                <w:sz w:val="18"/>
                <w:szCs w:val="18"/>
                <w:lang w:val="en-CA" w:eastAsia="en-CA"/>
              </w:rPr>
              <w:t>INternational</w:t>
            </w:r>
            <w:proofErr w:type="spellEnd"/>
            <w:r w:rsidRPr="00624BC5">
              <w:rPr>
                <w:rFonts w:ascii="Calibri" w:eastAsia="Times New Roman" w:hAnsi="Calibri" w:cs="Calibri"/>
                <w:color w:val="000000"/>
                <w:sz w:val="18"/>
                <w:szCs w:val="18"/>
                <w:lang w:val="en-CA" w:eastAsia="en-CA"/>
              </w:rPr>
              <w:t xml:space="preserve"> Group: to Further Well-being Development</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proofErr w:type="spellStart"/>
            <w:r w:rsidRPr="00624BC5">
              <w:rPr>
                <w:rFonts w:ascii="Calibri" w:eastAsia="Times New Roman" w:hAnsi="Calibri" w:cs="Calibri"/>
                <w:color w:val="000000"/>
                <w:sz w:val="18"/>
                <w:szCs w:val="18"/>
                <w:lang w:val="en-CA" w:eastAsia="en-CA"/>
              </w:rPr>
              <w:t>HeLTI</w:t>
            </w:r>
            <w:proofErr w:type="spellEnd"/>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Healthy Life Trajectories Initiative</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IALSA</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Integrative Analysis of Longitudinal Studies of Aging and Dementia</w:t>
            </w:r>
          </w:p>
        </w:tc>
      </w:tr>
      <w:tr w:rsidR="00BE711F" w:rsidRPr="004734D4"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ICM</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fr-CA" w:eastAsia="en-CA"/>
              </w:rPr>
            </w:pPr>
            <w:proofErr w:type="spellStart"/>
            <w:r w:rsidRPr="00624BC5">
              <w:rPr>
                <w:rFonts w:ascii="Calibri" w:eastAsia="Times New Roman" w:hAnsi="Calibri" w:cs="Calibri"/>
                <w:color w:val="000000"/>
                <w:sz w:val="18"/>
                <w:szCs w:val="18"/>
                <w:lang w:val="fr-CA" w:eastAsia="en-CA"/>
              </w:rPr>
              <w:t>Montreal</w:t>
            </w:r>
            <w:proofErr w:type="spellEnd"/>
            <w:r w:rsidRPr="00624BC5">
              <w:rPr>
                <w:rFonts w:ascii="Calibri" w:eastAsia="Times New Roman" w:hAnsi="Calibri" w:cs="Calibri"/>
                <w:color w:val="000000"/>
                <w:sz w:val="18"/>
                <w:szCs w:val="18"/>
                <w:lang w:val="fr-CA" w:eastAsia="en-CA"/>
              </w:rPr>
              <w:t xml:space="preserve"> </w:t>
            </w:r>
            <w:proofErr w:type="spellStart"/>
            <w:r w:rsidRPr="00624BC5">
              <w:rPr>
                <w:rFonts w:ascii="Calibri" w:eastAsia="Times New Roman" w:hAnsi="Calibri" w:cs="Calibri"/>
                <w:color w:val="000000"/>
                <w:sz w:val="18"/>
                <w:szCs w:val="18"/>
                <w:lang w:val="fr-CA" w:eastAsia="en-CA"/>
              </w:rPr>
              <w:t>Heart</w:t>
            </w:r>
            <w:proofErr w:type="spellEnd"/>
            <w:r w:rsidRPr="00624BC5">
              <w:rPr>
                <w:rFonts w:ascii="Calibri" w:eastAsia="Times New Roman" w:hAnsi="Calibri" w:cs="Calibri"/>
                <w:color w:val="000000"/>
                <w:sz w:val="18"/>
                <w:szCs w:val="18"/>
                <w:lang w:val="fr-CA" w:eastAsia="en-CA"/>
              </w:rPr>
              <w:t xml:space="preserve"> Institute - Institut de Cardiologie de Montréal</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ICAD</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International Children's Accelerometry Database</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proofErr w:type="spellStart"/>
            <w:r w:rsidRPr="00624BC5">
              <w:rPr>
                <w:rFonts w:ascii="Calibri" w:eastAsia="Times New Roman" w:hAnsi="Calibri" w:cs="Calibri"/>
                <w:color w:val="000000"/>
                <w:sz w:val="18"/>
                <w:szCs w:val="18"/>
                <w:lang w:val="en-CA" w:eastAsia="en-CA"/>
              </w:rPr>
              <w:t>InterConnect</w:t>
            </w:r>
            <w:proofErr w:type="spellEnd"/>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Global data for diabetes and obesity research</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INTIMIC</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 xml:space="preserve">Intestinal </w:t>
            </w:r>
            <w:proofErr w:type="spellStart"/>
            <w:r w:rsidRPr="00624BC5">
              <w:rPr>
                <w:rFonts w:ascii="Calibri" w:eastAsia="Times New Roman" w:hAnsi="Calibri" w:cs="Calibri"/>
                <w:color w:val="000000"/>
                <w:sz w:val="18"/>
                <w:szCs w:val="18"/>
                <w:lang w:val="en-CA" w:eastAsia="en-CA"/>
              </w:rPr>
              <w:t>Microbiomics</w:t>
            </w:r>
            <w:proofErr w:type="spellEnd"/>
            <w:r w:rsidRPr="00624BC5">
              <w:rPr>
                <w:rFonts w:ascii="Calibri" w:eastAsia="Times New Roman" w:hAnsi="Calibri" w:cs="Calibri"/>
                <w:color w:val="000000"/>
                <w:sz w:val="18"/>
                <w:szCs w:val="18"/>
                <w:lang w:val="en-CA" w:eastAsia="en-CA"/>
              </w:rPr>
              <w:t xml:space="preserve"> Knowledge Platform</w:t>
            </w:r>
          </w:p>
        </w:tc>
      </w:tr>
      <w:tr w:rsidR="00BE711F" w:rsidRPr="00624BC5" w:rsidTr="00690AAE">
        <w:trPr>
          <w:trHeight w:val="9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IPD-MA</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Length of Storage of Red Blood Cell Units as a Risk Factor for Hospital-Acquired Infections: An Individual Patient Data Meta-Analysis</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proofErr w:type="spellStart"/>
            <w:r w:rsidRPr="00624BC5">
              <w:rPr>
                <w:rFonts w:ascii="Calibri" w:eastAsia="Times New Roman" w:hAnsi="Calibri" w:cs="Calibri"/>
                <w:color w:val="000000"/>
                <w:sz w:val="18"/>
                <w:szCs w:val="18"/>
                <w:lang w:val="en-CA" w:eastAsia="en-CA"/>
              </w:rPr>
              <w:t>LifeCycle</w:t>
            </w:r>
            <w:proofErr w:type="spellEnd"/>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 xml:space="preserve">Early-life stressors and </w:t>
            </w:r>
            <w:proofErr w:type="spellStart"/>
            <w:r w:rsidRPr="00624BC5">
              <w:rPr>
                <w:rFonts w:ascii="Calibri" w:eastAsia="Times New Roman" w:hAnsi="Calibri" w:cs="Calibri"/>
                <w:color w:val="000000"/>
                <w:sz w:val="18"/>
                <w:szCs w:val="18"/>
                <w:lang w:val="en-CA" w:eastAsia="en-CA"/>
              </w:rPr>
              <w:t>LifeCycle</w:t>
            </w:r>
            <w:proofErr w:type="spellEnd"/>
            <w:r w:rsidRPr="00624BC5">
              <w:rPr>
                <w:rFonts w:ascii="Calibri" w:eastAsia="Times New Roman" w:hAnsi="Calibri" w:cs="Calibri"/>
                <w:color w:val="000000"/>
                <w:sz w:val="18"/>
                <w:szCs w:val="18"/>
                <w:lang w:val="en-CA" w:eastAsia="en-CA"/>
              </w:rPr>
              <w:t xml:space="preserve"> health</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LITMUS</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Liver Investigation: Testing Marker Utility in Steatohepatitis</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LONGITOOLS</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LONGITOOLS Health and Environment Dynamics</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MINDMAP</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Promoting mental well-being and healthy ageing in cities</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lastRenderedPageBreak/>
              <w:t>MIRACUM</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Medical Informatics in Research and Care in University Medicine</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MOBAND</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proofErr w:type="spellStart"/>
            <w:r w:rsidRPr="00624BC5">
              <w:rPr>
                <w:rFonts w:ascii="Calibri" w:eastAsia="Times New Roman" w:hAnsi="Calibri" w:cs="Calibri"/>
                <w:color w:val="000000"/>
                <w:sz w:val="18"/>
                <w:szCs w:val="18"/>
                <w:lang w:val="en-CA" w:eastAsia="en-CA"/>
              </w:rPr>
              <w:t>MOthers</w:t>
            </w:r>
            <w:proofErr w:type="spellEnd"/>
            <w:r w:rsidRPr="00624BC5">
              <w:rPr>
                <w:rFonts w:ascii="Calibri" w:eastAsia="Times New Roman" w:hAnsi="Calibri" w:cs="Calibri"/>
                <w:color w:val="000000"/>
                <w:sz w:val="18"/>
                <w:szCs w:val="18"/>
                <w:lang w:val="en-CA" w:eastAsia="en-CA"/>
              </w:rPr>
              <w:t xml:space="preserve"> and </w:t>
            </w:r>
            <w:proofErr w:type="spellStart"/>
            <w:r w:rsidRPr="00624BC5">
              <w:rPr>
                <w:rFonts w:ascii="Calibri" w:eastAsia="Times New Roman" w:hAnsi="Calibri" w:cs="Calibri"/>
                <w:color w:val="000000"/>
                <w:sz w:val="18"/>
                <w:szCs w:val="18"/>
                <w:lang w:val="en-CA" w:eastAsia="en-CA"/>
              </w:rPr>
              <w:t>BAbies</w:t>
            </w:r>
            <w:proofErr w:type="spellEnd"/>
            <w:r w:rsidRPr="00624BC5">
              <w:rPr>
                <w:rFonts w:ascii="Calibri" w:eastAsia="Times New Roman" w:hAnsi="Calibri" w:cs="Calibri"/>
                <w:color w:val="000000"/>
                <w:sz w:val="18"/>
                <w:szCs w:val="18"/>
                <w:lang w:val="en-CA" w:eastAsia="en-CA"/>
              </w:rPr>
              <w:t xml:space="preserve"> in Norway and Denmark</w:t>
            </w:r>
          </w:p>
        </w:tc>
      </w:tr>
      <w:tr w:rsidR="00BE711F" w:rsidRPr="00624BC5" w:rsidTr="00690AAE">
        <w:trPr>
          <w:trHeight w:val="64"/>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proofErr w:type="spellStart"/>
            <w:r w:rsidRPr="00624BC5">
              <w:rPr>
                <w:rFonts w:ascii="Calibri" w:eastAsia="Times New Roman" w:hAnsi="Calibri" w:cs="Calibri"/>
                <w:color w:val="000000"/>
                <w:sz w:val="18"/>
                <w:szCs w:val="18"/>
                <w:lang w:val="en-CA" w:eastAsia="en-CA"/>
              </w:rPr>
              <w:t>MOBYDIck</w:t>
            </w:r>
            <w:proofErr w:type="spellEnd"/>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Maternal omega-3 supplementation to reduce bronchopulmonary dysplasia in very preterm infants: A randomized controlled trial</w:t>
            </w:r>
          </w:p>
        </w:tc>
      </w:tr>
      <w:tr w:rsidR="00624BC5" w:rsidRPr="00624BC5" w:rsidTr="00690AAE">
        <w:trPr>
          <w:trHeight w:val="64"/>
        </w:trPr>
        <w:tc>
          <w:tcPr>
            <w:tcW w:w="2250" w:type="dxa"/>
            <w:tcBorders>
              <w:top w:val="nil"/>
              <w:left w:val="nil"/>
              <w:bottom w:val="nil"/>
              <w:right w:val="nil"/>
            </w:tcBorders>
            <w:shd w:val="clear" w:color="auto" w:fill="auto"/>
            <w:noWrap/>
          </w:tcPr>
          <w:p w:rsidR="00624BC5" w:rsidRPr="00624BC5" w:rsidRDefault="00624BC5"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MOCO</w:t>
            </w:r>
          </w:p>
        </w:tc>
        <w:tc>
          <w:tcPr>
            <w:tcW w:w="10620" w:type="dxa"/>
            <w:tcBorders>
              <w:top w:val="nil"/>
              <w:left w:val="nil"/>
              <w:bottom w:val="nil"/>
              <w:right w:val="nil"/>
            </w:tcBorders>
            <w:shd w:val="clear" w:color="auto" w:fill="auto"/>
          </w:tcPr>
          <w:p w:rsidR="00624BC5" w:rsidRPr="00624BC5" w:rsidRDefault="00624BC5"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Maternal Obesity and Childhood Outcomes</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MORGAM</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MONICA Risk, Genetics, Archiving and Monograph</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NEAR</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National E-infrastructure for Aging Research</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NFDI4Health</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National Research Data Infrastructure for Personal Health Data</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P3G</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Public Population Project in Genomics and Society</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proofErr w:type="spellStart"/>
            <w:r w:rsidRPr="00624BC5">
              <w:rPr>
                <w:rFonts w:ascii="Calibri" w:eastAsia="Times New Roman" w:hAnsi="Calibri" w:cs="Calibri"/>
                <w:color w:val="000000"/>
                <w:sz w:val="18"/>
                <w:szCs w:val="18"/>
                <w:lang w:val="en-CA" w:eastAsia="en-CA"/>
              </w:rPr>
              <w:t>ReACH</w:t>
            </w:r>
            <w:proofErr w:type="spellEnd"/>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Research Advancement through Cohort Cataloguing and Harmonization</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RECAP Preterm Consortium</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Research on European Children and Adults Born Preterm</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proofErr w:type="spellStart"/>
            <w:r w:rsidRPr="00624BC5">
              <w:rPr>
                <w:rFonts w:ascii="Calibri" w:eastAsia="Times New Roman" w:hAnsi="Calibri" w:cs="Calibri"/>
                <w:color w:val="000000"/>
                <w:sz w:val="18"/>
                <w:szCs w:val="18"/>
                <w:lang w:val="en-CA" w:eastAsia="en-CA"/>
              </w:rPr>
              <w:t>ReCoDID</w:t>
            </w:r>
            <w:proofErr w:type="spellEnd"/>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Reconciliation of Cohort Data in Infectious Diseases</w:t>
            </w:r>
          </w:p>
        </w:tc>
      </w:tr>
      <w:tr w:rsidR="00BE711F" w:rsidRPr="00624BC5" w:rsidTr="00690AAE">
        <w:trPr>
          <w:trHeight w:val="64"/>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RESET</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proofErr w:type="spellStart"/>
            <w:r w:rsidRPr="00624BC5">
              <w:rPr>
                <w:rFonts w:ascii="Calibri" w:eastAsia="Times New Roman" w:hAnsi="Calibri" w:cs="Calibri"/>
                <w:color w:val="000000"/>
                <w:sz w:val="18"/>
                <w:szCs w:val="18"/>
                <w:lang w:val="en-CA" w:eastAsia="en-CA"/>
              </w:rPr>
              <w:t>REmission</w:t>
            </w:r>
            <w:proofErr w:type="spellEnd"/>
            <w:r w:rsidRPr="00624BC5">
              <w:rPr>
                <w:rFonts w:ascii="Calibri" w:eastAsia="Times New Roman" w:hAnsi="Calibri" w:cs="Calibri"/>
                <w:color w:val="000000"/>
                <w:sz w:val="18"/>
                <w:szCs w:val="18"/>
                <w:lang w:val="en-CA" w:eastAsia="en-CA"/>
              </w:rPr>
              <w:t xml:space="preserve"> of diabetes and improved diastolic function by combining Structured Exercise with meal </w:t>
            </w:r>
            <w:proofErr w:type="spellStart"/>
            <w:r w:rsidRPr="00624BC5">
              <w:rPr>
                <w:rFonts w:ascii="Calibri" w:eastAsia="Times New Roman" w:hAnsi="Calibri" w:cs="Calibri"/>
                <w:color w:val="000000"/>
                <w:sz w:val="18"/>
                <w:szCs w:val="18"/>
                <w:lang w:val="en-CA" w:eastAsia="en-CA"/>
              </w:rPr>
              <w:t>replacemenT</w:t>
            </w:r>
            <w:proofErr w:type="spellEnd"/>
            <w:r w:rsidRPr="00624BC5">
              <w:rPr>
                <w:rFonts w:ascii="Calibri" w:eastAsia="Times New Roman" w:hAnsi="Calibri" w:cs="Calibri"/>
                <w:color w:val="000000"/>
                <w:sz w:val="18"/>
                <w:szCs w:val="18"/>
                <w:lang w:val="en-CA" w:eastAsia="en-CA"/>
              </w:rPr>
              <w:t xml:space="preserve"> and food reintroduction</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SPIRIT</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Sino-Quebec Perinatal Initiative in Research and Information Technology</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STROKOG</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Stroke and Cognition consortium</w:t>
            </w:r>
          </w:p>
        </w:tc>
      </w:tr>
      <w:tr w:rsidR="00790006" w:rsidRPr="00624BC5" w:rsidTr="00690AAE">
        <w:trPr>
          <w:trHeight w:val="210"/>
        </w:trPr>
        <w:tc>
          <w:tcPr>
            <w:tcW w:w="2250" w:type="dxa"/>
            <w:tcBorders>
              <w:top w:val="nil"/>
              <w:left w:val="nil"/>
              <w:bottom w:val="nil"/>
              <w:right w:val="nil"/>
            </w:tcBorders>
            <w:shd w:val="clear" w:color="auto" w:fill="auto"/>
            <w:noWrap/>
          </w:tcPr>
          <w:p w:rsidR="00790006" w:rsidRPr="00624BC5" w:rsidRDefault="00790006"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UKB</w:t>
            </w:r>
          </w:p>
        </w:tc>
        <w:tc>
          <w:tcPr>
            <w:tcW w:w="10620" w:type="dxa"/>
            <w:tcBorders>
              <w:top w:val="nil"/>
              <w:left w:val="nil"/>
              <w:bottom w:val="nil"/>
              <w:right w:val="nil"/>
            </w:tcBorders>
            <w:shd w:val="clear" w:color="auto" w:fill="auto"/>
          </w:tcPr>
          <w:p w:rsidR="00790006" w:rsidRPr="00624BC5" w:rsidRDefault="00790006"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UK Biobank</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proofErr w:type="spellStart"/>
            <w:r w:rsidRPr="00624BC5">
              <w:rPr>
                <w:rFonts w:ascii="Calibri" w:eastAsia="Times New Roman" w:hAnsi="Calibri" w:cs="Calibri"/>
                <w:color w:val="000000"/>
                <w:sz w:val="18"/>
                <w:szCs w:val="18"/>
                <w:lang w:val="en-CA" w:eastAsia="en-CA"/>
              </w:rPr>
              <w:t>USGo</w:t>
            </w:r>
            <w:proofErr w:type="spellEnd"/>
          </w:p>
        </w:tc>
        <w:tc>
          <w:tcPr>
            <w:tcW w:w="10620" w:type="dxa"/>
            <w:tcBorders>
              <w:top w:val="nil"/>
              <w:left w:val="nil"/>
              <w:bottom w:val="nil"/>
              <w:right w:val="nil"/>
            </w:tcBorders>
            <w:shd w:val="clear" w:color="auto" w:fill="auto"/>
            <w:hideMark/>
          </w:tcPr>
          <w:p w:rsidR="00BE711F" w:rsidRPr="00624BC5" w:rsidRDefault="00714B3A"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United States Gender outcomes</w:t>
            </w:r>
          </w:p>
        </w:tc>
      </w:tr>
      <w:tr w:rsidR="00BE711F" w:rsidRPr="00624BC5" w:rsidTr="00690AAE">
        <w:trPr>
          <w:trHeight w:val="210"/>
        </w:trPr>
        <w:tc>
          <w:tcPr>
            <w:tcW w:w="2250" w:type="dxa"/>
            <w:tcBorders>
              <w:top w:val="nil"/>
              <w:left w:val="nil"/>
              <w:bottom w:val="nil"/>
              <w:right w:val="nil"/>
            </w:tcBorders>
            <w:shd w:val="clear" w:color="auto" w:fill="auto"/>
            <w:noWrap/>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WHO</w:t>
            </w:r>
          </w:p>
        </w:tc>
        <w:tc>
          <w:tcPr>
            <w:tcW w:w="10620" w:type="dxa"/>
            <w:tcBorders>
              <w:top w:val="nil"/>
              <w:left w:val="nil"/>
              <w:bottom w:val="nil"/>
              <w:right w:val="nil"/>
            </w:tcBorders>
            <w:shd w:val="clear" w:color="auto" w:fill="auto"/>
            <w:hideMark/>
          </w:tcPr>
          <w:p w:rsidR="00BE711F" w:rsidRPr="00624BC5" w:rsidRDefault="00BE711F" w:rsidP="0024698C">
            <w:pPr>
              <w:spacing w:after="0" w:line="240" w:lineRule="auto"/>
              <w:rPr>
                <w:rFonts w:ascii="Calibri" w:eastAsia="Times New Roman" w:hAnsi="Calibri" w:cs="Calibri"/>
                <w:color w:val="000000"/>
                <w:sz w:val="18"/>
                <w:szCs w:val="18"/>
                <w:lang w:val="en-CA" w:eastAsia="en-CA"/>
              </w:rPr>
            </w:pPr>
            <w:r w:rsidRPr="00624BC5">
              <w:rPr>
                <w:rFonts w:ascii="Calibri" w:eastAsia="Times New Roman" w:hAnsi="Calibri" w:cs="Calibri"/>
                <w:color w:val="000000"/>
                <w:sz w:val="18"/>
                <w:szCs w:val="18"/>
                <w:lang w:val="en-CA" w:eastAsia="en-CA"/>
              </w:rPr>
              <w:t>World Health Organization</w:t>
            </w:r>
          </w:p>
        </w:tc>
      </w:tr>
    </w:tbl>
    <w:p w:rsidR="00BE711F" w:rsidRPr="00A41A1A" w:rsidRDefault="00BE711F">
      <w:pPr>
        <w:rPr>
          <w:sz w:val="18"/>
          <w:szCs w:val="18"/>
        </w:rPr>
      </w:pPr>
    </w:p>
    <w:p w:rsidR="002677F0" w:rsidRDefault="002677F0">
      <w:pPr>
        <w:rPr>
          <w:b/>
          <w:bCs/>
          <w:highlight w:val="yellow"/>
        </w:rPr>
      </w:pPr>
    </w:p>
    <w:p w:rsidR="00CB36A6" w:rsidRDefault="00CB36A6">
      <w:pPr>
        <w:rPr>
          <w:b/>
          <w:bCs/>
          <w:highlight w:val="yellow"/>
        </w:rPr>
        <w:sectPr w:rsidR="00CB36A6" w:rsidSect="00314A33">
          <w:pgSz w:w="15840" w:h="12240" w:orient="landscape"/>
          <w:pgMar w:top="1440" w:right="1440" w:bottom="1440" w:left="1440" w:header="720" w:footer="720" w:gutter="0"/>
          <w:cols w:space="720"/>
          <w:docGrid w:linePitch="360"/>
        </w:sectPr>
      </w:pPr>
    </w:p>
    <w:p w:rsidR="00BE711F" w:rsidRPr="000B5975" w:rsidRDefault="00BE711F" w:rsidP="00BE711F">
      <w:pPr>
        <w:rPr>
          <w:b/>
          <w:bCs/>
        </w:rPr>
      </w:pPr>
      <w:r w:rsidRPr="000B5975">
        <w:rPr>
          <w:b/>
          <w:bCs/>
          <w:lang w:val="en-CA"/>
        </w:rPr>
        <w:lastRenderedPageBreak/>
        <w:t xml:space="preserve">Supplementary material </w:t>
      </w:r>
      <w:r w:rsidR="00270978">
        <w:rPr>
          <w:b/>
          <w:bCs/>
          <w:lang w:val="en-CA"/>
        </w:rPr>
        <w:t>S2</w:t>
      </w:r>
      <w:r w:rsidR="00D56110" w:rsidRPr="000B5975">
        <w:rPr>
          <w:b/>
          <w:bCs/>
          <w:lang w:val="en-CA"/>
        </w:rPr>
        <w:t xml:space="preserve">. </w:t>
      </w:r>
      <w:r w:rsidRPr="000B5975">
        <w:rPr>
          <w:b/>
          <w:bCs/>
          <w:lang w:val="en-CA"/>
        </w:rPr>
        <w:t xml:space="preserve">Life course of the </w:t>
      </w:r>
      <w:proofErr w:type="spellStart"/>
      <w:r w:rsidRPr="000B5975">
        <w:rPr>
          <w:b/>
          <w:bCs/>
          <w:lang w:val="en-CA"/>
        </w:rPr>
        <w:t>ReACH</w:t>
      </w:r>
      <w:proofErr w:type="spellEnd"/>
      <w:r w:rsidRPr="000B5975">
        <w:rPr>
          <w:b/>
          <w:bCs/>
          <w:lang w:val="en-CA"/>
        </w:rPr>
        <w:t xml:space="preserve"> Prenatal Alcohol Exposure (PAE) project</w:t>
      </w:r>
    </w:p>
    <w:p w:rsidR="003E7579" w:rsidRPr="003E7579" w:rsidRDefault="003E7579" w:rsidP="003E7579">
      <w:pPr>
        <w:spacing w:after="0" w:line="240" w:lineRule="auto"/>
        <w:rPr>
          <w:lang w:val="en-CA"/>
        </w:rPr>
      </w:pPr>
      <w:r w:rsidRPr="003E7579">
        <w:rPr>
          <w:lang w:val="en-CA"/>
        </w:rPr>
        <w:t>This supplementary material presents the life course of a harmonization initiative initiated in 2018 and concluded in 2022. It includes information related to the process undertaken to achieve the project, the timeline, and the approximate budget.</w:t>
      </w:r>
    </w:p>
    <w:p w:rsidR="003E7579" w:rsidRPr="003E7579" w:rsidRDefault="003E7579" w:rsidP="003E7579">
      <w:pPr>
        <w:spacing w:after="0" w:line="240" w:lineRule="auto"/>
        <w:rPr>
          <w:lang w:val="en-CA"/>
        </w:rPr>
      </w:pPr>
    </w:p>
    <w:p w:rsidR="003E7579" w:rsidRPr="003E7579" w:rsidRDefault="003E7579" w:rsidP="003E7579">
      <w:pPr>
        <w:spacing w:after="0" w:line="240" w:lineRule="auto"/>
        <w:rPr>
          <w:lang w:val="en-CA"/>
        </w:rPr>
      </w:pPr>
    </w:p>
    <w:p w:rsidR="003E7579" w:rsidRPr="003E7579" w:rsidRDefault="003E7579" w:rsidP="003E7579">
      <w:pPr>
        <w:numPr>
          <w:ilvl w:val="0"/>
          <w:numId w:val="6"/>
        </w:numPr>
        <w:spacing w:after="0" w:line="240" w:lineRule="auto"/>
        <w:contextualSpacing/>
        <w:rPr>
          <w:b/>
          <w:bCs/>
          <w:lang w:val="en-CA"/>
        </w:rPr>
      </w:pPr>
      <w:r w:rsidRPr="003E7579">
        <w:rPr>
          <w:b/>
          <w:bCs/>
          <w:lang w:val="en-CA"/>
        </w:rPr>
        <w:t>Life course of the Prenatal Alcohol Exposure (PAE) project</w:t>
      </w:r>
    </w:p>
    <w:p w:rsidR="003E7579" w:rsidRDefault="003E7579" w:rsidP="003E7579">
      <w:pPr>
        <w:spacing w:after="0" w:line="240" w:lineRule="auto"/>
        <w:ind w:left="360"/>
        <w:contextualSpacing/>
        <w:rPr>
          <w:b/>
          <w:bCs/>
          <w:lang w:val="en-CA"/>
        </w:rPr>
      </w:pPr>
    </w:p>
    <w:p w:rsidR="00035F4D" w:rsidRPr="003E7579" w:rsidRDefault="00035F4D" w:rsidP="003E7579">
      <w:pPr>
        <w:spacing w:after="0" w:line="240" w:lineRule="auto"/>
        <w:ind w:left="360"/>
        <w:contextualSpacing/>
        <w:rPr>
          <w:b/>
          <w:bCs/>
          <w:lang w:val="en-CA"/>
        </w:rPr>
      </w:pPr>
    </w:p>
    <w:p w:rsidR="003E7579" w:rsidRDefault="003E7579" w:rsidP="003E7579">
      <w:pPr>
        <w:numPr>
          <w:ilvl w:val="1"/>
          <w:numId w:val="6"/>
        </w:numPr>
        <w:spacing w:after="0" w:line="240" w:lineRule="auto"/>
        <w:contextualSpacing/>
        <w:rPr>
          <w:b/>
          <w:bCs/>
          <w:lang w:val="en-CA"/>
        </w:rPr>
      </w:pPr>
      <w:r w:rsidRPr="003E7579">
        <w:rPr>
          <w:b/>
          <w:bCs/>
          <w:lang w:val="en-CA"/>
        </w:rPr>
        <w:t>Initiation</w:t>
      </w:r>
    </w:p>
    <w:p w:rsidR="006F3E30" w:rsidRPr="003E7579" w:rsidRDefault="006F3E30" w:rsidP="006F3E30">
      <w:pPr>
        <w:spacing w:after="0" w:line="240" w:lineRule="auto"/>
        <w:ind w:left="360"/>
        <w:contextualSpacing/>
        <w:rPr>
          <w:b/>
          <w:bCs/>
          <w:lang w:val="en-CA"/>
        </w:rPr>
      </w:pPr>
    </w:p>
    <w:p w:rsidR="003E7579" w:rsidRPr="003E7579" w:rsidRDefault="003E7579" w:rsidP="003E7579">
      <w:pPr>
        <w:spacing w:after="0" w:line="240" w:lineRule="auto"/>
        <w:rPr>
          <w:lang w:val="en-CA"/>
        </w:rPr>
      </w:pPr>
      <w:r w:rsidRPr="003E7579">
        <w:rPr>
          <w:lang w:val="en-CA"/>
        </w:rPr>
        <w:t>The PAE project was initiated under the umbrella of the Research Advancement through Cohort Cataloguing and Harmonization (</w:t>
      </w:r>
      <w:proofErr w:type="spellStart"/>
      <w:r w:rsidRPr="003E7579">
        <w:rPr>
          <w:lang w:val="en-CA"/>
        </w:rPr>
        <w:t>ReACH</w:t>
      </w:r>
      <w:proofErr w:type="spellEnd"/>
      <w:r w:rsidRPr="003E7579">
        <w:rPr>
          <w:lang w:val="en-CA"/>
        </w:rPr>
        <w:t xml:space="preserve">) initiative </w:t>
      </w:r>
      <w:r w:rsidRPr="003E7579">
        <w:rPr>
          <w:rFonts w:ascii="Calibri" w:hAnsi="Calibri" w:cs="Calibri"/>
          <w:lang w:val="en-CA"/>
        </w:rPr>
        <w:t>[1]</w:t>
      </w:r>
      <w:r w:rsidRPr="003E7579">
        <w:rPr>
          <w:lang w:val="en-CA"/>
        </w:rPr>
        <w:t xml:space="preserve"> by investigators from the </w:t>
      </w:r>
      <w:proofErr w:type="spellStart"/>
      <w:r w:rsidRPr="003E7579">
        <w:rPr>
          <w:lang w:val="en-CA"/>
        </w:rPr>
        <w:t>Lunenfeld-Tanenbaum</w:t>
      </w:r>
      <w:proofErr w:type="spellEnd"/>
      <w:r w:rsidRPr="003E7579">
        <w:rPr>
          <w:lang w:val="en-CA"/>
        </w:rPr>
        <w:t xml:space="preserve"> Research Institute, Sinai Health System, Toronto, ON (A Bocking) and the Research Institute of the McGill University Health Center, Montreal, QC (I Fortier). The initial objectives of the project were to examine the risk factors for maternal alcohol consumption before, during, and after pregnancy and the effects of </w:t>
      </w:r>
      <w:r w:rsidRPr="003E7579">
        <w:t xml:space="preserve">prenatal alcohol exposure (PAE) on infant outcomes. Mother-and-child cohorts collecting the information required to support the analyses foreseen were identified using the </w:t>
      </w:r>
      <w:proofErr w:type="spellStart"/>
      <w:r w:rsidRPr="003E7579">
        <w:t>ReACH</w:t>
      </w:r>
      <w:proofErr w:type="spellEnd"/>
      <w:r w:rsidRPr="003E7579">
        <w:t xml:space="preserve"> study and variables catalogue (</w:t>
      </w:r>
      <w:hyperlink r:id="rId7" w:history="1">
        <w:r w:rsidRPr="003E7579">
          <w:rPr>
            <w:color w:val="0563C1" w:themeColor="hyperlink"/>
            <w:u w:val="single"/>
            <w:lang w:val="en-CA"/>
          </w:rPr>
          <w:t>https://www.maelstrom-research.org/mica/network/reach</w:t>
        </w:r>
      </w:hyperlink>
      <w:r w:rsidRPr="003E7579">
        <w:rPr>
          <w:lang w:val="en-CA"/>
        </w:rPr>
        <w:t xml:space="preserve">). Six of the 15 studies documented in the catalogue when the PAE project was initiated met all selection criteria (i.e., collected information on alcohol intake during pregnancy; collected information on birthweight and gestational age; recruited at least 500 mothers) and were approached for collaboration. In parallel, the project team developed a research protocol, sought, and obtained funding from the </w:t>
      </w:r>
      <w:proofErr w:type="spellStart"/>
      <w:r w:rsidRPr="003E7579">
        <w:rPr>
          <w:lang w:val="en-CA"/>
        </w:rPr>
        <w:t>ReACH</w:t>
      </w:r>
      <w:proofErr w:type="spellEnd"/>
      <w:r w:rsidRPr="003E7579">
        <w:rPr>
          <w:lang w:val="en-CA"/>
        </w:rPr>
        <w:t xml:space="preserve"> network (funded by the Canadian Institutes of Health Research) and the Canada Fetal Alcohol Spectrum Disorder Research Network. The research protocol was submitted for ethics approval to research ethics committees of the PIs institutions (</w:t>
      </w:r>
      <w:proofErr w:type="spellStart"/>
      <w:r w:rsidRPr="003E7579">
        <w:rPr>
          <w:lang w:val="en-CA"/>
        </w:rPr>
        <w:t>Lunenfeld-Tanenbaum</w:t>
      </w:r>
      <w:proofErr w:type="spellEnd"/>
      <w:r w:rsidRPr="003E7579">
        <w:rPr>
          <w:lang w:val="en-CA"/>
        </w:rPr>
        <w:t xml:space="preserve"> Research Institute and McGill University Health Centre).</w:t>
      </w:r>
    </w:p>
    <w:p w:rsidR="003E7579" w:rsidRPr="003E7579" w:rsidRDefault="003E7579" w:rsidP="003E7579">
      <w:pPr>
        <w:spacing w:after="0" w:line="240" w:lineRule="auto"/>
        <w:rPr>
          <w:lang w:val="en-CA"/>
        </w:rPr>
      </w:pPr>
    </w:p>
    <w:tbl>
      <w:tblPr>
        <w:tblStyle w:val="TableGrid1"/>
        <w:tblW w:w="9351" w:type="dxa"/>
        <w:tblLook w:val="04A0"/>
      </w:tblPr>
      <w:tblGrid>
        <w:gridCol w:w="9351"/>
      </w:tblGrid>
      <w:tr w:rsidR="003E7579" w:rsidRPr="003E7579" w:rsidTr="00A0048B">
        <w:tc>
          <w:tcPr>
            <w:tcW w:w="9351" w:type="dxa"/>
            <w:shd w:val="clear" w:color="auto" w:fill="D0CECE" w:themeFill="background2" w:themeFillShade="E6"/>
          </w:tcPr>
          <w:p w:rsidR="003E7579" w:rsidRPr="003E7579" w:rsidRDefault="003E7579" w:rsidP="003E7579">
            <w:pPr>
              <w:rPr>
                <w:b/>
                <w:bCs/>
              </w:rPr>
            </w:pPr>
            <w:r w:rsidRPr="003E7579">
              <w:rPr>
                <w:b/>
                <w:bCs/>
              </w:rPr>
              <w:t>Highlights</w:t>
            </w:r>
          </w:p>
        </w:tc>
      </w:tr>
      <w:tr w:rsidR="003E7579" w:rsidRPr="003E7579" w:rsidTr="00A0048B">
        <w:tc>
          <w:tcPr>
            <w:tcW w:w="9351" w:type="dxa"/>
            <w:shd w:val="clear" w:color="auto" w:fill="auto"/>
          </w:tcPr>
          <w:p w:rsidR="003E7579" w:rsidRPr="003E7579" w:rsidRDefault="003E7579" w:rsidP="003E7579">
            <w:pPr>
              <w:numPr>
                <w:ilvl w:val="0"/>
                <w:numId w:val="5"/>
              </w:numPr>
              <w:contextualSpacing/>
            </w:pPr>
            <w:r w:rsidRPr="003E7579">
              <w:t>The project’s objectives and protocol were defined.</w:t>
            </w:r>
          </w:p>
          <w:p w:rsidR="003E7579" w:rsidRPr="003E7579" w:rsidRDefault="003E7579" w:rsidP="003E7579">
            <w:pPr>
              <w:numPr>
                <w:ilvl w:val="0"/>
                <w:numId w:val="5"/>
              </w:numPr>
              <w:contextualSpacing/>
            </w:pPr>
            <w:r w:rsidRPr="003E7579">
              <w:t>Funding and ethics approval were obtained.</w:t>
            </w:r>
          </w:p>
        </w:tc>
      </w:tr>
      <w:tr w:rsidR="003E7579" w:rsidRPr="003E7579" w:rsidTr="00A0048B">
        <w:tc>
          <w:tcPr>
            <w:tcW w:w="9351" w:type="dxa"/>
            <w:shd w:val="clear" w:color="auto" w:fill="D0CECE" w:themeFill="background2" w:themeFillShade="E6"/>
          </w:tcPr>
          <w:p w:rsidR="003E7579" w:rsidRPr="003E7579" w:rsidRDefault="003E7579" w:rsidP="003E7579">
            <w:pPr>
              <w:rPr>
                <w:b/>
                <w:bCs/>
              </w:rPr>
            </w:pPr>
            <w:r w:rsidRPr="003E7579">
              <w:rPr>
                <w:b/>
                <w:bCs/>
              </w:rPr>
              <w:t>Challenges</w:t>
            </w:r>
          </w:p>
        </w:tc>
      </w:tr>
      <w:tr w:rsidR="003E7579" w:rsidRPr="003E7579" w:rsidTr="00A0048B">
        <w:tc>
          <w:tcPr>
            <w:tcW w:w="9351" w:type="dxa"/>
          </w:tcPr>
          <w:p w:rsidR="003E7579" w:rsidRPr="003E7579" w:rsidRDefault="003E7579" w:rsidP="003E7579">
            <w:pPr>
              <w:numPr>
                <w:ilvl w:val="0"/>
                <w:numId w:val="4"/>
              </w:numPr>
              <w:contextualSpacing/>
            </w:pPr>
            <w:r w:rsidRPr="003E7579">
              <w:t xml:space="preserve">As the </w:t>
            </w:r>
            <w:proofErr w:type="spellStart"/>
            <w:r w:rsidRPr="003E7579">
              <w:t>ReACH</w:t>
            </w:r>
            <w:proofErr w:type="spellEnd"/>
            <w:r w:rsidRPr="003E7579">
              <w:t xml:space="preserve"> catalogue was under development, the content was incomplete, limiting access to information on the specific data collected by the studies. Studies were thus selected without validating the true potential of the studies to generate the harmonized data required by the PAE project.</w:t>
            </w:r>
          </w:p>
          <w:p w:rsidR="003E7579" w:rsidRPr="003E7579" w:rsidRDefault="003E7579" w:rsidP="003E7579">
            <w:pPr>
              <w:numPr>
                <w:ilvl w:val="0"/>
                <w:numId w:val="4"/>
              </w:numPr>
              <w:contextualSpacing/>
            </w:pPr>
            <w:r w:rsidRPr="003E7579">
              <w:t>Ethics approvals were complicated by the novelty of this type of collaborative project for the ethical committees. Many questions had to be answered to explain the specificities of harmonization projects using existing data (secondary use of data).</w:t>
            </w:r>
          </w:p>
        </w:tc>
      </w:tr>
    </w:tbl>
    <w:p w:rsidR="003E7579" w:rsidRDefault="003E7579" w:rsidP="003E7579">
      <w:pPr>
        <w:spacing w:after="0" w:line="240" w:lineRule="auto"/>
        <w:rPr>
          <w:lang w:val="en-CA"/>
        </w:rPr>
      </w:pPr>
    </w:p>
    <w:p w:rsidR="00035F4D" w:rsidRPr="003E7579" w:rsidRDefault="00035F4D" w:rsidP="003E7579">
      <w:pPr>
        <w:spacing w:after="0" w:line="240" w:lineRule="auto"/>
        <w:rPr>
          <w:lang w:val="en-CA"/>
        </w:rPr>
      </w:pPr>
    </w:p>
    <w:p w:rsidR="003E7579" w:rsidRPr="003E7579" w:rsidRDefault="003E7579" w:rsidP="003E7579">
      <w:pPr>
        <w:numPr>
          <w:ilvl w:val="1"/>
          <w:numId w:val="6"/>
        </w:numPr>
        <w:spacing w:after="0" w:line="240" w:lineRule="auto"/>
        <w:contextualSpacing/>
        <w:rPr>
          <w:b/>
          <w:bCs/>
          <w:lang w:val="en-CA"/>
        </w:rPr>
      </w:pPr>
      <w:r w:rsidRPr="003E7579">
        <w:rPr>
          <w:b/>
          <w:bCs/>
          <w:lang w:val="en-CA"/>
        </w:rPr>
        <w:t>Implementation</w:t>
      </w:r>
    </w:p>
    <w:p w:rsidR="003E7579" w:rsidRPr="003E7579" w:rsidRDefault="003E7579" w:rsidP="003E7579">
      <w:pPr>
        <w:spacing w:after="0" w:line="240" w:lineRule="auto"/>
        <w:ind w:left="360"/>
        <w:contextualSpacing/>
        <w:rPr>
          <w:b/>
          <w:bCs/>
          <w:lang w:val="en-CA"/>
        </w:rPr>
      </w:pPr>
    </w:p>
    <w:p w:rsidR="003E7579" w:rsidRDefault="003E7579" w:rsidP="003E7579">
      <w:pPr>
        <w:spacing w:after="0" w:line="240" w:lineRule="auto"/>
        <w:rPr>
          <w:lang w:val="en-CA"/>
        </w:rPr>
      </w:pPr>
      <w:r w:rsidRPr="003E7579">
        <w:rPr>
          <w:lang w:val="en-CA"/>
        </w:rPr>
        <w:t>The principal investigators (PIs) of each cohort were contacted to confirm their interest in collaborating on the project. Of the six cohorts identified, five PIs agreed (3D Study - Design, Develop, Discover</w:t>
      </w:r>
      <w:r w:rsidRPr="003E7579">
        <w:rPr>
          <w:vertAlign w:val="superscript"/>
          <w:lang w:val="en-CA"/>
        </w:rPr>
        <w:footnoteReference w:id="1"/>
      </w:r>
      <w:r w:rsidRPr="003E7579">
        <w:rPr>
          <w:lang w:val="en-CA"/>
        </w:rPr>
        <w:t xml:space="preserve">; All </w:t>
      </w:r>
      <w:r w:rsidRPr="003E7579">
        <w:rPr>
          <w:lang w:val="en-CA"/>
        </w:rPr>
        <w:lastRenderedPageBreak/>
        <w:t>Our Families</w:t>
      </w:r>
      <w:r w:rsidRPr="003E7579">
        <w:rPr>
          <w:vertAlign w:val="superscript"/>
          <w:lang w:val="en-CA"/>
        </w:rPr>
        <w:footnoteReference w:id="2"/>
      </w:r>
      <w:r w:rsidRPr="003E7579">
        <w:rPr>
          <w:lang w:val="en-CA"/>
        </w:rPr>
        <w:t>; Alberta Pregnancy Outcomes and Nutrition</w:t>
      </w:r>
      <w:r w:rsidRPr="003E7579">
        <w:rPr>
          <w:vertAlign w:val="superscript"/>
          <w:lang w:val="en-CA"/>
        </w:rPr>
        <w:footnoteReference w:id="3"/>
      </w:r>
      <w:r w:rsidRPr="003E7579">
        <w:rPr>
          <w:lang w:val="en-CA"/>
        </w:rPr>
        <w:t>; Family Atherosclerosis Monitoring in Early Life</w:t>
      </w:r>
      <w:r w:rsidRPr="003E7579">
        <w:rPr>
          <w:vertAlign w:val="superscript"/>
          <w:lang w:val="en-CA"/>
        </w:rPr>
        <w:footnoteReference w:id="4"/>
      </w:r>
      <w:r w:rsidRPr="003E7579">
        <w:rPr>
          <w:lang w:val="en-CA"/>
        </w:rPr>
        <w:t>; and Ontario Birth Study</w:t>
      </w:r>
      <w:r w:rsidRPr="003E7579">
        <w:rPr>
          <w:vertAlign w:val="superscript"/>
          <w:lang w:val="en-CA"/>
        </w:rPr>
        <w:footnoteReference w:id="5"/>
      </w:r>
      <w:r w:rsidRPr="003E7579">
        <w:rPr>
          <w:lang w:val="en-CA"/>
        </w:rPr>
        <w:t xml:space="preserve">). In parallel, a working group including technical (research assistants, data analysts, statisticians, informaticians) and scientific (clinicians, PhD students and epidemiologist working on alcohol exposure) experts was implemented. However, the initial team members changed through time. </w:t>
      </w:r>
    </w:p>
    <w:p w:rsidR="00A0048B" w:rsidRPr="003E7579" w:rsidRDefault="00A0048B" w:rsidP="003E7579">
      <w:pPr>
        <w:spacing w:after="0" w:line="240" w:lineRule="auto"/>
        <w:rPr>
          <w:lang w:val="en-CA"/>
        </w:rPr>
      </w:pPr>
    </w:p>
    <w:p w:rsidR="003E7579" w:rsidRDefault="003E7579" w:rsidP="003E7579">
      <w:pPr>
        <w:spacing w:after="0" w:line="240" w:lineRule="auto"/>
        <w:rPr>
          <w:lang w:val="en-CA"/>
        </w:rPr>
      </w:pPr>
      <w:r w:rsidRPr="003E7579">
        <w:rPr>
          <w:lang w:val="en-CA"/>
        </w:rPr>
        <w:t xml:space="preserve">A list of core variables (i.e., </w:t>
      </w:r>
      <w:proofErr w:type="spellStart"/>
      <w:r w:rsidRPr="003E7579">
        <w:rPr>
          <w:lang w:val="en-CA"/>
        </w:rPr>
        <w:t>DataSchema</w:t>
      </w:r>
      <w:proofErr w:type="spellEnd"/>
      <w:r w:rsidRPr="003E7579">
        <w:rPr>
          <w:lang w:val="en-CA"/>
        </w:rPr>
        <w:t>) required to answer the research questions addressed was defined by the working group. With this list in hand, the data analysts further explored study-specific data content and identified, for each cohort, the specific variables required to generate the core variables. This exercise was essential to inform demands for access to data. Cohort-specific demands for access were then submitted following the process in place at each institution. Following submission, some questions or issues were raised by the local ethics and access committees. The project coordinator answered questions and, where required, revised the protocol submitted. Following granted access to data, the project coordinator then worked in collaboration with the cohorts’ host institutions to develop and sign cohort-specific data transfer agreements.</w:t>
      </w:r>
    </w:p>
    <w:p w:rsidR="006F3E30" w:rsidRPr="003E7579" w:rsidRDefault="006F3E30" w:rsidP="003E7579">
      <w:pPr>
        <w:spacing w:after="0" w:line="240" w:lineRule="auto"/>
        <w:rPr>
          <w:lang w:val="en-CA"/>
        </w:rPr>
      </w:pPr>
    </w:p>
    <w:p w:rsidR="003E7579" w:rsidRDefault="003E7579" w:rsidP="003E7579">
      <w:pPr>
        <w:spacing w:after="0" w:line="240" w:lineRule="auto"/>
        <w:rPr>
          <w:lang w:val="en-CA"/>
        </w:rPr>
      </w:pPr>
      <w:r w:rsidRPr="003E7579">
        <w:rPr>
          <w:lang w:val="en-CA"/>
        </w:rPr>
        <w:t xml:space="preserve">During the access procedures, data analysts further explored the potential for each participating cohort to generate the core variables (i.e., estimated the harmonization potential). With the support of the scientific experts of the working team, the variable definitions were refined to ensure each core variable could be harmonized across at least 3 of the cohorts. This led to revisiting the demands for access submitted to the cohorts. </w:t>
      </w:r>
    </w:p>
    <w:p w:rsidR="00AC009A" w:rsidRPr="003E7579" w:rsidRDefault="00AC009A" w:rsidP="003E7579">
      <w:pPr>
        <w:spacing w:after="0" w:line="240" w:lineRule="auto"/>
        <w:rPr>
          <w:lang w:val="en-CA"/>
        </w:rPr>
      </w:pPr>
    </w:p>
    <w:p w:rsidR="003E7579" w:rsidRPr="003E7579" w:rsidRDefault="003E7579" w:rsidP="003E7579">
      <w:pPr>
        <w:spacing w:after="0" w:line="240" w:lineRule="auto"/>
        <w:rPr>
          <w:lang w:val="en-CA"/>
        </w:rPr>
      </w:pPr>
      <w:r w:rsidRPr="003E7579">
        <w:rPr>
          <w:lang w:val="en-CA"/>
        </w:rPr>
        <w:t xml:space="preserve">The project protocol planned to pool data on a central server in Alberta, at </w:t>
      </w:r>
      <w:proofErr w:type="spellStart"/>
      <w:r w:rsidRPr="003E7579">
        <w:rPr>
          <w:lang w:val="en-CA"/>
        </w:rPr>
        <w:t>PolicyWise</w:t>
      </w:r>
      <w:proofErr w:type="spellEnd"/>
      <w:r w:rsidRPr="003E7579">
        <w:rPr>
          <w:lang w:val="en-CA"/>
        </w:rPr>
        <w:t xml:space="preserve"> for Children &amp; Families </w:t>
      </w:r>
      <w:r w:rsidRPr="003E7579">
        <w:rPr>
          <w:rFonts w:ascii="Calibri" w:hAnsi="Calibri" w:cs="Calibri"/>
          <w:lang w:val="en-CA"/>
        </w:rPr>
        <w:t>[2]</w:t>
      </w:r>
      <w:r w:rsidRPr="003E7579">
        <w:rPr>
          <w:lang w:val="en-CA"/>
        </w:rPr>
        <w:t xml:space="preserve">. Informaticians from the project working group collaborated with the </w:t>
      </w:r>
      <w:proofErr w:type="spellStart"/>
      <w:r w:rsidRPr="003E7579">
        <w:rPr>
          <w:lang w:val="en-CA"/>
        </w:rPr>
        <w:t>PolicyWise</w:t>
      </w:r>
      <w:proofErr w:type="spellEnd"/>
      <w:r w:rsidRPr="003E7579">
        <w:rPr>
          <w:lang w:val="en-CA"/>
        </w:rPr>
        <w:t xml:space="preserve"> team to install the software (OPAL </w:t>
      </w:r>
      <w:r w:rsidRPr="003E7579">
        <w:rPr>
          <w:rFonts w:ascii="Calibri" w:hAnsi="Calibri" w:cs="Calibri"/>
          <w:lang w:val="en-CA"/>
        </w:rPr>
        <w:t>[3], R server</w:t>
      </w:r>
      <w:r w:rsidRPr="003E7579">
        <w:rPr>
          <w:lang w:val="en-CA"/>
        </w:rPr>
        <w:t xml:space="preserve">) selected to support the harmonization process. Following data transfer from each cohort to the central server, secured remote access was given by the </w:t>
      </w:r>
      <w:proofErr w:type="spellStart"/>
      <w:r w:rsidRPr="003E7579">
        <w:rPr>
          <w:lang w:val="en-CA"/>
        </w:rPr>
        <w:t>PolicyWise</w:t>
      </w:r>
      <w:proofErr w:type="spellEnd"/>
      <w:r w:rsidRPr="003E7579">
        <w:rPr>
          <w:lang w:val="en-CA"/>
        </w:rPr>
        <w:t xml:space="preserve"> team to the analysts participating to the harmonization process and later, to the statisticians performing the analyses.</w:t>
      </w:r>
    </w:p>
    <w:p w:rsidR="003E7579" w:rsidRPr="003E7579" w:rsidRDefault="003E7579" w:rsidP="003E7579">
      <w:pPr>
        <w:spacing w:after="0" w:line="240" w:lineRule="auto"/>
        <w:rPr>
          <w:lang w:val="en-CA"/>
        </w:rPr>
      </w:pPr>
    </w:p>
    <w:tbl>
      <w:tblPr>
        <w:tblStyle w:val="TableGrid1"/>
        <w:tblW w:w="9351" w:type="dxa"/>
        <w:tblLook w:val="04A0"/>
      </w:tblPr>
      <w:tblGrid>
        <w:gridCol w:w="9351"/>
      </w:tblGrid>
      <w:tr w:rsidR="003E7579" w:rsidRPr="003E7579" w:rsidTr="00A0048B">
        <w:tc>
          <w:tcPr>
            <w:tcW w:w="9351" w:type="dxa"/>
            <w:shd w:val="clear" w:color="auto" w:fill="D0CECE" w:themeFill="background2" w:themeFillShade="E6"/>
          </w:tcPr>
          <w:p w:rsidR="003E7579" w:rsidRPr="003E7579" w:rsidRDefault="003E7579" w:rsidP="003E7579">
            <w:pPr>
              <w:rPr>
                <w:b/>
                <w:bCs/>
              </w:rPr>
            </w:pPr>
            <w:r w:rsidRPr="003E7579">
              <w:rPr>
                <w:b/>
                <w:bCs/>
              </w:rPr>
              <w:t>Highlights</w:t>
            </w:r>
          </w:p>
        </w:tc>
      </w:tr>
      <w:tr w:rsidR="003E7579" w:rsidRPr="003E7579" w:rsidTr="00A0048B">
        <w:tc>
          <w:tcPr>
            <w:tcW w:w="9351" w:type="dxa"/>
            <w:shd w:val="clear" w:color="auto" w:fill="auto"/>
          </w:tcPr>
          <w:p w:rsidR="003E7579" w:rsidRPr="003E7579" w:rsidRDefault="003E7579" w:rsidP="003E7579">
            <w:pPr>
              <w:numPr>
                <w:ilvl w:val="0"/>
                <w:numId w:val="5"/>
              </w:numPr>
              <w:contextualSpacing/>
            </w:pPr>
            <w:r w:rsidRPr="003E7579">
              <w:t>Even if delayed, access to all cohorts’ data was granted.</w:t>
            </w:r>
          </w:p>
          <w:p w:rsidR="003E7579" w:rsidRPr="003E7579" w:rsidRDefault="003E7579" w:rsidP="003E7579">
            <w:pPr>
              <w:numPr>
                <w:ilvl w:val="0"/>
                <w:numId w:val="5"/>
              </w:numPr>
              <w:contextualSpacing/>
            </w:pPr>
            <w:r w:rsidRPr="003E7579">
              <w:t>The list of core variables to be harmonized was defined, and secured data infrastructure was implemented.</w:t>
            </w:r>
          </w:p>
        </w:tc>
      </w:tr>
      <w:tr w:rsidR="003E7579" w:rsidRPr="003E7579" w:rsidTr="00A0048B">
        <w:tc>
          <w:tcPr>
            <w:tcW w:w="9351" w:type="dxa"/>
            <w:shd w:val="clear" w:color="auto" w:fill="D0CECE" w:themeFill="background2" w:themeFillShade="E6"/>
          </w:tcPr>
          <w:p w:rsidR="003E7579" w:rsidRPr="003E7579" w:rsidRDefault="003E7579" w:rsidP="003E7579">
            <w:pPr>
              <w:rPr>
                <w:b/>
                <w:bCs/>
              </w:rPr>
            </w:pPr>
            <w:r w:rsidRPr="003E7579">
              <w:rPr>
                <w:b/>
                <w:bCs/>
              </w:rPr>
              <w:t>Challenges</w:t>
            </w:r>
          </w:p>
        </w:tc>
      </w:tr>
      <w:tr w:rsidR="003E7579" w:rsidRPr="003E7579" w:rsidTr="00A0048B">
        <w:tc>
          <w:tcPr>
            <w:tcW w:w="9351" w:type="dxa"/>
          </w:tcPr>
          <w:p w:rsidR="003E7579" w:rsidRPr="003E7579" w:rsidRDefault="003E7579" w:rsidP="003E7579">
            <w:pPr>
              <w:numPr>
                <w:ilvl w:val="0"/>
                <w:numId w:val="4"/>
              </w:numPr>
              <w:contextualSpacing/>
            </w:pPr>
            <w:r w:rsidRPr="003E7579">
              <w:t>The project coordinator and data analysts changed through the lifespan of the project leading to challenges in knowledge transfer and productivity.</w:t>
            </w:r>
          </w:p>
          <w:p w:rsidR="003E7579" w:rsidRPr="003E7579" w:rsidRDefault="003E7579" w:rsidP="003E7579">
            <w:pPr>
              <w:numPr>
                <w:ilvl w:val="0"/>
                <w:numId w:val="4"/>
              </w:numPr>
              <w:contextualSpacing/>
            </w:pPr>
            <w:r w:rsidRPr="003E7579">
              <w:t xml:space="preserve">Data access procedures differed greatly across cohorts and were not always documented, leading to difficulties understanding rules in place and unexpected delays. </w:t>
            </w:r>
          </w:p>
          <w:p w:rsidR="003E7579" w:rsidRPr="003E7579" w:rsidRDefault="003E7579" w:rsidP="003E7579">
            <w:pPr>
              <w:numPr>
                <w:ilvl w:val="0"/>
                <w:numId w:val="4"/>
              </w:numPr>
              <w:contextualSpacing/>
            </w:pPr>
            <w:r w:rsidRPr="003E7579">
              <w:t xml:space="preserve">Updated definitions of the core variables were generated after initiating the data access processes meaning variable requests had to be adjusted. This led to unexpected delays in obtaining all study-specific data required to support analysis. </w:t>
            </w:r>
          </w:p>
        </w:tc>
      </w:tr>
    </w:tbl>
    <w:p w:rsidR="003E7579" w:rsidRPr="003E7579" w:rsidRDefault="003E7579" w:rsidP="003E7579">
      <w:pPr>
        <w:spacing w:after="0" w:line="240" w:lineRule="auto"/>
        <w:rPr>
          <w:lang w:val="en-CA"/>
        </w:rPr>
      </w:pPr>
    </w:p>
    <w:p w:rsidR="003E7579" w:rsidRPr="003E7579" w:rsidRDefault="003E7579" w:rsidP="003E7579">
      <w:pPr>
        <w:spacing w:after="0" w:line="240" w:lineRule="auto"/>
        <w:rPr>
          <w:lang w:val="en-CA"/>
        </w:rPr>
      </w:pPr>
    </w:p>
    <w:p w:rsidR="003E7579" w:rsidRPr="003E7579" w:rsidRDefault="003E7579" w:rsidP="003E7579">
      <w:pPr>
        <w:numPr>
          <w:ilvl w:val="1"/>
          <w:numId w:val="6"/>
        </w:numPr>
        <w:spacing w:after="0" w:line="240" w:lineRule="auto"/>
        <w:contextualSpacing/>
        <w:rPr>
          <w:b/>
          <w:bCs/>
          <w:lang w:val="en-CA"/>
        </w:rPr>
      </w:pPr>
      <w:r w:rsidRPr="003E7579">
        <w:rPr>
          <w:b/>
          <w:bCs/>
          <w:lang w:val="en-CA"/>
        </w:rPr>
        <w:lastRenderedPageBreak/>
        <w:t xml:space="preserve">Production </w:t>
      </w:r>
    </w:p>
    <w:p w:rsidR="006F3E30" w:rsidRDefault="006F3E30" w:rsidP="003E7579">
      <w:pPr>
        <w:spacing w:after="0" w:line="240" w:lineRule="auto"/>
        <w:rPr>
          <w:b/>
          <w:bCs/>
          <w:lang w:val="en-CA"/>
        </w:rPr>
      </w:pPr>
    </w:p>
    <w:p w:rsidR="003E7579" w:rsidRPr="003E7579" w:rsidRDefault="003E7579" w:rsidP="003E7579">
      <w:pPr>
        <w:spacing w:after="0" w:line="240" w:lineRule="auto"/>
        <w:rPr>
          <w:lang w:val="en-CA"/>
        </w:rPr>
      </w:pPr>
      <w:r w:rsidRPr="003E7579">
        <w:rPr>
          <w:lang w:val="en-CA"/>
        </w:rPr>
        <w:t>Following transfer of study-specific data to the central data repository, each data</w:t>
      </w:r>
      <w:r w:rsidR="0072147A">
        <w:rPr>
          <w:lang w:val="en-CA"/>
        </w:rPr>
        <w:t xml:space="preserve"> </w:t>
      </w:r>
      <w:r w:rsidRPr="003E7579">
        <w:rPr>
          <w:lang w:val="en-CA"/>
        </w:rPr>
        <w:t>set was explored for completeness (e.g., all variables requested were received) and quality (e.g., variables in expected format and including no outliers). In some cases, variables were missing, errors were identified, or documentation received was too limited to understand the data content. The project coordinator was thus in regular contact with cohort-specific data managers to ensure proper understanding and validation of the data</w:t>
      </w:r>
      <w:r w:rsidR="0072147A">
        <w:rPr>
          <w:lang w:val="en-CA"/>
        </w:rPr>
        <w:t xml:space="preserve"> </w:t>
      </w:r>
      <w:r w:rsidRPr="003E7579">
        <w:rPr>
          <w:lang w:val="en-CA"/>
        </w:rPr>
        <w:t>set. A close collaboration with cohorts was pursued during all the harmonization and analysis processes. Data transfers occurred at different times for each cohort, and for some data</w:t>
      </w:r>
      <w:r w:rsidR="0072147A">
        <w:rPr>
          <w:lang w:val="en-CA"/>
        </w:rPr>
        <w:t xml:space="preserve"> </w:t>
      </w:r>
      <w:r w:rsidRPr="003E7579">
        <w:rPr>
          <w:lang w:val="en-CA"/>
        </w:rPr>
        <w:t xml:space="preserve">sets, updated versions (e.g., following correction or addition of data content) were sent through time. </w:t>
      </w:r>
    </w:p>
    <w:p w:rsidR="003E7579" w:rsidRPr="003E7579" w:rsidRDefault="003E7579" w:rsidP="003E7579">
      <w:pPr>
        <w:spacing w:after="0" w:line="240" w:lineRule="auto"/>
        <w:rPr>
          <w:lang w:val="en-CA"/>
        </w:rPr>
      </w:pPr>
    </w:p>
    <w:p w:rsidR="003E7579" w:rsidRPr="003E7579" w:rsidRDefault="003E7579" w:rsidP="003E7579">
      <w:pPr>
        <w:spacing w:after="0" w:line="240" w:lineRule="auto"/>
        <w:rPr>
          <w:lang w:val="en-CA"/>
        </w:rPr>
      </w:pPr>
      <w:r w:rsidRPr="003E7579">
        <w:rPr>
          <w:lang w:val="en-CA"/>
        </w:rPr>
        <w:t xml:space="preserve">Once the data analysts were confident with the data received, processing of the study-specific data under the </w:t>
      </w:r>
      <w:proofErr w:type="spellStart"/>
      <w:r w:rsidRPr="003E7579">
        <w:rPr>
          <w:lang w:val="en-CA"/>
        </w:rPr>
        <w:t>DataSchema</w:t>
      </w:r>
      <w:proofErr w:type="spellEnd"/>
      <w:r w:rsidRPr="003E7579">
        <w:rPr>
          <w:lang w:val="en-CA"/>
        </w:rPr>
        <w:t xml:space="preserve"> format was initiated. A first data analyst wrote processing scripts for each variable to be generated using in combination R and Excel, and a second analyst validated the work. The analysts had regular meetings with the project coordinator and the scientific experts of the working group to ensure adequacy and consistency of the decisions taken. During this phase, problems with data received preventing generation of some </w:t>
      </w:r>
      <w:proofErr w:type="spellStart"/>
      <w:r w:rsidRPr="003E7579">
        <w:rPr>
          <w:lang w:val="en-CA"/>
        </w:rPr>
        <w:t>DataSchema</w:t>
      </w:r>
      <w:proofErr w:type="spellEnd"/>
      <w:r w:rsidRPr="003E7579">
        <w:rPr>
          <w:lang w:val="en-CA"/>
        </w:rPr>
        <w:t xml:space="preserve"> variables were identified and some variables definitions had to be modified. The ability to generate complex longitudinal alcohol-use variables was also explored with the support of expert statisticians. Unfortunately, the data were not complete enough across timepoints and cohorts to use the intended modeling approach. </w:t>
      </w:r>
    </w:p>
    <w:p w:rsidR="003E7579" w:rsidRPr="003E7579" w:rsidRDefault="003E7579" w:rsidP="003E7579">
      <w:pPr>
        <w:spacing w:after="0" w:line="240" w:lineRule="auto"/>
        <w:rPr>
          <w:lang w:val="en-CA"/>
        </w:rPr>
      </w:pPr>
      <w:r w:rsidRPr="003E7579">
        <w:rPr>
          <w:lang w:val="en-CA"/>
        </w:rPr>
        <w:t>Finally, quality control of the harmonized data was performed by looking at the participants distributions within and across each data</w:t>
      </w:r>
      <w:r w:rsidR="0072147A">
        <w:rPr>
          <w:lang w:val="en-CA"/>
        </w:rPr>
        <w:t xml:space="preserve"> </w:t>
      </w:r>
      <w:r w:rsidRPr="003E7579">
        <w:rPr>
          <w:lang w:val="en-CA"/>
        </w:rPr>
        <w:t>set. An overview of the PAE project and harmonization potential is documented on the Maelstrom website (</w:t>
      </w:r>
      <w:hyperlink r:id="rId8" w:history="1">
        <w:r w:rsidRPr="003E7579">
          <w:rPr>
            <w:color w:val="0563C1" w:themeColor="hyperlink"/>
            <w:u w:val="single"/>
            <w:lang w:val="en-CA"/>
          </w:rPr>
          <w:t>https://www.maelstrom-research.org/study/pae-hp</w:t>
        </w:r>
      </w:hyperlink>
      <w:r w:rsidRPr="003E7579">
        <w:rPr>
          <w:lang w:val="en-CA"/>
        </w:rPr>
        <w:t>).</w:t>
      </w:r>
    </w:p>
    <w:p w:rsidR="003E7579" w:rsidRPr="003E7579" w:rsidRDefault="003E7579" w:rsidP="003E7579">
      <w:pPr>
        <w:spacing w:after="0" w:line="240" w:lineRule="auto"/>
        <w:rPr>
          <w:lang w:val="en-CA"/>
        </w:rPr>
      </w:pPr>
    </w:p>
    <w:tbl>
      <w:tblPr>
        <w:tblStyle w:val="TableGrid1"/>
        <w:tblW w:w="9351" w:type="dxa"/>
        <w:tblLook w:val="04A0"/>
      </w:tblPr>
      <w:tblGrid>
        <w:gridCol w:w="9351"/>
      </w:tblGrid>
      <w:tr w:rsidR="003E7579" w:rsidRPr="003E7579" w:rsidTr="00A0048B">
        <w:tc>
          <w:tcPr>
            <w:tcW w:w="9351" w:type="dxa"/>
            <w:shd w:val="clear" w:color="auto" w:fill="D0CECE" w:themeFill="background2" w:themeFillShade="E6"/>
          </w:tcPr>
          <w:p w:rsidR="003E7579" w:rsidRPr="003E7579" w:rsidRDefault="003E7579" w:rsidP="003E7579">
            <w:pPr>
              <w:rPr>
                <w:b/>
                <w:bCs/>
              </w:rPr>
            </w:pPr>
            <w:r w:rsidRPr="003E7579">
              <w:rPr>
                <w:b/>
                <w:bCs/>
              </w:rPr>
              <w:t>Highlights</w:t>
            </w:r>
          </w:p>
        </w:tc>
      </w:tr>
      <w:tr w:rsidR="003E7579" w:rsidRPr="003E7579" w:rsidTr="00A0048B">
        <w:tc>
          <w:tcPr>
            <w:tcW w:w="9351" w:type="dxa"/>
            <w:shd w:val="clear" w:color="auto" w:fill="auto"/>
          </w:tcPr>
          <w:p w:rsidR="003E7579" w:rsidRPr="003E7579" w:rsidRDefault="003E7579" w:rsidP="003E7579">
            <w:pPr>
              <w:numPr>
                <w:ilvl w:val="0"/>
                <w:numId w:val="5"/>
              </w:numPr>
              <w:contextualSpacing/>
            </w:pPr>
            <w:r w:rsidRPr="003E7579">
              <w:t>Study-specific data was harmonized allowing pooling of data from 11,448 participants across 5 studies.</w:t>
            </w:r>
          </w:p>
        </w:tc>
      </w:tr>
      <w:tr w:rsidR="003E7579" w:rsidRPr="003E7579" w:rsidTr="00A0048B">
        <w:tc>
          <w:tcPr>
            <w:tcW w:w="9351" w:type="dxa"/>
            <w:shd w:val="clear" w:color="auto" w:fill="D0CECE" w:themeFill="background2" w:themeFillShade="E6"/>
          </w:tcPr>
          <w:p w:rsidR="003E7579" w:rsidRPr="003E7579" w:rsidRDefault="003E7579" w:rsidP="003E7579">
            <w:pPr>
              <w:rPr>
                <w:b/>
                <w:bCs/>
              </w:rPr>
            </w:pPr>
            <w:r w:rsidRPr="003E7579">
              <w:rPr>
                <w:b/>
                <w:bCs/>
              </w:rPr>
              <w:t>Challenges</w:t>
            </w:r>
          </w:p>
        </w:tc>
      </w:tr>
      <w:tr w:rsidR="003E7579" w:rsidRPr="003E7579" w:rsidTr="00A0048B">
        <w:tc>
          <w:tcPr>
            <w:tcW w:w="9351" w:type="dxa"/>
          </w:tcPr>
          <w:p w:rsidR="003E7579" w:rsidRPr="003E7579" w:rsidRDefault="003E7579" w:rsidP="003E7579">
            <w:pPr>
              <w:numPr>
                <w:ilvl w:val="0"/>
                <w:numId w:val="4"/>
              </w:numPr>
              <w:contextualSpacing/>
            </w:pPr>
            <w:r w:rsidRPr="003E7579">
              <w:t>A lot of back and forth between the project coordinator and cohorts’ data managers was necessary to get information and ensure proper usage of the study-specific data.</w:t>
            </w:r>
          </w:p>
          <w:p w:rsidR="003E7579" w:rsidRPr="003E7579" w:rsidRDefault="003E7579" w:rsidP="003E7579">
            <w:pPr>
              <w:numPr>
                <w:ilvl w:val="0"/>
                <w:numId w:val="4"/>
              </w:numPr>
              <w:contextualSpacing/>
            </w:pPr>
            <w:r w:rsidRPr="003E7579">
              <w:t>Turnover in cohort data managers led to disruptions in communication and project continuity.</w:t>
            </w:r>
          </w:p>
          <w:p w:rsidR="003E7579" w:rsidRPr="003E7579" w:rsidRDefault="003E7579" w:rsidP="003E7579">
            <w:pPr>
              <w:numPr>
                <w:ilvl w:val="0"/>
                <w:numId w:val="4"/>
              </w:numPr>
              <w:contextualSpacing/>
            </w:pPr>
            <w:r w:rsidRPr="003E7579">
              <w:t xml:space="preserve">Ability to generate some key variables was limited, resulting in lower harmonization potential then expected and complicating the patterns of missing data across cohorts. </w:t>
            </w:r>
          </w:p>
        </w:tc>
      </w:tr>
    </w:tbl>
    <w:p w:rsidR="003E7579" w:rsidRDefault="003E7579" w:rsidP="003E7579">
      <w:pPr>
        <w:spacing w:after="0" w:line="240" w:lineRule="auto"/>
        <w:rPr>
          <w:lang w:val="en-CA"/>
        </w:rPr>
      </w:pPr>
    </w:p>
    <w:p w:rsidR="00035F4D" w:rsidRPr="003E7579" w:rsidRDefault="00035F4D" w:rsidP="003E7579">
      <w:pPr>
        <w:spacing w:after="0" w:line="240" w:lineRule="auto"/>
        <w:rPr>
          <w:lang w:val="en-CA"/>
        </w:rPr>
      </w:pPr>
    </w:p>
    <w:p w:rsidR="003E7579" w:rsidRPr="003E7579" w:rsidRDefault="003E7579" w:rsidP="003E7579">
      <w:pPr>
        <w:numPr>
          <w:ilvl w:val="1"/>
          <w:numId w:val="6"/>
        </w:numPr>
        <w:spacing w:after="0" w:line="240" w:lineRule="auto"/>
        <w:contextualSpacing/>
        <w:rPr>
          <w:b/>
          <w:bCs/>
          <w:lang w:val="en-CA"/>
        </w:rPr>
      </w:pPr>
      <w:r w:rsidRPr="003E7579">
        <w:rPr>
          <w:b/>
          <w:bCs/>
          <w:lang w:val="en-CA"/>
        </w:rPr>
        <w:t>Analysis</w:t>
      </w:r>
    </w:p>
    <w:p w:rsidR="003E7579" w:rsidRPr="003E7579" w:rsidRDefault="003E7579" w:rsidP="003E7579">
      <w:pPr>
        <w:spacing w:after="0" w:line="240" w:lineRule="auto"/>
        <w:ind w:left="360"/>
        <w:contextualSpacing/>
        <w:rPr>
          <w:b/>
          <w:bCs/>
          <w:lang w:val="en-CA"/>
        </w:rPr>
      </w:pPr>
    </w:p>
    <w:p w:rsidR="006F3E30" w:rsidRDefault="003E7579" w:rsidP="003E7579">
      <w:pPr>
        <w:spacing w:after="0" w:line="240" w:lineRule="auto"/>
        <w:rPr>
          <w:lang w:val="en-CA"/>
        </w:rPr>
      </w:pPr>
      <w:r w:rsidRPr="003E7579">
        <w:rPr>
          <w:lang w:val="en-CA"/>
        </w:rPr>
        <w:t xml:space="preserve">Based on the harmonization results (i.e., final list of </w:t>
      </w:r>
      <w:proofErr w:type="spellStart"/>
      <w:r w:rsidRPr="003E7579">
        <w:rPr>
          <w:lang w:val="en-CA"/>
        </w:rPr>
        <w:t>DataSchema</w:t>
      </w:r>
      <w:proofErr w:type="spellEnd"/>
      <w:r w:rsidRPr="003E7579">
        <w:rPr>
          <w:lang w:val="en-CA"/>
        </w:rPr>
        <w:t xml:space="preserve"> variables and harmonization potential), the objectives of the papers and the analyses plans had to be revised. A new question was also addressed, the objective being to explore the influence of different analytical approaches on the association observed between prenatal alcohol exposure and low birthweight for gestational age.</w:t>
      </w:r>
      <w:r w:rsidRPr="003E7579">
        <w:rPr>
          <w:sz w:val="16"/>
          <w:szCs w:val="16"/>
          <w:lang w:val="en-CA"/>
        </w:rPr>
        <w:t xml:space="preserve"> </w:t>
      </w:r>
      <w:r w:rsidRPr="003E7579">
        <w:rPr>
          <w:lang w:val="en-CA"/>
        </w:rPr>
        <w:t xml:space="preserve">Statisticians from two content expert teams performed exploratory analyses to test proof of concept and develop the analytical models. Multiple adjustments to the analyses plan were made along the way, influenced by various factors, including but not limited to the quality of the harmonized data. Each team identified target journals and drafted a manuscript to disseminate their results, which went through </w:t>
      </w:r>
      <w:r w:rsidRPr="003E7579">
        <w:rPr>
          <w:lang w:val="en-CA"/>
        </w:rPr>
        <w:lastRenderedPageBreak/>
        <w:t>multiple rounds of revision before being circulated to obtain feedback from the participating cohorts’ PIs. Once approval from cohorts was obtained, each article was submitted to targeted journals.</w:t>
      </w:r>
    </w:p>
    <w:p w:rsidR="006F3E30" w:rsidRPr="003E7579" w:rsidRDefault="006F3E30" w:rsidP="003E7579">
      <w:pPr>
        <w:spacing w:after="0" w:line="240" w:lineRule="auto"/>
        <w:rPr>
          <w:lang w:val="en-CA"/>
        </w:rPr>
      </w:pPr>
    </w:p>
    <w:p w:rsidR="003E7579" w:rsidRPr="003E7579" w:rsidRDefault="003E7579" w:rsidP="003E7579">
      <w:pPr>
        <w:spacing w:after="0" w:line="240" w:lineRule="auto"/>
        <w:rPr>
          <w:lang w:val="en-CA"/>
        </w:rPr>
      </w:pPr>
    </w:p>
    <w:tbl>
      <w:tblPr>
        <w:tblStyle w:val="TableGrid1"/>
        <w:tblW w:w="9351" w:type="dxa"/>
        <w:tblLook w:val="04A0"/>
      </w:tblPr>
      <w:tblGrid>
        <w:gridCol w:w="9351"/>
      </w:tblGrid>
      <w:tr w:rsidR="003E7579" w:rsidRPr="003E7579" w:rsidTr="00A0048B">
        <w:tc>
          <w:tcPr>
            <w:tcW w:w="9351" w:type="dxa"/>
            <w:shd w:val="clear" w:color="auto" w:fill="D0CECE" w:themeFill="background2" w:themeFillShade="E6"/>
          </w:tcPr>
          <w:p w:rsidR="003E7579" w:rsidRPr="003E7579" w:rsidRDefault="003E7579" w:rsidP="003E7579">
            <w:pPr>
              <w:rPr>
                <w:b/>
                <w:bCs/>
              </w:rPr>
            </w:pPr>
            <w:r w:rsidRPr="003E7579">
              <w:rPr>
                <w:b/>
                <w:bCs/>
              </w:rPr>
              <w:t>Highlights</w:t>
            </w:r>
          </w:p>
        </w:tc>
      </w:tr>
      <w:tr w:rsidR="003E7579" w:rsidRPr="003E7579" w:rsidTr="00A0048B">
        <w:tc>
          <w:tcPr>
            <w:tcW w:w="9351" w:type="dxa"/>
            <w:shd w:val="clear" w:color="auto" w:fill="auto"/>
          </w:tcPr>
          <w:p w:rsidR="003E7579" w:rsidRPr="003E7579" w:rsidRDefault="003E7579" w:rsidP="003E7579">
            <w:pPr>
              <w:numPr>
                <w:ilvl w:val="0"/>
                <w:numId w:val="5"/>
              </w:numPr>
              <w:contextualSpacing/>
            </w:pPr>
            <w:r w:rsidRPr="003E7579">
              <w:t>Papers providing new insight into (1) patterns of prenatal alcohol exposure and (2) methodological approaches to explore robustness of findings were submitted.</w:t>
            </w:r>
          </w:p>
        </w:tc>
      </w:tr>
      <w:tr w:rsidR="003E7579" w:rsidRPr="003E7579" w:rsidTr="00A0048B">
        <w:tc>
          <w:tcPr>
            <w:tcW w:w="9351" w:type="dxa"/>
            <w:shd w:val="clear" w:color="auto" w:fill="D0CECE" w:themeFill="background2" w:themeFillShade="E6"/>
          </w:tcPr>
          <w:p w:rsidR="003E7579" w:rsidRPr="003E7579" w:rsidRDefault="003E7579" w:rsidP="003E7579">
            <w:pPr>
              <w:rPr>
                <w:b/>
                <w:bCs/>
              </w:rPr>
            </w:pPr>
            <w:r w:rsidRPr="003E7579">
              <w:rPr>
                <w:b/>
                <w:bCs/>
              </w:rPr>
              <w:t>Challenges</w:t>
            </w:r>
          </w:p>
        </w:tc>
      </w:tr>
      <w:tr w:rsidR="003E7579" w:rsidRPr="003E7579" w:rsidTr="00A0048B">
        <w:tc>
          <w:tcPr>
            <w:tcW w:w="9351" w:type="dxa"/>
          </w:tcPr>
          <w:p w:rsidR="003E7579" w:rsidRPr="003E7579" w:rsidRDefault="003E7579" w:rsidP="003E7579">
            <w:pPr>
              <w:numPr>
                <w:ilvl w:val="0"/>
                <w:numId w:val="4"/>
              </w:numPr>
              <w:contextualSpacing/>
            </w:pPr>
            <w:r w:rsidRPr="003E7579">
              <w:t xml:space="preserve">Limitations in the harmonization potential across cohorts led to important modifications in the original analyses plan. </w:t>
            </w:r>
          </w:p>
          <w:p w:rsidR="003E7579" w:rsidRPr="003E7579" w:rsidRDefault="003E7579" w:rsidP="003E7579">
            <w:pPr>
              <w:numPr>
                <w:ilvl w:val="0"/>
                <w:numId w:val="4"/>
              </w:numPr>
              <w:contextualSpacing/>
            </w:pPr>
            <w:r w:rsidRPr="003E7579">
              <w:t xml:space="preserve">The delay in the project made it necessary to renew the ethics and data transfer agreements, as well as extend server rental from </w:t>
            </w:r>
            <w:proofErr w:type="spellStart"/>
            <w:r w:rsidRPr="003E7579">
              <w:t>Policywise</w:t>
            </w:r>
            <w:proofErr w:type="spellEnd"/>
            <w:r w:rsidRPr="003E7579">
              <w:t>.</w:t>
            </w:r>
          </w:p>
        </w:tc>
      </w:tr>
    </w:tbl>
    <w:p w:rsidR="003E7579" w:rsidRPr="003E7579" w:rsidRDefault="003E7579" w:rsidP="003E7579">
      <w:pPr>
        <w:spacing w:after="0" w:line="240" w:lineRule="auto"/>
        <w:rPr>
          <w:lang w:val="en-CA"/>
        </w:rPr>
      </w:pPr>
    </w:p>
    <w:p w:rsidR="003E7579" w:rsidRDefault="003E7579" w:rsidP="003E7579">
      <w:pPr>
        <w:spacing w:after="0" w:line="240" w:lineRule="auto"/>
        <w:rPr>
          <w:lang w:val="en-CA"/>
        </w:rPr>
      </w:pPr>
    </w:p>
    <w:p w:rsidR="00035F4D" w:rsidRPr="003E7579" w:rsidRDefault="00035F4D" w:rsidP="003E7579">
      <w:pPr>
        <w:spacing w:after="0" w:line="240" w:lineRule="auto"/>
        <w:rPr>
          <w:lang w:val="en-CA"/>
        </w:rPr>
      </w:pPr>
    </w:p>
    <w:p w:rsidR="003E7579" w:rsidRPr="003E7579" w:rsidRDefault="003E7579" w:rsidP="003E7579">
      <w:pPr>
        <w:numPr>
          <w:ilvl w:val="0"/>
          <w:numId w:val="6"/>
        </w:numPr>
        <w:spacing w:after="0" w:line="240" w:lineRule="auto"/>
        <w:contextualSpacing/>
        <w:rPr>
          <w:b/>
          <w:bCs/>
          <w:lang w:val="fr-CA"/>
        </w:rPr>
      </w:pPr>
      <w:r w:rsidRPr="003E7579">
        <w:rPr>
          <w:b/>
          <w:bCs/>
          <w:lang w:val="en-CA"/>
        </w:rPr>
        <w:t xml:space="preserve">Timeline </w:t>
      </w:r>
    </w:p>
    <w:p w:rsidR="003E7579" w:rsidRPr="003E7579" w:rsidRDefault="003E7579" w:rsidP="003E7579">
      <w:pPr>
        <w:spacing w:after="0" w:line="240" w:lineRule="auto"/>
        <w:ind w:left="360"/>
        <w:contextualSpacing/>
        <w:rPr>
          <w:b/>
          <w:bCs/>
          <w:lang w:val="fr-CA"/>
        </w:rPr>
      </w:pPr>
    </w:p>
    <w:p w:rsidR="003E7579" w:rsidRPr="003E7579" w:rsidRDefault="00035F4D" w:rsidP="003E7579">
      <w:pPr>
        <w:spacing w:after="0" w:line="240" w:lineRule="auto"/>
        <w:contextualSpacing/>
        <w:rPr>
          <w:b/>
          <w:bCs/>
          <w:lang w:val="fr-CA"/>
        </w:rPr>
      </w:pPr>
      <w:r w:rsidRPr="00035F4D">
        <w:rPr>
          <w:noProof/>
        </w:rPr>
        <w:drawing>
          <wp:inline distT="0" distB="0" distL="0" distR="0">
            <wp:extent cx="5943600" cy="4115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115435"/>
                    </a:xfrm>
                    <a:prstGeom prst="rect">
                      <a:avLst/>
                    </a:prstGeom>
                    <a:noFill/>
                    <a:ln>
                      <a:noFill/>
                    </a:ln>
                  </pic:spPr>
                </pic:pic>
              </a:graphicData>
            </a:graphic>
          </wp:inline>
        </w:drawing>
      </w:r>
    </w:p>
    <w:p w:rsidR="003E7579" w:rsidRPr="003E7579" w:rsidRDefault="003E7579" w:rsidP="003E7579">
      <w:pPr>
        <w:spacing w:after="0" w:line="240" w:lineRule="auto"/>
        <w:rPr>
          <w:b/>
          <w:bCs/>
          <w:lang w:val="fr-CA"/>
        </w:rPr>
      </w:pPr>
    </w:p>
    <w:p w:rsidR="003E7579" w:rsidRDefault="003E7579" w:rsidP="003E7579">
      <w:pPr>
        <w:spacing w:after="0" w:line="240" w:lineRule="auto"/>
        <w:rPr>
          <w:b/>
          <w:bCs/>
          <w:lang w:val="fr-CA"/>
        </w:rPr>
      </w:pPr>
    </w:p>
    <w:p w:rsidR="006F3E30" w:rsidRDefault="006F3E30" w:rsidP="003E7579">
      <w:pPr>
        <w:spacing w:after="0" w:line="240" w:lineRule="auto"/>
        <w:rPr>
          <w:b/>
          <w:bCs/>
          <w:lang w:val="fr-CA"/>
        </w:rPr>
      </w:pPr>
    </w:p>
    <w:p w:rsidR="00035F4D" w:rsidRDefault="00035F4D" w:rsidP="003E7579">
      <w:pPr>
        <w:spacing w:after="0" w:line="240" w:lineRule="auto"/>
        <w:rPr>
          <w:b/>
          <w:bCs/>
          <w:lang w:val="fr-CA"/>
        </w:rPr>
      </w:pPr>
    </w:p>
    <w:p w:rsidR="006F3E30" w:rsidRPr="003E7579" w:rsidRDefault="006F3E30" w:rsidP="003E7579">
      <w:pPr>
        <w:spacing w:after="0" w:line="240" w:lineRule="auto"/>
        <w:rPr>
          <w:b/>
          <w:bCs/>
          <w:lang w:val="fr-CA"/>
        </w:rPr>
      </w:pPr>
    </w:p>
    <w:p w:rsidR="003E7579" w:rsidRPr="003E7579" w:rsidRDefault="003E7579" w:rsidP="003E7579">
      <w:pPr>
        <w:spacing w:after="0" w:line="240" w:lineRule="auto"/>
        <w:rPr>
          <w:b/>
          <w:bCs/>
          <w:lang w:val="fr-CA"/>
        </w:rPr>
      </w:pPr>
    </w:p>
    <w:p w:rsidR="003E7579" w:rsidRPr="003E7579" w:rsidRDefault="003E7579" w:rsidP="003E7579">
      <w:pPr>
        <w:numPr>
          <w:ilvl w:val="0"/>
          <w:numId w:val="6"/>
        </w:numPr>
        <w:spacing w:after="0" w:line="240" w:lineRule="auto"/>
        <w:contextualSpacing/>
        <w:rPr>
          <w:b/>
          <w:bCs/>
          <w:lang w:val="en-CA"/>
        </w:rPr>
      </w:pPr>
      <w:r w:rsidRPr="003E7579">
        <w:rPr>
          <w:b/>
          <w:bCs/>
          <w:lang w:val="en-CA"/>
        </w:rPr>
        <w:lastRenderedPageBreak/>
        <w:t xml:space="preserve">Approximative budget </w:t>
      </w:r>
    </w:p>
    <w:p w:rsidR="003E7579" w:rsidRPr="003E7579" w:rsidRDefault="003E7579" w:rsidP="003E7579">
      <w:pPr>
        <w:spacing w:after="0" w:line="240" w:lineRule="auto"/>
        <w:ind w:left="5760" w:firstLine="720"/>
        <w:rPr>
          <w:b/>
          <w:bCs/>
          <w:sz w:val="18"/>
          <w:szCs w:val="18"/>
          <w:lang w:val="fr-CA"/>
        </w:rPr>
      </w:pPr>
    </w:p>
    <w:p w:rsidR="003E7579" w:rsidRPr="003E7579" w:rsidRDefault="003E7579" w:rsidP="003E7579">
      <w:pPr>
        <w:spacing w:after="0" w:line="240" w:lineRule="auto"/>
        <w:ind w:firstLine="720"/>
        <w:rPr>
          <w:b/>
          <w:bCs/>
          <w:sz w:val="18"/>
          <w:szCs w:val="18"/>
          <w:lang w:val="fr-CA"/>
        </w:rPr>
      </w:pPr>
    </w:p>
    <w:p w:rsidR="003E7579" w:rsidRPr="003E7579" w:rsidRDefault="003E7579" w:rsidP="003E7579">
      <w:pPr>
        <w:spacing w:after="0" w:line="240" w:lineRule="auto"/>
        <w:rPr>
          <w:b/>
          <w:bCs/>
          <w:lang w:val="fr-CA"/>
        </w:rPr>
      </w:pPr>
      <w:r w:rsidRPr="003E7579">
        <w:rPr>
          <w:noProof/>
        </w:rPr>
        <w:drawing>
          <wp:inline distT="0" distB="0" distL="0" distR="0">
            <wp:extent cx="5247640" cy="219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7640" cy="2194560"/>
                    </a:xfrm>
                    <a:prstGeom prst="rect">
                      <a:avLst/>
                    </a:prstGeom>
                    <a:noFill/>
                    <a:ln>
                      <a:noFill/>
                    </a:ln>
                  </pic:spPr>
                </pic:pic>
              </a:graphicData>
            </a:graphic>
          </wp:inline>
        </w:drawing>
      </w:r>
    </w:p>
    <w:p w:rsidR="003E7579" w:rsidRPr="003E7579" w:rsidRDefault="003E7579" w:rsidP="003E7579">
      <w:pPr>
        <w:spacing w:after="0" w:line="240" w:lineRule="auto"/>
        <w:rPr>
          <w:b/>
          <w:bCs/>
          <w:lang w:val="fr-CA"/>
        </w:rPr>
      </w:pPr>
    </w:p>
    <w:p w:rsidR="003E7579" w:rsidRPr="003E7579" w:rsidRDefault="003E7579" w:rsidP="003E7579">
      <w:pPr>
        <w:spacing w:after="0" w:line="240" w:lineRule="auto"/>
        <w:rPr>
          <w:b/>
          <w:bCs/>
          <w:lang w:val="fr-CA"/>
        </w:rPr>
      </w:pPr>
    </w:p>
    <w:p w:rsidR="003E7579" w:rsidRPr="003E7579" w:rsidRDefault="003E7579" w:rsidP="003E7579">
      <w:pPr>
        <w:spacing w:after="0" w:line="240" w:lineRule="auto"/>
        <w:rPr>
          <w:b/>
          <w:bCs/>
          <w:lang w:val="en-CA"/>
        </w:rPr>
      </w:pPr>
      <w:r w:rsidRPr="003E7579">
        <w:rPr>
          <w:b/>
          <w:bCs/>
          <w:lang w:val="en-CA"/>
        </w:rPr>
        <w:t>References</w:t>
      </w:r>
    </w:p>
    <w:p w:rsidR="003E7579" w:rsidRPr="003E7579" w:rsidRDefault="003E7579" w:rsidP="003E7579">
      <w:pPr>
        <w:spacing w:after="0" w:line="240" w:lineRule="auto"/>
        <w:rPr>
          <w:b/>
          <w:bCs/>
          <w:lang w:val="en-CA"/>
        </w:rPr>
      </w:pPr>
    </w:p>
    <w:p w:rsidR="003E7579" w:rsidRPr="003E7579" w:rsidRDefault="003E7579" w:rsidP="003E7579">
      <w:pPr>
        <w:spacing w:after="0" w:line="240" w:lineRule="auto"/>
        <w:ind w:left="284" w:hanging="284"/>
        <w:rPr>
          <w:rFonts w:ascii="Calibri" w:hAnsi="Calibri" w:cs="Calibri"/>
          <w:lang w:val="en-CA"/>
        </w:rPr>
      </w:pPr>
      <w:r w:rsidRPr="003E7579">
        <w:rPr>
          <w:rFonts w:ascii="Calibri" w:hAnsi="Calibri" w:cs="Calibri"/>
          <w:lang w:val="en-CA"/>
        </w:rPr>
        <w:t xml:space="preserve">1. </w:t>
      </w:r>
      <w:r w:rsidRPr="003E7579">
        <w:rPr>
          <w:rFonts w:ascii="Calibri" w:hAnsi="Calibri" w:cs="Calibri"/>
          <w:lang w:val="en-CA"/>
        </w:rPr>
        <w:tab/>
        <w:t xml:space="preserve">Bergeron J, </w:t>
      </w:r>
      <w:proofErr w:type="spellStart"/>
      <w:r w:rsidRPr="003E7579">
        <w:rPr>
          <w:rFonts w:ascii="Calibri" w:hAnsi="Calibri" w:cs="Calibri"/>
          <w:lang w:val="en-CA"/>
        </w:rPr>
        <w:t>Massicotte</w:t>
      </w:r>
      <w:proofErr w:type="spellEnd"/>
      <w:r w:rsidRPr="003E7579">
        <w:rPr>
          <w:rFonts w:ascii="Calibri" w:hAnsi="Calibri" w:cs="Calibri"/>
          <w:lang w:val="en-CA"/>
        </w:rPr>
        <w:t xml:space="preserve"> R, Atkinson S, Bocking A, Fraser W, Fortier I, et al. Cohort Profile: Research Advancement through Cohort Cataloguing and Harmonization (</w:t>
      </w:r>
      <w:proofErr w:type="spellStart"/>
      <w:r w:rsidRPr="003E7579">
        <w:rPr>
          <w:rFonts w:ascii="Calibri" w:hAnsi="Calibri" w:cs="Calibri"/>
          <w:lang w:val="en-CA"/>
        </w:rPr>
        <w:t>ReACH</w:t>
      </w:r>
      <w:proofErr w:type="spellEnd"/>
      <w:r w:rsidRPr="003E7579">
        <w:rPr>
          <w:rFonts w:ascii="Calibri" w:hAnsi="Calibri" w:cs="Calibri"/>
          <w:lang w:val="en-CA"/>
        </w:rPr>
        <w:t xml:space="preserve">). Int J Epidemiol. 2021 May 17;50(2):396–7. </w:t>
      </w:r>
    </w:p>
    <w:p w:rsidR="003E7579" w:rsidRPr="003E7579" w:rsidRDefault="003E7579" w:rsidP="003E7579">
      <w:pPr>
        <w:spacing w:after="0" w:line="240" w:lineRule="auto"/>
        <w:ind w:left="284" w:hanging="284"/>
        <w:rPr>
          <w:rFonts w:ascii="Calibri" w:hAnsi="Calibri" w:cs="Calibri"/>
          <w:lang w:val="en-CA"/>
        </w:rPr>
      </w:pPr>
      <w:r w:rsidRPr="003E7579">
        <w:rPr>
          <w:rFonts w:ascii="Calibri" w:hAnsi="Calibri" w:cs="Calibri"/>
          <w:lang w:val="en-CA"/>
        </w:rPr>
        <w:t xml:space="preserve">2. </w:t>
      </w:r>
      <w:r w:rsidRPr="003E7579">
        <w:rPr>
          <w:rFonts w:ascii="Calibri" w:hAnsi="Calibri" w:cs="Calibri"/>
          <w:lang w:val="en-CA"/>
        </w:rPr>
        <w:tab/>
      </w:r>
      <w:proofErr w:type="spellStart"/>
      <w:r w:rsidRPr="003E7579">
        <w:rPr>
          <w:rFonts w:ascii="Calibri" w:hAnsi="Calibri" w:cs="Calibri"/>
          <w:lang w:val="en-CA"/>
        </w:rPr>
        <w:t>PolicyWise</w:t>
      </w:r>
      <w:proofErr w:type="spellEnd"/>
      <w:r w:rsidRPr="003E7579">
        <w:rPr>
          <w:rFonts w:ascii="Calibri" w:hAnsi="Calibri" w:cs="Calibri"/>
          <w:lang w:val="en-CA"/>
        </w:rPr>
        <w:t xml:space="preserve"> [Internet]. </w:t>
      </w:r>
      <w:proofErr w:type="spellStart"/>
      <w:r w:rsidRPr="003E7579">
        <w:rPr>
          <w:rFonts w:ascii="Calibri" w:hAnsi="Calibri" w:cs="Calibri"/>
          <w:lang w:val="en-CA"/>
        </w:rPr>
        <w:t>PolicyWise</w:t>
      </w:r>
      <w:proofErr w:type="spellEnd"/>
      <w:r w:rsidRPr="003E7579">
        <w:rPr>
          <w:rFonts w:ascii="Calibri" w:hAnsi="Calibri" w:cs="Calibri"/>
          <w:lang w:val="en-CA"/>
        </w:rPr>
        <w:t xml:space="preserve"> for Children &amp; Families. [cited 2022 Feb 15]. Available from: https://policywise.com/</w:t>
      </w:r>
    </w:p>
    <w:p w:rsidR="003E7579" w:rsidRPr="003E7579" w:rsidRDefault="003E7579" w:rsidP="003E7579">
      <w:pPr>
        <w:spacing w:after="0" w:line="240" w:lineRule="auto"/>
        <w:ind w:left="284" w:hanging="284"/>
        <w:rPr>
          <w:rFonts w:ascii="Calibri" w:hAnsi="Calibri" w:cs="Calibri"/>
          <w:lang w:val="en-CA"/>
        </w:rPr>
      </w:pPr>
      <w:r w:rsidRPr="003E7579">
        <w:rPr>
          <w:rFonts w:ascii="Calibri" w:hAnsi="Calibri" w:cs="Calibri"/>
          <w:lang w:val="en-CA"/>
        </w:rPr>
        <w:t xml:space="preserve">3. </w:t>
      </w:r>
      <w:r w:rsidRPr="003E7579">
        <w:rPr>
          <w:rFonts w:ascii="Calibri" w:hAnsi="Calibri" w:cs="Calibri"/>
          <w:lang w:val="en-CA"/>
        </w:rPr>
        <w:tab/>
        <w:t xml:space="preserve">Doiron D, Marcon Y, Fortier I, Burton P, </w:t>
      </w:r>
      <w:proofErr w:type="gramStart"/>
      <w:r w:rsidRPr="003E7579">
        <w:rPr>
          <w:rFonts w:ascii="Calibri" w:hAnsi="Calibri" w:cs="Calibri"/>
          <w:lang w:val="en-CA"/>
        </w:rPr>
        <w:t>Ferretti</w:t>
      </w:r>
      <w:proofErr w:type="gramEnd"/>
      <w:r w:rsidRPr="003E7579">
        <w:rPr>
          <w:rFonts w:ascii="Calibri" w:hAnsi="Calibri" w:cs="Calibri"/>
          <w:lang w:val="en-CA"/>
        </w:rPr>
        <w:t xml:space="preserve"> V. Software Application Profile: Opal and Mica: open-source software solutions for epidemiological data management, harmonization and dissemination. Int J Epidemiol [Internet]. 2017 Sep 2 [cited 2017 Oct 3]; Available from: http://academic.oup.com/ije/article/doi/10.1093/ije/dyx180/4102813/Software-Application-Profile-Opal-and-Mica</w:t>
      </w:r>
    </w:p>
    <w:p w:rsidR="003E7579" w:rsidRPr="003E7579" w:rsidRDefault="003E7579" w:rsidP="003E7579">
      <w:pPr>
        <w:spacing w:after="0" w:line="240" w:lineRule="auto"/>
        <w:rPr>
          <w:lang w:val="en-CA"/>
        </w:rPr>
      </w:pPr>
    </w:p>
    <w:p w:rsidR="000B2B9E" w:rsidRDefault="000B2B9E">
      <w:pPr>
        <w:rPr>
          <w:b/>
          <w:bCs/>
          <w:highlight w:val="yellow"/>
        </w:rPr>
      </w:pPr>
    </w:p>
    <w:p w:rsidR="000B2B9E" w:rsidRDefault="000B2B9E">
      <w:pPr>
        <w:rPr>
          <w:b/>
          <w:bCs/>
          <w:highlight w:val="yellow"/>
        </w:rPr>
      </w:pPr>
      <w:r>
        <w:rPr>
          <w:b/>
          <w:bCs/>
          <w:highlight w:val="yellow"/>
        </w:rPr>
        <w:br w:type="page"/>
      </w:r>
    </w:p>
    <w:p w:rsidR="00AE2B95" w:rsidRPr="00F75FA5" w:rsidRDefault="000B2B9E" w:rsidP="000B5975">
      <w:pPr>
        <w:rPr>
          <w:b/>
          <w:bCs/>
        </w:rPr>
      </w:pPr>
      <w:r w:rsidRPr="00846CF3">
        <w:rPr>
          <w:b/>
          <w:bCs/>
        </w:rPr>
        <w:lastRenderedPageBreak/>
        <w:t>Supplementary Material</w:t>
      </w:r>
      <w:r w:rsidR="00D56110" w:rsidRPr="00846CF3">
        <w:rPr>
          <w:b/>
          <w:bCs/>
        </w:rPr>
        <w:t xml:space="preserve"> </w:t>
      </w:r>
      <w:r w:rsidR="00270978">
        <w:rPr>
          <w:b/>
          <w:bCs/>
        </w:rPr>
        <w:t>S3.</w:t>
      </w:r>
      <w:r w:rsidR="00AE2B95" w:rsidRPr="00846CF3">
        <w:rPr>
          <w:b/>
          <w:bCs/>
        </w:rPr>
        <w:t xml:space="preserve"> Options for joint analysis across multiple studies</w:t>
      </w:r>
    </w:p>
    <w:p w:rsidR="00AE2B95" w:rsidRDefault="00AE2B95" w:rsidP="00AE2B95">
      <w:pPr>
        <w:spacing w:after="0" w:line="276" w:lineRule="auto"/>
        <w:rPr>
          <w:rFonts w:cstheme="minorHAnsi"/>
        </w:rPr>
      </w:pPr>
    </w:p>
    <w:p w:rsidR="00AE2B95" w:rsidRDefault="00AE2B95" w:rsidP="00AE2B95">
      <w:pPr>
        <w:spacing w:after="0" w:line="276" w:lineRule="auto"/>
        <w:rPr>
          <w:rFonts w:cstheme="minorHAnsi"/>
        </w:rPr>
      </w:pPr>
      <w:r>
        <w:rPr>
          <w:rFonts w:cstheme="minorHAnsi"/>
        </w:rPr>
        <w:t>The selection of an operating model to support statistical analysis is obviously informed by the analytical requirements of the project, but also by nature of access to the harmonized Individual Participant Data (IPD). The possible approaches</w:t>
      </w:r>
      <w:r w:rsidRPr="001D3D27">
        <w:rPr>
          <w:rFonts w:cstheme="minorHAnsi"/>
        </w:rPr>
        <w:t xml:space="preserve"> include study-level or two-stage IPD meta-analysis, centralized pooled or one-stage IPD meta</w:t>
      </w:r>
      <w:r>
        <w:rPr>
          <w:rFonts w:cstheme="minorHAnsi"/>
        </w:rPr>
        <w:t xml:space="preserve">-analysis, and </w:t>
      </w:r>
      <w:r w:rsidRPr="001D3D27">
        <w:rPr>
          <w:rFonts w:cstheme="minorHAnsi"/>
        </w:rPr>
        <w:t>federated analysis</w:t>
      </w:r>
      <w:r>
        <w:rPr>
          <w:rFonts w:cstheme="minorHAnsi"/>
        </w:rPr>
        <w:t xml:space="preserve">. </w:t>
      </w:r>
      <w:r w:rsidRPr="001D3D27">
        <w:rPr>
          <w:rFonts w:cstheme="minorHAnsi"/>
        </w:rPr>
        <w:t>Each of these present</w:t>
      </w:r>
      <w:r>
        <w:rPr>
          <w:rFonts w:cstheme="minorHAnsi"/>
        </w:rPr>
        <w:t>ing</w:t>
      </w:r>
      <w:r w:rsidRPr="001D3D27">
        <w:rPr>
          <w:rFonts w:cstheme="minorHAnsi"/>
        </w:rPr>
        <w:t xml:space="preserve"> distinct advantages and challenges</w:t>
      </w:r>
      <w:r>
        <w:rPr>
          <w:rFonts w:cstheme="minorHAnsi"/>
        </w:rPr>
        <w:t xml:space="preserve"> as outlined below</w:t>
      </w:r>
      <w:r w:rsidRPr="001D3D27">
        <w:rPr>
          <w:rFonts w:cstheme="minorHAnsi"/>
        </w:rPr>
        <w:t>.</w:t>
      </w:r>
      <w:r w:rsidRPr="00AE2B95">
        <w:rPr>
          <w:rFonts w:ascii="Calibri" w:hAnsi="Calibri" w:cs="Calibri"/>
          <w:szCs w:val="24"/>
          <w:vertAlign w:val="superscript"/>
        </w:rPr>
        <w:t>1–3</w:t>
      </w:r>
    </w:p>
    <w:p w:rsidR="00AE2B95" w:rsidRDefault="00AE2B95" w:rsidP="00AE2B95">
      <w:pPr>
        <w:spacing w:after="0" w:line="276" w:lineRule="auto"/>
        <w:rPr>
          <w:rFonts w:cstheme="minorHAnsi"/>
        </w:rPr>
      </w:pPr>
    </w:p>
    <w:p w:rsidR="00AE2B95" w:rsidRPr="001D3D27" w:rsidRDefault="00AE2B95" w:rsidP="00AE2B95">
      <w:pPr>
        <w:spacing w:after="0" w:line="276" w:lineRule="auto"/>
        <w:rPr>
          <w:rFonts w:cstheme="minorHAnsi"/>
          <w:b/>
          <w:bCs/>
        </w:rPr>
      </w:pPr>
      <w:r>
        <w:rPr>
          <w:rFonts w:cstheme="minorHAnsi"/>
          <w:b/>
          <w:bCs/>
        </w:rPr>
        <w:t>St</w:t>
      </w:r>
      <w:r w:rsidRPr="001D3D27">
        <w:rPr>
          <w:rFonts w:cstheme="minorHAnsi"/>
          <w:b/>
          <w:bCs/>
        </w:rPr>
        <w:t>udy-level meta-analysis or two-stage IPD meta-analysis</w:t>
      </w:r>
    </w:p>
    <w:p w:rsidR="00AE2B95" w:rsidRDefault="00AE2B95" w:rsidP="00AE2B95">
      <w:pPr>
        <w:spacing w:after="0" w:line="276" w:lineRule="auto"/>
        <w:rPr>
          <w:rFonts w:cstheme="minorHAnsi"/>
        </w:rPr>
      </w:pPr>
    </w:p>
    <w:p w:rsidR="00AE2B95" w:rsidRDefault="00AE2B95" w:rsidP="00AE2B95">
      <w:pPr>
        <w:spacing w:after="0" w:line="276" w:lineRule="auto"/>
        <w:rPr>
          <w:rFonts w:cstheme="minorHAnsi"/>
        </w:rPr>
      </w:pPr>
      <w:r>
        <w:rPr>
          <w:rFonts w:cstheme="minorHAnsi"/>
        </w:rPr>
        <w:t>Using this approach, study-specific analysis is performed by individual studies on their own IPD, followed by a meta-analysis of the study-level estimates. At present, two-stage IPD meta-analysis is perhaps the method that is most often adopted.</w:t>
      </w:r>
      <w:r w:rsidR="00922878" w:rsidRPr="00922878">
        <w:rPr>
          <w:rFonts w:ascii="Calibri" w:hAnsi="Calibri" w:cs="Calibri"/>
          <w:szCs w:val="24"/>
          <w:vertAlign w:val="superscript"/>
        </w:rPr>
        <w:t>4</w:t>
      </w:r>
      <w:r>
        <w:rPr>
          <w:rFonts w:cstheme="minorHAnsi"/>
        </w:rPr>
        <w:t xml:space="preserve"> In fact, in the absence of technology enabling secure federated analysis, it is the </w:t>
      </w:r>
      <w:r>
        <w:rPr>
          <w:rFonts w:cstheme="minorHAnsi"/>
          <w:i/>
          <w:iCs/>
        </w:rPr>
        <w:t>only</w:t>
      </w:r>
      <w:r>
        <w:rPr>
          <w:rFonts w:cstheme="minorHAnsi"/>
        </w:rPr>
        <w:t xml:space="preserve"> option when access to IPD is restricted. Crucially, this approach avoids the need to physically transfer the IPD to a central warehouse for analysis. Only aggregate data - non-disclosive summary statistics – generated in the first stage of analysis are required for the second stage analysis and because meta-analytical methods for such aggregate data are well established, this approach is almost always feasible and is reassuring for data access committees that do not wish their IPD to be physically shared. </w:t>
      </w:r>
      <w:r w:rsidR="00D70CB3">
        <w:rPr>
          <w:rFonts w:cstheme="minorHAnsi"/>
        </w:rPr>
        <w:t xml:space="preserve">However, careful harmonization can still be helpful to improve comparability across studies. </w:t>
      </w:r>
      <w:r>
        <w:rPr>
          <w:rFonts w:cstheme="minorHAnsi"/>
        </w:rPr>
        <w:t>Furthermore, it is important to recognize that standardizing and coordinating analyses across a group of studies requires substantial effort. In addition, a meta-analysis approach can sometimes lead to a loss of statistical power. However, because many approaches to meta-analysis are based on aggregate results that are close to being sufficient statistics (</w:t>
      </w:r>
      <w:r>
        <w:rPr>
          <w:rFonts w:cstheme="minorHAnsi"/>
          <w:i/>
          <w:iCs/>
        </w:rPr>
        <w:t xml:space="preserve">i.e., </w:t>
      </w:r>
      <w:r>
        <w:rPr>
          <w:rFonts w:cstheme="minorHAnsi"/>
        </w:rPr>
        <w:t xml:space="preserve">they carry </w:t>
      </w:r>
      <w:r>
        <w:rPr>
          <w:rFonts w:cstheme="minorHAnsi"/>
          <w:i/>
          <w:iCs/>
        </w:rPr>
        <w:t xml:space="preserve">all </w:t>
      </w:r>
      <w:r>
        <w:rPr>
          <w:rFonts w:cstheme="minorHAnsi"/>
        </w:rPr>
        <w:t>the available information needed to underpin the required analysis)</w:t>
      </w:r>
      <w:r w:rsidR="00477D55" w:rsidRPr="00477D55">
        <w:rPr>
          <w:rFonts w:ascii="Calibri" w:hAnsi="Calibri" w:cs="Calibri"/>
          <w:szCs w:val="24"/>
          <w:vertAlign w:val="superscript"/>
        </w:rPr>
        <w:t>5</w:t>
      </w:r>
      <w:r>
        <w:rPr>
          <w:rFonts w:cstheme="minorHAnsi"/>
        </w:rPr>
        <w:t xml:space="preserve"> the loss in power is often considerably less than might be anticipated.</w:t>
      </w:r>
    </w:p>
    <w:p w:rsidR="00AE2B95" w:rsidRDefault="00AE2B95" w:rsidP="00AE2B95">
      <w:pPr>
        <w:spacing w:after="0" w:line="276" w:lineRule="auto"/>
        <w:rPr>
          <w:rFonts w:cstheme="minorHAnsi"/>
        </w:rPr>
      </w:pPr>
    </w:p>
    <w:p w:rsidR="00AE2B95" w:rsidRPr="001D3D27" w:rsidRDefault="00AE2B95" w:rsidP="00AE2B95">
      <w:pPr>
        <w:spacing w:after="0" w:line="276" w:lineRule="auto"/>
        <w:rPr>
          <w:rFonts w:cstheme="minorHAnsi"/>
          <w:b/>
          <w:bCs/>
        </w:rPr>
      </w:pPr>
      <w:r w:rsidRPr="001D3D27">
        <w:rPr>
          <w:rFonts w:cstheme="minorHAnsi"/>
          <w:b/>
          <w:bCs/>
        </w:rPr>
        <w:t>Centralized pooled analysis or one-stage IPD meta-analysis</w:t>
      </w:r>
    </w:p>
    <w:p w:rsidR="00AE2B95" w:rsidRDefault="00AE2B95" w:rsidP="00AE2B95">
      <w:pPr>
        <w:spacing w:after="0" w:line="276" w:lineRule="auto"/>
        <w:rPr>
          <w:rFonts w:cstheme="minorHAnsi"/>
        </w:rPr>
      </w:pPr>
    </w:p>
    <w:p w:rsidR="00AE2B95" w:rsidRDefault="00AE2B95" w:rsidP="00AE2B95">
      <w:pPr>
        <w:spacing w:after="0" w:line="276" w:lineRule="auto"/>
        <w:rPr>
          <w:rFonts w:cstheme="minorHAnsi"/>
        </w:rPr>
      </w:pPr>
      <w:r>
        <w:rPr>
          <w:rFonts w:cstheme="minorHAnsi"/>
        </w:rPr>
        <w:t>Alternatively, IPD can be transferred from each study to a central server where they are analyzed as a collective whole (a full joint likelihood one-step IPD meta-analysis with appropriate center effects</w:t>
      </w:r>
      <w:r w:rsidR="00477D55" w:rsidRPr="00477D55">
        <w:rPr>
          <w:rFonts w:ascii="Calibri" w:hAnsi="Calibri" w:cs="Calibri"/>
          <w:szCs w:val="24"/>
          <w:vertAlign w:val="superscript"/>
        </w:rPr>
        <w:t>4</w:t>
      </w:r>
      <w:r>
        <w:rPr>
          <w:rFonts w:cstheme="minorHAnsi"/>
        </w:rPr>
        <w:t xml:space="preserve">). This will ensure optimum statistical power and flexibility, and in particular, the potential for enhanced insights into interactive or heterogeneous effects and to the interpretation of joint estimates. However, data must be centrally warehoused, and this </w:t>
      </w:r>
      <w:r w:rsidR="00E0316F">
        <w:rPr>
          <w:rFonts w:cstheme="minorHAnsi"/>
        </w:rPr>
        <w:t xml:space="preserve">can </w:t>
      </w:r>
      <w:r>
        <w:rPr>
          <w:rFonts w:cstheme="minorHAnsi"/>
        </w:rPr>
        <w:t>demand robust well managed infrastructural hardware</w:t>
      </w:r>
      <w:r w:rsidR="00477D55" w:rsidRPr="00477D55">
        <w:rPr>
          <w:rFonts w:ascii="Calibri" w:hAnsi="Calibri" w:cs="Calibri"/>
          <w:szCs w:val="24"/>
          <w:vertAlign w:val="superscript"/>
        </w:rPr>
        <w:t>6</w:t>
      </w:r>
      <w:r>
        <w:rPr>
          <w:rFonts w:cstheme="minorHAnsi"/>
        </w:rPr>
        <w:t xml:space="preserve"> to ensure data can be held safely and securely. It may also require high performance computing facilities to facilitate the analysis of large amounts of data within a single centralized repository. Furthermore, in the real world, data governance is often more challenging than the technical requirements for data analysis. Thus, it can often prove very time consuming – or indeed impossible </w:t>
      </w:r>
      <w:r w:rsidR="00E17103">
        <w:rPr>
          <w:rFonts w:cstheme="minorHAnsi"/>
        </w:rPr>
        <w:t>–</w:t>
      </w:r>
      <w:r>
        <w:rPr>
          <w:rFonts w:cstheme="minorHAnsi"/>
        </w:rPr>
        <w:t xml:space="preserve"> to obtain permission to transfer the required IPD from a set of original studies to a central data warehouse. </w:t>
      </w:r>
    </w:p>
    <w:p w:rsidR="00AE2B95" w:rsidRDefault="00AE2B95" w:rsidP="00AE2B95">
      <w:pPr>
        <w:spacing w:after="0" w:line="276" w:lineRule="auto"/>
        <w:rPr>
          <w:rFonts w:cstheme="minorHAnsi"/>
        </w:rPr>
      </w:pPr>
    </w:p>
    <w:p w:rsidR="00E0316F" w:rsidRDefault="00E0316F" w:rsidP="00AE2B95">
      <w:pPr>
        <w:spacing w:after="0" w:line="276" w:lineRule="auto"/>
        <w:rPr>
          <w:rFonts w:cstheme="minorHAnsi"/>
        </w:rPr>
      </w:pPr>
    </w:p>
    <w:p w:rsidR="00E0316F" w:rsidRDefault="00E0316F" w:rsidP="00AE2B95">
      <w:pPr>
        <w:spacing w:after="0" w:line="276" w:lineRule="auto"/>
        <w:rPr>
          <w:rFonts w:cstheme="minorHAnsi"/>
        </w:rPr>
      </w:pPr>
    </w:p>
    <w:p w:rsidR="00E0316F" w:rsidRDefault="00E0316F" w:rsidP="00AE2B95">
      <w:pPr>
        <w:spacing w:after="0" w:line="276" w:lineRule="auto"/>
        <w:rPr>
          <w:rFonts w:cstheme="minorHAnsi"/>
        </w:rPr>
      </w:pPr>
    </w:p>
    <w:p w:rsidR="00AE2B95" w:rsidRDefault="00AE2B95" w:rsidP="00AE2B95">
      <w:pPr>
        <w:spacing w:after="0" w:line="276" w:lineRule="auto"/>
        <w:rPr>
          <w:rFonts w:cstheme="minorHAnsi"/>
          <w:b/>
          <w:bCs/>
        </w:rPr>
      </w:pPr>
      <w:r w:rsidRPr="00477D55">
        <w:rPr>
          <w:rFonts w:cstheme="minorHAnsi"/>
          <w:b/>
          <w:bCs/>
        </w:rPr>
        <w:lastRenderedPageBreak/>
        <w:t>F</w:t>
      </w:r>
      <w:r>
        <w:rPr>
          <w:rFonts w:cstheme="minorHAnsi"/>
          <w:b/>
          <w:bCs/>
        </w:rPr>
        <w:t>ederated analysis</w:t>
      </w:r>
    </w:p>
    <w:p w:rsidR="00AE2B95" w:rsidRPr="001D3D27" w:rsidRDefault="00AE2B95" w:rsidP="00AE2B95">
      <w:pPr>
        <w:spacing w:after="0" w:line="276" w:lineRule="auto"/>
        <w:rPr>
          <w:rFonts w:cstheme="minorHAnsi"/>
          <w:b/>
          <w:bCs/>
        </w:rPr>
      </w:pPr>
    </w:p>
    <w:p w:rsidR="00AE2B95" w:rsidRDefault="00AE2B95" w:rsidP="00AE2B95">
      <w:pPr>
        <w:spacing w:after="0" w:line="276" w:lineRule="auto"/>
        <w:rPr>
          <w:rFonts w:cstheme="minorHAnsi"/>
        </w:rPr>
      </w:pPr>
      <w:r>
        <w:rPr>
          <w:rFonts w:cstheme="minorHAnsi"/>
        </w:rPr>
        <w:t>The various trade-offs between the first two approaches described and sensible strategies for choosing between them have been discussed in detail elsewhere</w:t>
      </w:r>
      <w:r w:rsidR="001A1B7A" w:rsidRPr="001A1B7A">
        <w:rPr>
          <w:rFonts w:ascii="Calibri" w:hAnsi="Calibri" w:cs="Calibri"/>
          <w:szCs w:val="24"/>
          <w:vertAlign w:val="superscript"/>
        </w:rPr>
        <w:t>4,7</w:t>
      </w:r>
      <w:r>
        <w:rPr>
          <w:rFonts w:cstheme="minorHAnsi"/>
        </w:rPr>
        <w:t xml:space="preserve">. However, there is also a third approach </w:t>
      </w:r>
      <w:r w:rsidR="00980FE7">
        <w:rPr>
          <w:rFonts w:cstheme="minorHAnsi"/>
        </w:rPr>
        <w:t>–</w:t>
      </w:r>
      <w:r>
        <w:rPr>
          <w:rFonts w:cstheme="minorHAnsi"/>
        </w:rPr>
        <w:t xml:space="preserve"> federated data analysis – that can provide an alternative option.</w:t>
      </w:r>
      <w:r w:rsidR="001A1B7A" w:rsidRPr="001A1B7A">
        <w:rPr>
          <w:rFonts w:ascii="Calibri" w:hAnsi="Calibri" w:cs="Calibri"/>
          <w:szCs w:val="24"/>
          <w:vertAlign w:val="superscript"/>
        </w:rPr>
        <w:t>2,8</w:t>
      </w:r>
      <w:r w:rsidR="001A1B7A">
        <w:rPr>
          <w:rFonts w:cstheme="minorHAnsi"/>
        </w:rPr>
        <w:t xml:space="preserve"> U</w:t>
      </w:r>
      <w:r>
        <w:rPr>
          <w:rFonts w:cstheme="minorHAnsi"/>
        </w:rPr>
        <w:t>nder federated data analysis, statistical inference is still based on the underlying harmonized IPD, but those IPD remain on the IT systems behind the firewalls at the studies where they are normally held. Until recently, this approach was rarely adopted. This was because it requires the implementation of a distributed, but interoperable data infrastructure that enables unified co-analysis of the harmonized data across all the studies. This, in turn, demands sophisticated technology and appropriate informatics knowledge or support to implement and use. But there are now a number of approaches to federated analysis that are becoming increasingly straightforward to implement and use.  These include DataSHIELD</w:t>
      </w:r>
      <w:r w:rsidR="00623D7E" w:rsidRPr="00623D7E">
        <w:rPr>
          <w:rFonts w:ascii="Calibri" w:hAnsi="Calibri" w:cs="Calibri"/>
          <w:szCs w:val="24"/>
          <w:vertAlign w:val="superscript"/>
        </w:rPr>
        <w:t>2,9,10</w:t>
      </w:r>
      <w:r w:rsidR="00623D7E">
        <w:rPr>
          <w:rFonts w:cstheme="minorHAnsi"/>
        </w:rPr>
        <w:t>,</w:t>
      </w:r>
      <w:r>
        <w:rPr>
          <w:rFonts w:cstheme="minorHAnsi"/>
        </w:rPr>
        <w:t xml:space="preserve"> under which the study-level IPD is both invisible and physically unavailable and can neither be copied nor downloaded by the analyst. In addition, active algorithmic traps mitigate the risk of disclosure via targeted analysis. To meet these requirements, each new analytic function implemented in </w:t>
      </w:r>
      <w:proofErr w:type="spellStart"/>
      <w:r>
        <w:rPr>
          <w:rFonts w:cstheme="minorHAnsi"/>
        </w:rPr>
        <w:t>DataSHIELD</w:t>
      </w:r>
      <w:proofErr w:type="spellEnd"/>
      <w:r>
        <w:rPr>
          <w:rFonts w:cstheme="minorHAnsi"/>
        </w:rPr>
        <w:t xml:space="preserve"> demands substantive recoding of otherwise standard analytic routines to introduce the disclosure traps. Consequently, at present, </w:t>
      </w:r>
      <w:proofErr w:type="spellStart"/>
      <w:r>
        <w:rPr>
          <w:rFonts w:cstheme="minorHAnsi"/>
        </w:rPr>
        <w:t>DataSHIELD</w:t>
      </w:r>
      <w:proofErr w:type="spellEnd"/>
      <w:r>
        <w:rPr>
          <w:rFonts w:cstheme="minorHAnsi"/>
        </w:rPr>
        <w:t xml:space="preserve"> analysis can only be undertaken using the R statistical package</w:t>
      </w:r>
      <w:r w:rsidR="00623D7E" w:rsidRPr="00623D7E">
        <w:rPr>
          <w:rFonts w:ascii="Calibri" w:hAnsi="Calibri" w:cs="Calibri"/>
          <w:szCs w:val="24"/>
          <w:vertAlign w:val="superscript"/>
        </w:rPr>
        <w:t>11</w:t>
      </w:r>
      <w:r w:rsidR="00623D7E">
        <w:rPr>
          <w:rFonts w:cstheme="minorHAnsi"/>
        </w:rPr>
        <w:t>.</w:t>
      </w:r>
      <w:r>
        <w:rPr>
          <w:rFonts w:cstheme="minorHAnsi"/>
        </w:rPr>
        <w:t xml:space="preserve"> Other federated approaches include, but are not limited to, those developed under the </w:t>
      </w:r>
      <w:r w:rsidR="00623D7E">
        <w:rPr>
          <w:rFonts w:cstheme="minorHAnsi"/>
        </w:rPr>
        <w:t>BIRO</w:t>
      </w:r>
      <w:r w:rsidR="00623D7E" w:rsidRPr="00623D7E">
        <w:rPr>
          <w:rFonts w:ascii="Calibri" w:hAnsi="Calibri" w:cs="Calibri"/>
          <w:szCs w:val="24"/>
          <w:vertAlign w:val="superscript"/>
        </w:rPr>
        <w:t>12</w:t>
      </w:r>
      <w:r>
        <w:rPr>
          <w:rFonts w:cstheme="minorHAnsi"/>
        </w:rPr>
        <w:t>, ViPAR</w:t>
      </w:r>
      <w:r w:rsidR="00623D7E" w:rsidRPr="00623D7E">
        <w:rPr>
          <w:rFonts w:ascii="Calibri" w:hAnsi="Calibri" w:cs="Calibri"/>
          <w:szCs w:val="24"/>
          <w:vertAlign w:val="superscript"/>
        </w:rPr>
        <w:t>3</w:t>
      </w:r>
      <w:r w:rsidR="00623D7E">
        <w:rPr>
          <w:rFonts w:cstheme="minorHAnsi"/>
        </w:rPr>
        <w:t>,</w:t>
      </w:r>
      <w:r>
        <w:rPr>
          <w:rFonts w:cstheme="minorHAnsi"/>
        </w:rPr>
        <w:t xml:space="preserve"> Personal Health Train (PHT)</w:t>
      </w:r>
      <w:r w:rsidR="00623D7E" w:rsidRPr="00623D7E">
        <w:rPr>
          <w:rFonts w:ascii="Calibri" w:hAnsi="Calibri" w:cs="Calibri"/>
          <w:szCs w:val="24"/>
          <w:vertAlign w:val="superscript"/>
        </w:rPr>
        <w:t>13</w:t>
      </w:r>
      <w:r>
        <w:rPr>
          <w:rFonts w:cstheme="minorHAnsi"/>
        </w:rPr>
        <w:t>, Vantage6</w:t>
      </w:r>
      <w:r w:rsidR="007E1418" w:rsidRPr="007E1418">
        <w:rPr>
          <w:rFonts w:ascii="Calibri" w:hAnsi="Calibri" w:cs="Calibri"/>
          <w:szCs w:val="24"/>
          <w:vertAlign w:val="superscript"/>
        </w:rPr>
        <w:t>14</w:t>
      </w:r>
      <w:r>
        <w:rPr>
          <w:rFonts w:cstheme="minorHAnsi"/>
        </w:rPr>
        <w:t xml:space="preserve"> and OpenSAFELY</w:t>
      </w:r>
      <w:r w:rsidR="007E1418" w:rsidRPr="007E1418">
        <w:rPr>
          <w:rFonts w:ascii="Calibri" w:hAnsi="Calibri" w:cs="Calibri"/>
          <w:szCs w:val="24"/>
          <w:vertAlign w:val="superscript"/>
        </w:rPr>
        <w:t>15</w:t>
      </w:r>
      <w:r>
        <w:rPr>
          <w:rFonts w:cstheme="minorHAnsi"/>
        </w:rPr>
        <w:t xml:space="preserve"> projects. These latter approaches do not generally build in algorithmic disclosure traps into their functional code, and this means that users can typically use whatever software they would like for their analyses. But, in consequence, methods for dealing with more sensitive data are less well developed and sometimes require all analytic output to be scrutinized by human readers before being released to analysts. Because these different approaches are all complementary, on-going attempts are being made to explore their combination with the ultimate aim that users will be able to select the particular approach that optimally meets their needs both for analytic flexibility and disclosure control.</w:t>
      </w:r>
    </w:p>
    <w:p w:rsidR="00AE2B95" w:rsidRDefault="00AE2B95" w:rsidP="00AE2B95">
      <w:pPr>
        <w:spacing w:after="0" w:line="276" w:lineRule="auto"/>
        <w:rPr>
          <w:rFonts w:cstheme="minorHAnsi"/>
        </w:rPr>
      </w:pPr>
    </w:p>
    <w:p w:rsidR="00AE2B95" w:rsidRDefault="00AE2B95" w:rsidP="00AE2B95">
      <w:pPr>
        <w:spacing w:after="0" w:line="276" w:lineRule="auto"/>
        <w:rPr>
          <w:rFonts w:cstheme="minorHAnsi"/>
        </w:rPr>
      </w:pPr>
      <w:r>
        <w:rPr>
          <w:rFonts w:cstheme="minorHAnsi"/>
        </w:rPr>
        <w:t>Although federated analysis may appear quite different to the traditional approaches described earlier, in fact it comes in a variety of flavors that may reasonably be viewed as: (</w:t>
      </w:r>
      <w:proofErr w:type="spellStart"/>
      <w:r>
        <w:rPr>
          <w:rFonts w:cstheme="minorHAnsi"/>
        </w:rPr>
        <w:t>i</w:t>
      </w:r>
      <w:proofErr w:type="spellEnd"/>
      <w:r>
        <w:rPr>
          <w:rFonts w:cstheme="minorHAnsi"/>
        </w:rPr>
        <w:t xml:space="preserve">) true one-stage IPD analysis; (ii) effective one-stage IPD analysis; or (iii) two-stage IPD analysis (study-level meta-analysis). Thus, for example, using the </w:t>
      </w:r>
      <w:proofErr w:type="spellStart"/>
      <w:r>
        <w:rPr>
          <w:rFonts w:cstheme="minorHAnsi"/>
        </w:rPr>
        <w:t>ViPAR</w:t>
      </w:r>
      <w:proofErr w:type="spellEnd"/>
      <w:r>
        <w:rPr>
          <w:rFonts w:cstheme="minorHAnsi"/>
        </w:rPr>
        <w:t xml:space="preserve"> approach, the IPD are held by the original studies but are transiently pooled to enable co-analysis and then rapidly destroyed. This approach is very flexible from an analytic perspective and represents true one-stage IPD analysis. But as it involves the IPD from each study being transferred to a central analysis site – albeit very transiently – data access committees that do not want their data to be physically transferred outside their own study may be wary of this solution. The other approaches identified send the analysis to the data</w:t>
      </w:r>
      <w:r w:rsidR="007E1418" w:rsidRPr="007E1418">
        <w:rPr>
          <w:rFonts w:ascii="Calibri" w:hAnsi="Calibri" w:cs="Calibri"/>
          <w:szCs w:val="24"/>
          <w:vertAlign w:val="superscript"/>
        </w:rPr>
        <w:t>2</w:t>
      </w:r>
      <w:r>
        <w:rPr>
          <w:rFonts w:cstheme="minorHAnsi"/>
        </w:rPr>
        <w:t xml:space="preserve"> rather than taking data to the analysis</w:t>
      </w:r>
      <w:r w:rsidR="007E1418">
        <w:rPr>
          <w:rFonts w:cstheme="minorHAnsi"/>
        </w:rPr>
        <w:t>,</w:t>
      </w:r>
      <w:r>
        <w:rPr>
          <w:rFonts w:cstheme="minorHAnsi"/>
        </w:rPr>
        <w:t xml:space="preserve"> either in the form of scripts calling algorithms on the data servers</w:t>
      </w:r>
      <w:r w:rsidR="007E1418" w:rsidRPr="007E1418">
        <w:rPr>
          <w:rFonts w:ascii="Calibri" w:hAnsi="Calibri" w:cs="Calibri"/>
          <w:szCs w:val="24"/>
          <w:vertAlign w:val="superscript"/>
        </w:rPr>
        <w:t>13,14</w:t>
      </w:r>
      <w:r>
        <w:rPr>
          <w:rFonts w:cstheme="minorHAnsi"/>
        </w:rPr>
        <w:t xml:space="preserve"> or by direct calls to analytic functions</w:t>
      </w:r>
      <w:r w:rsidR="007E1418" w:rsidRPr="007E1418">
        <w:rPr>
          <w:rFonts w:ascii="Calibri" w:hAnsi="Calibri" w:cs="Calibri"/>
          <w:szCs w:val="24"/>
          <w:vertAlign w:val="superscript"/>
        </w:rPr>
        <w:t>2,9</w:t>
      </w:r>
      <w:r>
        <w:rPr>
          <w:rFonts w:cstheme="minorHAnsi"/>
        </w:rPr>
        <w:t>. As an example, OpenSAFEL</w:t>
      </w:r>
      <w:r w:rsidR="007E1418">
        <w:rPr>
          <w:rFonts w:cstheme="minorHAnsi"/>
        </w:rPr>
        <w:t>Y</w:t>
      </w:r>
      <w:r w:rsidR="007E1418" w:rsidRPr="007E1418">
        <w:rPr>
          <w:rFonts w:ascii="Calibri" w:hAnsi="Calibri" w:cs="Calibri"/>
          <w:szCs w:val="24"/>
          <w:vertAlign w:val="superscript"/>
        </w:rPr>
        <w:t>15</w:t>
      </w:r>
      <w:r>
        <w:rPr>
          <w:rFonts w:cstheme="minorHAnsi"/>
        </w:rPr>
        <w:t xml:space="preserve"> is based on a sophisticated IT infrastructure for real-time shared data analysis. Pseudonymized patient records remain at the data centers of the electronic health records software companies that hold them, and those centers also host the first-stage analyses. Like </w:t>
      </w:r>
      <w:proofErr w:type="spellStart"/>
      <w:r>
        <w:rPr>
          <w:rFonts w:cstheme="minorHAnsi"/>
        </w:rPr>
        <w:t>DataSHIELD</w:t>
      </w:r>
      <w:proofErr w:type="spellEnd"/>
      <w:r>
        <w:rPr>
          <w:rFonts w:cstheme="minorHAnsi"/>
        </w:rPr>
        <w:t>,</w:t>
      </w:r>
      <w:r>
        <w:rPr>
          <w:rFonts w:cstheme="minorHAnsi"/>
          <w:color w:val="212529"/>
          <w:shd w:val="clear" w:color="auto" w:fill="FFFFFF"/>
        </w:rPr>
        <w:t xml:space="preserve"> </w:t>
      </w:r>
      <w:r>
        <w:rPr>
          <w:rFonts w:cstheme="minorHAnsi"/>
        </w:rPr>
        <w:t xml:space="preserve">the four other approaches identified above all generate first-stage aggregate results at each data source and are then returned to an analysis center where they are combined in the second stage of analysis. This is </w:t>
      </w:r>
      <w:r>
        <w:rPr>
          <w:rFonts w:cstheme="minorHAnsi"/>
        </w:rPr>
        <w:lastRenderedPageBreak/>
        <w:t>permitted under governance rules because the aggregate results are fundamentally non-disclosive. If the first-stage analysis generates aggregate results that are sufficient statistics</w:t>
      </w:r>
      <w:r w:rsidR="007E1418" w:rsidRPr="007E1418">
        <w:rPr>
          <w:rFonts w:ascii="Calibri" w:hAnsi="Calibri" w:cs="Calibri"/>
          <w:szCs w:val="24"/>
          <w:vertAlign w:val="superscript"/>
        </w:rPr>
        <w:t>5</w:t>
      </w:r>
      <w:r w:rsidR="007E1418">
        <w:rPr>
          <w:rFonts w:cstheme="minorHAnsi"/>
        </w:rPr>
        <w:t>,</w:t>
      </w:r>
      <w:r>
        <w:rPr>
          <w:rFonts w:cstheme="minorHAnsi"/>
        </w:rPr>
        <w:t xml:space="preserve"> this two-stage approach can be made mathematically equivalent to pooling all the data centrally and applying a standard analysis directly to those pooled data</w:t>
      </w:r>
      <w:r w:rsidR="007E1418" w:rsidRPr="007E1418">
        <w:rPr>
          <w:rFonts w:ascii="Calibri" w:hAnsi="Calibri" w:cs="Calibri"/>
          <w:szCs w:val="24"/>
          <w:vertAlign w:val="superscript"/>
        </w:rPr>
        <w:t>16</w:t>
      </w:r>
      <w:r>
        <w:rPr>
          <w:rFonts w:cstheme="minorHAnsi"/>
        </w:rPr>
        <w:t xml:space="preserve">– </w:t>
      </w:r>
      <w:r>
        <w:rPr>
          <w:rFonts w:cstheme="minorHAnsi"/>
          <w:i/>
          <w:iCs/>
        </w:rPr>
        <w:t>i.e.,</w:t>
      </w:r>
      <w:r>
        <w:rPr>
          <w:rFonts w:cstheme="minorHAnsi"/>
        </w:rPr>
        <w:t xml:space="preserve"> it represents “</w:t>
      </w:r>
      <w:r>
        <w:rPr>
          <w:rFonts w:cstheme="minorHAnsi"/>
          <w:i/>
          <w:iCs/>
        </w:rPr>
        <w:t>effective</w:t>
      </w:r>
      <w:r>
        <w:rPr>
          <w:rFonts w:cstheme="minorHAnsi"/>
        </w:rPr>
        <w:t xml:space="preserve"> one-stage IPD analysis”. On the other hand, if the first-stage results are instead combined using random (or fixed) effects meta-analysis in the second stage this corresponds to two-stage meta-analysis. In this latter situation the difference between undertaking a traditional two-stage meta-analysis and carrying out the same analysis using a well-designed federated data-analysis system is that</w:t>
      </w:r>
      <w:r w:rsidR="007E1418">
        <w:rPr>
          <w:rFonts w:cstheme="minorHAnsi"/>
        </w:rPr>
        <w:t>,</w:t>
      </w:r>
      <w:r>
        <w:rPr>
          <w:rFonts w:cstheme="minorHAnsi"/>
        </w:rPr>
        <w:t xml:space="preserve"> because the first-stage analysis in the latter case is entirely centrally controlled, new analyses that are recognized as being required because of initial results (</w:t>
      </w:r>
      <w:r w:rsidRPr="00030273">
        <w:rPr>
          <w:rFonts w:cstheme="minorHAnsi"/>
          <w:i/>
          <w:iCs/>
        </w:rPr>
        <w:t>e.g</w:t>
      </w:r>
      <w:r>
        <w:rPr>
          <w:rFonts w:cstheme="minorHAnsi"/>
        </w:rPr>
        <w:t>., the need to add interactions between variables demonstrated to have a substantive impact in early analysis) can be commanded directly by the analyst in real time, rather than having to ask each study to undertake the extra analyses required and wait for them to return the results. This can greatly reduce the time to carry out the additional analyses, as in waiting for all studies to return new results the slowest study always sets the pace.</w:t>
      </w:r>
    </w:p>
    <w:p w:rsidR="00AE2B95" w:rsidRDefault="00AE2B95" w:rsidP="00AE2B95">
      <w:pPr>
        <w:spacing w:line="276" w:lineRule="auto"/>
        <w:rPr>
          <w:rFonts w:cstheme="minorHAnsi"/>
        </w:rPr>
      </w:pPr>
    </w:p>
    <w:p w:rsidR="00201003" w:rsidRPr="00201003" w:rsidRDefault="00201003" w:rsidP="00AE2B95">
      <w:pPr>
        <w:spacing w:line="276" w:lineRule="auto"/>
        <w:rPr>
          <w:rFonts w:cstheme="minorHAnsi"/>
          <w:b/>
          <w:bCs/>
        </w:rPr>
      </w:pPr>
      <w:r>
        <w:rPr>
          <w:rFonts w:cstheme="minorHAnsi"/>
          <w:b/>
          <w:bCs/>
        </w:rPr>
        <w:t>References</w:t>
      </w:r>
    </w:p>
    <w:p w:rsidR="00DA34BF" w:rsidRPr="006F3E30" w:rsidRDefault="00DA34BF" w:rsidP="00DA34BF">
      <w:pPr>
        <w:pStyle w:val="Bibliography"/>
        <w:ind w:left="360" w:hanging="360"/>
        <w:rPr>
          <w:rFonts w:ascii="Calibri" w:hAnsi="Calibri" w:cs="Calibri"/>
          <w:lang w:val="es-ES"/>
        </w:rPr>
      </w:pPr>
      <w:r w:rsidRPr="00DA34BF">
        <w:rPr>
          <w:rFonts w:ascii="Calibri" w:hAnsi="Calibri" w:cs="Calibri"/>
        </w:rPr>
        <w:t>1.</w:t>
      </w:r>
      <w:r w:rsidRPr="00DA34BF">
        <w:rPr>
          <w:rFonts w:ascii="Calibri" w:hAnsi="Calibri" w:cs="Calibri"/>
        </w:rPr>
        <w:tab/>
      </w:r>
      <w:proofErr w:type="spellStart"/>
      <w:r w:rsidRPr="00DA34BF">
        <w:rPr>
          <w:rFonts w:ascii="Calibri" w:hAnsi="Calibri" w:cs="Calibri"/>
        </w:rPr>
        <w:t>Blettner</w:t>
      </w:r>
      <w:proofErr w:type="spellEnd"/>
      <w:r w:rsidRPr="00DA34BF">
        <w:rPr>
          <w:rFonts w:ascii="Calibri" w:hAnsi="Calibri" w:cs="Calibri"/>
        </w:rPr>
        <w:t xml:space="preserve"> M, </w:t>
      </w:r>
      <w:proofErr w:type="spellStart"/>
      <w:r w:rsidRPr="00DA34BF">
        <w:rPr>
          <w:rFonts w:ascii="Calibri" w:hAnsi="Calibri" w:cs="Calibri"/>
        </w:rPr>
        <w:t>Sauerbrei</w:t>
      </w:r>
      <w:proofErr w:type="spellEnd"/>
      <w:r w:rsidRPr="00DA34BF">
        <w:rPr>
          <w:rFonts w:ascii="Calibri" w:hAnsi="Calibri" w:cs="Calibri"/>
        </w:rPr>
        <w:t xml:space="preserve"> W, </w:t>
      </w:r>
      <w:proofErr w:type="spellStart"/>
      <w:r w:rsidRPr="00DA34BF">
        <w:rPr>
          <w:rFonts w:ascii="Calibri" w:hAnsi="Calibri" w:cs="Calibri"/>
        </w:rPr>
        <w:t>Schlehofer</w:t>
      </w:r>
      <w:proofErr w:type="spellEnd"/>
      <w:r w:rsidRPr="00DA34BF">
        <w:rPr>
          <w:rFonts w:ascii="Calibri" w:hAnsi="Calibri" w:cs="Calibri"/>
        </w:rPr>
        <w:t xml:space="preserve"> B, </w:t>
      </w:r>
      <w:proofErr w:type="spellStart"/>
      <w:r w:rsidRPr="00DA34BF">
        <w:rPr>
          <w:rFonts w:ascii="Calibri" w:hAnsi="Calibri" w:cs="Calibri"/>
        </w:rPr>
        <w:t>Scheuchenpflug</w:t>
      </w:r>
      <w:proofErr w:type="spellEnd"/>
      <w:r w:rsidRPr="00DA34BF">
        <w:rPr>
          <w:rFonts w:ascii="Calibri" w:hAnsi="Calibri" w:cs="Calibri"/>
        </w:rPr>
        <w:t xml:space="preserve"> T, </w:t>
      </w:r>
      <w:proofErr w:type="spellStart"/>
      <w:r w:rsidRPr="00DA34BF">
        <w:rPr>
          <w:rFonts w:ascii="Calibri" w:hAnsi="Calibri" w:cs="Calibri"/>
        </w:rPr>
        <w:t>Friedenreich</w:t>
      </w:r>
      <w:proofErr w:type="spellEnd"/>
      <w:r w:rsidRPr="00DA34BF">
        <w:rPr>
          <w:rFonts w:ascii="Calibri" w:hAnsi="Calibri" w:cs="Calibri"/>
        </w:rPr>
        <w:t xml:space="preserve"> C. Traditional reviews, meta-analyses and pooled analyses in epidemiology. </w:t>
      </w:r>
      <w:proofErr w:type="spellStart"/>
      <w:r w:rsidRPr="006F3E30">
        <w:rPr>
          <w:rFonts w:ascii="Calibri" w:hAnsi="Calibri" w:cs="Calibri"/>
          <w:i/>
          <w:iCs/>
          <w:lang w:val="es-ES"/>
        </w:rPr>
        <w:t>Int</w:t>
      </w:r>
      <w:proofErr w:type="spellEnd"/>
      <w:r w:rsidRPr="006F3E30">
        <w:rPr>
          <w:rFonts w:ascii="Calibri" w:hAnsi="Calibri" w:cs="Calibri"/>
          <w:i/>
          <w:iCs/>
          <w:lang w:val="es-ES"/>
        </w:rPr>
        <w:t xml:space="preserve"> J </w:t>
      </w:r>
      <w:proofErr w:type="spellStart"/>
      <w:r w:rsidRPr="006F3E30">
        <w:rPr>
          <w:rFonts w:ascii="Calibri" w:hAnsi="Calibri" w:cs="Calibri"/>
          <w:i/>
          <w:iCs/>
          <w:lang w:val="es-ES"/>
        </w:rPr>
        <w:t>Epidemiol</w:t>
      </w:r>
      <w:proofErr w:type="spellEnd"/>
      <w:r w:rsidRPr="006F3E30">
        <w:rPr>
          <w:rFonts w:ascii="Calibri" w:hAnsi="Calibri" w:cs="Calibri"/>
          <w:lang w:val="es-ES"/>
        </w:rPr>
        <w:t>. 1999; 28(1), 1–9.</w:t>
      </w:r>
    </w:p>
    <w:p w:rsidR="00DA34BF" w:rsidRPr="006F3E30" w:rsidRDefault="00DA34BF" w:rsidP="00DA34BF">
      <w:pPr>
        <w:pStyle w:val="Bibliography"/>
        <w:ind w:left="360" w:hanging="360"/>
        <w:rPr>
          <w:rFonts w:ascii="Calibri" w:hAnsi="Calibri" w:cs="Calibri"/>
          <w:lang w:val="fr-CA"/>
        </w:rPr>
      </w:pPr>
      <w:r w:rsidRPr="006F3E30">
        <w:rPr>
          <w:rFonts w:ascii="Calibri" w:hAnsi="Calibri" w:cs="Calibri"/>
          <w:lang w:val="es-ES"/>
        </w:rPr>
        <w:t>2.</w:t>
      </w:r>
      <w:r w:rsidRPr="006F3E30">
        <w:rPr>
          <w:rFonts w:ascii="Calibri" w:hAnsi="Calibri" w:cs="Calibri"/>
          <w:lang w:val="es-ES"/>
        </w:rPr>
        <w:tab/>
        <w:t xml:space="preserve">Gaye A, </w:t>
      </w:r>
      <w:proofErr w:type="spellStart"/>
      <w:r w:rsidRPr="006F3E30">
        <w:rPr>
          <w:rFonts w:ascii="Calibri" w:hAnsi="Calibri" w:cs="Calibri"/>
          <w:lang w:val="es-ES"/>
        </w:rPr>
        <w:t>Marcon</w:t>
      </w:r>
      <w:proofErr w:type="spellEnd"/>
      <w:r w:rsidRPr="006F3E30">
        <w:rPr>
          <w:rFonts w:ascii="Calibri" w:hAnsi="Calibri" w:cs="Calibri"/>
          <w:lang w:val="es-ES"/>
        </w:rPr>
        <w:t xml:space="preserve"> Y, </w:t>
      </w:r>
      <w:proofErr w:type="spellStart"/>
      <w:r w:rsidRPr="006F3E30">
        <w:rPr>
          <w:rFonts w:ascii="Calibri" w:hAnsi="Calibri" w:cs="Calibri"/>
          <w:lang w:val="es-ES"/>
        </w:rPr>
        <w:t>Isaeva</w:t>
      </w:r>
      <w:proofErr w:type="spellEnd"/>
      <w:r w:rsidRPr="006F3E30">
        <w:rPr>
          <w:rFonts w:ascii="Calibri" w:hAnsi="Calibri" w:cs="Calibri"/>
          <w:lang w:val="es-ES"/>
        </w:rPr>
        <w:t xml:space="preserve"> J, </w:t>
      </w:r>
      <w:r w:rsidRPr="006F3E30">
        <w:rPr>
          <w:rFonts w:ascii="Calibri" w:hAnsi="Calibri" w:cs="Calibri"/>
          <w:i/>
          <w:iCs/>
          <w:lang w:val="es-ES"/>
        </w:rPr>
        <w:t>et al.</w:t>
      </w:r>
      <w:r w:rsidRPr="006F3E30">
        <w:rPr>
          <w:rFonts w:ascii="Calibri" w:hAnsi="Calibri" w:cs="Calibri"/>
          <w:lang w:val="es-ES"/>
        </w:rPr>
        <w:t xml:space="preserve"> </w:t>
      </w:r>
      <w:proofErr w:type="spellStart"/>
      <w:r w:rsidRPr="00DA34BF">
        <w:rPr>
          <w:rFonts w:ascii="Calibri" w:hAnsi="Calibri" w:cs="Calibri"/>
        </w:rPr>
        <w:t>DataSHIELD</w:t>
      </w:r>
      <w:proofErr w:type="spellEnd"/>
      <w:r w:rsidRPr="00DA34BF">
        <w:rPr>
          <w:rFonts w:ascii="Calibri" w:hAnsi="Calibri" w:cs="Calibri"/>
        </w:rPr>
        <w:t xml:space="preserve">: taking the analysis to the data, not the data to the analysis. </w:t>
      </w:r>
      <w:r w:rsidRPr="006F3E30">
        <w:rPr>
          <w:rFonts w:ascii="Calibri" w:hAnsi="Calibri" w:cs="Calibri"/>
          <w:i/>
          <w:iCs/>
          <w:lang w:val="fr-CA"/>
        </w:rPr>
        <w:t xml:space="preserve">Int J </w:t>
      </w:r>
      <w:proofErr w:type="spellStart"/>
      <w:r w:rsidRPr="006F3E30">
        <w:rPr>
          <w:rFonts w:ascii="Calibri" w:hAnsi="Calibri" w:cs="Calibri"/>
          <w:i/>
          <w:iCs/>
          <w:lang w:val="fr-CA"/>
        </w:rPr>
        <w:t>Epidemiol</w:t>
      </w:r>
      <w:proofErr w:type="spellEnd"/>
      <w:r w:rsidRPr="006F3E30">
        <w:rPr>
          <w:rFonts w:ascii="Calibri" w:hAnsi="Calibri" w:cs="Calibri"/>
          <w:lang w:val="fr-CA"/>
        </w:rPr>
        <w:t>. 2014; 43(6), 1929–44.</w:t>
      </w:r>
    </w:p>
    <w:p w:rsidR="00DA34BF" w:rsidRPr="00DA34BF" w:rsidRDefault="00DA34BF" w:rsidP="00DA34BF">
      <w:pPr>
        <w:pStyle w:val="Bibliography"/>
        <w:ind w:left="360" w:hanging="360"/>
        <w:rPr>
          <w:rFonts w:ascii="Calibri" w:hAnsi="Calibri" w:cs="Calibri"/>
        </w:rPr>
      </w:pPr>
      <w:r w:rsidRPr="006F3E30">
        <w:rPr>
          <w:rFonts w:ascii="Calibri" w:hAnsi="Calibri" w:cs="Calibri"/>
          <w:lang w:val="fr-CA"/>
        </w:rPr>
        <w:t>3.</w:t>
      </w:r>
      <w:r w:rsidRPr="006F3E30">
        <w:rPr>
          <w:rFonts w:ascii="Calibri" w:hAnsi="Calibri" w:cs="Calibri"/>
          <w:lang w:val="fr-CA"/>
        </w:rPr>
        <w:tab/>
        <w:t xml:space="preserve">Carter KW, Francis RW, Carter K, </w:t>
      </w:r>
      <w:r w:rsidRPr="006F3E30">
        <w:rPr>
          <w:rFonts w:ascii="Calibri" w:hAnsi="Calibri" w:cs="Calibri"/>
          <w:i/>
          <w:iCs/>
          <w:lang w:val="fr-CA"/>
        </w:rPr>
        <w:t>et al.</w:t>
      </w:r>
      <w:r w:rsidRPr="006F3E30">
        <w:rPr>
          <w:rFonts w:ascii="Calibri" w:hAnsi="Calibri" w:cs="Calibri"/>
          <w:lang w:val="fr-CA"/>
        </w:rPr>
        <w:t xml:space="preserve"> </w:t>
      </w:r>
      <w:proofErr w:type="spellStart"/>
      <w:r w:rsidRPr="00DA34BF">
        <w:rPr>
          <w:rFonts w:ascii="Calibri" w:hAnsi="Calibri" w:cs="Calibri"/>
        </w:rPr>
        <w:t>ViPAR</w:t>
      </w:r>
      <w:proofErr w:type="spellEnd"/>
      <w:r w:rsidRPr="00DA34BF">
        <w:rPr>
          <w:rFonts w:ascii="Calibri" w:hAnsi="Calibri" w:cs="Calibri"/>
        </w:rPr>
        <w:t xml:space="preserve">: a software platform for the Virtual Pooling and Analysis of Research Data. </w:t>
      </w:r>
      <w:r w:rsidRPr="00DA34BF">
        <w:rPr>
          <w:rFonts w:ascii="Calibri" w:hAnsi="Calibri" w:cs="Calibri"/>
          <w:i/>
          <w:iCs/>
        </w:rPr>
        <w:t>Int J Epidemiol</w:t>
      </w:r>
      <w:r w:rsidRPr="00DA34BF">
        <w:rPr>
          <w:rFonts w:ascii="Calibri" w:hAnsi="Calibri" w:cs="Calibri"/>
        </w:rPr>
        <w:t>. 2016; 45(2), 408–16.</w:t>
      </w:r>
    </w:p>
    <w:p w:rsidR="00DA34BF" w:rsidRPr="00DA34BF" w:rsidRDefault="00DA34BF" w:rsidP="00DA34BF">
      <w:pPr>
        <w:pStyle w:val="Bibliography"/>
        <w:ind w:left="360" w:hanging="360"/>
        <w:rPr>
          <w:rFonts w:ascii="Calibri" w:hAnsi="Calibri" w:cs="Calibri"/>
        </w:rPr>
      </w:pPr>
      <w:r w:rsidRPr="00DA34BF">
        <w:rPr>
          <w:rFonts w:ascii="Calibri" w:hAnsi="Calibri" w:cs="Calibri"/>
        </w:rPr>
        <w:t>4.</w:t>
      </w:r>
      <w:r w:rsidRPr="00DA34BF">
        <w:rPr>
          <w:rFonts w:ascii="Calibri" w:hAnsi="Calibri" w:cs="Calibri"/>
        </w:rPr>
        <w:tab/>
        <w:t xml:space="preserve">Riley RD, Lambert PC, Abo-Zaid G. Meta-analysis of individual participant data: rationale, conduct, and reporting. </w:t>
      </w:r>
      <w:r w:rsidRPr="00DA34BF">
        <w:rPr>
          <w:rFonts w:ascii="Calibri" w:hAnsi="Calibri" w:cs="Calibri"/>
          <w:i/>
          <w:iCs/>
        </w:rPr>
        <w:t>BMJ</w:t>
      </w:r>
      <w:r w:rsidRPr="00DA34BF">
        <w:rPr>
          <w:rFonts w:ascii="Calibri" w:hAnsi="Calibri" w:cs="Calibri"/>
        </w:rPr>
        <w:t>. 2010; 340, c221.</w:t>
      </w:r>
    </w:p>
    <w:p w:rsidR="00DA34BF" w:rsidRPr="00DA34BF" w:rsidRDefault="00DA34BF" w:rsidP="00DA34BF">
      <w:pPr>
        <w:pStyle w:val="Bibliography"/>
        <w:ind w:left="360" w:hanging="360"/>
        <w:rPr>
          <w:rFonts w:ascii="Calibri" w:hAnsi="Calibri" w:cs="Calibri"/>
        </w:rPr>
      </w:pPr>
      <w:r w:rsidRPr="00DA34BF">
        <w:rPr>
          <w:rFonts w:ascii="Calibri" w:hAnsi="Calibri" w:cs="Calibri"/>
        </w:rPr>
        <w:t>5.</w:t>
      </w:r>
      <w:r w:rsidRPr="00DA34BF">
        <w:rPr>
          <w:rFonts w:ascii="Calibri" w:hAnsi="Calibri" w:cs="Calibri"/>
        </w:rPr>
        <w:tab/>
        <w:t xml:space="preserve">Armitage P, Berry G, Matthews JNS. </w:t>
      </w:r>
      <w:r w:rsidRPr="00DA34BF">
        <w:rPr>
          <w:rFonts w:ascii="Calibri" w:hAnsi="Calibri" w:cs="Calibri"/>
          <w:i/>
          <w:iCs/>
        </w:rPr>
        <w:t>Statistical methods in medical research</w:t>
      </w:r>
      <w:r w:rsidRPr="00DA34BF">
        <w:rPr>
          <w:rFonts w:ascii="Calibri" w:hAnsi="Calibri" w:cs="Calibri"/>
        </w:rPr>
        <w:t>. 4th ed. Oxford, UK, Blackwell Science Ltd., 2002.</w:t>
      </w:r>
    </w:p>
    <w:p w:rsidR="00DA34BF" w:rsidRPr="00DA34BF" w:rsidRDefault="00DA34BF" w:rsidP="00DA34BF">
      <w:pPr>
        <w:pStyle w:val="Bibliography"/>
        <w:ind w:left="360" w:hanging="360"/>
        <w:rPr>
          <w:rFonts w:ascii="Calibri" w:hAnsi="Calibri" w:cs="Calibri"/>
        </w:rPr>
      </w:pPr>
      <w:r w:rsidRPr="00DA34BF">
        <w:rPr>
          <w:rFonts w:ascii="Calibri" w:hAnsi="Calibri" w:cs="Calibri"/>
        </w:rPr>
        <w:t>6.</w:t>
      </w:r>
      <w:r w:rsidRPr="00DA34BF">
        <w:rPr>
          <w:rFonts w:ascii="Calibri" w:hAnsi="Calibri" w:cs="Calibri"/>
        </w:rPr>
        <w:tab/>
        <w:t xml:space="preserve">Ford DV, Jones KH, </w:t>
      </w:r>
      <w:proofErr w:type="spellStart"/>
      <w:r w:rsidRPr="00DA34BF">
        <w:rPr>
          <w:rFonts w:ascii="Calibri" w:hAnsi="Calibri" w:cs="Calibri"/>
        </w:rPr>
        <w:t>Verplancke</w:t>
      </w:r>
      <w:proofErr w:type="spellEnd"/>
      <w:r w:rsidRPr="00DA34BF">
        <w:rPr>
          <w:rFonts w:ascii="Calibri" w:hAnsi="Calibri" w:cs="Calibri"/>
        </w:rPr>
        <w:t xml:space="preserve"> J-P, </w:t>
      </w:r>
      <w:r w:rsidRPr="00DA34BF">
        <w:rPr>
          <w:rFonts w:ascii="Calibri" w:hAnsi="Calibri" w:cs="Calibri"/>
          <w:i/>
          <w:iCs/>
        </w:rPr>
        <w:t>et al.</w:t>
      </w:r>
      <w:r w:rsidRPr="00DA34BF">
        <w:rPr>
          <w:rFonts w:ascii="Calibri" w:hAnsi="Calibri" w:cs="Calibri"/>
        </w:rPr>
        <w:t xml:space="preserve"> The SAIL Databank: building a national architecture for e-health research and evaluation. </w:t>
      </w:r>
      <w:r w:rsidRPr="00DA34BF">
        <w:rPr>
          <w:rFonts w:ascii="Calibri" w:hAnsi="Calibri" w:cs="Calibri"/>
          <w:i/>
          <w:iCs/>
        </w:rPr>
        <w:t>BMC Health Serv Res</w:t>
      </w:r>
      <w:r w:rsidRPr="00DA34BF">
        <w:rPr>
          <w:rFonts w:ascii="Calibri" w:hAnsi="Calibri" w:cs="Calibri"/>
        </w:rPr>
        <w:t>. 2009; 9(1), 157.</w:t>
      </w:r>
    </w:p>
    <w:p w:rsidR="00DA34BF" w:rsidRPr="00DA34BF" w:rsidRDefault="00DA34BF" w:rsidP="00DA34BF">
      <w:pPr>
        <w:pStyle w:val="Bibliography"/>
        <w:ind w:left="360" w:hanging="360"/>
        <w:rPr>
          <w:rFonts w:ascii="Calibri" w:hAnsi="Calibri" w:cs="Calibri"/>
        </w:rPr>
      </w:pPr>
      <w:r w:rsidRPr="00DA34BF">
        <w:rPr>
          <w:rFonts w:ascii="Calibri" w:hAnsi="Calibri" w:cs="Calibri"/>
        </w:rPr>
        <w:t>7.</w:t>
      </w:r>
      <w:r w:rsidRPr="00DA34BF">
        <w:rPr>
          <w:rFonts w:ascii="Calibri" w:hAnsi="Calibri" w:cs="Calibri"/>
        </w:rPr>
        <w:tab/>
        <w:t xml:space="preserve">Stewart GB, Altman DG, </w:t>
      </w:r>
      <w:proofErr w:type="spellStart"/>
      <w:r w:rsidRPr="00DA34BF">
        <w:rPr>
          <w:rFonts w:ascii="Calibri" w:hAnsi="Calibri" w:cs="Calibri"/>
        </w:rPr>
        <w:t>Askie</w:t>
      </w:r>
      <w:proofErr w:type="spellEnd"/>
      <w:r w:rsidRPr="00DA34BF">
        <w:rPr>
          <w:rFonts w:ascii="Calibri" w:hAnsi="Calibri" w:cs="Calibri"/>
        </w:rPr>
        <w:t xml:space="preserve"> LM, </w:t>
      </w:r>
      <w:proofErr w:type="spellStart"/>
      <w:r w:rsidRPr="00DA34BF">
        <w:rPr>
          <w:rFonts w:ascii="Calibri" w:hAnsi="Calibri" w:cs="Calibri"/>
        </w:rPr>
        <w:t>Duley</w:t>
      </w:r>
      <w:proofErr w:type="spellEnd"/>
      <w:r w:rsidRPr="00DA34BF">
        <w:rPr>
          <w:rFonts w:ascii="Calibri" w:hAnsi="Calibri" w:cs="Calibri"/>
        </w:rPr>
        <w:t xml:space="preserve"> L, Simmonds MC, Stewart LA. Statistical analysis of individual participant data meta-analyses: a comparison of methods and recommendations for practice. </w:t>
      </w:r>
      <w:proofErr w:type="spellStart"/>
      <w:r w:rsidRPr="00DA34BF">
        <w:rPr>
          <w:rFonts w:ascii="Calibri" w:hAnsi="Calibri" w:cs="Calibri"/>
          <w:i/>
          <w:iCs/>
        </w:rPr>
        <w:t>PLoS</w:t>
      </w:r>
      <w:proofErr w:type="spellEnd"/>
      <w:r w:rsidRPr="00DA34BF">
        <w:rPr>
          <w:rFonts w:ascii="Calibri" w:hAnsi="Calibri" w:cs="Calibri"/>
          <w:i/>
          <w:iCs/>
        </w:rPr>
        <w:t xml:space="preserve"> ONE</w:t>
      </w:r>
      <w:r w:rsidRPr="00DA34BF">
        <w:rPr>
          <w:rFonts w:ascii="Calibri" w:hAnsi="Calibri" w:cs="Calibri"/>
        </w:rPr>
        <w:t>. 2012; 7(10), e46042.</w:t>
      </w:r>
    </w:p>
    <w:p w:rsidR="00DA34BF" w:rsidRPr="006F3E30" w:rsidRDefault="00DA34BF" w:rsidP="00DA34BF">
      <w:pPr>
        <w:pStyle w:val="Bibliography"/>
        <w:ind w:left="360" w:hanging="360"/>
        <w:rPr>
          <w:rFonts w:ascii="Calibri" w:hAnsi="Calibri" w:cs="Calibri"/>
          <w:lang w:val="fr-CA"/>
        </w:rPr>
      </w:pPr>
      <w:r w:rsidRPr="00DA34BF">
        <w:rPr>
          <w:rFonts w:ascii="Calibri" w:hAnsi="Calibri" w:cs="Calibri"/>
        </w:rPr>
        <w:t>8.</w:t>
      </w:r>
      <w:r w:rsidRPr="00DA34BF">
        <w:rPr>
          <w:rFonts w:ascii="Calibri" w:hAnsi="Calibri" w:cs="Calibri"/>
        </w:rPr>
        <w:tab/>
        <w:t xml:space="preserve">Doiron D, Marcon Y, Fortier I, Burton P, </w:t>
      </w:r>
      <w:proofErr w:type="gramStart"/>
      <w:r w:rsidRPr="00DA34BF">
        <w:rPr>
          <w:rFonts w:ascii="Calibri" w:hAnsi="Calibri" w:cs="Calibri"/>
        </w:rPr>
        <w:t>Ferretti</w:t>
      </w:r>
      <w:proofErr w:type="gramEnd"/>
      <w:r w:rsidRPr="00DA34BF">
        <w:rPr>
          <w:rFonts w:ascii="Calibri" w:hAnsi="Calibri" w:cs="Calibri"/>
        </w:rPr>
        <w:t xml:space="preserve"> V. Software Application Profile: Opal and Mica: open-source software solutions for epidemiological data management, harmonization and dissemination. </w:t>
      </w:r>
      <w:r w:rsidRPr="006F3E30">
        <w:rPr>
          <w:rFonts w:ascii="Calibri" w:hAnsi="Calibri" w:cs="Calibri"/>
          <w:i/>
          <w:iCs/>
          <w:lang w:val="fr-CA"/>
        </w:rPr>
        <w:t xml:space="preserve">Int J </w:t>
      </w:r>
      <w:proofErr w:type="spellStart"/>
      <w:r w:rsidRPr="006F3E30">
        <w:rPr>
          <w:rFonts w:ascii="Calibri" w:hAnsi="Calibri" w:cs="Calibri"/>
          <w:i/>
          <w:iCs/>
          <w:lang w:val="fr-CA"/>
        </w:rPr>
        <w:t>Epidemiol</w:t>
      </w:r>
      <w:proofErr w:type="spellEnd"/>
      <w:r w:rsidRPr="006F3E30">
        <w:rPr>
          <w:rFonts w:ascii="Calibri" w:hAnsi="Calibri" w:cs="Calibri"/>
          <w:lang w:val="fr-CA"/>
        </w:rPr>
        <w:t>. 2017; 46(5), 1372–8.</w:t>
      </w:r>
    </w:p>
    <w:p w:rsidR="00DA34BF" w:rsidRPr="006F3E30" w:rsidRDefault="00DA34BF" w:rsidP="00DA34BF">
      <w:pPr>
        <w:pStyle w:val="Bibliography"/>
        <w:ind w:left="360" w:hanging="360"/>
        <w:rPr>
          <w:rFonts w:ascii="Calibri" w:hAnsi="Calibri" w:cs="Calibri"/>
          <w:lang w:val="fr-CA"/>
        </w:rPr>
      </w:pPr>
      <w:r w:rsidRPr="006F3E30">
        <w:rPr>
          <w:rFonts w:ascii="Calibri" w:hAnsi="Calibri" w:cs="Calibri"/>
          <w:lang w:val="fr-CA"/>
        </w:rPr>
        <w:t>9.</w:t>
      </w:r>
      <w:r w:rsidRPr="006F3E30">
        <w:rPr>
          <w:rFonts w:ascii="Calibri" w:hAnsi="Calibri" w:cs="Calibri"/>
          <w:lang w:val="fr-CA"/>
        </w:rPr>
        <w:tab/>
      </w:r>
      <w:proofErr w:type="spellStart"/>
      <w:r w:rsidRPr="006F3E30">
        <w:rPr>
          <w:rFonts w:ascii="Calibri" w:hAnsi="Calibri" w:cs="Calibri"/>
          <w:lang w:val="fr-CA"/>
        </w:rPr>
        <w:t>Wolfson</w:t>
      </w:r>
      <w:proofErr w:type="spellEnd"/>
      <w:r w:rsidRPr="006F3E30">
        <w:rPr>
          <w:rFonts w:ascii="Calibri" w:hAnsi="Calibri" w:cs="Calibri"/>
          <w:lang w:val="fr-CA"/>
        </w:rPr>
        <w:t xml:space="preserve"> M, Wallace SE, </w:t>
      </w:r>
      <w:proofErr w:type="spellStart"/>
      <w:r w:rsidRPr="006F3E30">
        <w:rPr>
          <w:rFonts w:ascii="Calibri" w:hAnsi="Calibri" w:cs="Calibri"/>
          <w:lang w:val="fr-CA"/>
        </w:rPr>
        <w:t>Masca</w:t>
      </w:r>
      <w:proofErr w:type="spellEnd"/>
      <w:r w:rsidRPr="006F3E30">
        <w:rPr>
          <w:rFonts w:ascii="Calibri" w:hAnsi="Calibri" w:cs="Calibri"/>
          <w:lang w:val="fr-CA"/>
        </w:rPr>
        <w:t xml:space="preserve"> N, </w:t>
      </w:r>
      <w:r w:rsidRPr="006F3E30">
        <w:rPr>
          <w:rFonts w:ascii="Calibri" w:hAnsi="Calibri" w:cs="Calibri"/>
          <w:i/>
          <w:iCs/>
          <w:lang w:val="fr-CA"/>
        </w:rPr>
        <w:t>et al.</w:t>
      </w:r>
      <w:r w:rsidRPr="006F3E30">
        <w:rPr>
          <w:rFonts w:ascii="Calibri" w:hAnsi="Calibri" w:cs="Calibri"/>
          <w:lang w:val="fr-CA"/>
        </w:rPr>
        <w:t xml:space="preserve"> </w:t>
      </w:r>
      <w:proofErr w:type="spellStart"/>
      <w:r w:rsidRPr="00DA34BF">
        <w:rPr>
          <w:rFonts w:ascii="Calibri" w:hAnsi="Calibri" w:cs="Calibri"/>
        </w:rPr>
        <w:t>DataSHIELD</w:t>
      </w:r>
      <w:proofErr w:type="spellEnd"/>
      <w:r w:rsidRPr="00DA34BF">
        <w:rPr>
          <w:rFonts w:ascii="Calibri" w:hAnsi="Calibri" w:cs="Calibri"/>
        </w:rPr>
        <w:t xml:space="preserve">: resolving a conflict in contemporary bioscience--performing a pooled analysis of individual-level data without sharing the data. </w:t>
      </w:r>
      <w:r w:rsidRPr="006F3E30">
        <w:rPr>
          <w:rFonts w:ascii="Calibri" w:hAnsi="Calibri" w:cs="Calibri"/>
          <w:i/>
          <w:iCs/>
          <w:lang w:val="fr-CA"/>
        </w:rPr>
        <w:t xml:space="preserve">Int J </w:t>
      </w:r>
      <w:proofErr w:type="spellStart"/>
      <w:r w:rsidRPr="006F3E30">
        <w:rPr>
          <w:rFonts w:ascii="Calibri" w:hAnsi="Calibri" w:cs="Calibri"/>
          <w:i/>
          <w:iCs/>
          <w:lang w:val="fr-CA"/>
        </w:rPr>
        <w:t>Epidemiol</w:t>
      </w:r>
      <w:proofErr w:type="spellEnd"/>
      <w:r w:rsidRPr="006F3E30">
        <w:rPr>
          <w:rFonts w:ascii="Calibri" w:hAnsi="Calibri" w:cs="Calibri"/>
          <w:lang w:val="fr-CA"/>
        </w:rPr>
        <w:t>. 2010; 39(5), 1372–82.</w:t>
      </w:r>
    </w:p>
    <w:p w:rsidR="00DA34BF" w:rsidRPr="00DA34BF" w:rsidRDefault="00DA34BF" w:rsidP="00DA34BF">
      <w:pPr>
        <w:pStyle w:val="Bibliography"/>
        <w:ind w:left="360" w:hanging="360"/>
        <w:rPr>
          <w:rFonts w:ascii="Calibri" w:hAnsi="Calibri" w:cs="Calibri"/>
        </w:rPr>
      </w:pPr>
      <w:r w:rsidRPr="006F3E30">
        <w:rPr>
          <w:rFonts w:ascii="Calibri" w:hAnsi="Calibri" w:cs="Calibri"/>
          <w:lang w:val="fr-CA"/>
        </w:rPr>
        <w:lastRenderedPageBreak/>
        <w:t>10.</w:t>
      </w:r>
      <w:r w:rsidRPr="006F3E30">
        <w:rPr>
          <w:rFonts w:ascii="Calibri" w:hAnsi="Calibri" w:cs="Calibri"/>
          <w:lang w:val="fr-CA"/>
        </w:rPr>
        <w:tab/>
        <w:t xml:space="preserve">Marcon Y, Bishop T, </w:t>
      </w:r>
      <w:proofErr w:type="spellStart"/>
      <w:r w:rsidRPr="006F3E30">
        <w:rPr>
          <w:rFonts w:ascii="Calibri" w:hAnsi="Calibri" w:cs="Calibri"/>
          <w:lang w:val="fr-CA"/>
        </w:rPr>
        <w:t>Avraam</w:t>
      </w:r>
      <w:proofErr w:type="spellEnd"/>
      <w:r w:rsidRPr="006F3E30">
        <w:rPr>
          <w:rFonts w:ascii="Calibri" w:hAnsi="Calibri" w:cs="Calibri"/>
          <w:lang w:val="fr-CA"/>
        </w:rPr>
        <w:t xml:space="preserve"> D, </w:t>
      </w:r>
      <w:r w:rsidRPr="006F3E30">
        <w:rPr>
          <w:rFonts w:ascii="Calibri" w:hAnsi="Calibri" w:cs="Calibri"/>
          <w:i/>
          <w:iCs/>
          <w:lang w:val="fr-CA"/>
        </w:rPr>
        <w:t>et al.</w:t>
      </w:r>
      <w:r w:rsidRPr="006F3E30">
        <w:rPr>
          <w:rFonts w:ascii="Calibri" w:hAnsi="Calibri" w:cs="Calibri"/>
          <w:lang w:val="fr-CA"/>
        </w:rPr>
        <w:t xml:space="preserve"> </w:t>
      </w:r>
      <w:r w:rsidRPr="00DA34BF">
        <w:rPr>
          <w:rFonts w:ascii="Calibri" w:hAnsi="Calibri" w:cs="Calibri"/>
        </w:rPr>
        <w:t xml:space="preserve">Orchestrating privacy-protected big data analyses of data from different resources with R and </w:t>
      </w:r>
      <w:proofErr w:type="spellStart"/>
      <w:r w:rsidRPr="00DA34BF">
        <w:rPr>
          <w:rFonts w:ascii="Calibri" w:hAnsi="Calibri" w:cs="Calibri"/>
        </w:rPr>
        <w:t>DataSHIELD</w:t>
      </w:r>
      <w:proofErr w:type="spellEnd"/>
      <w:r w:rsidRPr="00DA34BF">
        <w:rPr>
          <w:rFonts w:ascii="Calibri" w:hAnsi="Calibri" w:cs="Calibri"/>
        </w:rPr>
        <w:t xml:space="preserve">. </w:t>
      </w:r>
      <w:r w:rsidRPr="00DA34BF">
        <w:rPr>
          <w:rFonts w:ascii="Calibri" w:hAnsi="Calibri" w:cs="Calibri"/>
          <w:i/>
          <w:iCs/>
        </w:rPr>
        <w:t xml:space="preserve">PLOS </w:t>
      </w:r>
      <w:proofErr w:type="spellStart"/>
      <w:r w:rsidRPr="00DA34BF">
        <w:rPr>
          <w:rFonts w:ascii="Calibri" w:hAnsi="Calibri" w:cs="Calibri"/>
          <w:i/>
          <w:iCs/>
        </w:rPr>
        <w:t>Comput</w:t>
      </w:r>
      <w:proofErr w:type="spellEnd"/>
      <w:r w:rsidRPr="00DA34BF">
        <w:rPr>
          <w:rFonts w:ascii="Calibri" w:hAnsi="Calibri" w:cs="Calibri"/>
          <w:i/>
          <w:iCs/>
        </w:rPr>
        <w:t xml:space="preserve"> Biol</w:t>
      </w:r>
      <w:r w:rsidRPr="00DA34BF">
        <w:rPr>
          <w:rFonts w:ascii="Calibri" w:hAnsi="Calibri" w:cs="Calibri"/>
        </w:rPr>
        <w:t>. 2021; 17(3), e1008880.</w:t>
      </w:r>
    </w:p>
    <w:p w:rsidR="00DA34BF" w:rsidRPr="00DA34BF" w:rsidRDefault="00DA34BF" w:rsidP="00DA34BF">
      <w:pPr>
        <w:pStyle w:val="Bibliography"/>
        <w:ind w:left="360" w:hanging="360"/>
        <w:rPr>
          <w:rFonts w:ascii="Calibri" w:hAnsi="Calibri" w:cs="Calibri"/>
        </w:rPr>
      </w:pPr>
      <w:r w:rsidRPr="00DA34BF">
        <w:rPr>
          <w:rFonts w:ascii="Calibri" w:hAnsi="Calibri" w:cs="Calibri"/>
        </w:rPr>
        <w:t>11.</w:t>
      </w:r>
      <w:r w:rsidRPr="00DA34BF">
        <w:rPr>
          <w:rFonts w:ascii="Calibri" w:hAnsi="Calibri" w:cs="Calibri"/>
        </w:rPr>
        <w:tab/>
        <w:t xml:space="preserve">R Core Team. </w:t>
      </w:r>
      <w:r w:rsidRPr="00DA34BF">
        <w:rPr>
          <w:rFonts w:ascii="Calibri" w:hAnsi="Calibri" w:cs="Calibri"/>
          <w:i/>
          <w:iCs/>
        </w:rPr>
        <w:t>R: A language and environment for statistical computing</w:t>
      </w:r>
      <w:r w:rsidRPr="00DA34BF">
        <w:rPr>
          <w:rFonts w:ascii="Calibri" w:hAnsi="Calibri" w:cs="Calibri"/>
        </w:rPr>
        <w:t>. Vienna, Austria, R Foundation for Statistical Computing, 2019.</w:t>
      </w:r>
    </w:p>
    <w:p w:rsidR="00DA34BF" w:rsidRPr="00DA34BF" w:rsidRDefault="00DA34BF" w:rsidP="00DA34BF">
      <w:pPr>
        <w:pStyle w:val="Bibliography"/>
        <w:ind w:left="360" w:hanging="360"/>
        <w:rPr>
          <w:rFonts w:ascii="Calibri" w:hAnsi="Calibri" w:cs="Calibri"/>
        </w:rPr>
      </w:pPr>
      <w:r w:rsidRPr="00DA34BF">
        <w:rPr>
          <w:rFonts w:ascii="Calibri" w:hAnsi="Calibri" w:cs="Calibri"/>
        </w:rPr>
        <w:t>12.</w:t>
      </w:r>
      <w:r w:rsidRPr="00DA34BF">
        <w:rPr>
          <w:rFonts w:ascii="Calibri" w:hAnsi="Calibri" w:cs="Calibri"/>
        </w:rPr>
        <w:tab/>
        <w:t xml:space="preserve">Di </w:t>
      </w:r>
      <w:proofErr w:type="spellStart"/>
      <w:r w:rsidRPr="00DA34BF">
        <w:rPr>
          <w:rFonts w:ascii="Calibri" w:hAnsi="Calibri" w:cs="Calibri"/>
        </w:rPr>
        <w:t>Iorio</w:t>
      </w:r>
      <w:proofErr w:type="spellEnd"/>
      <w:r w:rsidRPr="00DA34BF">
        <w:rPr>
          <w:rFonts w:ascii="Calibri" w:hAnsi="Calibri" w:cs="Calibri"/>
        </w:rPr>
        <w:t xml:space="preserve"> CT, </w:t>
      </w:r>
      <w:proofErr w:type="spellStart"/>
      <w:r w:rsidRPr="00DA34BF">
        <w:rPr>
          <w:rFonts w:ascii="Calibri" w:hAnsi="Calibri" w:cs="Calibri"/>
        </w:rPr>
        <w:t>Carinci</w:t>
      </w:r>
      <w:proofErr w:type="spellEnd"/>
      <w:r w:rsidRPr="00DA34BF">
        <w:rPr>
          <w:rFonts w:ascii="Calibri" w:hAnsi="Calibri" w:cs="Calibri"/>
        </w:rPr>
        <w:t xml:space="preserve"> F, Brillante M, </w:t>
      </w:r>
      <w:r w:rsidRPr="00DA34BF">
        <w:rPr>
          <w:rFonts w:ascii="Calibri" w:hAnsi="Calibri" w:cs="Calibri"/>
          <w:i/>
          <w:iCs/>
        </w:rPr>
        <w:t>et al.</w:t>
      </w:r>
      <w:r w:rsidRPr="00DA34BF">
        <w:rPr>
          <w:rFonts w:ascii="Calibri" w:hAnsi="Calibri" w:cs="Calibri"/>
        </w:rPr>
        <w:t xml:space="preserve"> Cross-border flow of health information: is ‘privacy by design’ enough? Privacy performance assessment in EUBIROD. </w:t>
      </w:r>
      <w:proofErr w:type="spellStart"/>
      <w:r w:rsidRPr="00DA34BF">
        <w:rPr>
          <w:rFonts w:ascii="Calibri" w:hAnsi="Calibri" w:cs="Calibri"/>
          <w:i/>
          <w:iCs/>
        </w:rPr>
        <w:t>Eur</w:t>
      </w:r>
      <w:proofErr w:type="spellEnd"/>
      <w:r w:rsidRPr="00DA34BF">
        <w:rPr>
          <w:rFonts w:ascii="Calibri" w:hAnsi="Calibri" w:cs="Calibri"/>
          <w:i/>
          <w:iCs/>
        </w:rPr>
        <w:t xml:space="preserve"> J Public Health</w:t>
      </w:r>
      <w:r w:rsidRPr="00DA34BF">
        <w:rPr>
          <w:rFonts w:ascii="Calibri" w:hAnsi="Calibri" w:cs="Calibri"/>
        </w:rPr>
        <w:t>. 2013; 23(2), 247–53.</w:t>
      </w:r>
    </w:p>
    <w:p w:rsidR="00DA34BF" w:rsidRPr="00DA34BF" w:rsidRDefault="00DA34BF" w:rsidP="00DA34BF">
      <w:pPr>
        <w:pStyle w:val="Bibliography"/>
        <w:ind w:left="360" w:hanging="360"/>
        <w:rPr>
          <w:rFonts w:ascii="Calibri" w:hAnsi="Calibri" w:cs="Calibri"/>
        </w:rPr>
      </w:pPr>
      <w:r w:rsidRPr="00DA34BF">
        <w:rPr>
          <w:rFonts w:ascii="Calibri" w:hAnsi="Calibri" w:cs="Calibri"/>
        </w:rPr>
        <w:t>13.</w:t>
      </w:r>
      <w:r w:rsidRPr="00DA34BF">
        <w:rPr>
          <w:rFonts w:ascii="Calibri" w:hAnsi="Calibri" w:cs="Calibri"/>
        </w:rPr>
        <w:tab/>
      </w:r>
      <w:proofErr w:type="spellStart"/>
      <w:r w:rsidRPr="00DA34BF">
        <w:rPr>
          <w:rFonts w:ascii="Calibri" w:hAnsi="Calibri" w:cs="Calibri"/>
        </w:rPr>
        <w:t>Beyan</w:t>
      </w:r>
      <w:proofErr w:type="spellEnd"/>
      <w:r w:rsidRPr="00DA34BF">
        <w:rPr>
          <w:rFonts w:ascii="Calibri" w:hAnsi="Calibri" w:cs="Calibri"/>
        </w:rPr>
        <w:t xml:space="preserve"> O, </w:t>
      </w:r>
      <w:proofErr w:type="spellStart"/>
      <w:r w:rsidRPr="00DA34BF">
        <w:rPr>
          <w:rFonts w:ascii="Calibri" w:hAnsi="Calibri" w:cs="Calibri"/>
        </w:rPr>
        <w:t>Choudhury</w:t>
      </w:r>
      <w:proofErr w:type="spellEnd"/>
      <w:r w:rsidRPr="00DA34BF">
        <w:rPr>
          <w:rFonts w:ascii="Calibri" w:hAnsi="Calibri" w:cs="Calibri"/>
        </w:rPr>
        <w:t xml:space="preserve"> A, van </w:t>
      </w:r>
      <w:proofErr w:type="spellStart"/>
      <w:r w:rsidRPr="00DA34BF">
        <w:rPr>
          <w:rFonts w:ascii="Calibri" w:hAnsi="Calibri" w:cs="Calibri"/>
        </w:rPr>
        <w:t>Soest</w:t>
      </w:r>
      <w:proofErr w:type="spellEnd"/>
      <w:r w:rsidRPr="00DA34BF">
        <w:rPr>
          <w:rFonts w:ascii="Calibri" w:hAnsi="Calibri" w:cs="Calibri"/>
        </w:rPr>
        <w:t xml:space="preserve"> J, </w:t>
      </w:r>
      <w:r w:rsidRPr="00DA34BF">
        <w:rPr>
          <w:rFonts w:ascii="Calibri" w:hAnsi="Calibri" w:cs="Calibri"/>
          <w:i/>
          <w:iCs/>
        </w:rPr>
        <w:t>et al.</w:t>
      </w:r>
      <w:r w:rsidRPr="00DA34BF">
        <w:rPr>
          <w:rFonts w:ascii="Calibri" w:hAnsi="Calibri" w:cs="Calibri"/>
        </w:rPr>
        <w:t xml:space="preserve"> Distributed analytics on sensitive medical data: the personal health train. </w:t>
      </w:r>
      <w:r w:rsidRPr="00DA34BF">
        <w:rPr>
          <w:rFonts w:ascii="Calibri" w:hAnsi="Calibri" w:cs="Calibri"/>
          <w:i/>
          <w:iCs/>
        </w:rPr>
        <w:t xml:space="preserve">Data </w:t>
      </w:r>
      <w:proofErr w:type="spellStart"/>
      <w:r w:rsidRPr="00DA34BF">
        <w:rPr>
          <w:rFonts w:ascii="Calibri" w:hAnsi="Calibri" w:cs="Calibri"/>
          <w:i/>
          <w:iCs/>
        </w:rPr>
        <w:t>Intell</w:t>
      </w:r>
      <w:proofErr w:type="spellEnd"/>
      <w:r w:rsidRPr="00DA34BF">
        <w:rPr>
          <w:rFonts w:ascii="Calibri" w:hAnsi="Calibri" w:cs="Calibri"/>
        </w:rPr>
        <w:t>. 2020; 2(1–2), 96–107.</w:t>
      </w:r>
    </w:p>
    <w:p w:rsidR="00DA34BF" w:rsidRPr="00DA34BF" w:rsidRDefault="00DA34BF" w:rsidP="00DA34BF">
      <w:pPr>
        <w:pStyle w:val="Bibliography"/>
        <w:ind w:left="360" w:hanging="360"/>
        <w:rPr>
          <w:rFonts w:ascii="Calibri" w:hAnsi="Calibri" w:cs="Calibri"/>
        </w:rPr>
      </w:pPr>
      <w:r w:rsidRPr="00DA34BF">
        <w:rPr>
          <w:rFonts w:ascii="Calibri" w:hAnsi="Calibri" w:cs="Calibri"/>
        </w:rPr>
        <w:t>14.</w:t>
      </w:r>
      <w:r w:rsidRPr="00DA34BF">
        <w:rPr>
          <w:rFonts w:ascii="Calibri" w:hAnsi="Calibri" w:cs="Calibri"/>
        </w:rPr>
        <w:tab/>
        <w:t xml:space="preserve">Moncada-Torres A, Martin F, </w:t>
      </w:r>
      <w:proofErr w:type="spellStart"/>
      <w:r w:rsidRPr="00DA34BF">
        <w:rPr>
          <w:rFonts w:ascii="Calibri" w:hAnsi="Calibri" w:cs="Calibri"/>
        </w:rPr>
        <w:t>Sieswerda</w:t>
      </w:r>
      <w:proofErr w:type="spellEnd"/>
      <w:r w:rsidRPr="00DA34BF">
        <w:rPr>
          <w:rFonts w:ascii="Calibri" w:hAnsi="Calibri" w:cs="Calibri"/>
        </w:rPr>
        <w:t xml:space="preserve"> M, </w:t>
      </w:r>
      <w:proofErr w:type="gramStart"/>
      <w:r w:rsidRPr="00DA34BF">
        <w:rPr>
          <w:rFonts w:ascii="Calibri" w:hAnsi="Calibri" w:cs="Calibri"/>
        </w:rPr>
        <w:t>van</w:t>
      </w:r>
      <w:proofErr w:type="gramEnd"/>
      <w:r w:rsidRPr="00DA34BF">
        <w:rPr>
          <w:rFonts w:ascii="Calibri" w:hAnsi="Calibri" w:cs="Calibri"/>
        </w:rPr>
        <w:t xml:space="preserve"> </w:t>
      </w:r>
      <w:proofErr w:type="spellStart"/>
      <w:r w:rsidRPr="00DA34BF">
        <w:rPr>
          <w:rFonts w:ascii="Calibri" w:hAnsi="Calibri" w:cs="Calibri"/>
        </w:rPr>
        <w:t>Soest</w:t>
      </w:r>
      <w:proofErr w:type="spellEnd"/>
      <w:r w:rsidRPr="00DA34BF">
        <w:rPr>
          <w:rFonts w:ascii="Calibri" w:hAnsi="Calibri" w:cs="Calibri"/>
        </w:rPr>
        <w:t xml:space="preserve"> J, </w:t>
      </w:r>
      <w:proofErr w:type="spellStart"/>
      <w:r w:rsidRPr="00DA34BF">
        <w:rPr>
          <w:rFonts w:ascii="Calibri" w:hAnsi="Calibri" w:cs="Calibri"/>
        </w:rPr>
        <w:t>Geleijnse</w:t>
      </w:r>
      <w:proofErr w:type="spellEnd"/>
      <w:r w:rsidRPr="00DA34BF">
        <w:rPr>
          <w:rFonts w:ascii="Calibri" w:hAnsi="Calibri" w:cs="Calibri"/>
        </w:rPr>
        <w:t xml:space="preserve"> G. VANTAGE6: an open source </w:t>
      </w:r>
      <w:proofErr w:type="spellStart"/>
      <w:r w:rsidRPr="00DA34BF">
        <w:rPr>
          <w:rFonts w:ascii="Calibri" w:hAnsi="Calibri" w:cs="Calibri"/>
        </w:rPr>
        <w:t>priVAcy</w:t>
      </w:r>
      <w:proofErr w:type="spellEnd"/>
      <w:r w:rsidRPr="00DA34BF">
        <w:rPr>
          <w:rFonts w:ascii="Calibri" w:hAnsi="Calibri" w:cs="Calibri"/>
        </w:rPr>
        <w:t xml:space="preserve"> </w:t>
      </w:r>
      <w:proofErr w:type="spellStart"/>
      <w:r w:rsidRPr="00DA34BF">
        <w:rPr>
          <w:rFonts w:ascii="Calibri" w:hAnsi="Calibri" w:cs="Calibri"/>
        </w:rPr>
        <w:t>preserviNg</w:t>
      </w:r>
      <w:proofErr w:type="spellEnd"/>
      <w:r w:rsidRPr="00DA34BF">
        <w:rPr>
          <w:rFonts w:ascii="Calibri" w:hAnsi="Calibri" w:cs="Calibri"/>
        </w:rPr>
        <w:t xml:space="preserve"> </w:t>
      </w:r>
      <w:proofErr w:type="spellStart"/>
      <w:r w:rsidRPr="00DA34BF">
        <w:rPr>
          <w:rFonts w:ascii="Calibri" w:hAnsi="Calibri" w:cs="Calibri"/>
        </w:rPr>
        <w:t>federaTed</w:t>
      </w:r>
      <w:proofErr w:type="spellEnd"/>
      <w:r w:rsidRPr="00DA34BF">
        <w:rPr>
          <w:rFonts w:ascii="Calibri" w:hAnsi="Calibri" w:cs="Calibri"/>
        </w:rPr>
        <w:t xml:space="preserve"> </w:t>
      </w:r>
      <w:proofErr w:type="spellStart"/>
      <w:r w:rsidRPr="00DA34BF">
        <w:rPr>
          <w:rFonts w:ascii="Calibri" w:hAnsi="Calibri" w:cs="Calibri"/>
        </w:rPr>
        <w:t>leArninG</w:t>
      </w:r>
      <w:proofErr w:type="spellEnd"/>
      <w:r w:rsidRPr="00DA34BF">
        <w:rPr>
          <w:rFonts w:ascii="Calibri" w:hAnsi="Calibri" w:cs="Calibri"/>
        </w:rPr>
        <w:t xml:space="preserve"> </w:t>
      </w:r>
      <w:proofErr w:type="spellStart"/>
      <w:r w:rsidRPr="00DA34BF">
        <w:rPr>
          <w:rFonts w:ascii="Calibri" w:hAnsi="Calibri" w:cs="Calibri"/>
        </w:rPr>
        <w:t>infrastructurE</w:t>
      </w:r>
      <w:proofErr w:type="spellEnd"/>
      <w:r w:rsidRPr="00DA34BF">
        <w:rPr>
          <w:rFonts w:ascii="Calibri" w:hAnsi="Calibri" w:cs="Calibri"/>
        </w:rPr>
        <w:t xml:space="preserve"> for Secure Insight </w:t>
      </w:r>
      <w:proofErr w:type="spellStart"/>
      <w:r w:rsidRPr="00DA34BF">
        <w:rPr>
          <w:rFonts w:ascii="Calibri" w:hAnsi="Calibri" w:cs="Calibri"/>
        </w:rPr>
        <w:t>eXchange</w:t>
      </w:r>
      <w:proofErr w:type="spellEnd"/>
      <w:r w:rsidRPr="00DA34BF">
        <w:rPr>
          <w:rFonts w:ascii="Calibri" w:hAnsi="Calibri" w:cs="Calibri"/>
        </w:rPr>
        <w:t xml:space="preserve">. In: </w:t>
      </w:r>
      <w:r w:rsidRPr="00DA34BF">
        <w:rPr>
          <w:rFonts w:ascii="Calibri" w:hAnsi="Calibri" w:cs="Calibri"/>
          <w:i/>
          <w:iCs/>
        </w:rPr>
        <w:t xml:space="preserve">AMIA. </w:t>
      </w:r>
      <w:proofErr w:type="spellStart"/>
      <w:r w:rsidRPr="00DA34BF">
        <w:rPr>
          <w:rFonts w:ascii="Calibri" w:hAnsi="Calibri" w:cs="Calibri"/>
          <w:i/>
          <w:iCs/>
        </w:rPr>
        <w:t>Annu</w:t>
      </w:r>
      <w:proofErr w:type="spellEnd"/>
      <w:r w:rsidRPr="00DA34BF">
        <w:rPr>
          <w:rFonts w:ascii="Calibri" w:hAnsi="Calibri" w:cs="Calibri"/>
          <w:i/>
          <w:iCs/>
        </w:rPr>
        <w:t xml:space="preserve">. </w:t>
      </w:r>
      <w:proofErr w:type="spellStart"/>
      <w:r w:rsidRPr="00DA34BF">
        <w:rPr>
          <w:rFonts w:ascii="Calibri" w:hAnsi="Calibri" w:cs="Calibri"/>
          <w:i/>
          <w:iCs/>
        </w:rPr>
        <w:t>Symp</w:t>
      </w:r>
      <w:proofErr w:type="spellEnd"/>
      <w:r w:rsidRPr="00DA34BF">
        <w:rPr>
          <w:rFonts w:ascii="Calibri" w:hAnsi="Calibri" w:cs="Calibri"/>
          <w:i/>
          <w:iCs/>
        </w:rPr>
        <w:t>. Proc.</w:t>
      </w:r>
      <w:r w:rsidRPr="00DA34BF">
        <w:rPr>
          <w:rFonts w:ascii="Calibri" w:hAnsi="Calibri" w:cs="Calibri"/>
        </w:rPr>
        <w:t>, pp. 870–7. 2020.</w:t>
      </w:r>
    </w:p>
    <w:p w:rsidR="00DA34BF" w:rsidRPr="00DA34BF" w:rsidRDefault="00DA34BF" w:rsidP="00DA34BF">
      <w:pPr>
        <w:pStyle w:val="Bibliography"/>
        <w:ind w:left="360" w:hanging="360"/>
        <w:rPr>
          <w:rFonts w:ascii="Calibri" w:hAnsi="Calibri" w:cs="Calibri"/>
        </w:rPr>
      </w:pPr>
      <w:r w:rsidRPr="00DA34BF">
        <w:rPr>
          <w:rFonts w:ascii="Calibri" w:hAnsi="Calibri" w:cs="Calibri"/>
        </w:rPr>
        <w:t>15.</w:t>
      </w:r>
      <w:r w:rsidRPr="00DA34BF">
        <w:rPr>
          <w:rFonts w:ascii="Calibri" w:hAnsi="Calibri" w:cs="Calibri"/>
        </w:rPr>
        <w:tab/>
        <w:t xml:space="preserve">Forbes H, Morton CE, Bacon S, </w:t>
      </w:r>
      <w:r w:rsidRPr="00DA34BF">
        <w:rPr>
          <w:rFonts w:ascii="Calibri" w:hAnsi="Calibri" w:cs="Calibri"/>
          <w:i/>
          <w:iCs/>
        </w:rPr>
        <w:t>et al.</w:t>
      </w:r>
      <w:r w:rsidRPr="00DA34BF">
        <w:rPr>
          <w:rFonts w:ascii="Calibri" w:hAnsi="Calibri" w:cs="Calibri"/>
        </w:rPr>
        <w:t xml:space="preserve"> Association between living with children and outcomes from covid-19: </w:t>
      </w:r>
      <w:proofErr w:type="spellStart"/>
      <w:r w:rsidRPr="00DA34BF">
        <w:rPr>
          <w:rFonts w:ascii="Calibri" w:hAnsi="Calibri" w:cs="Calibri"/>
        </w:rPr>
        <w:t>OpenSAFELY</w:t>
      </w:r>
      <w:proofErr w:type="spellEnd"/>
      <w:r w:rsidRPr="00DA34BF">
        <w:rPr>
          <w:rFonts w:ascii="Calibri" w:hAnsi="Calibri" w:cs="Calibri"/>
        </w:rPr>
        <w:t xml:space="preserve"> cohort study of 12 million adults in England. </w:t>
      </w:r>
      <w:r w:rsidRPr="00DA34BF">
        <w:rPr>
          <w:rFonts w:ascii="Calibri" w:hAnsi="Calibri" w:cs="Calibri"/>
          <w:i/>
          <w:iCs/>
        </w:rPr>
        <w:t>BMJ</w:t>
      </w:r>
      <w:r w:rsidRPr="00DA34BF">
        <w:rPr>
          <w:rFonts w:ascii="Calibri" w:hAnsi="Calibri" w:cs="Calibri"/>
        </w:rPr>
        <w:t>. 2021; 372, n628.</w:t>
      </w:r>
    </w:p>
    <w:p w:rsidR="00DA34BF" w:rsidRPr="00DA34BF" w:rsidRDefault="00DA34BF" w:rsidP="00DA34BF">
      <w:pPr>
        <w:pStyle w:val="Bibliography"/>
        <w:ind w:left="360" w:hanging="360"/>
        <w:rPr>
          <w:rFonts w:ascii="Calibri" w:hAnsi="Calibri" w:cs="Calibri"/>
        </w:rPr>
      </w:pPr>
      <w:r w:rsidRPr="00DA34BF">
        <w:rPr>
          <w:rFonts w:ascii="Calibri" w:hAnsi="Calibri" w:cs="Calibri"/>
        </w:rPr>
        <w:t>16.</w:t>
      </w:r>
      <w:r w:rsidRPr="00DA34BF">
        <w:rPr>
          <w:rFonts w:ascii="Calibri" w:hAnsi="Calibri" w:cs="Calibri"/>
        </w:rPr>
        <w:tab/>
        <w:t xml:space="preserve">Jones EM, Sheehan NA, </w:t>
      </w:r>
      <w:proofErr w:type="spellStart"/>
      <w:r w:rsidRPr="00DA34BF">
        <w:rPr>
          <w:rFonts w:ascii="Calibri" w:hAnsi="Calibri" w:cs="Calibri"/>
        </w:rPr>
        <w:t>Masca</w:t>
      </w:r>
      <w:proofErr w:type="spellEnd"/>
      <w:r w:rsidRPr="00DA34BF">
        <w:rPr>
          <w:rFonts w:ascii="Calibri" w:hAnsi="Calibri" w:cs="Calibri"/>
        </w:rPr>
        <w:t xml:space="preserve"> N, Wallace SE, Murtagh MJ, Burton P. </w:t>
      </w:r>
      <w:proofErr w:type="spellStart"/>
      <w:r w:rsidRPr="00DA34BF">
        <w:rPr>
          <w:rFonts w:ascii="Calibri" w:hAnsi="Calibri" w:cs="Calibri"/>
        </w:rPr>
        <w:t>DataSHIELD</w:t>
      </w:r>
      <w:proofErr w:type="spellEnd"/>
      <w:r w:rsidRPr="00DA34BF">
        <w:rPr>
          <w:rFonts w:ascii="Calibri" w:hAnsi="Calibri" w:cs="Calibri"/>
        </w:rPr>
        <w:t xml:space="preserve"> -- shared individual-level analysis without sharing the data: a biostatistical perspective. </w:t>
      </w:r>
      <w:r w:rsidRPr="00DA34BF">
        <w:rPr>
          <w:rFonts w:ascii="Calibri" w:hAnsi="Calibri" w:cs="Calibri"/>
          <w:i/>
          <w:iCs/>
        </w:rPr>
        <w:t>Nor Epidemiol</w:t>
      </w:r>
      <w:r w:rsidRPr="00DA34BF">
        <w:rPr>
          <w:rFonts w:ascii="Calibri" w:hAnsi="Calibri" w:cs="Calibri"/>
        </w:rPr>
        <w:t>. 2012; 21(2), 231–9.</w:t>
      </w:r>
    </w:p>
    <w:p w:rsidR="00DA34BF" w:rsidRDefault="00DA34BF" w:rsidP="00AE2B95">
      <w:pPr>
        <w:spacing w:line="276" w:lineRule="auto"/>
        <w:rPr>
          <w:rFonts w:cstheme="minorHAnsi"/>
        </w:rPr>
      </w:pPr>
    </w:p>
    <w:p w:rsidR="00AE2B95" w:rsidRDefault="00AE2B95" w:rsidP="00AE2B95"/>
    <w:p w:rsidR="00AE2B95" w:rsidRDefault="00AE2B95" w:rsidP="00AE2B95">
      <w:pPr>
        <w:rPr>
          <w:b/>
          <w:bCs/>
        </w:rPr>
      </w:pPr>
      <w:r>
        <w:rPr>
          <w:b/>
          <w:bCs/>
        </w:rPr>
        <w:br w:type="page"/>
      </w:r>
    </w:p>
    <w:p w:rsidR="00F75FA5" w:rsidRPr="00072A72" w:rsidRDefault="00CD71BC" w:rsidP="00536D7E">
      <w:pPr>
        <w:rPr>
          <w:b/>
          <w:bCs/>
        </w:rPr>
      </w:pPr>
      <w:r w:rsidRPr="000B5975">
        <w:rPr>
          <w:b/>
          <w:bCs/>
        </w:rPr>
        <w:lastRenderedPageBreak/>
        <w:t xml:space="preserve">Supplementary </w:t>
      </w:r>
      <w:r w:rsidR="00D56110" w:rsidRPr="000B5975">
        <w:rPr>
          <w:b/>
          <w:bCs/>
        </w:rPr>
        <w:t xml:space="preserve">Material </w:t>
      </w:r>
      <w:r w:rsidR="00270978">
        <w:rPr>
          <w:b/>
          <w:bCs/>
        </w:rPr>
        <w:t>S4.</w:t>
      </w:r>
      <w:r w:rsidR="00F75FA5" w:rsidRPr="000B5975">
        <w:rPr>
          <w:b/>
          <w:bCs/>
        </w:rPr>
        <w:t xml:space="preserve"> </w:t>
      </w:r>
      <w:r w:rsidR="00072A72" w:rsidRPr="000B5975">
        <w:rPr>
          <w:b/>
          <w:bCs/>
        </w:rPr>
        <w:t>Assessment of</w:t>
      </w:r>
      <w:r w:rsidR="003D3BEA" w:rsidRPr="000B5975">
        <w:rPr>
          <w:b/>
          <w:bCs/>
        </w:rPr>
        <w:t xml:space="preserve"> input</w:t>
      </w:r>
      <w:r w:rsidR="00072A72" w:rsidRPr="000B5975">
        <w:rPr>
          <w:b/>
          <w:bCs/>
        </w:rPr>
        <w:t xml:space="preserve"> study-specific data</w:t>
      </w:r>
      <w:r w:rsidR="0072147A">
        <w:rPr>
          <w:b/>
          <w:bCs/>
        </w:rPr>
        <w:t xml:space="preserve"> </w:t>
      </w:r>
      <w:r w:rsidR="00786DB8" w:rsidRPr="000B5975">
        <w:rPr>
          <w:b/>
          <w:bCs/>
        </w:rPr>
        <w:t>sets</w:t>
      </w:r>
    </w:p>
    <w:p w:rsidR="00072A72" w:rsidRPr="00072A72" w:rsidRDefault="00072A72" w:rsidP="00072A72">
      <w:r w:rsidRPr="00072A72">
        <w:t>Before generat</w:t>
      </w:r>
      <w:r w:rsidR="00EF0531">
        <w:t>ing</w:t>
      </w:r>
      <w:r w:rsidRPr="00072A72">
        <w:t xml:space="preserve"> harmonized </w:t>
      </w:r>
      <w:r w:rsidR="009541EC">
        <w:t>data</w:t>
      </w:r>
      <w:r w:rsidRPr="00072A72">
        <w:t xml:space="preserve">, </w:t>
      </w:r>
      <w:r w:rsidR="00EF0531">
        <w:t xml:space="preserve">it is crucial to ensure </w:t>
      </w:r>
      <w:r w:rsidRPr="00072A72">
        <w:t xml:space="preserve">completeness and quality of </w:t>
      </w:r>
      <w:r w:rsidR="00544EF7">
        <w:t xml:space="preserve">the </w:t>
      </w:r>
      <w:r w:rsidR="009541EC">
        <w:t xml:space="preserve">input </w:t>
      </w:r>
      <w:r w:rsidR="00EF0531">
        <w:t>study-specific</w:t>
      </w:r>
      <w:r w:rsidRPr="00072A72">
        <w:t xml:space="preserve"> data</w:t>
      </w:r>
      <w:r w:rsidR="0072147A">
        <w:t xml:space="preserve"> </w:t>
      </w:r>
      <w:r w:rsidR="002C7688">
        <w:t>set (the data collected by the study)</w:t>
      </w:r>
      <w:r w:rsidRPr="00072A72">
        <w:t xml:space="preserve">. </w:t>
      </w:r>
      <w:r w:rsidR="00536D7E">
        <w:t xml:space="preserve">An example of </w:t>
      </w:r>
      <w:r w:rsidR="004B4919">
        <w:t>procedures</w:t>
      </w:r>
      <w:r w:rsidR="00E8124A">
        <w:t xml:space="preserve"> </w:t>
      </w:r>
      <w:r w:rsidR="00536D7E">
        <w:t>is provided below</w:t>
      </w:r>
      <w:r w:rsidR="00E8124A">
        <w:t>.</w:t>
      </w:r>
      <w:r w:rsidR="003C32B5">
        <w:t xml:space="preserve"> </w:t>
      </w:r>
    </w:p>
    <w:tbl>
      <w:tblPr>
        <w:tblW w:w="9776" w:type="dxa"/>
        <w:tblLook w:val="04A0"/>
      </w:tblPr>
      <w:tblGrid>
        <w:gridCol w:w="1207"/>
        <w:gridCol w:w="8569"/>
      </w:tblGrid>
      <w:tr w:rsidR="00F3632F" w:rsidRPr="00F3632F" w:rsidTr="009541EC">
        <w:trPr>
          <w:trHeight w:val="339"/>
        </w:trPr>
        <w:tc>
          <w:tcPr>
            <w:tcW w:w="9776" w:type="dxa"/>
            <w:gridSpan w:val="2"/>
            <w:tcBorders>
              <w:top w:val="single" w:sz="4" w:space="0" w:color="auto"/>
              <w:left w:val="single" w:sz="4" w:space="0" w:color="auto"/>
              <w:bottom w:val="nil"/>
              <w:right w:val="single" w:sz="4" w:space="0" w:color="000000"/>
            </w:tcBorders>
            <w:shd w:val="clear" w:color="000000" w:fill="D9E1F2"/>
            <w:noWrap/>
            <w:hideMark/>
          </w:tcPr>
          <w:p w:rsidR="00F3632F" w:rsidRPr="00F3632F" w:rsidRDefault="00F3632F" w:rsidP="00BB166F">
            <w:pPr>
              <w:spacing w:after="120" w:line="240" w:lineRule="auto"/>
              <w:rPr>
                <w:rFonts w:ascii="Calibri" w:eastAsia="Times New Roman" w:hAnsi="Calibri" w:cs="Calibri"/>
                <w:b/>
                <w:bCs/>
                <w:color w:val="000000"/>
              </w:rPr>
            </w:pPr>
            <w:r w:rsidRPr="00F3632F">
              <w:rPr>
                <w:rFonts w:ascii="Calibri" w:eastAsia="Times New Roman" w:hAnsi="Calibri" w:cs="Calibri"/>
                <w:b/>
                <w:bCs/>
                <w:color w:val="000000"/>
              </w:rPr>
              <w:t>Verify</w:t>
            </w:r>
            <w:r w:rsidR="00366775">
              <w:rPr>
                <w:rFonts w:ascii="Calibri" w:eastAsia="Times New Roman" w:hAnsi="Calibri" w:cs="Calibri"/>
                <w:b/>
                <w:bCs/>
                <w:color w:val="000000"/>
              </w:rPr>
              <w:t xml:space="preserve"> the</w:t>
            </w:r>
            <w:r w:rsidRPr="00F3632F">
              <w:rPr>
                <w:rFonts w:ascii="Calibri" w:eastAsia="Times New Roman" w:hAnsi="Calibri" w:cs="Calibri"/>
                <w:b/>
                <w:bCs/>
                <w:color w:val="000000"/>
              </w:rPr>
              <w:t xml:space="preserve"> data</w:t>
            </w:r>
            <w:r w:rsidR="0072147A">
              <w:rPr>
                <w:rFonts w:ascii="Calibri" w:eastAsia="Times New Roman" w:hAnsi="Calibri" w:cs="Calibri"/>
                <w:b/>
                <w:bCs/>
                <w:color w:val="000000"/>
              </w:rPr>
              <w:t xml:space="preserve"> </w:t>
            </w:r>
            <w:r w:rsidR="00553348">
              <w:rPr>
                <w:rFonts w:ascii="Calibri" w:eastAsia="Times New Roman" w:hAnsi="Calibri" w:cs="Calibri"/>
                <w:b/>
                <w:bCs/>
                <w:color w:val="000000"/>
              </w:rPr>
              <w:t>set</w:t>
            </w:r>
            <w:r w:rsidRPr="00F3632F">
              <w:rPr>
                <w:rFonts w:ascii="Calibri" w:eastAsia="Times New Roman" w:hAnsi="Calibri" w:cs="Calibri"/>
                <w:b/>
                <w:bCs/>
                <w:color w:val="000000"/>
              </w:rPr>
              <w:t xml:space="preserve"> format</w:t>
            </w:r>
          </w:p>
        </w:tc>
      </w:tr>
      <w:tr w:rsidR="00F3632F" w:rsidRPr="00F3632F" w:rsidTr="009541EC">
        <w:trPr>
          <w:trHeight w:val="288"/>
        </w:trPr>
        <w:tc>
          <w:tcPr>
            <w:tcW w:w="1207" w:type="dxa"/>
            <w:tcBorders>
              <w:top w:val="nil"/>
              <w:left w:val="single" w:sz="4" w:space="0" w:color="auto"/>
              <w:bottom w:val="nil"/>
              <w:right w:val="nil"/>
            </w:tcBorders>
            <w:shd w:val="clear" w:color="auto" w:fill="auto"/>
            <w:hideMark/>
          </w:tcPr>
          <w:p w:rsidR="00F3632F" w:rsidRPr="00F3632F" w:rsidRDefault="00F3632F" w:rsidP="00BB166F">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Procedure</w:t>
            </w:r>
            <w:r w:rsidR="00BF3F3F">
              <w:rPr>
                <w:rFonts w:ascii="Calibri" w:eastAsia="Times New Roman" w:hAnsi="Calibri" w:cs="Calibri"/>
                <w:i/>
                <w:iCs/>
                <w:color w:val="000000"/>
              </w:rPr>
              <w:t>s</w:t>
            </w:r>
          </w:p>
        </w:tc>
        <w:tc>
          <w:tcPr>
            <w:tcW w:w="8569" w:type="dxa"/>
            <w:tcBorders>
              <w:top w:val="nil"/>
              <w:left w:val="nil"/>
              <w:bottom w:val="nil"/>
              <w:right w:val="single" w:sz="4" w:space="0" w:color="auto"/>
            </w:tcBorders>
            <w:shd w:val="clear" w:color="auto" w:fill="auto"/>
            <w:hideMark/>
          </w:tcPr>
          <w:p w:rsidR="00F3632F" w:rsidRPr="00F3632F" w:rsidRDefault="00C949C6" w:rsidP="006D3B77">
            <w:pPr>
              <w:spacing w:after="120" w:line="240" w:lineRule="auto"/>
              <w:rPr>
                <w:rFonts w:ascii="Calibri" w:eastAsia="Times New Roman" w:hAnsi="Calibri" w:cs="Calibri"/>
                <w:color w:val="000000"/>
              </w:rPr>
            </w:pPr>
            <w:r>
              <w:rPr>
                <w:rFonts w:ascii="Calibri" w:eastAsia="Times New Roman" w:hAnsi="Calibri" w:cs="Calibri"/>
                <w:color w:val="000000"/>
              </w:rPr>
              <w:t>E</w:t>
            </w:r>
            <w:r w:rsidR="00F3632F" w:rsidRPr="00F3632F">
              <w:rPr>
                <w:rFonts w:ascii="Calibri" w:eastAsia="Times New Roman" w:hAnsi="Calibri" w:cs="Calibri"/>
                <w:color w:val="000000"/>
              </w:rPr>
              <w:t xml:space="preserve">nsure that the </w:t>
            </w:r>
            <w:r w:rsidR="004C2968">
              <w:rPr>
                <w:rFonts w:ascii="Calibri" w:eastAsia="Times New Roman" w:hAnsi="Calibri" w:cs="Calibri"/>
                <w:color w:val="000000"/>
              </w:rPr>
              <w:t xml:space="preserve">input </w:t>
            </w:r>
            <w:r w:rsidR="00F3632F" w:rsidRPr="00F3632F">
              <w:rPr>
                <w:rFonts w:ascii="Calibri" w:eastAsia="Times New Roman" w:hAnsi="Calibri" w:cs="Calibri"/>
                <w:color w:val="000000"/>
              </w:rPr>
              <w:t>study-specific data</w:t>
            </w:r>
            <w:r w:rsidR="0072147A">
              <w:rPr>
                <w:rFonts w:ascii="Calibri" w:eastAsia="Times New Roman" w:hAnsi="Calibri" w:cs="Calibri"/>
                <w:color w:val="000000"/>
              </w:rPr>
              <w:t xml:space="preserve"> </w:t>
            </w:r>
            <w:r w:rsidR="002C7688">
              <w:rPr>
                <w:rFonts w:ascii="Calibri" w:eastAsia="Times New Roman" w:hAnsi="Calibri" w:cs="Calibri"/>
                <w:color w:val="000000"/>
              </w:rPr>
              <w:t>set</w:t>
            </w:r>
            <w:r w:rsidR="00F3632F" w:rsidRPr="00F3632F">
              <w:rPr>
                <w:rFonts w:ascii="Calibri" w:eastAsia="Times New Roman" w:hAnsi="Calibri" w:cs="Calibri"/>
                <w:color w:val="000000"/>
              </w:rPr>
              <w:t xml:space="preserve"> </w:t>
            </w:r>
            <w:r w:rsidR="002C7688">
              <w:rPr>
                <w:rFonts w:ascii="Calibri" w:eastAsia="Times New Roman" w:hAnsi="Calibri" w:cs="Calibri"/>
                <w:color w:val="000000"/>
              </w:rPr>
              <w:t>is</w:t>
            </w:r>
            <w:r w:rsidR="00F3632F" w:rsidRPr="00F3632F">
              <w:rPr>
                <w:rFonts w:ascii="Calibri" w:eastAsia="Times New Roman" w:hAnsi="Calibri" w:cs="Calibri"/>
                <w:color w:val="000000"/>
              </w:rPr>
              <w:t xml:space="preserve"> in a format compatible</w:t>
            </w:r>
            <w:r w:rsidR="004C2968">
              <w:rPr>
                <w:rFonts w:ascii="Calibri" w:eastAsia="Times New Roman" w:hAnsi="Calibri" w:cs="Calibri"/>
                <w:color w:val="000000"/>
              </w:rPr>
              <w:t xml:space="preserve"> for processing</w:t>
            </w:r>
            <w:r w:rsidR="00F3632F" w:rsidRPr="00F3632F">
              <w:rPr>
                <w:rFonts w:ascii="Calibri" w:eastAsia="Times New Roman" w:hAnsi="Calibri" w:cs="Calibri"/>
                <w:color w:val="000000"/>
              </w:rPr>
              <w:t>.</w:t>
            </w:r>
          </w:p>
        </w:tc>
      </w:tr>
      <w:tr w:rsidR="00F3632F" w:rsidRPr="00F3632F" w:rsidTr="009541EC">
        <w:trPr>
          <w:trHeight w:val="576"/>
        </w:trPr>
        <w:tc>
          <w:tcPr>
            <w:tcW w:w="1207" w:type="dxa"/>
            <w:tcBorders>
              <w:top w:val="nil"/>
              <w:left w:val="single" w:sz="4" w:space="0" w:color="auto"/>
              <w:bottom w:val="nil"/>
              <w:right w:val="nil"/>
            </w:tcBorders>
            <w:shd w:val="clear" w:color="auto" w:fill="auto"/>
            <w:hideMark/>
          </w:tcPr>
          <w:p w:rsidR="00F3632F" w:rsidRPr="00F3632F" w:rsidRDefault="00F3632F" w:rsidP="00BB166F">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Example</w:t>
            </w:r>
          </w:p>
        </w:tc>
        <w:tc>
          <w:tcPr>
            <w:tcW w:w="8569" w:type="dxa"/>
            <w:tcBorders>
              <w:top w:val="nil"/>
              <w:left w:val="nil"/>
              <w:bottom w:val="nil"/>
              <w:right w:val="single" w:sz="4" w:space="0" w:color="auto"/>
            </w:tcBorders>
            <w:shd w:val="clear" w:color="auto" w:fill="auto"/>
            <w:hideMark/>
          </w:tcPr>
          <w:p w:rsidR="00F3632F" w:rsidRPr="00F3632F" w:rsidRDefault="002C7688" w:rsidP="006D3B77">
            <w:pPr>
              <w:spacing w:after="120" w:line="240" w:lineRule="auto"/>
              <w:rPr>
                <w:rFonts w:ascii="Calibri" w:eastAsia="Times New Roman" w:hAnsi="Calibri" w:cs="Calibri"/>
                <w:color w:val="000000"/>
              </w:rPr>
            </w:pPr>
            <w:r>
              <w:rPr>
                <w:rFonts w:ascii="Calibri" w:eastAsia="Times New Roman" w:hAnsi="Calibri" w:cs="Calibri"/>
                <w:color w:val="000000"/>
              </w:rPr>
              <w:t>The</w:t>
            </w:r>
            <w:r w:rsidR="004C2968">
              <w:rPr>
                <w:rFonts w:ascii="Calibri" w:eastAsia="Times New Roman" w:hAnsi="Calibri" w:cs="Calibri"/>
                <w:color w:val="000000"/>
              </w:rPr>
              <w:t xml:space="preserve"> input</w:t>
            </w:r>
            <w:r>
              <w:rPr>
                <w:rFonts w:ascii="Calibri" w:eastAsia="Times New Roman" w:hAnsi="Calibri" w:cs="Calibri"/>
                <w:color w:val="000000"/>
              </w:rPr>
              <w:t xml:space="preserve"> s</w:t>
            </w:r>
            <w:r w:rsidR="00F3632F" w:rsidRPr="00F3632F">
              <w:rPr>
                <w:rFonts w:ascii="Calibri" w:eastAsia="Times New Roman" w:hAnsi="Calibri" w:cs="Calibri"/>
                <w:color w:val="000000"/>
              </w:rPr>
              <w:t>tudy-specific data</w:t>
            </w:r>
            <w:r w:rsidR="0072147A">
              <w:rPr>
                <w:rFonts w:ascii="Calibri" w:eastAsia="Times New Roman" w:hAnsi="Calibri" w:cs="Calibri"/>
                <w:color w:val="000000"/>
              </w:rPr>
              <w:t xml:space="preserve"> </w:t>
            </w:r>
            <w:r>
              <w:rPr>
                <w:rFonts w:ascii="Calibri" w:eastAsia="Times New Roman" w:hAnsi="Calibri" w:cs="Calibri"/>
                <w:color w:val="000000"/>
              </w:rPr>
              <w:t>set</w:t>
            </w:r>
            <w:r w:rsidR="00F3632F" w:rsidRPr="00F3632F">
              <w:rPr>
                <w:rFonts w:ascii="Calibri" w:eastAsia="Times New Roman" w:hAnsi="Calibri" w:cs="Calibri"/>
                <w:color w:val="000000"/>
              </w:rPr>
              <w:t xml:space="preserve"> </w:t>
            </w:r>
            <w:r>
              <w:rPr>
                <w:rFonts w:ascii="Calibri" w:eastAsia="Times New Roman" w:hAnsi="Calibri" w:cs="Calibri"/>
                <w:color w:val="000000"/>
              </w:rPr>
              <w:t>is</w:t>
            </w:r>
            <w:r w:rsidR="00F3632F" w:rsidRPr="00F3632F">
              <w:rPr>
                <w:rFonts w:ascii="Calibri" w:eastAsia="Times New Roman" w:hAnsi="Calibri" w:cs="Calibri"/>
                <w:color w:val="000000"/>
              </w:rPr>
              <w:t xml:space="preserve"> sent </w:t>
            </w:r>
            <w:r w:rsidR="004C2968">
              <w:rPr>
                <w:rFonts w:ascii="Calibri" w:eastAsia="Times New Roman" w:hAnsi="Calibri" w:cs="Calibri"/>
                <w:color w:val="000000"/>
              </w:rPr>
              <w:t>in an SPSS file</w:t>
            </w:r>
            <w:r w:rsidR="00604661">
              <w:rPr>
                <w:rFonts w:ascii="Calibri" w:eastAsia="Times New Roman" w:hAnsi="Calibri" w:cs="Calibri"/>
                <w:color w:val="000000"/>
              </w:rPr>
              <w:t>, read in R</w:t>
            </w:r>
            <w:r w:rsidR="00473733">
              <w:rPr>
                <w:rFonts w:ascii="Calibri" w:eastAsia="Times New Roman" w:hAnsi="Calibri" w:cs="Calibri"/>
                <w:color w:val="000000"/>
              </w:rPr>
              <w:t>,</w:t>
            </w:r>
            <w:r w:rsidR="00604661">
              <w:rPr>
                <w:rFonts w:ascii="Calibri" w:eastAsia="Times New Roman" w:hAnsi="Calibri" w:cs="Calibri"/>
                <w:color w:val="000000"/>
              </w:rPr>
              <w:t xml:space="preserve"> </w:t>
            </w:r>
            <w:r w:rsidR="00473733">
              <w:rPr>
                <w:rFonts w:ascii="Calibri" w:eastAsia="Times New Roman" w:hAnsi="Calibri" w:cs="Calibri"/>
                <w:color w:val="000000"/>
              </w:rPr>
              <w:t>and examined for encoding issues, such as unreadable character formats.</w:t>
            </w:r>
          </w:p>
        </w:tc>
      </w:tr>
      <w:tr w:rsidR="00F3632F" w:rsidRPr="00F3632F" w:rsidTr="009541EC">
        <w:trPr>
          <w:trHeight w:val="288"/>
        </w:trPr>
        <w:tc>
          <w:tcPr>
            <w:tcW w:w="9776" w:type="dxa"/>
            <w:gridSpan w:val="2"/>
            <w:tcBorders>
              <w:top w:val="nil"/>
              <w:left w:val="single" w:sz="4" w:space="0" w:color="auto"/>
              <w:bottom w:val="nil"/>
              <w:right w:val="single" w:sz="4" w:space="0" w:color="000000"/>
            </w:tcBorders>
            <w:shd w:val="clear" w:color="000000" w:fill="D9E1F2"/>
            <w:noWrap/>
            <w:hideMark/>
          </w:tcPr>
          <w:p w:rsidR="00F3632F" w:rsidRPr="00F3632F" w:rsidRDefault="00F3632F" w:rsidP="006D3B77">
            <w:pPr>
              <w:spacing w:after="120" w:line="240" w:lineRule="auto"/>
              <w:rPr>
                <w:rFonts w:ascii="Calibri" w:eastAsia="Times New Roman" w:hAnsi="Calibri" w:cs="Calibri"/>
                <w:b/>
                <w:bCs/>
                <w:color w:val="000000"/>
              </w:rPr>
            </w:pPr>
            <w:r w:rsidRPr="00F3632F">
              <w:rPr>
                <w:rFonts w:ascii="Calibri" w:eastAsia="Times New Roman" w:hAnsi="Calibri" w:cs="Calibri"/>
                <w:b/>
                <w:bCs/>
                <w:color w:val="000000"/>
              </w:rPr>
              <w:t xml:space="preserve">Verify the list of </w:t>
            </w:r>
            <w:r w:rsidR="00AA5248">
              <w:rPr>
                <w:rFonts w:ascii="Calibri" w:eastAsia="Times New Roman" w:hAnsi="Calibri" w:cs="Calibri"/>
                <w:b/>
                <w:bCs/>
                <w:color w:val="000000"/>
              </w:rPr>
              <w:t>identifiers (</w:t>
            </w:r>
            <w:r w:rsidRPr="00F3632F">
              <w:rPr>
                <w:rFonts w:ascii="Calibri" w:eastAsia="Times New Roman" w:hAnsi="Calibri" w:cs="Calibri"/>
                <w:b/>
                <w:bCs/>
                <w:color w:val="000000"/>
              </w:rPr>
              <w:t>ID</w:t>
            </w:r>
            <w:r w:rsidR="00AA5248">
              <w:rPr>
                <w:rFonts w:ascii="Calibri" w:eastAsia="Times New Roman" w:hAnsi="Calibri" w:cs="Calibri"/>
                <w:b/>
                <w:bCs/>
                <w:color w:val="000000"/>
              </w:rPr>
              <w:t>s)</w:t>
            </w:r>
          </w:p>
        </w:tc>
      </w:tr>
      <w:tr w:rsidR="004C2968" w:rsidRPr="00F3632F" w:rsidTr="009541EC">
        <w:trPr>
          <w:trHeight w:val="288"/>
        </w:trPr>
        <w:tc>
          <w:tcPr>
            <w:tcW w:w="1207" w:type="dxa"/>
            <w:tcBorders>
              <w:top w:val="nil"/>
              <w:left w:val="single" w:sz="4" w:space="0" w:color="auto"/>
              <w:bottom w:val="nil"/>
              <w:right w:val="nil"/>
            </w:tcBorders>
            <w:shd w:val="clear" w:color="auto" w:fill="auto"/>
            <w:hideMark/>
          </w:tcPr>
          <w:p w:rsidR="004C2968" w:rsidRPr="00F3632F" w:rsidRDefault="004C2968" w:rsidP="00BB166F">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Procedure</w:t>
            </w:r>
            <w:r w:rsidR="00BF3F3F">
              <w:rPr>
                <w:rFonts w:ascii="Calibri" w:eastAsia="Times New Roman" w:hAnsi="Calibri" w:cs="Calibri"/>
                <w:i/>
                <w:iCs/>
                <w:color w:val="000000"/>
              </w:rPr>
              <w:t>s</w:t>
            </w:r>
          </w:p>
        </w:tc>
        <w:tc>
          <w:tcPr>
            <w:tcW w:w="8569" w:type="dxa"/>
            <w:tcBorders>
              <w:top w:val="nil"/>
              <w:left w:val="nil"/>
              <w:bottom w:val="nil"/>
              <w:right w:val="single" w:sz="4" w:space="0" w:color="auto"/>
            </w:tcBorders>
            <w:shd w:val="clear" w:color="auto" w:fill="auto"/>
            <w:hideMark/>
          </w:tcPr>
          <w:p w:rsidR="00F37477" w:rsidRPr="00F3632F" w:rsidRDefault="00BB166F" w:rsidP="006D3B77">
            <w:pPr>
              <w:spacing w:after="120" w:line="240" w:lineRule="auto"/>
              <w:rPr>
                <w:rFonts w:ascii="Calibri" w:eastAsia="Times New Roman" w:hAnsi="Calibri" w:cs="Calibri"/>
                <w:color w:val="000000"/>
              </w:rPr>
            </w:pPr>
            <w:r>
              <w:rPr>
                <w:rFonts w:ascii="Calibri" w:eastAsia="Times New Roman" w:hAnsi="Calibri" w:cs="Calibri"/>
                <w:color w:val="000000"/>
              </w:rPr>
              <w:t>Verify</w:t>
            </w:r>
            <w:r w:rsidRPr="00F3632F">
              <w:rPr>
                <w:rFonts w:ascii="Calibri" w:eastAsia="Times New Roman" w:hAnsi="Calibri" w:cs="Calibri"/>
                <w:color w:val="000000"/>
              </w:rPr>
              <w:t xml:space="preserve"> that the correct participants or entities are included in the data</w:t>
            </w:r>
            <w:r w:rsidR="0072147A">
              <w:rPr>
                <w:rFonts w:ascii="Calibri" w:eastAsia="Times New Roman" w:hAnsi="Calibri" w:cs="Calibri"/>
                <w:color w:val="000000"/>
              </w:rPr>
              <w:t xml:space="preserve"> </w:t>
            </w:r>
            <w:r w:rsidRPr="00F3632F">
              <w:rPr>
                <w:rFonts w:ascii="Calibri" w:eastAsia="Times New Roman" w:hAnsi="Calibri" w:cs="Calibri"/>
                <w:color w:val="000000"/>
              </w:rPr>
              <w:t>set.</w:t>
            </w:r>
          </w:p>
        </w:tc>
      </w:tr>
      <w:tr w:rsidR="00BB166F" w:rsidRPr="00F3632F" w:rsidTr="009541EC">
        <w:trPr>
          <w:trHeight w:val="288"/>
        </w:trPr>
        <w:tc>
          <w:tcPr>
            <w:tcW w:w="1207" w:type="dxa"/>
            <w:tcBorders>
              <w:top w:val="nil"/>
              <w:left w:val="single" w:sz="4" w:space="0" w:color="auto"/>
              <w:bottom w:val="nil"/>
              <w:right w:val="nil"/>
            </w:tcBorders>
            <w:shd w:val="clear" w:color="auto" w:fill="auto"/>
          </w:tcPr>
          <w:p w:rsidR="00BB166F" w:rsidRPr="00F3632F" w:rsidRDefault="00BB166F" w:rsidP="00BB166F">
            <w:pPr>
              <w:spacing w:after="120" w:line="240" w:lineRule="auto"/>
              <w:rPr>
                <w:rFonts w:ascii="Calibri" w:eastAsia="Times New Roman" w:hAnsi="Calibri" w:cs="Calibri"/>
                <w:i/>
                <w:iCs/>
                <w:color w:val="000000"/>
              </w:rPr>
            </w:pPr>
          </w:p>
        </w:tc>
        <w:tc>
          <w:tcPr>
            <w:tcW w:w="8569" w:type="dxa"/>
            <w:tcBorders>
              <w:top w:val="nil"/>
              <w:left w:val="nil"/>
              <w:bottom w:val="nil"/>
              <w:right w:val="single" w:sz="4" w:space="0" w:color="auto"/>
            </w:tcBorders>
            <w:shd w:val="clear" w:color="auto" w:fill="auto"/>
          </w:tcPr>
          <w:p w:rsidR="00BB166F" w:rsidRPr="00BB166F" w:rsidRDefault="00BB166F" w:rsidP="006D3B77">
            <w:pPr>
              <w:spacing w:after="120" w:line="240" w:lineRule="auto"/>
              <w:rPr>
                <w:rFonts w:ascii="Calibri" w:eastAsia="Times New Roman" w:hAnsi="Calibri" w:cs="Calibri"/>
                <w:color w:val="000000"/>
              </w:rPr>
            </w:pPr>
            <w:r w:rsidRPr="00BB166F">
              <w:rPr>
                <w:rFonts w:ascii="Calibri" w:eastAsia="Times New Roman" w:hAnsi="Calibri" w:cs="Calibri"/>
                <w:color w:val="000000"/>
              </w:rPr>
              <w:t>Verify that there are</w:t>
            </w:r>
            <w:r w:rsidR="00BB1063">
              <w:rPr>
                <w:rFonts w:ascii="Calibri" w:eastAsia="Times New Roman" w:hAnsi="Calibri" w:cs="Calibri"/>
                <w:color w:val="000000"/>
              </w:rPr>
              <w:t xml:space="preserve"> </w:t>
            </w:r>
            <w:r w:rsidR="00BB1063" w:rsidRPr="00F3632F">
              <w:rPr>
                <w:rFonts w:ascii="Calibri" w:eastAsia="Times New Roman" w:hAnsi="Calibri" w:cs="Calibri"/>
                <w:color w:val="000000"/>
              </w:rPr>
              <w:t>no duplicated IDs.</w:t>
            </w:r>
          </w:p>
        </w:tc>
      </w:tr>
      <w:tr w:rsidR="00BB1063" w:rsidRPr="00F3632F" w:rsidTr="009541EC">
        <w:trPr>
          <w:trHeight w:val="288"/>
        </w:trPr>
        <w:tc>
          <w:tcPr>
            <w:tcW w:w="1207" w:type="dxa"/>
            <w:tcBorders>
              <w:top w:val="nil"/>
              <w:left w:val="single" w:sz="4" w:space="0" w:color="auto"/>
              <w:bottom w:val="nil"/>
              <w:right w:val="nil"/>
            </w:tcBorders>
            <w:shd w:val="clear" w:color="auto" w:fill="auto"/>
          </w:tcPr>
          <w:p w:rsidR="00BB1063" w:rsidRPr="00F3632F" w:rsidRDefault="00BB1063" w:rsidP="00CE4595">
            <w:pPr>
              <w:spacing w:after="120" w:line="240" w:lineRule="auto"/>
              <w:rPr>
                <w:rFonts w:ascii="Calibri" w:eastAsia="Times New Roman" w:hAnsi="Calibri" w:cs="Calibri"/>
                <w:i/>
                <w:iCs/>
                <w:color w:val="000000"/>
              </w:rPr>
            </w:pPr>
          </w:p>
        </w:tc>
        <w:tc>
          <w:tcPr>
            <w:tcW w:w="8569" w:type="dxa"/>
            <w:tcBorders>
              <w:top w:val="nil"/>
              <w:left w:val="nil"/>
              <w:bottom w:val="nil"/>
              <w:right w:val="single" w:sz="4" w:space="0" w:color="auto"/>
            </w:tcBorders>
            <w:shd w:val="clear" w:color="auto" w:fill="auto"/>
          </w:tcPr>
          <w:p w:rsidR="00BB1063" w:rsidRPr="00BB166F" w:rsidRDefault="00BB1063" w:rsidP="006D3B77">
            <w:pPr>
              <w:spacing w:after="120" w:line="240" w:lineRule="auto"/>
              <w:rPr>
                <w:rFonts w:ascii="Calibri" w:eastAsia="Times New Roman" w:hAnsi="Calibri" w:cs="Calibri"/>
                <w:color w:val="000000"/>
              </w:rPr>
            </w:pPr>
            <w:r w:rsidRPr="00BB166F">
              <w:rPr>
                <w:rFonts w:ascii="Calibri" w:eastAsia="Times New Roman" w:hAnsi="Calibri" w:cs="Calibri"/>
                <w:color w:val="000000"/>
              </w:rPr>
              <w:t>If a reference list is available, compare the IDs against the reference IDs.</w:t>
            </w:r>
          </w:p>
        </w:tc>
      </w:tr>
      <w:tr w:rsidR="00F3632F" w:rsidRPr="00F3632F" w:rsidTr="009541EC">
        <w:trPr>
          <w:trHeight w:val="288"/>
        </w:trPr>
        <w:tc>
          <w:tcPr>
            <w:tcW w:w="1207" w:type="dxa"/>
            <w:tcBorders>
              <w:top w:val="nil"/>
              <w:left w:val="single" w:sz="4" w:space="0" w:color="auto"/>
              <w:bottom w:val="nil"/>
              <w:right w:val="nil"/>
            </w:tcBorders>
            <w:shd w:val="clear" w:color="auto" w:fill="auto"/>
            <w:hideMark/>
          </w:tcPr>
          <w:p w:rsidR="00F3632F" w:rsidRPr="00F3632F" w:rsidRDefault="00F3632F" w:rsidP="00BB166F">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 </w:t>
            </w:r>
          </w:p>
        </w:tc>
        <w:tc>
          <w:tcPr>
            <w:tcW w:w="8569" w:type="dxa"/>
            <w:tcBorders>
              <w:top w:val="nil"/>
              <w:left w:val="nil"/>
              <w:bottom w:val="nil"/>
              <w:right w:val="single" w:sz="4" w:space="0" w:color="auto"/>
            </w:tcBorders>
            <w:shd w:val="clear" w:color="auto" w:fill="auto"/>
            <w:hideMark/>
          </w:tcPr>
          <w:p w:rsidR="00F3632F" w:rsidRPr="00BB166F" w:rsidRDefault="00AF122B" w:rsidP="006D3B77">
            <w:pPr>
              <w:spacing w:after="120" w:line="240" w:lineRule="auto"/>
              <w:rPr>
                <w:rFonts w:ascii="Calibri" w:eastAsia="Times New Roman" w:hAnsi="Calibri" w:cs="Calibri"/>
                <w:color w:val="000000"/>
              </w:rPr>
            </w:pPr>
            <w:r w:rsidRPr="00BB166F">
              <w:rPr>
                <w:rFonts w:ascii="Calibri" w:eastAsia="Times New Roman" w:hAnsi="Calibri" w:cs="Calibri"/>
                <w:color w:val="000000"/>
              </w:rPr>
              <w:t>Verify</w:t>
            </w:r>
            <w:r w:rsidR="00F3632F" w:rsidRPr="00BB166F">
              <w:rPr>
                <w:rFonts w:ascii="Calibri" w:eastAsia="Times New Roman" w:hAnsi="Calibri" w:cs="Calibri"/>
                <w:color w:val="000000"/>
              </w:rPr>
              <w:t xml:space="preserve"> that minimal information</w:t>
            </w:r>
            <w:r w:rsidR="00F447CA" w:rsidRPr="00BB166F">
              <w:rPr>
                <w:rFonts w:ascii="Calibri" w:eastAsia="Times New Roman" w:hAnsi="Calibri" w:cs="Calibri"/>
                <w:color w:val="000000"/>
              </w:rPr>
              <w:t xml:space="preserve"> for inclusion, e.g., age and sex,</w:t>
            </w:r>
            <w:r w:rsidR="00F3632F" w:rsidRPr="00BB166F">
              <w:rPr>
                <w:rFonts w:ascii="Calibri" w:eastAsia="Times New Roman" w:hAnsi="Calibri" w:cs="Calibri"/>
                <w:color w:val="000000"/>
              </w:rPr>
              <w:t xml:space="preserve"> is adequate and correspond to inclusion criteria.</w:t>
            </w:r>
          </w:p>
        </w:tc>
      </w:tr>
      <w:tr w:rsidR="00F3632F" w:rsidRPr="00F3632F" w:rsidTr="009541EC">
        <w:trPr>
          <w:trHeight w:val="288"/>
        </w:trPr>
        <w:tc>
          <w:tcPr>
            <w:tcW w:w="1207" w:type="dxa"/>
            <w:tcBorders>
              <w:top w:val="nil"/>
              <w:left w:val="single" w:sz="4" w:space="0" w:color="auto"/>
              <w:bottom w:val="nil"/>
              <w:right w:val="nil"/>
            </w:tcBorders>
            <w:shd w:val="clear" w:color="auto" w:fill="auto"/>
            <w:hideMark/>
          </w:tcPr>
          <w:p w:rsidR="00F3632F" w:rsidRPr="00F3632F" w:rsidRDefault="00F3632F" w:rsidP="00BB166F">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 </w:t>
            </w:r>
          </w:p>
        </w:tc>
        <w:tc>
          <w:tcPr>
            <w:tcW w:w="8569" w:type="dxa"/>
            <w:tcBorders>
              <w:top w:val="nil"/>
              <w:left w:val="nil"/>
              <w:bottom w:val="nil"/>
              <w:right w:val="single" w:sz="4" w:space="0" w:color="auto"/>
            </w:tcBorders>
            <w:shd w:val="clear" w:color="auto" w:fill="auto"/>
            <w:hideMark/>
          </w:tcPr>
          <w:p w:rsidR="00F3632F" w:rsidRPr="00BB166F" w:rsidRDefault="00F3632F" w:rsidP="006D3B77">
            <w:pPr>
              <w:spacing w:after="120" w:line="240" w:lineRule="auto"/>
              <w:rPr>
                <w:rFonts w:ascii="Calibri" w:eastAsia="Times New Roman" w:hAnsi="Calibri" w:cs="Calibri"/>
                <w:color w:val="000000"/>
              </w:rPr>
            </w:pPr>
            <w:r w:rsidRPr="00BB166F">
              <w:rPr>
                <w:rFonts w:ascii="Calibri" w:eastAsia="Times New Roman" w:hAnsi="Calibri" w:cs="Calibri"/>
                <w:color w:val="000000"/>
              </w:rPr>
              <w:t>Identify and document any inconsistent or incomplete data.</w:t>
            </w:r>
          </w:p>
        </w:tc>
      </w:tr>
      <w:tr w:rsidR="00F3632F" w:rsidRPr="00F3632F" w:rsidTr="009541EC">
        <w:trPr>
          <w:trHeight w:val="288"/>
        </w:trPr>
        <w:tc>
          <w:tcPr>
            <w:tcW w:w="1207" w:type="dxa"/>
            <w:tcBorders>
              <w:top w:val="nil"/>
              <w:left w:val="single" w:sz="4" w:space="0" w:color="auto"/>
              <w:bottom w:val="nil"/>
              <w:right w:val="nil"/>
            </w:tcBorders>
            <w:shd w:val="clear" w:color="auto" w:fill="auto"/>
            <w:hideMark/>
          </w:tcPr>
          <w:p w:rsidR="00F3632F" w:rsidRPr="00F3632F" w:rsidRDefault="00F3632F" w:rsidP="00BB166F">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Example</w:t>
            </w:r>
          </w:p>
        </w:tc>
        <w:tc>
          <w:tcPr>
            <w:tcW w:w="8569" w:type="dxa"/>
            <w:tcBorders>
              <w:top w:val="nil"/>
              <w:left w:val="nil"/>
              <w:bottom w:val="nil"/>
              <w:right w:val="single" w:sz="4" w:space="0" w:color="auto"/>
            </w:tcBorders>
            <w:shd w:val="clear" w:color="auto" w:fill="auto"/>
            <w:hideMark/>
          </w:tcPr>
          <w:p w:rsidR="00F447CA" w:rsidRPr="00F3632F" w:rsidRDefault="00F3632F" w:rsidP="006D3B77">
            <w:pPr>
              <w:spacing w:after="120" w:line="240" w:lineRule="auto"/>
              <w:rPr>
                <w:rFonts w:ascii="Calibri" w:eastAsia="Times New Roman" w:hAnsi="Calibri" w:cs="Calibri"/>
                <w:color w:val="000000"/>
              </w:rPr>
            </w:pPr>
            <w:r w:rsidRPr="00F3632F">
              <w:rPr>
                <w:rFonts w:ascii="Calibri" w:eastAsia="Times New Roman" w:hAnsi="Calibri" w:cs="Calibri"/>
                <w:color w:val="000000"/>
              </w:rPr>
              <w:t>The study-specific data</w:t>
            </w:r>
            <w:r w:rsidR="0072147A">
              <w:rPr>
                <w:rFonts w:ascii="Calibri" w:eastAsia="Times New Roman" w:hAnsi="Calibri" w:cs="Calibri"/>
                <w:color w:val="000000"/>
              </w:rPr>
              <w:t xml:space="preserve"> </w:t>
            </w:r>
            <w:r w:rsidRPr="00F3632F">
              <w:rPr>
                <w:rFonts w:ascii="Calibri" w:eastAsia="Times New Roman" w:hAnsi="Calibri" w:cs="Calibri"/>
                <w:color w:val="000000"/>
              </w:rPr>
              <w:t xml:space="preserve">set was expected to include </w:t>
            </w:r>
            <w:r w:rsidR="00F447CA">
              <w:rPr>
                <w:rFonts w:ascii="Calibri" w:eastAsia="Times New Roman" w:hAnsi="Calibri" w:cs="Calibri"/>
                <w:color w:val="000000"/>
              </w:rPr>
              <w:t>2</w:t>
            </w:r>
            <w:r w:rsidRPr="00F3632F">
              <w:rPr>
                <w:rFonts w:ascii="Calibri" w:eastAsia="Times New Roman" w:hAnsi="Calibri" w:cs="Calibri"/>
                <w:color w:val="000000"/>
              </w:rPr>
              <w:t xml:space="preserve">000 mothers but only includes </w:t>
            </w:r>
            <w:r w:rsidR="00F447CA">
              <w:rPr>
                <w:rFonts w:ascii="Calibri" w:eastAsia="Times New Roman" w:hAnsi="Calibri" w:cs="Calibri"/>
                <w:color w:val="000000"/>
              </w:rPr>
              <w:t>1</w:t>
            </w:r>
            <w:r w:rsidR="00536D7E">
              <w:rPr>
                <w:rFonts w:ascii="Calibri" w:eastAsia="Times New Roman" w:hAnsi="Calibri" w:cs="Calibri"/>
                <w:color w:val="000000"/>
              </w:rPr>
              <w:t>8</w:t>
            </w:r>
            <w:r w:rsidRPr="00F3632F">
              <w:rPr>
                <w:rFonts w:ascii="Calibri" w:eastAsia="Times New Roman" w:hAnsi="Calibri" w:cs="Calibri"/>
                <w:color w:val="000000"/>
              </w:rPr>
              <w:t>00.</w:t>
            </w:r>
          </w:p>
        </w:tc>
      </w:tr>
      <w:tr w:rsidR="00F3632F" w:rsidRPr="00F3632F" w:rsidTr="009541EC">
        <w:trPr>
          <w:trHeight w:val="288"/>
        </w:trPr>
        <w:tc>
          <w:tcPr>
            <w:tcW w:w="9776" w:type="dxa"/>
            <w:gridSpan w:val="2"/>
            <w:tcBorders>
              <w:top w:val="nil"/>
              <w:left w:val="single" w:sz="4" w:space="0" w:color="auto"/>
              <w:bottom w:val="nil"/>
              <w:right w:val="single" w:sz="4" w:space="0" w:color="000000"/>
            </w:tcBorders>
            <w:shd w:val="clear" w:color="000000" w:fill="D9E1F2"/>
            <w:noWrap/>
            <w:hideMark/>
          </w:tcPr>
          <w:p w:rsidR="00F3632F" w:rsidRPr="00F3632F" w:rsidRDefault="00F3632F" w:rsidP="006D3B77">
            <w:pPr>
              <w:spacing w:after="120" w:line="240" w:lineRule="auto"/>
              <w:rPr>
                <w:rFonts w:ascii="Calibri" w:eastAsia="Times New Roman" w:hAnsi="Calibri" w:cs="Calibri"/>
                <w:b/>
                <w:bCs/>
                <w:color w:val="000000"/>
              </w:rPr>
            </w:pPr>
            <w:r w:rsidRPr="00F3632F">
              <w:rPr>
                <w:rFonts w:ascii="Calibri" w:eastAsia="Times New Roman" w:hAnsi="Calibri" w:cs="Calibri"/>
                <w:b/>
                <w:bCs/>
                <w:color w:val="000000"/>
              </w:rPr>
              <w:t>Verify the list of variables and format</w:t>
            </w:r>
          </w:p>
        </w:tc>
      </w:tr>
      <w:tr w:rsidR="00F3632F" w:rsidRPr="00F3632F" w:rsidTr="009541EC">
        <w:trPr>
          <w:trHeight w:val="288"/>
        </w:trPr>
        <w:tc>
          <w:tcPr>
            <w:tcW w:w="1207" w:type="dxa"/>
            <w:tcBorders>
              <w:top w:val="nil"/>
              <w:left w:val="single" w:sz="4" w:space="0" w:color="auto"/>
              <w:bottom w:val="nil"/>
              <w:right w:val="nil"/>
            </w:tcBorders>
            <w:shd w:val="clear" w:color="auto" w:fill="auto"/>
            <w:hideMark/>
          </w:tcPr>
          <w:p w:rsidR="00F3632F" w:rsidRPr="00F3632F" w:rsidRDefault="00F3632F" w:rsidP="00BB166F">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Procedure</w:t>
            </w:r>
            <w:r w:rsidR="00BF3F3F">
              <w:rPr>
                <w:rFonts w:ascii="Calibri" w:eastAsia="Times New Roman" w:hAnsi="Calibri" w:cs="Calibri"/>
                <w:i/>
                <w:iCs/>
                <w:color w:val="000000"/>
              </w:rPr>
              <w:t>s</w:t>
            </w:r>
          </w:p>
        </w:tc>
        <w:tc>
          <w:tcPr>
            <w:tcW w:w="8569" w:type="dxa"/>
            <w:tcBorders>
              <w:top w:val="nil"/>
              <w:left w:val="nil"/>
              <w:bottom w:val="nil"/>
              <w:right w:val="single" w:sz="4" w:space="0" w:color="auto"/>
            </w:tcBorders>
            <w:shd w:val="clear" w:color="auto" w:fill="auto"/>
            <w:hideMark/>
          </w:tcPr>
          <w:p w:rsidR="00F3632F" w:rsidRPr="00F3632F" w:rsidRDefault="00AF122B" w:rsidP="006D3B77">
            <w:pPr>
              <w:spacing w:after="120" w:line="240" w:lineRule="auto"/>
              <w:rPr>
                <w:rFonts w:ascii="Calibri" w:eastAsia="Times New Roman" w:hAnsi="Calibri" w:cs="Calibri"/>
                <w:color w:val="000000"/>
              </w:rPr>
            </w:pPr>
            <w:r>
              <w:rPr>
                <w:rFonts w:ascii="Calibri" w:eastAsia="Times New Roman" w:hAnsi="Calibri" w:cs="Calibri"/>
                <w:color w:val="000000"/>
              </w:rPr>
              <w:t>Verify</w:t>
            </w:r>
            <w:r w:rsidR="00F3632F" w:rsidRPr="00F3632F">
              <w:rPr>
                <w:rFonts w:ascii="Calibri" w:eastAsia="Times New Roman" w:hAnsi="Calibri" w:cs="Calibri"/>
                <w:color w:val="000000"/>
              </w:rPr>
              <w:t xml:space="preserve"> that the variables </w:t>
            </w:r>
            <w:r w:rsidR="004C2968">
              <w:rPr>
                <w:rFonts w:ascii="Calibri" w:eastAsia="Times New Roman" w:hAnsi="Calibri" w:cs="Calibri"/>
                <w:color w:val="000000"/>
              </w:rPr>
              <w:t>required</w:t>
            </w:r>
            <w:r w:rsidR="00553348">
              <w:rPr>
                <w:rFonts w:ascii="Calibri" w:eastAsia="Times New Roman" w:hAnsi="Calibri" w:cs="Calibri"/>
                <w:color w:val="000000"/>
              </w:rPr>
              <w:t xml:space="preserve"> </w:t>
            </w:r>
            <w:r w:rsidR="00F3632F" w:rsidRPr="00F3632F">
              <w:rPr>
                <w:rFonts w:ascii="Calibri" w:eastAsia="Times New Roman" w:hAnsi="Calibri" w:cs="Calibri"/>
                <w:color w:val="000000"/>
              </w:rPr>
              <w:t xml:space="preserve">to generate </w:t>
            </w:r>
            <w:r w:rsidR="006672A4">
              <w:rPr>
                <w:rFonts w:ascii="Calibri" w:eastAsia="Times New Roman" w:hAnsi="Calibri" w:cs="Calibri"/>
                <w:color w:val="000000"/>
              </w:rPr>
              <w:t xml:space="preserve">the </w:t>
            </w:r>
            <w:proofErr w:type="spellStart"/>
            <w:r w:rsidR="002C7688">
              <w:rPr>
                <w:rFonts w:ascii="Calibri" w:eastAsia="Times New Roman" w:hAnsi="Calibri" w:cs="Calibri"/>
                <w:color w:val="000000"/>
              </w:rPr>
              <w:t>DataSchema</w:t>
            </w:r>
            <w:proofErr w:type="spellEnd"/>
            <w:r w:rsidR="00F3632F" w:rsidRPr="00F3632F">
              <w:rPr>
                <w:rFonts w:ascii="Calibri" w:eastAsia="Times New Roman" w:hAnsi="Calibri" w:cs="Calibri"/>
                <w:color w:val="000000"/>
              </w:rPr>
              <w:t xml:space="preserve"> variables are </w:t>
            </w:r>
            <w:r w:rsidR="00536D7E" w:rsidRPr="00F3632F">
              <w:rPr>
                <w:rFonts w:ascii="Calibri" w:eastAsia="Times New Roman" w:hAnsi="Calibri" w:cs="Calibri"/>
                <w:color w:val="000000"/>
              </w:rPr>
              <w:t>included,</w:t>
            </w:r>
            <w:r w:rsidR="00BB166F">
              <w:rPr>
                <w:rFonts w:ascii="Calibri" w:eastAsia="Times New Roman" w:hAnsi="Calibri" w:cs="Calibri"/>
                <w:color w:val="000000"/>
              </w:rPr>
              <w:t xml:space="preserve"> and </w:t>
            </w:r>
            <w:r w:rsidR="00BB166F" w:rsidRPr="00F3632F">
              <w:rPr>
                <w:rFonts w:ascii="Calibri" w:eastAsia="Times New Roman" w:hAnsi="Calibri" w:cs="Calibri"/>
                <w:color w:val="000000"/>
              </w:rPr>
              <w:t>that metadata (information about the variables) is adequate</w:t>
            </w:r>
            <w:r w:rsidR="00BB166F">
              <w:rPr>
                <w:rFonts w:ascii="Calibri" w:eastAsia="Times New Roman" w:hAnsi="Calibri" w:cs="Calibri"/>
                <w:color w:val="000000"/>
              </w:rPr>
              <w:t>.</w:t>
            </w:r>
          </w:p>
        </w:tc>
      </w:tr>
      <w:tr w:rsidR="00F3632F" w:rsidRPr="00F3632F" w:rsidTr="009541EC">
        <w:trPr>
          <w:trHeight w:val="288"/>
        </w:trPr>
        <w:tc>
          <w:tcPr>
            <w:tcW w:w="1207" w:type="dxa"/>
            <w:tcBorders>
              <w:top w:val="nil"/>
              <w:left w:val="single" w:sz="4" w:space="0" w:color="auto"/>
              <w:bottom w:val="nil"/>
              <w:right w:val="nil"/>
            </w:tcBorders>
            <w:shd w:val="clear" w:color="auto" w:fill="auto"/>
            <w:hideMark/>
          </w:tcPr>
          <w:p w:rsidR="00F3632F" w:rsidRPr="00F3632F" w:rsidRDefault="00F3632F" w:rsidP="00BB166F">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 </w:t>
            </w:r>
          </w:p>
        </w:tc>
        <w:tc>
          <w:tcPr>
            <w:tcW w:w="8569" w:type="dxa"/>
            <w:tcBorders>
              <w:top w:val="nil"/>
              <w:left w:val="nil"/>
              <w:bottom w:val="nil"/>
              <w:right w:val="single" w:sz="4" w:space="0" w:color="auto"/>
            </w:tcBorders>
            <w:shd w:val="clear" w:color="auto" w:fill="auto"/>
            <w:hideMark/>
          </w:tcPr>
          <w:p w:rsidR="00F3632F" w:rsidRPr="00BB166F" w:rsidRDefault="00F3632F" w:rsidP="006D3B77">
            <w:pPr>
              <w:spacing w:after="120" w:line="240" w:lineRule="auto"/>
              <w:rPr>
                <w:rFonts w:ascii="Calibri" w:eastAsia="Times New Roman" w:hAnsi="Calibri" w:cs="Calibri"/>
                <w:color w:val="000000"/>
              </w:rPr>
            </w:pPr>
            <w:r w:rsidRPr="00BB166F">
              <w:rPr>
                <w:rFonts w:ascii="Calibri" w:eastAsia="Times New Roman" w:hAnsi="Calibri" w:cs="Calibri"/>
                <w:color w:val="000000"/>
              </w:rPr>
              <w:t>Identify and document any inconsistent or incomplete data.</w:t>
            </w:r>
          </w:p>
        </w:tc>
      </w:tr>
      <w:tr w:rsidR="00F3632F" w:rsidRPr="00F3632F" w:rsidTr="009541EC">
        <w:trPr>
          <w:trHeight w:val="288"/>
        </w:trPr>
        <w:tc>
          <w:tcPr>
            <w:tcW w:w="1207" w:type="dxa"/>
            <w:tcBorders>
              <w:top w:val="nil"/>
              <w:left w:val="single" w:sz="4" w:space="0" w:color="auto"/>
              <w:bottom w:val="nil"/>
              <w:right w:val="nil"/>
            </w:tcBorders>
            <w:shd w:val="clear" w:color="auto" w:fill="auto"/>
            <w:hideMark/>
          </w:tcPr>
          <w:p w:rsidR="00F3632F" w:rsidRPr="00F3632F" w:rsidRDefault="00F3632F" w:rsidP="00BB166F">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Example</w:t>
            </w:r>
          </w:p>
        </w:tc>
        <w:tc>
          <w:tcPr>
            <w:tcW w:w="8569" w:type="dxa"/>
            <w:tcBorders>
              <w:top w:val="nil"/>
              <w:left w:val="nil"/>
              <w:bottom w:val="nil"/>
              <w:right w:val="single" w:sz="4" w:space="0" w:color="auto"/>
            </w:tcBorders>
            <w:shd w:val="clear" w:color="auto" w:fill="auto"/>
            <w:hideMark/>
          </w:tcPr>
          <w:p w:rsidR="00F3632F" w:rsidRPr="00F3632F" w:rsidRDefault="00BF3F3F" w:rsidP="006D3B77">
            <w:pPr>
              <w:spacing w:after="120" w:line="240" w:lineRule="auto"/>
              <w:rPr>
                <w:rFonts w:ascii="Calibri" w:eastAsia="Times New Roman" w:hAnsi="Calibri" w:cs="Calibri"/>
                <w:color w:val="000000"/>
              </w:rPr>
            </w:pPr>
            <w:r>
              <w:rPr>
                <w:rFonts w:ascii="Calibri" w:eastAsia="Times New Roman" w:hAnsi="Calibri" w:cs="Calibri"/>
                <w:color w:val="000000"/>
              </w:rPr>
              <w:t>The variable ‘g</w:t>
            </w:r>
            <w:r w:rsidR="00F3632F" w:rsidRPr="00F3632F">
              <w:rPr>
                <w:rFonts w:ascii="Calibri" w:eastAsia="Times New Roman" w:hAnsi="Calibri" w:cs="Calibri"/>
                <w:color w:val="000000"/>
              </w:rPr>
              <w:t>estational age at birth</w:t>
            </w:r>
            <w:r>
              <w:rPr>
                <w:rFonts w:ascii="Calibri" w:eastAsia="Times New Roman" w:hAnsi="Calibri" w:cs="Calibri"/>
                <w:color w:val="000000"/>
              </w:rPr>
              <w:t>’</w:t>
            </w:r>
            <w:r w:rsidR="00F3632F" w:rsidRPr="00F3632F">
              <w:rPr>
                <w:rFonts w:ascii="Calibri" w:eastAsia="Times New Roman" w:hAnsi="Calibri" w:cs="Calibri"/>
                <w:color w:val="000000"/>
              </w:rPr>
              <w:t xml:space="preserve"> was requested from a study but not received.</w:t>
            </w:r>
          </w:p>
        </w:tc>
      </w:tr>
      <w:tr w:rsidR="00F3632F" w:rsidRPr="00F3632F" w:rsidTr="009541EC">
        <w:trPr>
          <w:trHeight w:val="288"/>
        </w:trPr>
        <w:tc>
          <w:tcPr>
            <w:tcW w:w="9776" w:type="dxa"/>
            <w:gridSpan w:val="2"/>
            <w:tcBorders>
              <w:top w:val="nil"/>
              <w:left w:val="single" w:sz="4" w:space="0" w:color="auto"/>
              <w:bottom w:val="nil"/>
              <w:right w:val="single" w:sz="4" w:space="0" w:color="000000"/>
            </w:tcBorders>
            <w:shd w:val="clear" w:color="000000" w:fill="D9E1F2"/>
            <w:noWrap/>
            <w:hideMark/>
          </w:tcPr>
          <w:p w:rsidR="00F3632F" w:rsidRPr="00F3632F" w:rsidRDefault="00F3632F" w:rsidP="006D3B77">
            <w:pPr>
              <w:spacing w:after="120" w:line="240" w:lineRule="auto"/>
              <w:rPr>
                <w:rFonts w:ascii="Calibri" w:eastAsia="Times New Roman" w:hAnsi="Calibri" w:cs="Calibri"/>
                <w:b/>
                <w:bCs/>
                <w:color w:val="000000"/>
              </w:rPr>
            </w:pPr>
            <w:r w:rsidRPr="00F3632F">
              <w:rPr>
                <w:rFonts w:ascii="Calibri" w:eastAsia="Times New Roman" w:hAnsi="Calibri" w:cs="Calibri"/>
                <w:b/>
                <w:bCs/>
                <w:color w:val="000000"/>
              </w:rPr>
              <w:t>Perform univariate checks</w:t>
            </w:r>
          </w:p>
        </w:tc>
      </w:tr>
      <w:tr w:rsidR="00F3632F" w:rsidRPr="00F3632F" w:rsidTr="009541EC">
        <w:trPr>
          <w:trHeight w:val="576"/>
        </w:trPr>
        <w:tc>
          <w:tcPr>
            <w:tcW w:w="1207" w:type="dxa"/>
            <w:tcBorders>
              <w:top w:val="nil"/>
              <w:left w:val="single" w:sz="4" w:space="0" w:color="auto"/>
              <w:bottom w:val="nil"/>
              <w:right w:val="nil"/>
            </w:tcBorders>
            <w:shd w:val="clear" w:color="auto" w:fill="auto"/>
            <w:hideMark/>
          </w:tcPr>
          <w:p w:rsidR="00F3632F" w:rsidRPr="00F3632F" w:rsidRDefault="00F3632F" w:rsidP="00BB166F">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Procedure</w:t>
            </w:r>
            <w:r w:rsidR="00BF3F3F">
              <w:rPr>
                <w:rFonts w:ascii="Calibri" w:eastAsia="Times New Roman" w:hAnsi="Calibri" w:cs="Calibri"/>
                <w:i/>
                <w:iCs/>
                <w:color w:val="000000"/>
              </w:rPr>
              <w:t>s</w:t>
            </w:r>
          </w:p>
        </w:tc>
        <w:tc>
          <w:tcPr>
            <w:tcW w:w="8569" w:type="dxa"/>
            <w:tcBorders>
              <w:top w:val="nil"/>
              <w:left w:val="nil"/>
              <w:bottom w:val="nil"/>
              <w:right w:val="single" w:sz="4" w:space="0" w:color="auto"/>
            </w:tcBorders>
            <w:shd w:val="clear" w:color="auto" w:fill="auto"/>
            <w:hideMark/>
          </w:tcPr>
          <w:p w:rsidR="00F3632F" w:rsidRPr="00F3632F" w:rsidRDefault="00F3632F" w:rsidP="006D3B77">
            <w:pPr>
              <w:spacing w:after="120" w:line="240" w:lineRule="auto"/>
              <w:rPr>
                <w:rFonts w:ascii="Calibri" w:eastAsia="Times New Roman" w:hAnsi="Calibri" w:cs="Calibri"/>
                <w:color w:val="000000"/>
              </w:rPr>
            </w:pPr>
            <w:r w:rsidRPr="00F3632F">
              <w:rPr>
                <w:rFonts w:ascii="Calibri" w:eastAsia="Times New Roman" w:hAnsi="Calibri" w:cs="Calibri"/>
                <w:color w:val="000000"/>
              </w:rPr>
              <w:t xml:space="preserve">Generate univariate distributions of each variable required to produce </w:t>
            </w:r>
            <w:r w:rsidR="006672A4">
              <w:rPr>
                <w:rFonts w:ascii="Calibri" w:eastAsia="Times New Roman" w:hAnsi="Calibri" w:cs="Calibri"/>
                <w:color w:val="000000"/>
              </w:rPr>
              <w:t xml:space="preserve">the </w:t>
            </w:r>
            <w:proofErr w:type="spellStart"/>
            <w:r w:rsidRPr="00F3632F">
              <w:rPr>
                <w:rFonts w:ascii="Calibri" w:eastAsia="Times New Roman" w:hAnsi="Calibri" w:cs="Calibri"/>
                <w:color w:val="000000"/>
              </w:rPr>
              <w:t>DataSchema</w:t>
            </w:r>
            <w:proofErr w:type="spellEnd"/>
            <w:r w:rsidRPr="00F3632F">
              <w:rPr>
                <w:rFonts w:ascii="Calibri" w:eastAsia="Times New Roman" w:hAnsi="Calibri" w:cs="Calibri"/>
                <w:color w:val="000000"/>
              </w:rPr>
              <w:t xml:space="preserve"> variables.</w:t>
            </w:r>
          </w:p>
        </w:tc>
      </w:tr>
      <w:tr w:rsidR="00F3632F" w:rsidRPr="00F3632F" w:rsidTr="009541EC">
        <w:trPr>
          <w:trHeight w:val="288"/>
        </w:trPr>
        <w:tc>
          <w:tcPr>
            <w:tcW w:w="1207" w:type="dxa"/>
            <w:tcBorders>
              <w:top w:val="nil"/>
              <w:left w:val="single" w:sz="4" w:space="0" w:color="auto"/>
              <w:bottom w:val="nil"/>
              <w:right w:val="nil"/>
            </w:tcBorders>
            <w:shd w:val="clear" w:color="auto" w:fill="auto"/>
            <w:hideMark/>
          </w:tcPr>
          <w:p w:rsidR="00F3632F" w:rsidRPr="00F3632F" w:rsidRDefault="00F3632F" w:rsidP="00BB166F">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 </w:t>
            </w:r>
          </w:p>
        </w:tc>
        <w:tc>
          <w:tcPr>
            <w:tcW w:w="8569" w:type="dxa"/>
            <w:tcBorders>
              <w:top w:val="nil"/>
              <w:left w:val="nil"/>
              <w:bottom w:val="nil"/>
              <w:right w:val="single" w:sz="4" w:space="0" w:color="auto"/>
            </w:tcBorders>
            <w:shd w:val="clear" w:color="auto" w:fill="auto"/>
            <w:hideMark/>
          </w:tcPr>
          <w:p w:rsidR="00F3632F" w:rsidRPr="00BB166F" w:rsidRDefault="00F3632F" w:rsidP="006D3B77">
            <w:pPr>
              <w:spacing w:after="120" w:line="240" w:lineRule="auto"/>
              <w:rPr>
                <w:rFonts w:ascii="Calibri" w:eastAsia="Times New Roman" w:hAnsi="Calibri" w:cs="Calibri"/>
                <w:color w:val="000000"/>
              </w:rPr>
            </w:pPr>
            <w:r w:rsidRPr="00BB166F">
              <w:rPr>
                <w:rFonts w:ascii="Calibri" w:eastAsia="Times New Roman" w:hAnsi="Calibri" w:cs="Calibri"/>
                <w:color w:val="000000"/>
              </w:rPr>
              <w:t>Identify and document any inconsistent or incomplete data.</w:t>
            </w:r>
          </w:p>
        </w:tc>
      </w:tr>
      <w:tr w:rsidR="00F3632F" w:rsidRPr="00F3632F" w:rsidTr="009541EC">
        <w:trPr>
          <w:trHeight w:val="288"/>
        </w:trPr>
        <w:tc>
          <w:tcPr>
            <w:tcW w:w="1207" w:type="dxa"/>
            <w:tcBorders>
              <w:top w:val="nil"/>
              <w:left w:val="single" w:sz="4" w:space="0" w:color="auto"/>
              <w:bottom w:val="nil"/>
              <w:right w:val="nil"/>
            </w:tcBorders>
            <w:shd w:val="clear" w:color="auto" w:fill="auto"/>
            <w:hideMark/>
          </w:tcPr>
          <w:p w:rsidR="00F3632F" w:rsidRPr="00F3632F" w:rsidRDefault="00F3632F" w:rsidP="00BB166F">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Example</w:t>
            </w:r>
          </w:p>
        </w:tc>
        <w:tc>
          <w:tcPr>
            <w:tcW w:w="8569" w:type="dxa"/>
            <w:tcBorders>
              <w:top w:val="nil"/>
              <w:left w:val="nil"/>
              <w:bottom w:val="nil"/>
              <w:right w:val="single" w:sz="4" w:space="0" w:color="auto"/>
            </w:tcBorders>
            <w:shd w:val="clear" w:color="auto" w:fill="auto"/>
            <w:hideMark/>
          </w:tcPr>
          <w:p w:rsidR="00F3632F" w:rsidRPr="00F3632F" w:rsidRDefault="00F3632F" w:rsidP="006D3B77">
            <w:pPr>
              <w:spacing w:after="120" w:line="240" w:lineRule="auto"/>
              <w:rPr>
                <w:rFonts w:ascii="Calibri" w:eastAsia="Times New Roman" w:hAnsi="Calibri" w:cs="Calibri"/>
                <w:color w:val="000000"/>
              </w:rPr>
            </w:pPr>
            <w:r w:rsidRPr="00F3632F">
              <w:rPr>
                <w:rFonts w:ascii="Calibri" w:eastAsia="Times New Roman" w:hAnsi="Calibri" w:cs="Calibri"/>
                <w:color w:val="000000"/>
              </w:rPr>
              <w:t xml:space="preserve">Infant birth weight &gt;5 kg </w:t>
            </w:r>
            <w:r w:rsidR="006672A4">
              <w:rPr>
                <w:rFonts w:ascii="Calibri" w:eastAsia="Times New Roman" w:hAnsi="Calibri" w:cs="Calibri"/>
                <w:color w:val="000000"/>
              </w:rPr>
              <w:t>is</w:t>
            </w:r>
            <w:r w:rsidRPr="00F3632F">
              <w:rPr>
                <w:rFonts w:ascii="Calibri" w:eastAsia="Times New Roman" w:hAnsi="Calibri" w:cs="Calibri"/>
                <w:color w:val="000000"/>
              </w:rPr>
              <w:t xml:space="preserve"> flagged as </w:t>
            </w:r>
            <w:r w:rsidR="006672A4">
              <w:rPr>
                <w:rFonts w:ascii="Calibri" w:eastAsia="Times New Roman" w:hAnsi="Calibri" w:cs="Calibri"/>
                <w:color w:val="000000"/>
              </w:rPr>
              <w:t xml:space="preserve">an </w:t>
            </w:r>
            <w:r w:rsidRPr="00F3632F">
              <w:rPr>
                <w:rFonts w:ascii="Calibri" w:eastAsia="Times New Roman" w:hAnsi="Calibri" w:cs="Calibri"/>
                <w:color w:val="000000"/>
              </w:rPr>
              <w:t>outlier to be checked.</w:t>
            </w:r>
          </w:p>
        </w:tc>
      </w:tr>
      <w:tr w:rsidR="00F3632F" w:rsidRPr="00F3632F" w:rsidTr="009541EC">
        <w:trPr>
          <w:trHeight w:val="288"/>
        </w:trPr>
        <w:tc>
          <w:tcPr>
            <w:tcW w:w="9776" w:type="dxa"/>
            <w:gridSpan w:val="2"/>
            <w:tcBorders>
              <w:top w:val="nil"/>
              <w:left w:val="single" w:sz="4" w:space="0" w:color="auto"/>
              <w:bottom w:val="nil"/>
              <w:right w:val="single" w:sz="4" w:space="0" w:color="000000"/>
            </w:tcBorders>
            <w:shd w:val="clear" w:color="000000" w:fill="D9E1F2"/>
            <w:noWrap/>
            <w:hideMark/>
          </w:tcPr>
          <w:p w:rsidR="00F3632F" w:rsidRPr="00F3632F" w:rsidRDefault="00F3632F" w:rsidP="006D3B77">
            <w:pPr>
              <w:spacing w:after="120" w:line="240" w:lineRule="auto"/>
              <w:rPr>
                <w:rFonts w:ascii="Calibri" w:eastAsia="Times New Roman" w:hAnsi="Calibri" w:cs="Calibri"/>
                <w:b/>
                <w:bCs/>
                <w:color w:val="000000"/>
              </w:rPr>
            </w:pPr>
            <w:r w:rsidRPr="00F3632F">
              <w:rPr>
                <w:rFonts w:ascii="Calibri" w:eastAsia="Times New Roman" w:hAnsi="Calibri" w:cs="Calibri"/>
                <w:b/>
                <w:bCs/>
                <w:color w:val="000000"/>
              </w:rPr>
              <w:t>Perform multivariate checks</w:t>
            </w:r>
          </w:p>
        </w:tc>
      </w:tr>
      <w:tr w:rsidR="00F3632F" w:rsidRPr="00F3632F" w:rsidTr="009541EC">
        <w:trPr>
          <w:trHeight w:val="288"/>
        </w:trPr>
        <w:tc>
          <w:tcPr>
            <w:tcW w:w="1207" w:type="dxa"/>
            <w:tcBorders>
              <w:top w:val="nil"/>
              <w:left w:val="single" w:sz="4" w:space="0" w:color="auto"/>
              <w:bottom w:val="nil"/>
              <w:right w:val="nil"/>
            </w:tcBorders>
            <w:shd w:val="clear" w:color="auto" w:fill="auto"/>
            <w:hideMark/>
          </w:tcPr>
          <w:p w:rsidR="00F3632F" w:rsidRPr="00F3632F" w:rsidRDefault="00F3632F" w:rsidP="00BB166F">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Procedure</w:t>
            </w:r>
            <w:r w:rsidR="00BF3F3F">
              <w:rPr>
                <w:rFonts w:ascii="Calibri" w:eastAsia="Times New Roman" w:hAnsi="Calibri" w:cs="Calibri"/>
                <w:i/>
                <w:iCs/>
                <w:color w:val="000000"/>
              </w:rPr>
              <w:t>s</w:t>
            </w:r>
          </w:p>
        </w:tc>
        <w:tc>
          <w:tcPr>
            <w:tcW w:w="8569" w:type="dxa"/>
            <w:tcBorders>
              <w:top w:val="nil"/>
              <w:left w:val="nil"/>
              <w:bottom w:val="nil"/>
              <w:right w:val="single" w:sz="4" w:space="0" w:color="auto"/>
            </w:tcBorders>
            <w:shd w:val="clear" w:color="auto" w:fill="auto"/>
            <w:hideMark/>
          </w:tcPr>
          <w:p w:rsidR="00F3632F" w:rsidRPr="00F3632F" w:rsidRDefault="00F3632F" w:rsidP="006D3B77">
            <w:pPr>
              <w:spacing w:after="120" w:line="240" w:lineRule="auto"/>
              <w:rPr>
                <w:rFonts w:ascii="Calibri" w:eastAsia="Times New Roman" w:hAnsi="Calibri" w:cs="Calibri"/>
                <w:color w:val="000000"/>
              </w:rPr>
            </w:pPr>
            <w:r w:rsidRPr="00F3632F">
              <w:rPr>
                <w:rFonts w:ascii="Calibri" w:eastAsia="Times New Roman" w:hAnsi="Calibri" w:cs="Calibri"/>
                <w:color w:val="000000"/>
              </w:rPr>
              <w:t>Generate cross-references across relevant variables.</w:t>
            </w:r>
          </w:p>
        </w:tc>
      </w:tr>
      <w:tr w:rsidR="00F3632F" w:rsidRPr="00F3632F" w:rsidTr="009541EC">
        <w:trPr>
          <w:trHeight w:val="288"/>
        </w:trPr>
        <w:tc>
          <w:tcPr>
            <w:tcW w:w="1207" w:type="dxa"/>
            <w:tcBorders>
              <w:top w:val="nil"/>
              <w:left w:val="single" w:sz="4" w:space="0" w:color="auto"/>
              <w:bottom w:val="nil"/>
              <w:right w:val="nil"/>
            </w:tcBorders>
            <w:shd w:val="clear" w:color="auto" w:fill="auto"/>
            <w:hideMark/>
          </w:tcPr>
          <w:p w:rsidR="00F3632F" w:rsidRPr="00F3632F" w:rsidRDefault="00F3632F" w:rsidP="00BB166F">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 </w:t>
            </w:r>
          </w:p>
        </w:tc>
        <w:tc>
          <w:tcPr>
            <w:tcW w:w="8569" w:type="dxa"/>
            <w:tcBorders>
              <w:top w:val="nil"/>
              <w:left w:val="nil"/>
              <w:bottom w:val="nil"/>
              <w:right w:val="single" w:sz="4" w:space="0" w:color="auto"/>
            </w:tcBorders>
            <w:shd w:val="clear" w:color="auto" w:fill="auto"/>
            <w:hideMark/>
          </w:tcPr>
          <w:p w:rsidR="00F3632F" w:rsidRPr="00F3632F" w:rsidRDefault="00F3632F" w:rsidP="006D3B77">
            <w:pPr>
              <w:spacing w:after="120" w:line="240" w:lineRule="auto"/>
              <w:rPr>
                <w:rFonts w:ascii="Calibri" w:eastAsia="Times New Roman" w:hAnsi="Calibri" w:cs="Calibri"/>
                <w:color w:val="000000"/>
              </w:rPr>
            </w:pPr>
            <w:r w:rsidRPr="00F3632F">
              <w:rPr>
                <w:rFonts w:ascii="Calibri" w:eastAsia="Times New Roman" w:hAnsi="Calibri" w:cs="Calibri"/>
                <w:color w:val="000000"/>
              </w:rPr>
              <w:t>Identify and document any inconsistencies.</w:t>
            </w:r>
          </w:p>
        </w:tc>
      </w:tr>
      <w:tr w:rsidR="00F3632F" w:rsidRPr="00F3632F" w:rsidTr="009541EC">
        <w:trPr>
          <w:trHeight w:val="261"/>
        </w:trPr>
        <w:tc>
          <w:tcPr>
            <w:tcW w:w="1207" w:type="dxa"/>
            <w:tcBorders>
              <w:top w:val="nil"/>
              <w:left w:val="single" w:sz="4" w:space="0" w:color="auto"/>
              <w:bottom w:val="nil"/>
              <w:right w:val="nil"/>
            </w:tcBorders>
            <w:shd w:val="clear" w:color="auto" w:fill="auto"/>
            <w:hideMark/>
          </w:tcPr>
          <w:p w:rsidR="00F3632F" w:rsidRPr="00F3632F" w:rsidRDefault="00F3632F" w:rsidP="00BB166F">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Example</w:t>
            </w:r>
          </w:p>
        </w:tc>
        <w:tc>
          <w:tcPr>
            <w:tcW w:w="8569" w:type="dxa"/>
            <w:tcBorders>
              <w:top w:val="nil"/>
              <w:left w:val="nil"/>
              <w:bottom w:val="nil"/>
              <w:right w:val="single" w:sz="4" w:space="0" w:color="auto"/>
            </w:tcBorders>
            <w:shd w:val="clear" w:color="auto" w:fill="auto"/>
            <w:hideMark/>
          </w:tcPr>
          <w:p w:rsidR="00F3632F" w:rsidRPr="00F3632F" w:rsidRDefault="00C4191E" w:rsidP="006D3B77">
            <w:pPr>
              <w:spacing w:after="120" w:line="240" w:lineRule="auto"/>
              <w:jc w:val="both"/>
              <w:rPr>
                <w:rFonts w:ascii="Calibri" w:hAnsi="Calibri" w:cs="Calibri"/>
                <w:color w:val="000000"/>
              </w:rPr>
            </w:pPr>
            <w:r>
              <w:rPr>
                <w:rFonts w:ascii="Calibri" w:hAnsi="Calibri" w:cs="Calibri"/>
                <w:color w:val="000000"/>
              </w:rPr>
              <w:t xml:space="preserve">Mother's age at follow-up is checked for consistency with age </w:t>
            </w:r>
            <w:r w:rsidR="002C7688">
              <w:rPr>
                <w:rFonts w:ascii="Calibri" w:hAnsi="Calibri" w:cs="Calibri"/>
                <w:color w:val="000000"/>
              </w:rPr>
              <w:t>at</w:t>
            </w:r>
            <w:r>
              <w:rPr>
                <w:rFonts w:ascii="Calibri" w:hAnsi="Calibri" w:cs="Calibri"/>
                <w:color w:val="000000"/>
              </w:rPr>
              <w:t xml:space="preserve"> baseline.</w:t>
            </w:r>
          </w:p>
        </w:tc>
      </w:tr>
      <w:tr w:rsidR="00F3632F" w:rsidRPr="00F3632F" w:rsidTr="009541EC">
        <w:trPr>
          <w:trHeight w:val="288"/>
        </w:trPr>
        <w:tc>
          <w:tcPr>
            <w:tcW w:w="9776" w:type="dxa"/>
            <w:gridSpan w:val="2"/>
            <w:tcBorders>
              <w:top w:val="nil"/>
              <w:left w:val="single" w:sz="4" w:space="0" w:color="auto"/>
              <w:bottom w:val="nil"/>
              <w:right w:val="single" w:sz="4" w:space="0" w:color="000000"/>
            </w:tcBorders>
            <w:shd w:val="clear" w:color="000000" w:fill="D9E1F2"/>
            <w:noWrap/>
            <w:hideMark/>
          </w:tcPr>
          <w:p w:rsidR="00F3632F" w:rsidRPr="00F3632F" w:rsidRDefault="00F3632F" w:rsidP="006D3B77">
            <w:pPr>
              <w:spacing w:after="120" w:line="240" w:lineRule="auto"/>
              <w:rPr>
                <w:rFonts w:ascii="Calibri" w:eastAsia="Times New Roman" w:hAnsi="Calibri" w:cs="Calibri"/>
                <w:b/>
                <w:bCs/>
                <w:color w:val="000000"/>
              </w:rPr>
            </w:pPr>
            <w:r w:rsidRPr="00F3632F">
              <w:rPr>
                <w:rFonts w:ascii="Calibri" w:eastAsia="Times New Roman" w:hAnsi="Calibri" w:cs="Calibri"/>
                <w:b/>
                <w:bCs/>
                <w:color w:val="000000"/>
              </w:rPr>
              <w:t>Resolve issues, where possible</w:t>
            </w:r>
          </w:p>
        </w:tc>
      </w:tr>
      <w:tr w:rsidR="00F3632F" w:rsidRPr="00F3632F" w:rsidTr="009541EC">
        <w:trPr>
          <w:trHeight w:val="576"/>
        </w:trPr>
        <w:tc>
          <w:tcPr>
            <w:tcW w:w="1207" w:type="dxa"/>
            <w:tcBorders>
              <w:top w:val="nil"/>
              <w:left w:val="single" w:sz="4" w:space="0" w:color="auto"/>
              <w:bottom w:val="nil"/>
              <w:right w:val="nil"/>
            </w:tcBorders>
            <w:shd w:val="clear" w:color="auto" w:fill="auto"/>
            <w:hideMark/>
          </w:tcPr>
          <w:p w:rsidR="00F3632F" w:rsidRPr="00F3632F" w:rsidRDefault="00F3632F" w:rsidP="00BB166F">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Procedure</w:t>
            </w:r>
            <w:r w:rsidR="00BF3F3F">
              <w:rPr>
                <w:rFonts w:ascii="Calibri" w:eastAsia="Times New Roman" w:hAnsi="Calibri" w:cs="Calibri"/>
                <w:i/>
                <w:iCs/>
                <w:color w:val="000000"/>
              </w:rPr>
              <w:t>s</w:t>
            </w:r>
          </w:p>
        </w:tc>
        <w:tc>
          <w:tcPr>
            <w:tcW w:w="8569" w:type="dxa"/>
            <w:tcBorders>
              <w:top w:val="nil"/>
              <w:left w:val="nil"/>
              <w:bottom w:val="nil"/>
              <w:right w:val="single" w:sz="4" w:space="0" w:color="auto"/>
            </w:tcBorders>
            <w:shd w:val="clear" w:color="auto" w:fill="auto"/>
            <w:hideMark/>
          </w:tcPr>
          <w:p w:rsidR="00F3632F" w:rsidRPr="00F3632F" w:rsidRDefault="00F3632F" w:rsidP="006D3B77">
            <w:pPr>
              <w:spacing w:after="120" w:line="240" w:lineRule="auto"/>
              <w:rPr>
                <w:rFonts w:ascii="Calibri" w:eastAsia="Times New Roman" w:hAnsi="Calibri" w:cs="Calibri"/>
                <w:color w:val="000000"/>
              </w:rPr>
            </w:pPr>
            <w:r w:rsidRPr="00F3632F">
              <w:rPr>
                <w:rFonts w:ascii="Calibri" w:eastAsia="Times New Roman" w:hAnsi="Calibri" w:cs="Calibri"/>
                <w:color w:val="000000"/>
              </w:rPr>
              <w:t xml:space="preserve">If relevant, contact the </w:t>
            </w:r>
            <w:r w:rsidR="002C7688">
              <w:rPr>
                <w:rFonts w:ascii="Calibri" w:eastAsia="Times New Roman" w:hAnsi="Calibri" w:cs="Calibri"/>
                <w:color w:val="000000"/>
              </w:rPr>
              <w:t xml:space="preserve">study </w:t>
            </w:r>
            <w:r w:rsidRPr="00F3632F">
              <w:rPr>
                <w:rFonts w:ascii="Calibri" w:eastAsia="Times New Roman" w:hAnsi="Calibri" w:cs="Calibri"/>
                <w:color w:val="000000"/>
              </w:rPr>
              <w:t xml:space="preserve">data managers with questions </w:t>
            </w:r>
            <w:r w:rsidR="00A14EA4">
              <w:rPr>
                <w:rFonts w:ascii="Calibri" w:eastAsia="Times New Roman" w:hAnsi="Calibri" w:cs="Calibri"/>
                <w:color w:val="000000"/>
              </w:rPr>
              <w:t>or request</w:t>
            </w:r>
            <w:r w:rsidR="002C675E">
              <w:rPr>
                <w:rFonts w:ascii="Calibri" w:eastAsia="Times New Roman" w:hAnsi="Calibri" w:cs="Calibri"/>
                <w:color w:val="000000"/>
              </w:rPr>
              <w:t>s</w:t>
            </w:r>
            <w:r w:rsidR="00A14EA4">
              <w:rPr>
                <w:rFonts w:ascii="Calibri" w:eastAsia="Times New Roman" w:hAnsi="Calibri" w:cs="Calibri"/>
                <w:color w:val="000000"/>
              </w:rPr>
              <w:t xml:space="preserve"> for more information </w:t>
            </w:r>
            <w:r w:rsidRPr="00F3632F">
              <w:rPr>
                <w:rFonts w:ascii="Calibri" w:eastAsia="Times New Roman" w:hAnsi="Calibri" w:cs="Calibri"/>
                <w:color w:val="000000"/>
              </w:rPr>
              <w:t>about</w:t>
            </w:r>
            <w:r w:rsidR="002C7688">
              <w:rPr>
                <w:rFonts w:ascii="Calibri" w:eastAsia="Times New Roman" w:hAnsi="Calibri" w:cs="Calibri"/>
                <w:color w:val="000000"/>
              </w:rPr>
              <w:t xml:space="preserve"> input</w:t>
            </w:r>
            <w:r w:rsidRPr="00F3632F">
              <w:rPr>
                <w:rFonts w:ascii="Calibri" w:eastAsia="Times New Roman" w:hAnsi="Calibri" w:cs="Calibri"/>
                <w:color w:val="000000"/>
              </w:rPr>
              <w:t xml:space="preserve"> study-specific data</w:t>
            </w:r>
            <w:r w:rsidR="0072147A">
              <w:rPr>
                <w:rFonts w:ascii="Calibri" w:eastAsia="Times New Roman" w:hAnsi="Calibri" w:cs="Calibri"/>
                <w:color w:val="000000"/>
              </w:rPr>
              <w:t xml:space="preserve"> </w:t>
            </w:r>
            <w:r w:rsidR="002C7688">
              <w:rPr>
                <w:rFonts w:ascii="Calibri" w:eastAsia="Times New Roman" w:hAnsi="Calibri" w:cs="Calibri"/>
                <w:color w:val="000000"/>
              </w:rPr>
              <w:t>sets</w:t>
            </w:r>
            <w:r w:rsidRPr="00F3632F">
              <w:rPr>
                <w:rFonts w:ascii="Calibri" w:eastAsia="Times New Roman" w:hAnsi="Calibri" w:cs="Calibri"/>
                <w:color w:val="000000"/>
              </w:rPr>
              <w:t>.</w:t>
            </w:r>
          </w:p>
        </w:tc>
      </w:tr>
      <w:tr w:rsidR="00F3632F" w:rsidRPr="00F3632F" w:rsidTr="009541EC">
        <w:trPr>
          <w:trHeight w:val="288"/>
        </w:trPr>
        <w:tc>
          <w:tcPr>
            <w:tcW w:w="1207" w:type="dxa"/>
            <w:tcBorders>
              <w:top w:val="nil"/>
              <w:left w:val="single" w:sz="4" w:space="0" w:color="auto"/>
              <w:bottom w:val="nil"/>
              <w:right w:val="nil"/>
            </w:tcBorders>
            <w:shd w:val="clear" w:color="auto" w:fill="auto"/>
            <w:hideMark/>
          </w:tcPr>
          <w:p w:rsidR="00F3632F" w:rsidRPr="00F3632F" w:rsidRDefault="00F3632F" w:rsidP="00BB166F">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 </w:t>
            </w:r>
          </w:p>
        </w:tc>
        <w:tc>
          <w:tcPr>
            <w:tcW w:w="8569" w:type="dxa"/>
            <w:tcBorders>
              <w:top w:val="nil"/>
              <w:left w:val="nil"/>
              <w:bottom w:val="nil"/>
              <w:right w:val="single" w:sz="4" w:space="0" w:color="auto"/>
            </w:tcBorders>
            <w:shd w:val="clear" w:color="auto" w:fill="auto"/>
            <w:hideMark/>
          </w:tcPr>
          <w:p w:rsidR="00F3632F" w:rsidRPr="00F3632F" w:rsidRDefault="00F3632F" w:rsidP="006D3B77">
            <w:pPr>
              <w:spacing w:after="120" w:line="240" w:lineRule="auto"/>
              <w:rPr>
                <w:rFonts w:ascii="Calibri" w:eastAsia="Times New Roman" w:hAnsi="Calibri" w:cs="Calibri"/>
                <w:color w:val="000000"/>
              </w:rPr>
            </w:pPr>
            <w:r w:rsidRPr="00F3632F">
              <w:rPr>
                <w:rFonts w:ascii="Calibri" w:eastAsia="Times New Roman" w:hAnsi="Calibri" w:cs="Calibri"/>
                <w:color w:val="000000"/>
              </w:rPr>
              <w:t>Where possible, resolve questions and update documentation.</w:t>
            </w:r>
          </w:p>
        </w:tc>
      </w:tr>
      <w:tr w:rsidR="00F3632F" w:rsidRPr="00F3632F" w:rsidTr="009541EC">
        <w:trPr>
          <w:trHeight w:val="576"/>
        </w:trPr>
        <w:tc>
          <w:tcPr>
            <w:tcW w:w="1207" w:type="dxa"/>
            <w:tcBorders>
              <w:top w:val="nil"/>
              <w:left w:val="single" w:sz="4" w:space="0" w:color="auto"/>
              <w:bottom w:val="single" w:sz="4" w:space="0" w:color="auto"/>
              <w:right w:val="nil"/>
            </w:tcBorders>
            <w:shd w:val="clear" w:color="auto" w:fill="auto"/>
            <w:hideMark/>
          </w:tcPr>
          <w:p w:rsidR="00F3632F" w:rsidRPr="00F3632F" w:rsidRDefault="00F3632F" w:rsidP="00BB166F">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Example</w:t>
            </w:r>
          </w:p>
        </w:tc>
        <w:tc>
          <w:tcPr>
            <w:tcW w:w="8569" w:type="dxa"/>
            <w:tcBorders>
              <w:top w:val="nil"/>
              <w:left w:val="nil"/>
              <w:bottom w:val="single" w:sz="4" w:space="0" w:color="auto"/>
              <w:right w:val="single" w:sz="4" w:space="0" w:color="auto"/>
            </w:tcBorders>
            <w:shd w:val="clear" w:color="auto" w:fill="auto"/>
            <w:hideMark/>
          </w:tcPr>
          <w:p w:rsidR="00F3632F" w:rsidRPr="00F3632F" w:rsidRDefault="00F3632F" w:rsidP="006D3B77">
            <w:pPr>
              <w:spacing w:after="120" w:line="240" w:lineRule="auto"/>
              <w:rPr>
                <w:rFonts w:ascii="Calibri" w:eastAsia="Times New Roman" w:hAnsi="Calibri" w:cs="Calibri"/>
                <w:color w:val="000000"/>
              </w:rPr>
            </w:pPr>
            <w:r w:rsidRPr="00F3632F">
              <w:rPr>
                <w:rFonts w:ascii="Calibri" w:eastAsia="Times New Roman" w:hAnsi="Calibri" w:cs="Calibri"/>
                <w:color w:val="000000"/>
              </w:rPr>
              <w:t xml:space="preserve">The </w:t>
            </w:r>
            <w:r w:rsidR="002C7688">
              <w:rPr>
                <w:rFonts w:ascii="Calibri" w:eastAsia="Times New Roman" w:hAnsi="Calibri" w:cs="Calibri"/>
                <w:color w:val="000000"/>
              </w:rPr>
              <w:t>study data manager</w:t>
            </w:r>
            <w:r w:rsidRPr="00F3632F">
              <w:rPr>
                <w:rFonts w:ascii="Calibri" w:eastAsia="Times New Roman" w:hAnsi="Calibri" w:cs="Calibri"/>
                <w:color w:val="000000"/>
              </w:rPr>
              <w:t xml:space="preserve"> confirms that an unlabeled category </w:t>
            </w:r>
            <w:r w:rsidR="00473733">
              <w:rPr>
                <w:rFonts w:ascii="Calibri" w:eastAsia="Times New Roman" w:hAnsi="Calibri" w:cs="Calibri"/>
                <w:color w:val="000000"/>
              </w:rPr>
              <w:t>“</w:t>
            </w:r>
            <w:r w:rsidRPr="00F3632F">
              <w:rPr>
                <w:rFonts w:ascii="Calibri" w:eastAsia="Times New Roman" w:hAnsi="Calibri" w:cs="Calibri"/>
                <w:color w:val="000000"/>
              </w:rPr>
              <w:t>999</w:t>
            </w:r>
            <w:r w:rsidR="00473733">
              <w:rPr>
                <w:rFonts w:ascii="Calibri" w:eastAsia="Times New Roman" w:hAnsi="Calibri" w:cs="Calibri"/>
                <w:color w:val="000000"/>
              </w:rPr>
              <w:t>”</w:t>
            </w:r>
            <w:r w:rsidRPr="00F3632F">
              <w:rPr>
                <w:rFonts w:ascii="Calibri" w:eastAsia="Times New Roman" w:hAnsi="Calibri" w:cs="Calibri"/>
                <w:color w:val="000000"/>
              </w:rPr>
              <w:t xml:space="preserve"> for the variable </w:t>
            </w:r>
            <w:r w:rsidR="00473733">
              <w:rPr>
                <w:rFonts w:ascii="Calibri" w:eastAsia="Times New Roman" w:hAnsi="Calibri" w:cs="Calibri"/>
                <w:color w:val="000000"/>
              </w:rPr>
              <w:t>“number of</w:t>
            </w:r>
            <w:r w:rsidRPr="00F3632F">
              <w:rPr>
                <w:rFonts w:ascii="Calibri" w:eastAsia="Times New Roman" w:hAnsi="Calibri" w:cs="Calibri"/>
                <w:color w:val="000000"/>
              </w:rPr>
              <w:t xml:space="preserve"> drinks per week</w:t>
            </w:r>
            <w:r w:rsidR="00473733">
              <w:rPr>
                <w:rFonts w:ascii="Calibri" w:eastAsia="Times New Roman" w:hAnsi="Calibri" w:cs="Calibri"/>
                <w:color w:val="000000"/>
              </w:rPr>
              <w:t>”</w:t>
            </w:r>
            <w:r w:rsidRPr="00F3632F">
              <w:rPr>
                <w:rFonts w:ascii="Calibri" w:eastAsia="Times New Roman" w:hAnsi="Calibri" w:cs="Calibri"/>
                <w:color w:val="000000"/>
              </w:rPr>
              <w:t xml:space="preserve"> should be treated as missing.</w:t>
            </w:r>
          </w:p>
        </w:tc>
      </w:tr>
    </w:tbl>
    <w:p w:rsidR="00F75FA5" w:rsidRPr="00EF5EDE" w:rsidRDefault="00F75FA5" w:rsidP="00536D7E">
      <w:pPr>
        <w:rPr>
          <w:b/>
          <w:bCs/>
        </w:rPr>
      </w:pPr>
      <w:r w:rsidRPr="000B5975">
        <w:rPr>
          <w:b/>
          <w:bCs/>
        </w:rPr>
        <w:lastRenderedPageBreak/>
        <w:t>Supplementary</w:t>
      </w:r>
      <w:r w:rsidR="00D56110" w:rsidRPr="000B5975">
        <w:rPr>
          <w:b/>
          <w:bCs/>
        </w:rPr>
        <w:t xml:space="preserve"> Material </w:t>
      </w:r>
      <w:r w:rsidR="00270978">
        <w:rPr>
          <w:b/>
          <w:bCs/>
        </w:rPr>
        <w:t>S5</w:t>
      </w:r>
      <w:r w:rsidRPr="000B5975">
        <w:rPr>
          <w:b/>
          <w:bCs/>
        </w:rPr>
        <w:t xml:space="preserve">. </w:t>
      </w:r>
      <w:r w:rsidR="005F3C17" w:rsidRPr="000B5975">
        <w:rPr>
          <w:b/>
          <w:bCs/>
        </w:rPr>
        <w:t xml:space="preserve">Data </w:t>
      </w:r>
      <w:r w:rsidR="0046204F" w:rsidRPr="000B5975">
        <w:rPr>
          <w:b/>
          <w:bCs/>
        </w:rPr>
        <w:t>p</w:t>
      </w:r>
      <w:r w:rsidR="005F3C17" w:rsidRPr="000B5975">
        <w:rPr>
          <w:b/>
          <w:bCs/>
        </w:rPr>
        <w:t>rocessing</w:t>
      </w:r>
      <w:r w:rsidR="00E70094" w:rsidRPr="000B5975">
        <w:rPr>
          <w:b/>
          <w:bCs/>
        </w:rPr>
        <w:t xml:space="preserve"> </w:t>
      </w:r>
      <w:r w:rsidR="0046204F" w:rsidRPr="000B5975">
        <w:rPr>
          <w:b/>
          <w:bCs/>
        </w:rPr>
        <w:t>a</w:t>
      </w:r>
      <w:r w:rsidR="005F3C17" w:rsidRPr="000B5975">
        <w:rPr>
          <w:b/>
          <w:bCs/>
        </w:rPr>
        <w:t>pproaches</w:t>
      </w:r>
      <w:r w:rsidR="0046204F" w:rsidRPr="000B5975">
        <w:rPr>
          <w:b/>
          <w:bCs/>
        </w:rPr>
        <w:t xml:space="preserve"> to generate harmonized variables</w:t>
      </w:r>
    </w:p>
    <w:p w:rsidR="0046204F" w:rsidRDefault="00D94898" w:rsidP="00EF5EDE">
      <w:r>
        <w:t>The</w:t>
      </w:r>
      <w:r w:rsidR="005F3C17" w:rsidRPr="005F3C17">
        <w:t xml:space="preserve"> </w:t>
      </w:r>
      <w:r>
        <w:t>data</w:t>
      </w:r>
      <w:r w:rsidR="005F3C17" w:rsidRPr="005F3C17">
        <w:t xml:space="preserve"> processing methods </w:t>
      </w:r>
      <w:r>
        <w:t xml:space="preserve">used to generate harmonized variables will </w:t>
      </w:r>
      <w:r w:rsidR="00E70094">
        <w:t xml:space="preserve">depend on the </w:t>
      </w:r>
      <w:r w:rsidR="008F7440">
        <w:t xml:space="preserve">content and format of </w:t>
      </w:r>
      <w:r w:rsidR="00EF5EDE">
        <w:t xml:space="preserve">targeted </w:t>
      </w:r>
      <w:proofErr w:type="spellStart"/>
      <w:r w:rsidR="002C7688">
        <w:t>DataSchema</w:t>
      </w:r>
      <w:proofErr w:type="spellEnd"/>
      <w:r w:rsidR="00EF5EDE">
        <w:t xml:space="preserve"> variables</w:t>
      </w:r>
      <w:r w:rsidR="00E70094">
        <w:t>, the</w:t>
      </w:r>
      <w:r w:rsidR="008F7440">
        <w:t xml:space="preserve"> content and format of</w:t>
      </w:r>
      <w:r w:rsidR="00E70094">
        <w:t xml:space="preserve"> </w:t>
      </w:r>
      <w:r w:rsidR="002C7688">
        <w:t xml:space="preserve">input </w:t>
      </w:r>
      <w:r w:rsidR="00E70094">
        <w:t xml:space="preserve">study-specific variables, and </w:t>
      </w:r>
      <w:r w:rsidR="008F7440">
        <w:t>the data infrastructure</w:t>
      </w:r>
      <w:r w:rsidR="00E75C70">
        <w:t xml:space="preserve"> implemented</w:t>
      </w:r>
      <w:r w:rsidR="002B0075">
        <w:t xml:space="preserve">. </w:t>
      </w:r>
      <w:r w:rsidR="00DE7880">
        <w:t>Some p</w:t>
      </w:r>
      <w:r w:rsidR="002B0075">
        <w:t xml:space="preserve">rocessing approaches and considerations in their application are </w:t>
      </w:r>
      <w:r w:rsidR="00DE7880">
        <w:t>outlined below</w:t>
      </w:r>
      <w:r w:rsidR="005F3C17" w:rsidRPr="005F3C17">
        <w:t>.</w:t>
      </w:r>
      <w:r w:rsidR="00C8445D">
        <w:t xml:space="preserve"> </w:t>
      </w:r>
    </w:p>
    <w:tbl>
      <w:tblPr>
        <w:tblW w:w="10075" w:type="dxa"/>
        <w:tblLook w:val="04A0"/>
      </w:tblPr>
      <w:tblGrid>
        <w:gridCol w:w="1536"/>
        <w:gridCol w:w="8539"/>
      </w:tblGrid>
      <w:tr w:rsidR="005F3C17" w:rsidRPr="00EF5EDE" w:rsidTr="00DA13FF">
        <w:trPr>
          <w:trHeight w:val="288"/>
        </w:trPr>
        <w:tc>
          <w:tcPr>
            <w:tcW w:w="10075" w:type="dxa"/>
            <w:gridSpan w:val="2"/>
            <w:tcBorders>
              <w:top w:val="single" w:sz="4" w:space="0" w:color="auto"/>
              <w:left w:val="single" w:sz="4" w:space="0" w:color="auto"/>
              <w:bottom w:val="nil"/>
              <w:right w:val="single" w:sz="4" w:space="0" w:color="000000"/>
            </w:tcBorders>
            <w:shd w:val="clear" w:color="auto" w:fill="FFE599" w:themeFill="accent4" w:themeFillTint="66"/>
            <w:noWrap/>
            <w:hideMark/>
          </w:tcPr>
          <w:p w:rsidR="005F3C17" w:rsidRPr="00EF5EDE" w:rsidRDefault="005F3C17" w:rsidP="004B4919">
            <w:pPr>
              <w:spacing w:after="120"/>
              <w:rPr>
                <w:b/>
                <w:bCs/>
              </w:rPr>
            </w:pPr>
            <w:r w:rsidRPr="00EF5EDE">
              <w:rPr>
                <w:b/>
                <w:bCs/>
              </w:rPr>
              <w:t>Algorithmic transformation</w:t>
            </w:r>
          </w:p>
        </w:tc>
      </w:tr>
      <w:tr w:rsidR="005F3C17" w:rsidRPr="005F3C17" w:rsidTr="00561B78">
        <w:trPr>
          <w:trHeight w:val="576"/>
        </w:trPr>
        <w:tc>
          <w:tcPr>
            <w:tcW w:w="1536" w:type="dxa"/>
            <w:tcBorders>
              <w:top w:val="nil"/>
              <w:left w:val="single" w:sz="4" w:space="0" w:color="auto"/>
              <w:bottom w:val="nil"/>
              <w:right w:val="nil"/>
            </w:tcBorders>
            <w:shd w:val="clear" w:color="auto" w:fill="auto"/>
            <w:hideMark/>
          </w:tcPr>
          <w:p w:rsidR="005F3C17" w:rsidRPr="005F3C17" w:rsidRDefault="005F3C17" w:rsidP="004B4919">
            <w:pPr>
              <w:spacing w:after="120"/>
              <w:rPr>
                <w:i/>
                <w:iCs/>
              </w:rPr>
            </w:pPr>
            <w:r w:rsidRPr="005F3C17">
              <w:rPr>
                <w:i/>
                <w:iCs/>
              </w:rPr>
              <w:t>Defin</w:t>
            </w:r>
            <w:r w:rsidR="00941C8F">
              <w:rPr>
                <w:i/>
                <w:iCs/>
              </w:rPr>
              <w:t>i</w:t>
            </w:r>
            <w:r w:rsidRPr="005F3C17">
              <w:rPr>
                <w:i/>
                <w:iCs/>
              </w:rPr>
              <w:t>tion</w:t>
            </w:r>
          </w:p>
        </w:tc>
        <w:tc>
          <w:tcPr>
            <w:tcW w:w="8539" w:type="dxa"/>
            <w:tcBorders>
              <w:top w:val="nil"/>
              <w:left w:val="nil"/>
              <w:bottom w:val="nil"/>
              <w:right w:val="single" w:sz="4" w:space="0" w:color="auto"/>
            </w:tcBorders>
            <w:shd w:val="clear" w:color="auto" w:fill="auto"/>
            <w:hideMark/>
          </w:tcPr>
          <w:p w:rsidR="005F3C17" w:rsidRPr="005F3C17" w:rsidRDefault="005F3C17" w:rsidP="004B4919">
            <w:pPr>
              <w:spacing w:after="120"/>
            </w:pPr>
            <w:r w:rsidRPr="005F3C17">
              <w:t>A finite set of unambiguous</w:t>
            </w:r>
            <w:r w:rsidR="000D0EEC">
              <w:t xml:space="preserve"> processing</w:t>
            </w:r>
            <w:r w:rsidRPr="005F3C17">
              <w:t xml:space="preserve"> </w:t>
            </w:r>
            <w:r w:rsidR="000D0EEC">
              <w:t>rules</w:t>
            </w:r>
            <w:r w:rsidRPr="005F3C17">
              <w:t xml:space="preserve"> performed in a prescribed sequence, especially a mathematical rule or procedur</w:t>
            </w:r>
            <w:r w:rsidR="000D0EEC">
              <w:t>e</w:t>
            </w:r>
            <w:r w:rsidR="00732874">
              <w:t>.</w:t>
            </w:r>
          </w:p>
        </w:tc>
      </w:tr>
      <w:tr w:rsidR="005F3C17" w:rsidRPr="005F3C17" w:rsidTr="00561B78">
        <w:trPr>
          <w:trHeight w:val="576"/>
        </w:trPr>
        <w:tc>
          <w:tcPr>
            <w:tcW w:w="1536" w:type="dxa"/>
            <w:tcBorders>
              <w:top w:val="nil"/>
              <w:left w:val="single" w:sz="4" w:space="0" w:color="auto"/>
              <w:bottom w:val="nil"/>
              <w:right w:val="nil"/>
            </w:tcBorders>
            <w:shd w:val="clear" w:color="auto" w:fill="auto"/>
            <w:hideMark/>
          </w:tcPr>
          <w:p w:rsidR="005F3C17" w:rsidRPr="005F3C17" w:rsidRDefault="005F3C17" w:rsidP="004B4919">
            <w:pPr>
              <w:spacing w:after="120"/>
              <w:rPr>
                <w:i/>
                <w:iCs/>
              </w:rPr>
            </w:pPr>
            <w:r w:rsidRPr="005F3C17">
              <w:rPr>
                <w:i/>
                <w:iCs/>
              </w:rPr>
              <w:t>Application</w:t>
            </w:r>
          </w:p>
        </w:tc>
        <w:tc>
          <w:tcPr>
            <w:tcW w:w="8539" w:type="dxa"/>
            <w:tcBorders>
              <w:top w:val="nil"/>
              <w:left w:val="nil"/>
              <w:bottom w:val="nil"/>
              <w:right w:val="single" w:sz="4" w:space="0" w:color="auto"/>
            </w:tcBorders>
            <w:shd w:val="clear" w:color="auto" w:fill="auto"/>
            <w:hideMark/>
          </w:tcPr>
          <w:p w:rsidR="005F3C17" w:rsidRPr="005F3C17" w:rsidRDefault="005F3C17" w:rsidP="004B4919">
            <w:pPr>
              <w:spacing w:after="120"/>
            </w:pPr>
            <w:r w:rsidRPr="005F3C17">
              <w:t xml:space="preserve">To harmonize continuous </w:t>
            </w:r>
            <w:r w:rsidR="00DA5842">
              <w:t>or</w:t>
            </w:r>
            <w:r w:rsidRPr="005F3C17">
              <w:t xml:space="preserve"> categorical</w:t>
            </w:r>
            <w:r w:rsidR="00732874">
              <w:t xml:space="preserve"> variables</w:t>
            </w:r>
            <w:r w:rsidRPr="005F3C17">
              <w:t xml:space="preserve"> with different but combinable ranges or categories</w:t>
            </w:r>
            <w:r w:rsidR="00732874">
              <w:t>.</w:t>
            </w:r>
          </w:p>
        </w:tc>
      </w:tr>
      <w:tr w:rsidR="005F3C17" w:rsidRPr="005F3C17" w:rsidTr="00561B78">
        <w:trPr>
          <w:trHeight w:val="1152"/>
        </w:trPr>
        <w:tc>
          <w:tcPr>
            <w:tcW w:w="1536" w:type="dxa"/>
            <w:tcBorders>
              <w:top w:val="nil"/>
              <w:left w:val="single" w:sz="4" w:space="0" w:color="auto"/>
              <w:bottom w:val="nil"/>
              <w:right w:val="nil"/>
            </w:tcBorders>
            <w:shd w:val="clear" w:color="auto" w:fill="auto"/>
            <w:hideMark/>
          </w:tcPr>
          <w:p w:rsidR="005F3C17" w:rsidRPr="005F3C17" w:rsidRDefault="005F3C17" w:rsidP="004B4919">
            <w:pPr>
              <w:spacing w:after="120"/>
              <w:rPr>
                <w:i/>
                <w:iCs/>
              </w:rPr>
            </w:pPr>
            <w:r w:rsidRPr="005F3C17">
              <w:rPr>
                <w:i/>
                <w:iCs/>
              </w:rPr>
              <w:t>Example(s)</w:t>
            </w:r>
          </w:p>
        </w:tc>
        <w:tc>
          <w:tcPr>
            <w:tcW w:w="8539" w:type="dxa"/>
            <w:tcBorders>
              <w:top w:val="nil"/>
              <w:left w:val="nil"/>
              <w:bottom w:val="nil"/>
              <w:right w:val="single" w:sz="4" w:space="0" w:color="auto"/>
            </w:tcBorders>
            <w:shd w:val="clear" w:color="auto" w:fill="auto"/>
            <w:hideMark/>
          </w:tcPr>
          <w:p w:rsidR="005F3C17" w:rsidRPr="005F3C17" w:rsidRDefault="005F3C17" w:rsidP="004B4919">
            <w:pPr>
              <w:spacing w:after="120"/>
            </w:pPr>
            <w:r w:rsidRPr="005F3C17">
              <w:t>Processing household income level from</w:t>
            </w:r>
            <w:r w:rsidR="00DA5842">
              <w:t xml:space="preserve"> a </w:t>
            </w:r>
            <w:r w:rsidRPr="005F3C17">
              <w:t>contin</w:t>
            </w:r>
            <w:r w:rsidR="00DA5842">
              <w:t>u</w:t>
            </w:r>
            <w:r w:rsidRPr="005F3C17">
              <w:t>ous</w:t>
            </w:r>
            <w:r w:rsidR="00DA5842">
              <w:t xml:space="preserve"> variable</w:t>
            </w:r>
            <w:r w:rsidRPr="005F3C17">
              <w:t xml:space="preserve"> to </w:t>
            </w:r>
            <w:r w:rsidR="00DA5842">
              <w:t xml:space="preserve">a </w:t>
            </w:r>
            <w:r w:rsidRPr="005F3C17">
              <w:t xml:space="preserve">dichotomous </w:t>
            </w:r>
            <w:r w:rsidR="00DA5842">
              <w:t xml:space="preserve">variable of </w:t>
            </w:r>
            <w:r w:rsidRPr="005F3C17">
              <w:t>above provincial average</w:t>
            </w:r>
            <w:r w:rsidR="00DA5842">
              <w:t xml:space="preserve"> (yes/no)</w:t>
            </w:r>
            <w:r w:rsidR="00732874">
              <w:t>.</w:t>
            </w:r>
            <w:r w:rsidRPr="005F3C17">
              <w:br/>
              <w:t>Processing frequency of alcohol</w:t>
            </w:r>
            <w:r w:rsidR="00DA5842">
              <w:t xml:space="preserve"> use</w:t>
            </w:r>
            <w:r w:rsidRPr="005F3C17">
              <w:t xml:space="preserve"> before pregnancy from </w:t>
            </w:r>
            <w:r w:rsidR="004F5085">
              <w:t xml:space="preserve">total </w:t>
            </w:r>
            <w:r w:rsidR="000C6578">
              <w:t>day</w:t>
            </w:r>
            <w:r w:rsidR="004F5085">
              <w:t>s in the previous 3 months</w:t>
            </w:r>
            <w:r w:rsidRPr="005F3C17">
              <w:t xml:space="preserve"> to </w:t>
            </w:r>
            <w:r w:rsidR="004F5085">
              <w:t xml:space="preserve">average per month </w:t>
            </w:r>
            <w:r w:rsidR="00DA5842">
              <w:t>categories</w:t>
            </w:r>
            <w:r w:rsidR="000C6578">
              <w:t xml:space="preserve"> </w:t>
            </w:r>
            <w:r w:rsidR="004F5085">
              <w:t>(0: none, 1: &lt;once/month, 2: once/month, 3: 2-3/month, 4: once/week, 5: 2-3 times/week</w:t>
            </w:r>
            <w:r w:rsidR="0024064D">
              <w:t>, 6: 4-6 times/week, 7: everyday</w:t>
            </w:r>
            <w:r w:rsidR="006C40D3">
              <w:t>)</w:t>
            </w:r>
          </w:p>
        </w:tc>
      </w:tr>
      <w:tr w:rsidR="005F3C17" w:rsidRPr="005F3C17" w:rsidTr="000C6578">
        <w:trPr>
          <w:trHeight w:val="756"/>
        </w:trPr>
        <w:tc>
          <w:tcPr>
            <w:tcW w:w="1536" w:type="dxa"/>
            <w:tcBorders>
              <w:top w:val="nil"/>
              <w:left w:val="single" w:sz="4" w:space="0" w:color="auto"/>
              <w:bottom w:val="nil"/>
              <w:right w:val="nil"/>
            </w:tcBorders>
            <w:shd w:val="clear" w:color="auto" w:fill="auto"/>
            <w:hideMark/>
          </w:tcPr>
          <w:p w:rsidR="005F3C17" w:rsidRPr="005F3C17" w:rsidRDefault="005F3C17" w:rsidP="004B4919">
            <w:pPr>
              <w:spacing w:after="120"/>
              <w:rPr>
                <w:i/>
                <w:iCs/>
              </w:rPr>
            </w:pPr>
            <w:r w:rsidRPr="005F3C17">
              <w:rPr>
                <w:i/>
                <w:iCs/>
              </w:rPr>
              <w:t>Considerations</w:t>
            </w:r>
          </w:p>
        </w:tc>
        <w:tc>
          <w:tcPr>
            <w:tcW w:w="8539" w:type="dxa"/>
            <w:tcBorders>
              <w:top w:val="nil"/>
              <w:left w:val="nil"/>
              <w:bottom w:val="nil"/>
              <w:right w:val="single" w:sz="4" w:space="0" w:color="auto"/>
            </w:tcBorders>
            <w:shd w:val="clear" w:color="auto" w:fill="auto"/>
            <w:hideMark/>
          </w:tcPr>
          <w:p w:rsidR="005F3C17" w:rsidRPr="005F3C17" w:rsidRDefault="005F3C17" w:rsidP="004B4919">
            <w:pPr>
              <w:spacing w:after="120"/>
            </w:pPr>
            <w:r w:rsidRPr="005F3C17">
              <w:t xml:space="preserve">Simple to </w:t>
            </w:r>
            <w:r w:rsidR="008F7440">
              <w:t xml:space="preserve">define, </w:t>
            </w:r>
            <w:r w:rsidRPr="005F3C17">
              <w:t>apply, document, and reproduce</w:t>
            </w:r>
            <w:r w:rsidR="00732874">
              <w:t>.</w:t>
            </w:r>
            <w:r w:rsidRPr="005F3C17">
              <w:br/>
            </w:r>
            <w:r w:rsidR="00E546EF">
              <w:t>C</w:t>
            </w:r>
            <w:r w:rsidRPr="005F3C17">
              <w:t>an require specialized domain expertise</w:t>
            </w:r>
            <w:r w:rsidR="00E546EF">
              <w:t xml:space="preserve"> (e.g., defining appropriate threshold values)</w:t>
            </w:r>
            <w:r w:rsidR="00732874">
              <w:t>.</w:t>
            </w:r>
            <w:r w:rsidR="00E546EF">
              <w:t xml:space="preserve"> </w:t>
            </w:r>
            <w:r w:rsidR="00E546EF">
              <w:br/>
              <w:t>Often very case-specific (not generalizable).</w:t>
            </w:r>
            <w:r w:rsidRPr="005F3C17">
              <w:br/>
              <w:t xml:space="preserve">Often results in loss of information (e.g., processing </w:t>
            </w:r>
            <w:r w:rsidR="000C6578">
              <w:t xml:space="preserve">continuous variables </w:t>
            </w:r>
            <w:r w:rsidRPr="005F3C17">
              <w:t xml:space="preserve">to </w:t>
            </w:r>
            <w:r w:rsidR="000C6578">
              <w:t>categorical</w:t>
            </w:r>
            <w:r w:rsidRPr="005F3C17">
              <w:t>)</w:t>
            </w:r>
            <w:r w:rsidR="00732874">
              <w:t>.</w:t>
            </w:r>
            <w:r w:rsidR="00F16CF6">
              <w:br/>
              <w:t>Connection to original variable often lost.</w:t>
            </w:r>
          </w:p>
        </w:tc>
      </w:tr>
      <w:tr w:rsidR="005F3C17" w:rsidRPr="00EF5EDE" w:rsidTr="00DA13FF">
        <w:trPr>
          <w:trHeight w:val="288"/>
        </w:trPr>
        <w:tc>
          <w:tcPr>
            <w:tcW w:w="10075" w:type="dxa"/>
            <w:gridSpan w:val="2"/>
            <w:tcBorders>
              <w:top w:val="nil"/>
              <w:left w:val="single" w:sz="4" w:space="0" w:color="auto"/>
              <w:bottom w:val="nil"/>
              <w:right w:val="single" w:sz="4" w:space="0" w:color="000000"/>
            </w:tcBorders>
            <w:shd w:val="clear" w:color="auto" w:fill="FFE599" w:themeFill="accent4" w:themeFillTint="66"/>
            <w:noWrap/>
            <w:hideMark/>
          </w:tcPr>
          <w:p w:rsidR="005F3C17" w:rsidRPr="00EF5EDE" w:rsidRDefault="005F3C17" w:rsidP="004B4919">
            <w:pPr>
              <w:spacing w:after="120"/>
              <w:rPr>
                <w:b/>
                <w:bCs/>
              </w:rPr>
            </w:pPr>
            <w:r w:rsidRPr="00EF5EDE">
              <w:rPr>
                <w:b/>
                <w:bCs/>
              </w:rPr>
              <w:t>Simple calibration model</w:t>
            </w:r>
          </w:p>
        </w:tc>
      </w:tr>
      <w:tr w:rsidR="005F3C17" w:rsidRPr="005F3C17" w:rsidTr="00561B78">
        <w:trPr>
          <w:trHeight w:val="576"/>
        </w:trPr>
        <w:tc>
          <w:tcPr>
            <w:tcW w:w="1536" w:type="dxa"/>
            <w:tcBorders>
              <w:top w:val="nil"/>
              <w:left w:val="single" w:sz="4" w:space="0" w:color="auto"/>
              <w:bottom w:val="nil"/>
              <w:right w:val="nil"/>
            </w:tcBorders>
            <w:shd w:val="clear" w:color="auto" w:fill="auto"/>
            <w:hideMark/>
          </w:tcPr>
          <w:p w:rsidR="005F3C17" w:rsidRPr="005F3C17" w:rsidRDefault="00941C8F" w:rsidP="004B4919">
            <w:pPr>
              <w:spacing w:after="120"/>
              <w:rPr>
                <w:i/>
                <w:iCs/>
              </w:rPr>
            </w:pPr>
            <w:r w:rsidRPr="005F3C17">
              <w:rPr>
                <w:i/>
                <w:iCs/>
              </w:rPr>
              <w:t>Definition</w:t>
            </w:r>
          </w:p>
        </w:tc>
        <w:tc>
          <w:tcPr>
            <w:tcW w:w="8539" w:type="dxa"/>
            <w:tcBorders>
              <w:top w:val="nil"/>
              <w:left w:val="nil"/>
              <w:bottom w:val="nil"/>
              <w:right w:val="single" w:sz="4" w:space="0" w:color="auto"/>
            </w:tcBorders>
            <w:shd w:val="clear" w:color="auto" w:fill="auto"/>
            <w:hideMark/>
          </w:tcPr>
          <w:p w:rsidR="005F3C17" w:rsidRPr="005F3C17" w:rsidRDefault="005F3C17" w:rsidP="004B4919">
            <w:pPr>
              <w:spacing w:after="120"/>
            </w:pPr>
            <w:r w:rsidRPr="005F3C17">
              <w:t xml:space="preserve">A mathematical model that </w:t>
            </w:r>
            <w:r w:rsidR="00EA0ADA">
              <w:t>predicts the value of one continuous variable from another variable</w:t>
            </w:r>
            <w:r w:rsidRPr="005F3C17">
              <w:t xml:space="preserve"> to operate </w:t>
            </w:r>
            <w:r w:rsidR="00F80065">
              <w:t>at</w:t>
            </w:r>
            <w:r w:rsidRPr="005F3C17">
              <w:t xml:space="preserve"> the same unit</w:t>
            </w:r>
            <w:r w:rsidR="009D6761">
              <w:t>s</w:t>
            </w:r>
            <w:r w:rsidR="004C6F81">
              <w:t>.</w:t>
            </w:r>
          </w:p>
        </w:tc>
      </w:tr>
      <w:tr w:rsidR="005F3C17" w:rsidRPr="005F3C17" w:rsidTr="005B697E">
        <w:trPr>
          <w:trHeight w:val="549"/>
        </w:trPr>
        <w:tc>
          <w:tcPr>
            <w:tcW w:w="1536" w:type="dxa"/>
            <w:tcBorders>
              <w:top w:val="nil"/>
              <w:left w:val="single" w:sz="4" w:space="0" w:color="auto"/>
              <w:bottom w:val="nil"/>
              <w:right w:val="nil"/>
            </w:tcBorders>
            <w:shd w:val="clear" w:color="auto" w:fill="auto"/>
            <w:hideMark/>
          </w:tcPr>
          <w:p w:rsidR="005F3C17" w:rsidRPr="005F3C17" w:rsidRDefault="005F3C17" w:rsidP="004B4919">
            <w:pPr>
              <w:spacing w:after="120"/>
              <w:rPr>
                <w:i/>
                <w:iCs/>
              </w:rPr>
            </w:pPr>
            <w:r w:rsidRPr="005F3C17">
              <w:rPr>
                <w:i/>
                <w:iCs/>
              </w:rPr>
              <w:t>Application</w:t>
            </w:r>
          </w:p>
        </w:tc>
        <w:tc>
          <w:tcPr>
            <w:tcW w:w="8539" w:type="dxa"/>
            <w:tcBorders>
              <w:top w:val="nil"/>
              <w:left w:val="nil"/>
              <w:bottom w:val="nil"/>
              <w:right w:val="single" w:sz="4" w:space="0" w:color="auto"/>
            </w:tcBorders>
            <w:shd w:val="clear" w:color="auto" w:fill="auto"/>
            <w:hideMark/>
          </w:tcPr>
          <w:p w:rsidR="005F3C17" w:rsidRPr="005F3C17" w:rsidRDefault="005F3C17" w:rsidP="004B4919">
            <w:pPr>
              <w:spacing w:after="120"/>
            </w:pPr>
            <w:r w:rsidRPr="005F3C17">
              <w:t xml:space="preserve">To harmonize </w:t>
            </w:r>
            <w:r w:rsidR="005B697E">
              <w:t>variables measuring the same metric</w:t>
            </w:r>
            <w:r w:rsidRPr="005F3C17">
              <w:t xml:space="preserve"> </w:t>
            </w:r>
            <w:r w:rsidR="009D6761">
              <w:t>with</w:t>
            </w:r>
            <w:r w:rsidRPr="005F3C17">
              <w:t xml:space="preserve"> different scale</w:t>
            </w:r>
            <w:r w:rsidR="005B697E">
              <w:t>s.</w:t>
            </w:r>
            <w:r w:rsidR="005B697E">
              <w:br/>
            </w:r>
            <w:r w:rsidRPr="005F3C17">
              <w:t xml:space="preserve">The calibration </w:t>
            </w:r>
            <w:r w:rsidR="00F27899">
              <w:t>function</w:t>
            </w:r>
            <w:r w:rsidRPr="005F3C17">
              <w:t xml:space="preserve"> can be known or </w:t>
            </w:r>
            <w:r w:rsidR="009D6761">
              <w:t>derived</w:t>
            </w:r>
            <w:r w:rsidRPr="005F3C17">
              <w:t xml:space="preserve"> from </w:t>
            </w:r>
            <w:r w:rsidR="00F27899">
              <w:t xml:space="preserve">the </w:t>
            </w:r>
            <w:r w:rsidRPr="005F3C17">
              <w:t>data</w:t>
            </w:r>
            <w:r w:rsidR="009D6761">
              <w:t xml:space="preserve"> if </w:t>
            </w:r>
            <w:r w:rsidR="00EA0ADA">
              <w:t>bridging variables are present</w:t>
            </w:r>
            <w:r w:rsidRPr="005F3C17">
              <w:t>.</w:t>
            </w:r>
          </w:p>
        </w:tc>
      </w:tr>
      <w:tr w:rsidR="005F3C17" w:rsidRPr="005F3C17" w:rsidTr="00561B78">
        <w:trPr>
          <w:trHeight w:val="288"/>
        </w:trPr>
        <w:tc>
          <w:tcPr>
            <w:tcW w:w="1536" w:type="dxa"/>
            <w:tcBorders>
              <w:top w:val="nil"/>
              <w:left w:val="single" w:sz="4" w:space="0" w:color="auto"/>
              <w:bottom w:val="nil"/>
              <w:right w:val="nil"/>
            </w:tcBorders>
            <w:shd w:val="clear" w:color="auto" w:fill="auto"/>
            <w:hideMark/>
          </w:tcPr>
          <w:p w:rsidR="005F3C17" w:rsidRPr="005F3C17" w:rsidRDefault="005F3C17" w:rsidP="004B4919">
            <w:pPr>
              <w:spacing w:after="120"/>
              <w:rPr>
                <w:i/>
                <w:iCs/>
              </w:rPr>
            </w:pPr>
            <w:r w:rsidRPr="005F3C17">
              <w:rPr>
                <w:i/>
                <w:iCs/>
              </w:rPr>
              <w:t>Example(s)</w:t>
            </w:r>
          </w:p>
        </w:tc>
        <w:tc>
          <w:tcPr>
            <w:tcW w:w="8539" w:type="dxa"/>
            <w:tcBorders>
              <w:top w:val="nil"/>
              <w:left w:val="nil"/>
              <w:bottom w:val="nil"/>
              <w:right w:val="single" w:sz="4" w:space="0" w:color="auto"/>
            </w:tcBorders>
            <w:shd w:val="clear" w:color="auto" w:fill="auto"/>
            <w:hideMark/>
          </w:tcPr>
          <w:p w:rsidR="005F3C17" w:rsidRPr="005F3C17" w:rsidRDefault="005F3C17" w:rsidP="004B4919">
            <w:pPr>
              <w:spacing w:after="120"/>
            </w:pPr>
            <w:r w:rsidRPr="005F3C17">
              <w:t xml:space="preserve">Processing infant birth weight from </w:t>
            </w:r>
            <w:r w:rsidR="009D6761">
              <w:t>pounds</w:t>
            </w:r>
            <w:r w:rsidRPr="005F3C17">
              <w:t xml:space="preserve"> to </w:t>
            </w:r>
            <w:r w:rsidR="009D6761">
              <w:t>kilograms</w:t>
            </w:r>
            <w:r w:rsidR="004C6F81">
              <w:t>.</w:t>
            </w:r>
            <w:r w:rsidR="009963CA">
              <w:br/>
            </w:r>
            <w:r w:rsidR="008B7A79">
              <w:t>Processing score on one memory test to another based on</w:t>
            </w:r>
            <w:r w:rsidR="005B697E">
              <w:t xml:space="preserve"> </w:t>
            </w:r>
            <w:r w:rsidR="008B7A79">
              <w:t>a conversion factor predicted from the</w:t>
            </w:r>
            <w:r w:rsidR="00E546EF">
              <w:t xml:space="preserve"> relationship between scores for participants who had both tests</w:t>
            </w:r>
            <w:r w:rsidR="00D4360C">
              <w:t>.</w:t>
            </w:r>
          </w:p>
        </w:tc>
      </w:tr>
      <w:tr w:rsidR="005F3C17" w:rsidRPr="005F3C17" w:rsidTr="00561B78">
        <w:trPr>
          <w:trHeight w:val="576"/>
        </w:trPr>
        <w:tc>
          <w:tcPr>
            <w:tcW w:w="1536" w:type="dxa"/>
            <w:tcBorders>
              <w:top w:val="nil"/>
              <w:left w:val="single" w:sz="4" w:space="0" w:color="auto"/>
              <w:bottom w:val="nil"/>
              <w:right w:val="nil"/>
            </w:tcBorders>
            <w:shd w:val="clear" w:color="auto" w:fill="auto"/>
            <w:hideMark/>
          </w:tcPr>
          <w:p w:rsidR="005F3C17" w:rsidRPr="005F3C17" w:rsidRDefault="005F3C17" w:rsidP="004B4919">
            <w:pPr>
              <w:spacing w:after="120"/>
              <w:rPr>
                <w:i/>
                <w:iCs/>
              </w:rPr>
            </w:pPr>
            <w:r w:rsidRPr="005F3C17">
              <w:rPr>
                <w:i/>
                <w:iCs/>
              </w:rPr>
              <w:t>Considerations</w:t>
            </w:r>
          </w:p>
        </w:tc>
        <w:tc>
          <w:tcPr>
            <w:tcW w:w="8539" w:type="dxa"/>
            <w:tcBorders>
              <w:top w:val="nil"/>
              <w:left w:val="nil"/>
              <w:bottom w:val="nil"/>
              <w:right w:val="single" w:sz="4" w:space="0" w:color="auto"/>
            </w:tcBorders>
            <w:shd w:val="clear" w:color="auto" w:fill="auto"/>
            <w:hideMark/>
          </w:tcPr>
          <w:p w:rsidR="005F3C17" w:rsidRPr="005F3C17" w:rsidRDefault="009963CA" w:rsidP="004B4919">
            <w:pPr>
              <w:spacing w:after="120"/>
            </w:pPr>
            <w:r>
              <w:t>Requires known calibration or bridging variables.</w:t>
            </w:r>
            <w:r w:rsidR="00F27899">
              <w:br/>
              <w:t>Bias may be present in estimated calibration.</w:t>
            </w:r>
            <w:r w:rsidR="005F3C17" w:rsidRPr="005F3C17">
              <w:br/>
            </w:r>
            <w:r w:rsidR="006D0FCE">
              <w:t>Results are only reliable if prediction error is low.</w:t>
            </w:r>
          </w:p>
        </w:tc>
      </w:tr>
      <w:tr w:rsidR="005F3C17" w:rsidRPr="00EF5EDE" w:rsidTr="00DA13FF">
        <w:trPr>
          <w:trHeight w:val="288"/>
        </w:trPr>
        <w:tc>
          <w:tcPr>
            <w:tcW w:w="10075" w:type="dxa"/>
            <w:gridSpan w:val="2"/>
            <w:tcBorders>
              <w:top w:val="nil"/>
              <w:left w:val="single" w:sz="4" w:space="0" w:color="auto"/>
              <w:bottom w:val="nil"/>
              <w:right w:val="single" w:sz="4" w:space="0" w:color="000000"/>
            </w:tcBorders>
            <w:shd w:val="clear" w:color="auto" w:fill="FFE599" w:themeFill="accent4" w:themeFillTint="66"/>
            <w:noWrap/>
            <w:hideMark/>
          </w:tcPr>
          <w:p w:rsidR="005F3C17" w:rsidRPr="00EF5EDE" w:rsidRDefault="005F3C17" w:rsidP="004B4919">
            <w:pPr>
              <w:spacing w:after="120"/>
              <w:rPr>
                <w:b/>
                <w:bCs/>
              </w:rPr>
            </w:pPr>
            <w:r w:rsidRPr="00EF5EDE">
              <w:rPr>
                <w:b/>
                <w:bCs/>
              </w:rPr>
              <w:t>Standardization model</w:t>
            </w:r>
          </w:p>
        </w:tc>
      </w:tr>
      <w:tr w:rsidR="005F3C17" w:rsidRPr="005F3C17" w:rsidTr="00561B78">
        <w:trPr>
          <w:trHeight w:val="576"/>
        </w:trPr>
        <w:tc>
          <w:tcPr>
            <w:tcW w:w="1536" w:type="dxa"/>
            <w:tcBorders>
              <w:top w:val="nil"/>
              <w:left w:val="single" w:sz="4" w:space="0" w:color="auto"/>
              <w:bottom w:val="nil"/>
              <w:right w:val="nil"/>
            </w:tcBorders>
            <w:shd w:val="clear" w:color="auto" w:fill="auto"/>
            <w:hideMark/>
          </w:tcPr>
          <w:p w:rsidR="005F3C17" w:rsidRPr="005F3C17" w:rsidRDefault="00941C8F" w:rsidP="004B4919">
            <w:pPr>
              <w:spacing w:after="120"/>
              <w:rPr>
                <w:i/>
                <w:iCs/>
              </w:rPr>
            </w:pPr>
            <w:r w:rsidRPr="005F3C17">
              <w:rPr>
                <w:i/>
                <w:iCs/>
              </w:rPr>
              <w:t>Definition</w:t>
            </w:r>
          </w:p>
        </w:tc>
        <w:tc>
          <w:tcPr>
            <w:tcW w:w="8539" w:type="dxa"/>
            <w:tcBorders>
              <w:top w:val="nil"/>
              <w:left w:val="nil"/>
              <w:bottom w:val="nil"/>
              <w:right w:val="single" w:sz="4" w:space="0" w:color="auto"/>
            </w:tcBorders>
            <w:shd w:val="clear" w:color="auto" w:fill="auto"/>
            <w:hideMark/>
          </w:tcPr>
          <w:p w:rsidR="005F3C17" w:rsidRPr="005F3C17" w:rsidRDefault="005F3C17" w:rsidP="004B4919">
            <w:pPr>
              <w:spacing w:after="120"/>
            </w:pPr>
            <w:r w:rsidRPr="005F3C17">
              <w:t xml:space="preserve">A model that centralizes, standardizes, or normalizes data to </w:t>
            </w:r>
            <w:r w:rsidR="00192603">
              <w:t>process</w:t>
            </w:r>
            <w:r w:rsidRPr="005F3C17">
              <w:t xml:space="preserve"> all variables into </w:t>
            </w:r>
            <w:r w:rsidR="00192603">
              <w:t>a common</w:t>
            </w:r>
            <w:r w:rsidR="00DC7BD0">
              <w:t xml:space="preserve"> scale</w:t>
            </w:r>
            <w:r w:rsidRPr="005F3C17">
              <w:t xml:space="preserve"> with or without stratification or regression of other variables</w:t>
            </w:r>
            <w:r w:rsidR="00A07A34">
              <w:t>.</w:t>
            </w:r>
          </w:p>
        </w:tc>
      </w:tr>
      <w:tr w:rsidR="005F3C17" w:rsidRPr="005F3C17" w:rsidTr="00E546EF">
        <w:trPr>
          <w:trHeight w:val="108"/>
        </w:trPr>
        <w:tc>
          <w:tcPr>
            <w:tcW w:w="1536" w:type="dxa"/>
            <w:tcBorders>
              <w:top w:val="nil"/>
              <w:left w:val="single" w:sz="4" w:space="0" w:color="auto"/>
              <w:bottom w:val="nil"/>
              <w:right w:val="nil"/>
            </w:tcBorders>
            <w:shd w:val="clear" w:color="auto" w:fill="auto"/>
            <w:hideMark/>
          </w:tcPr>
          <w:p w:rsidR="005F3C17" w:rsidRPr="005F3C17" w:rsidRDefault="005F3C17" w:rsidP="004B4919">
            <w:pPr>
              <w:spacing w:after="120"/>
              <w:rPr>
                <w:i/>
                <w:iCs/>
              </w:rPr>
            </w:pPr>
            <w:r w:rsidRPr="005F3C17">
              <w:rPr>
                <w:i/>
                <w:iCs/>
              </w:rPr>
              <w:t>Application</w:t>
            </w:r>
          </w:p>
        </w:tc>
        <w:tc>
          <w:tcPr>
            <w:tcW w:w="8539" w:type="dxa"/>
            <w:tcBorders>
              <w:top w:val="nil"/>
              <w:left w:val="nil"/>
              <w:bottom w:val="nil"/>
              <w:right w:val="single" w:sz="4" w:space="0" w:color="auto"/>
            </w:tcBorders>
            <w:shd w:val="clear" w:color="auto" w:fill="auto"/>
            <w:hideMark/>
          </w:tcPr>
          <w:p w:rsidR="00431C05" w:rsidRDefault="005F3C17" w:rsidP="004B4919">
            <w:pPr>
              <w:spacing w:after="120" w:line="240" w:lineRule="auto"/>
            </w:pPr>
            <w:r w:rsidRPr="005F3C17">
              <w:t xml:space="preserve">To harmonize </w:t>
            </w:r>
            <w:r w:rsidR="00BB2E3C">
              <w:t>equivalent</w:t>
            </w:r>
            <w:r w:rsidRPr="005F3C17">
              <w:t xml:space="preserve"> constructs measured using different scales with no known calibration method or bridging items</w:t>
            </w:r>
            <w:r w:rsidR="00A07A34">
              <w:t>.</w:t>
            </w:r>
          </w:p>
          <w:p w:rsidR="005F3C17" w:rsidRPr="005F3C17" w:rsidRDefault="00EA0ADA" w:rsidP="004B4919">
            <w:pPr>
              <w:spacing w:after="120" w:line="240" w:lineRule="auto"/>
            </w:pPr>
            <w:r>
              <w:t>T</w:t>
            </w:r>
            <w:r w:rsidR="005F3C17" w:rsidRPr="005F3C17">
              <w:t>ypically used for discrete interval measures.</w:t>
            </w:r>
          </w:p>
        </w:tc>
      </w:tr>
      <w:tr w:rsidR="005F3C17" w:rsidRPr="005F3C17" w:rsidTr="006D0FCE">
        <w:trPr>
          <w:trHeight w:val="234"/>
        </w:trPr>
        <w:tc>
          <w:tcPr>
            <w:tcW w:w="1536" w:type="dxa"/>
            <w:tcBorders>
              <w:top w:val="nil"/>
              <w:left w:val="single" w:sz="4" w:space="0" w:color="auto"/>
              <w:bottom w:val="nil"/>
              <w:right w:val="nil"/>
            </w:tcBorders>
            <w:shd w:val="clear" w:color="auto" w:fill="auto"/>
            <w:hideMark/>
          </w:tcPr>
          <w:p w:rsidR="005F3C17" w:rsidRPr="005F3C17" w:rsidRDefault="005F3C17" w:rsidP="004B4919">
            <w:pPr>
              <w:spacing w:after="120"/>
              <w:rPr>
                <w:i/>
                <w:iCs/>
              </w:rPr>
            </w:pPr>
            <w:r w:rsidRPr="005F3C17">
              <w:rPr>
                <w:i/>
                <w:iCs/>
              </w:rPr>
              <w:lastRenderedPageBreak/>
              <w:t>Example(s)</w:t>
            </w:r>
          </w:p>
        </w:tc>
        <w:tc>
          <w:tcPr>
            <w:tcW w:w="8539" w:type="dxa"/>
            <w:tcBorders>
              <w:top w:val="nil"/>
              <w:left w:val="nil"/>
              <w:bottom w:val="nil"/>
              <w:right w:val="single" w:sz="4" w:space="0" w:color="auto"/>
            </w:tcBorders>
            <w:shd w:val="clear" w:color="auto" w:fill="auto"/>
            <w:hideMark/>
          </w:tcPr>
          <w:p w:rsidR="005F3C17" w:rsidRPr="005F3C17" w:rsidRDefault="005F3C17" w:rsidP="004B4919">
            <w:pPr>
              <w:spacing w:after="120" w:line="240" w:lineRule="auto"/>
            </w:pPr>
            <w:r w:rsidRPr="005F3C17">
              <w:t>Processing cognitive performance measure</w:t>
            </w:r>
            <w:r w:rsidR="00192603">
              <w:t>d</w:t>
            </w:r>
            <w:r w:rsidRPr="005F3C17">
              <w:t xml:space="preserve"> with different tests to </w:t>
            </w:r>
            <w:r w:rsidRPr="005F3C17">
              <w:rPr>
                <w:i/>
                <w:iCs/>
              </w:rPr>
              <w:t>z</w:t>
            </w:r>
            <w:r w:rsidRPr="005F3C17">
              <w:t>-scores</w:t>
            </w:r>
            <w:r w:rsidR="00A07A34">
              <w:t>.</w:t>
            </w:r>
          </w:p>
        </w:tc>
      </w:tr>
      <w:tr w:rsidR="005F3C17" w:rsidRPr="005F3C17" w:rsidTr="00E546EF">
        <w:trPr>
          <w:trHeight w:val="1017"/>
        </w:trPr>
        <w:tc>
          <w:tcPr>
            <w:tcW w:w="1536" w:type="dxa"/>
            <w:tcBorders>
              <w:top w:val="nil"/>
              <w:left w:val="single" w:sz="4" w:space="0" w:color="auto"/>
              <w:bottom w:val="nil"/>
              <w:right w:val="nil"/>
            </w:tcBorders>
            <w:shd w:val="clear" w:color="auto" w:fill="auto"/>
            <w:hideMark/>
          </w:tcPr>
          <w:p w:rsidR="005F3C17" w:rsidRPr="005F3C17" w:rsidRDefault="005F3C17" w:rsidP="004B4919">
            <w:pPr>
              <w:spacing w:after="120"/>
              <w:rPr>
                <w:i/>
                <w:iCs/>
              </w:rPr>
            </w:pPr>
            <w:r w:rsidRPr="005F3C17">
              <w:rPr>
                <w:i/>
                <w:iCs/>
              </w:rPr>
              <w:t>Considerations</w:t>
            </w:r>
          </w:p>
        </w:tc>
        <w:tc>
          <w:tcPr>
            <w:tcW w:w="8539" w:type="dxa"/>
            <w:tcBorders>
              <w:top w:val="nil"/>
              <w:left w:val="nil"/>
              <w:bottom w:val="nil"/>
              <w:right w:val="single" w:sz="4" w:space="0" w:color="auto"/>
            </w:tcBorders>
            <w:shd w:val="clear" w:color="auto" w:fill="auto"/>
            <w:hideMark/>
          </w:tcPr>
          <w:p w:rsidR="005F3C17" w:rsidRPr="005F3C17" w:rsidRDefault="00EE199A" w:rsidP="004B4919">
            <w:pPr>
              <w:spacing w:after="120"/>
            </w:pPr>
            <w:r w:rsidRPr="005F3C17">
              <w:t xml:space="preserve">Simple to </w:t>
            </w:r>
            <w:r>
              <w:t xml:space="preserve">define, </w:t>
            </w:r>
            <w:r w:rsidRPr="005F3C17">
              <w:t>apply, document, and reproduce</w:t>
            </w:r>
            <w:r w:rsidR="00A07A34">
              <w:t>.</w:t>
            </w:r>
            <w:r w:rsidR="005F3C17" w:rsidRPr="005F3C17">
              <w:br/>
            </w:r>
            <w:r>
              <w:t xml:space="preserve">Result often ‘unitless’, i.e., not corresponding to original or </w:t>
            </w:r>
            <w:r w:rsidR="00BE7CD9">
              <w:t>other external units of measure</w:t>
            </w:r>
            <w:r w:rsidR="00A07A34">
              <w:t>.</w:t>
            </w:r>
            <w:r w:rsidR="005F3C17" w:rsidRPr="005F3C17">
              <w:br/>
            </w:r>
            <w:r w:rsidR="00E546EF">
              <w:t>E</w:t>
            </w:r>
            <w:r w:rsidR="005F3C17" w:rsidRPr="005F3C17">
              <w:t>liminates population differences as well as methodological differences</w:t>
            </w:r>
            <w:r w:rsidR="00A07A34">
              <w:t>.</w:t>
            </w:r>
            <w:r w:rsidR="005F3C17" w:rsidRPr="005F3C17">
              <w:br/>
              <w:t>Interpreta</w:t>
            </w:r>
            <w:r w:rsidR="00DC7BD0">
              <w:t>t</w:t>
            </w:r>
            <w:r w:rsidR="005F3C17" w:rsidRPr="005F3C17">
              <w:t>ion of effect sizes and statistical outputs more difficult</w:t>
            </w:r>
            <w:r w:rsidR="00A07A34">
              <w:t>.</w:t>
            </w:r>
          </w:p>
        </w:tc>
      </w:tr>
      <w:tr w:rsidR="005F3C17" w:rsidRPr="00EF5EDE" w:rsidTr="00DA13FF">
        <w:trPr>
          <w:trHeight w:val="288"/>
        </w:trPr>
        <w:tc>
          <w:tcPr>
            <w:tcW w:w="10075" w:type="dxa"/>
            <w:gridSpan w:val="2"/>
            <w:tcBorders>
              <w:top w:val="nil"/>
              <w:left w:val="single" w:sz="4" w:space="0" w:color="auto"/>
              <w:bottom w:val="nil"/>
              <w:right w:val="single" w:sz="4" w:space="0" w:color="000000"/>
            </w:tcBorders>
            <w:shd w:val="clear" w:color="auto" w:fill="FFE599" w:themeFill="accent4" w:themeFillTint="66"/>
            <w:noWrap/>
            <w:hideMark/>
          </w:tcPr>
          <w:p w:rsidR="005F3C17" w:rsidRPr="00EF5EDE" w:rsidRDefault="005F3C17" w:rsidP="004B4919">
            <w:pPr>
              <w:spacing w:after="120"/>
              <w:rPr>
                <w:b/>
                <w:bCs/>
              </w:rPr>
            </w:pPr>
            <w:r w:rsidRPr="00EF5EDE">
              <w:rPr>
                <w:b/>
                <w:bCs/>
              </w:rPr>
              <w:t>Latent variable model</w:t>
            </w:r>
          </w:p>
        </w:tc>
      </w:tr>
      <w:tr w:rsidR="005F3C17" w:rsidRPr="005F3C17" w:rsidTr="00F27899">
        <w:trPr>
          <w:trHeight w:val="684"/>
        </w:trPr>
        <w:tc>
          <w:tcPr>
            <w:tcW w:w="1536" w:type="dxa"/>
            <w:tcBorders>
              <w:top w:val="nil"/>
              <w:left w:val="single" w:sz="4" w:space="0" w:color="auto"/>
              <w:bottom w:val="nil"/>
              <w:right w:val="nil"/>
            </w:tcBorders>
            <w:shd w:val="clear" w:color="auto" w:fill="auto"/>
            <w:hideMark/>
          </w:tcPr>
          <w:p w:rsidR="005F3C17" w:rsidRPr="005F3C17" w:rsidRDefault="00941C8F" w:rsidP="004B4919">
            <w:pPr>
              <w:spacing w:after="120"/>
              <w:rPr>
                <w:i/>
                <w:iCs/>
              </w:rPr>
            </w:pPr>
            <w:r w:rsidRPr="005F3C17">
              <w:rPr>
                <w:i/>
                <w:iCs/>
              </w:rPr>
              <w:t>Definition</w:t>
            </w:r>
          </w:p>
        </w:tc>
        <w:tc>
          <w:tcPr>
            <w:tcW w:w="8539" w:type="dxa"/>
            <w:tcBorders>
              <w:top w:val="nil"/>
              <w:left w:val="nil"/>
              <w:bottom w:val="nil"/>
              <w:right w:val="single" w:sz="4" w:space="0" w:color="auto"/>
            </w:tcBorders>
            <w:shd w:val="clear" w:color="auto" w:fill="auto"/>
            <w:hideMark/>
          </w:tcPr>
          <w:p w:rsidR="005F3C17" w:rsidRPr="005F3C17" w:rsidRDefault="005F3C17" w:rsidP="004B4919">
            <w:pPr>
              <w:spacing w:after="120"/>
            </w:pPr>
            <w:r w:rsidRPr="005F3C17">
              <w:t xml:space="preserve">A statistical model that </w:t>
            </w:r>
            <w:r w:rsidR="00F16CF6">
              <w:t xml:space="preserve">infers a set of </w:t>
            </w:r>
            <w:r w:rsidRPr="005F3C17">
              <w:t>latent variables</w:t>
            </w:r>
            <w:r w:rsidR="00F27899">
              <w:t xml:space="preserve"> (</w:t>
            </w:r>
            <w:r w:rsidRPr="005F3C17">
              <w:t>constructs that are not directly observ</w:t>
            </w:r>
            <w:r w:rsidR="00E62A2F">
              <w:t>abl</w:t>
            </w:r>
            <w:r w:rsidR="00F16CF6">
              <w:t>e</w:t>
            </w:r>
            <w:r w:rsidR="00F27899">
              <w:t>)</w:t>
            </w:r>
            <w:r w:rsidR="00F16CF6">
              <w:t xml:space="preserve"> from </w:t>
            </w:r>
            <w:r w:rsidR="00F16CF6" w:rsidRPr="005F3C17">
              <w:t>a set of</w:t>
            </w:r>
            <w:r w:rsidR="00F82CA8">
              <w:t xml:space="preserve"> </w:t>
            </w:r>
            <w:r w:rsidR="00F16CF6">
              <w:t>observed</w:t>
            </w:r>
            <w:r w:rsidR="00F16CF6" w:rsidRPr="005F3C17">
              <w:t xml:space="preserve"> variables</w:t>
            </w:r>
            <w:r w:rsidR="00E546EF">
              <w:t xml:space="preserve">. </w:t>
            </w:r>
            <w:r w:rsidR="00E75C70">
              <w:t>e</w:t>
            </w:r>
            <w:r w:rsidR="00F27899">
              <w:t>.g.,</w:t>
            </w:r>
            <w:r w:rsidR="00AA0F0A">
              <w:t xml:space="preserve"> </w:t>
            </w:r>
            <w:r w:rsidRPr="005F3C17">
              <w:t>factor analysis and latent trait analysis (item response theory)</w:t>
            </w:r>
            <w:r w:rsidR="00AA0F0A">
              <w:t>.</w:t>
            </w:r>
          </w:p>
        </w:tc>
      </w:tr>
      <w:tr w:rsidR="005F3C17" w:rsidRPr="005F3C17" w:rsidTr="00561B78">
        <w:trPr>
          <w:trHeight w:val="576"/>
        </w:trPr>
        <w:tc>
          <w:tcPr>
            <w:tcW w:w="1536" w:type="dxa"/>
            <w:tcBorders>
              <w:top w:val="nil"/>
              <w:left w:val="single" w:sz="4" w:space="0" w:color="auto"/>
              <w:bottom w:val="nil"/>
              <w:right w:val="nil"/>
            </w:tcBorders>
            <w:shd w:val="clear" w:color="auto" w:fill="auto"/>
            <w:hideMark/>
          </w:tcPr>
          <w:p w:rsidR="005F3C17" w:rsidRPr="005F3C17" w:rsidRDefault="005F3C17" w:rsidP="004B4919">
            <w:pPr>
              <w:spacing w:after="120"/>
              <w:rPr>
                <w:i/>
                <w:iCs/>
              </w:rPr>
            </w:pPr>
            <w:r w:rsidRPr="005F3C17">
              <w:rPr>
                <w:i/>
                <w:iCs/>
              </w:rPr>
              <w:t>Application</w:t>
            </w:r>
          </w:p>
        </w:tc>
        <w:tc>
          <w:tcPr>
            <w:tcW w:w="8539" w:type="dxa"/>
            <w:tcBorders>
              <w:top w:val="nil"/>
              <w:left w:val="nil"/>
              <w:bottom w:val="nil"/>
              <w:right w:val="single" w:sz="4" w:space="0" w:color="auto"/>
            </w:tcBorders>
            <w:shd w:val="clear" w:color="auto" w:fill="auto"/>
            <w:hideMark/>
          </w:tcPr>
          <w:p w:rsidR="005F3C17" w:rsidRPr="005F3C17" w:rsidRDefault="005F3C17" w:rsidP="004B4919">
            <w:pPr>
              <w:spacing w:after="120"/>
            </w:pPr>
            <w:r w:rsidRPr="005F3C17">
              <w:t xml:space="preserve">To harmonize </w:t>
            </w:r>
            <w:r w:rsidR="00E62A2F">
              <w:t>equivalent</w:t>
            </w:r>
            <w:r w:rsidRPr="005F3C17">
              <w:t xml:space="preserve"> constructs measured using different scales with no known calibration method but with bridging items present</w:t>
            </w:r>
            <w:r w:rsidR="00AA0F0A">
              <w:t>.</w:t>
            </w:r>
          </w:p>
        </w:tc>
      </w:tr>
      <w:tr w:rsidR="005F3C17" w:rsidRPr="005F3C17" w:rsidTr="00561B78">
        <w:trPr>
          <w:trHeight w:val="1152"/>
        </w:trPr>
        <w:tc>
          <w:tcPr>
            <w:tcW w:w="1536" w:type="dxa"/>
            <w:tcBorders>
              <w:top w:val="nil"/>
              <w:left w:val="single" w:sz="4" w:space="0" w:color="auto"/>
              <w:bottom w:val="nil"/>
              <w:right w:val="nil"/>
            </w:tcBorders>
            <w:shd w:val="clear" w:color="auto" w:fill="auto"/>
            <w:hideMark/>
          </w:tcPr>
          <w:p w:rsidR="005F3C17" w:rsidRPr="005F3C17" w:rsidRDefault="005F3C17" w:rsidP="004B4919">
            <w:pPr>
              <w:spacing w:after="120"/>
              <w:rPr>
                <w:i/>
                <w:iCs/>
              </w:rPr>
            </w:pPr>
            <w:r w:rsidRPr="005F3C17">
              <w:rPr>
                <w:i/>
                <w:iCs/>
              </w:rPr>
              <w:t>Example(s)</w:t>
            </w:r>
          </w:p>
        </w:tc>
        <w:tc>
          <w:tcPr>
            <w:tcW w:w="8539" w:type="dxa"/>
            <w:tcBorders>
              <w:top w:val="nil"/>
              <w:left w:val="nil"/>
              <w:bottom w:val="nil"/>
              <w:right w:val="single" w:sz="4" w:space="0" w:color="auto"/>
            </w:tcBorders>
            <w:shd w:val="clear" w:color="auto" w:fill="auto"/>
            <w:hideMark/>
          </w:tcPr>
          <w:p w:rsidR="005F3C17" w:rsidRPr="005F3C17" w:rsidRDefault="005F3C17" w:rsidP="004B4919">
            <w:pPr>
              <w:spacing w:after="120"/>
            </w:pPr>
            <w:r w:rsidRPr="005F3C17">
              <w:t xml:space="preserve">Processing repeated measures of childhood </w:t>
            </w:r>
            <w:r w:rsidR="00F82CA8">
              <w:t>b</w:t>
            </w:r>
            <w:r w:rsidR="00E75C70">
              <w:t xml:space="preserve">ody </w:t>
            </w:r>
            <w:r w:rsidR="00F82CA8">
              <w:t>m</w:t>
            </w:r>
            <w:r w:rsidR="00E75C70">
              <w:t xml:space="preserve">ass </w:t>
            </w:r>
            <w:r w:rsidR="00F82CA8">
              <w:t>i</w:t>
            </w:r>
            <w:r w:rsidR="00E75C70">
              <w:t>ndex</w:t>
            </w:r>
            <w:r w:rsidRPr="005F3C17">
              <w:t xml:space="preserve"> to childhood growth trajectories using growth mixture models</w:t>
            </w:r>
            <w:r w:rsidR="00AA0F0A">
              <w:t>.</w:t>
            </w:r>
            <w:r w:rsidRPr="005F3C17">
              <w:br/>
              <w:t xml:space="preserve">Extracting a personality measure (e.g., </w:t>
            </w:r>
            <w:r w:rsidR="005F0A7D">
              <w:t>extraversion</w:t>
            </w:r>
            <w:r w:rsidRPr="005F3C17">
              <w:t>) from factor analysis of multiple behavioral dimensions</w:t>
            </w:r>
            <w:r w:rsidR="002C13BC">
              <w:t>.</w:t>
            </w:r>
          </w:p>
        </w:tc>
      </w:tr>
      <w:tr w:rsidR="005F3C17" w:rsidRPr="005F3C17" w:rsidTr="00CD0563">
        <w:trPr>
          <w:trHeight w:val="1143"/>
        </w:trPr>
        <w:tc>
          <w:tcPr>
            <w:tcW w:w="1536" w:type="dxa"/>
            <w:tcBorders>
              <w:top w:val="nil"/>
              <w:left w:val="single" w:sz="4" w:space="0" w:color="auto"/>
              <w:bottom w:val="nil"/>
              <w:right w:val="nil"/>
            </w:tcBorders>
            <w:shd w:val="clear" w:color="auto" w:fill="auto"/>
            <w:hideMark/>
          </w:tcPr>
          <w:p w:rsidR="005F3C17" w:rsidRPr="005F3C17" w:rsidRDefault="005F3C17" w:rsidP="004B4919">
            <w:pPr>
              <w:spacing w:after="120"/>
              <w:rPr>
                <w:i/>
                <w:iCs/>
              </w:rPr>
            </w:pPr>
            <w:r w:rsidRPr="005F3C17">
              <w:rPr>
                <w:i/>
                <w:iCs/>
              </w:rPr>
              <w:t>Considerations</w:t>
            </w:r>
          </w:p>
        </w:tc>
        <w:tc>
          <w:tcPr>
            <w:tcW w:w="8539" w:type="dxa"/>
            <w:tcBorders>
              <w:top w:val="nil"/>
              <w:left w:val="nil"/>
              <w:bottom w:val="nil"/>
              <w:right w:val="single" w:sz="4" w:space="0" w:color="auto"/>
            </w:tcBorders>
            <w:shd w:val="clear" w:color="auto" w:fill="auto"/>
            <w:hideMark/>
          </w:tcPr>
          <w:p w:rsidR="005F3C17" w:rsidRPr="005F3C17" w:rsidRDefault="00CD0563" w:rsidP="004B4919">
            <w:pPr>
              <w:spacing w:after="120"/>
            </w:pPr>
            <w:r>
              <w:t xml:space="preserve">More complicated </w:t>
            </w:r>
            <w:r w:rsidR="005F3C17" w:rsidRPr="005F3C17">
              <w:t>to</w:t>
            </w:r>
            <w:r>
              <w:t xml:space="preserve"> define,</w:t>
            </w:r>
            <w:r w:rsidR="005F3C17" w:rsidRPr="005F3C17">
              <w:t xml:space="preserve"> apply, document, and reproduce</w:t>
            </w:r>
            <w:r w:rsidR="002C13BC">
              <w:t>.</w:t>
            </w:r>
            <w:r w:rsidR="00FF6B7C">
              <w:br/>
              <w:t>Requires access to pooled individual participant data.</w:t>
            </w:r>
            <w:r w:rsidR="005F3C17" w:rsidRPr="005F3C17">
              <w:br/>
              <w:t>Requires</w:t>
            </w:r>
            <w:r>
              <w:t xml:space="preserve"> </w:t>
            </w:r>
            <w:r w:rsidR="005F3C17" w:rsidRPr="005F3C17">
              <w:t>extensive exploration of study-specific data</w:t>
            </w:r>
            <w:r>
              <w:t xml:space="preserve"> and assessment of results</w:t>
            </w:r>
            <w:r w:rsidR="002C13BC">
              <w:t>.</w:t>
            </w:r>
            <w:r w:rsidR="005F3C17" w:rsidRPr="005F3C17">
              <w:br/>
              <w:t xml:space="preserve">Connection to original </w:t>
            </w:r>
            <w:r w:rsidR="00033A58">
              <w:t>variables</w:t>
            </w:r>
            <w:r>
              <w:t xml:space="preserve"> often</w:t>
            </w:r>
            <w:r w:rsidR="005F3C17" w:rsidRPr="005F3C17">
              <w:t xml:space="preserve"> lost</w:t>
            </w:r>
            <w:r w:rsidR="00072A72">
              <w:t>.</w:t>
            </w:r>
          </w:p>
        </w:tc>
      </w:tr>
      <w:tr w:rsidR="005F3C17" w:rsidRPr="00EF5EDE" w:rsidTr="00DA13FF">
        <w:trPr>
          <w:trHeight w:val="288"/>
        </w:trPr>
        <w:tc>
          <w:tcPr>
            <w:tcW w:w="10075" w:type="dxa"/>
            <w:gridSpan w:val="2"/>
            <w:tcBorders>
              <w:top w:val="nil"/>
              <w:left w:val="single" w:sz="4" w:space="0" w:color="auto"/>
              <w:bottom w:val="nil"/>
              <w:right w:val="single" w:sz="4" w:space="0" w:color="000000"/>
            </w:tcBorders>
            <w:shd w:val="clear" w:color="auto" w:fill="FFE599" w:themeFill="accent4" w:themeFillTint="66"/>
            <w:noWrap/>
            <w:hideMark/>
          </w:tcPr>
          <w:p w:rsidR="005F3C17" w:rsidRPr="00EF5EDE" w:rsidRDefault="005F3C17" w:rsidP="004B4919">
            <w:pPr>
              <w:spacing w:after="120"/>
              <w:rPr>
                <w:b/>
                <w:bCs/>
              </w:rPr>
            </w:pPr>
            <w:r w:rsidRPr="00EF5EDE">
              <w:rPr>
                <w:b/>
                <w:bCs/>
              </w:rPr>
              <w:t>Multiple imputation model</w:t>
            </w:r>
          </w:p>
        </w:tc>
      </w:tr>
      <w:tr w:rsidR="005F3C17" w:rsidRPr="005F3C17" w:rsidTr="00561B78">
        <w:trPr>
          <w:trHeight w:val="576"/>
        </w:trPr>
        <w:tc>
          <w:tcPr>
            <w:tcW w:w="1536" w:type="dxa"/>
            <w:tcBorders>
              <w:top w:val="nil"/>
              <w:left w:val="single" w:sz="4" w:space="0" w:color="auto"/>
              <w:bottom w:val="nil"/>
              <w:right w:val="nil"/>
            </w:tcBorders>
            <w:shd w:val="clear" w:color="auto" w:fill="auto"/>
            <w:hideMark/>
          </w:tcPr>
          <w:p w:rsidR="005F3C17" w:rsidRPr="005F3C17" w:rsidRDefault="00941C8F" w:rsidP="004B4919">
            <w:pPr>
              <w:spacing w:after="120"/>
              <w:rPr>
                <w:i/>
                <w:iCs/>
              </w:rPr>
            </w:pPr>
            <w:r w:rsidRPr="005F3C17">
              <w:rPr>
                <w:i/>
                <w:iCs/>
              </w:rPr>
              <w:t>Definition</w:t>
            </w:r>
          </w:p>
        </w:tc>
        <w:tc>
          <w:tcPr>
            <w:tcW w:w="8539" w:type="dxa"/>
            <w:tcBorders>
              <w:top w:val="nil"/>
              <w:left w:val="nil"/>
              <w:bottom w:val="nil"/>
              <w:right w:val="single" w:sz="4" w:space="0" w:color="auto"/>
            </w:tcBorders>
            <w:shd w:val="clear" w:color="auto" w:fill="auto"/>
            <w:hideMark/>
          </w:tcPr>
          <w:p w:rsidR="005F3C17" w:rsidRPr="005F3C17" w:rsidRDefault="005F3C17" w:rsidP="004B4919">
            <w:pPr>
              <w:spacing w:after="120"/>
            </w:pPr>
            <w:r w:rsidRPr="005F3C17">
              <w:t xml:space="preserve">A statistical technique for imputing missing values </w:t>
            </w:r>
            <w:r w:rsidR="00072A72">
              <w:t>from</w:t>
            </w:r>
            <w:r w:rsidRPr="005F3C17">
              <w:t xml:space="preserve"> a set of plausible values that represent the uncertainty about the </w:t>
            </w:r>
            <w:r w:rsidR="00072A72">
              <w:t>true values</w:t>
            </w:r>
            <w:r w:rsidR="00957DFA">
              <w:t>.</w:t>
            </w:r>
            <w:r w:rsidRPr="005F3C17">
              <w:t> </w:t>
            </w:r>
          </w:p>
        </w:tc>
      </w:tr>
      <w:tr w:rsidR="005F3C17" w:rsidRPr="005F3C17" w:rsidTr="00303721">
        <w:trPr>
          <w:trHeight w:val="243"/>
        </w:trPr>
        <w:tc>
          <w:tcPr>
            <w:tcW w:w="1536" w:type="dxa"/>
            <w:tcBorders>
              <w:top w:val="nil"/>
              <w:left w:val="single" w:sz="4" w:space="0" w:color="auto"/>
              <w:bottom w:val="nil"/>
              <w:right w:val="nil"/>
            </w:tcBorders>
            <w:shd w:val="clear" w:color="auto" w:fill="auto"/>
            <w:hideMark/>
          </w:tcPr>
          <w:p w:rsidR="005F3C17" w:rsidRPr="005F3C17" w:rsidRDefault="005F3C17" w:rsidP="004B4919">
            <w:pPr>
              <w:spacing w:after="120"/>
              <w:rPr>
                <w:i/>
                <w:iCs/>
              </w:rPr>
            </w:pPr>
            <w:r w:rsidRPr="005F3C17">
              <w:rPr>
                <w:i/>
                <w:iCs/>
              </w:rPr>
              <w:t>Application</w:t>
            </w:r>
          </w:p>
        </w:tc>
        <w:tc>
          <w:tcPr>
            <w:tcW w:w="8539" w:type="dxa"/>
            <w:tcBorders>
              <w:top w:val="nil"/>
              <w:left w:val="nil"/>
              <w:bottom w:val="nil"/>
              <w:right w:val="single" w:sz="4" w:space="0" w:color="auto"/>
            </w:tcBorders>
            <w:shd w:val="clear" w:color="auto" w:fill="auto"/>
            <w:hideMark/>
          </w:tcPr>
          <w:p w:rsidR="005F3C17" w:rsidRPr="005F3C17" w:rsidRDefault="005F3C17" w:rsidP="004B4919">
            <w:pPr>
              <w:spacing w:after="120"/>
            </w:pPr>
            <w:r w:rsidRPr="005F3C17">
              <w:t>To harmonize data</w:t>
            </w:r>
            <w:r w:rsidR="0072147A">
              <w:t xml:space="preserve"> </w:t>
            </w:r>
            <w:r w:rsidRPr="005F3C17">
              <w:t>sets (not variables) with the same set of variables using bridging variables</w:t>
            </w:r>
            <w:r w:rsidR="00957DFA">
              <w:t>.</w:t>
            </w:r>
          </w:p>
        </w:tc>
      </w:tr>
      <w:tr w:rsidR="005F3C17" w:rsidRPr="005F3C17" w:rsidTr="003321DC">
        <w:trPr>
          <w:trHeight w:val="439"/>
        </w:trPr>
        <w:tc>
          <w:tcPr>
            <w:tcW w:w="1536" w:type="dxa"/>
            <w:tcBorders>
              <w:top w:val="nil"/>
              <w:left w:val="single" w:sz="4" w:space="0" w:color="auto"/>
              <w:bottom w:val="nil"/>
              <w:right w:val="nil"/>
            </w:tcBorders>
            <w:shd w:val="clear" w:color="auto" w:fill="auto"/>
            <w:hideMark/>
          </w:tcPr>
          <w:p w:rsidR="005F3C17" w:rsidRPr="005F3C17" w:rsidRDefault="005F3C17" w:rsidP="004B4919">
            <w:pPr>
              <w:spacing w:after="120"/>
              <w:rPr>
                <w:i/>
                <w:iCs/>
              </w:rPr>
            </w:pPr>
            <w:r w:rsidRPr="005F3C17">
              <w:rPr>
                <w:i/>
                <w:iCs/>
              </w:rPr>
              <w:t>Example(s)</w:t>
            </w:r>
          </w:p>
        </w:tc>
        <w:tc>
          <w:tcPr>
            <w:tcW w:w="8539" w:type="dxa"/>
            <w:tcBorders>
              <w:top w:val="nil"/>
              <w:left w:val="nil"/>
              <w:bottom w:val="nil"/>
              <w:right w:val="single" w:sz="4" w:space="0" w:color="auto"/>
            </w:tcBorders>
            <w:shd w:val="clear" w:color="auto" w:fill="auto"/>
            <w:hideMark/>
          </w:tcPr>
          <w:p w:rsidR="005F3C17" w:rsidRPr="005F3C17" w:rsidRDefault="005F3C17" w:rsidP="004B4919">
            <w:pPr>
              <w:spacing w:after="120"/>
            </w:pPr>
            <w:r w:rsidRPr="005F3C17">
              <w:t>Missing survey responses are imputed from values of other survey responses.</w:t>
            </w:r>
          </w:p>
        </w:tc>
      </w:tr>
      <w:tr w:rsidR="005F3C17" w:rsidRPr="005F3C17" w:rsidTr="00072A72">
        <w:trPr>
          <w:trHeight w:val="855"/>
        </w:trPr>
        <w:tc>
          <w:tcPr>
            <w:tcW w:w="1536" w:type="dxa"/>
            <w:tcBorders>
              <w:top w:val="nil"/>
              <w:left w:val="single" w:sz="4" w:space="0" w:color="auto"/>
              <w:bottom w:val="single" w:sz="4" w:space="0" w:color="auto"/>
              <w:right w:val="nil"/>
            </w:tcBorders>
            <w:shd w:val="clear" w:color="auto" w:fill="auto"/>
            <w:hideMark/>
          </w:tcPr>
          <w:p w:rsidR="005F3C17" w:rsidRPr="005F3C17" w:rsidRDefault="005F3C17" w:rsidP="004B4919">
            <w:pPr>
              <w:spacing w:after="120"/>
              <w:rPr>
                <w:i/>
                <w:iCs/>
              </w:rPr>
            </w:pPr>
            <w:r w:rsidRPr="005F3C17">
              <w:rPr>
                <w:i/>
                <w:iCs/>
              </w:rPr>
              <w:t>Considerations</w:t>
            </w:r>
          </w:p>
        </w:tc>
        <w:tc>
          <w:tcPr>
            <w:tcW w:w="8539" w:type="dxa"/>
            <w:tcBorders>
              <w:top w:val="nil"/>
              <w:left w:val="nil"/>
              <w:bottom w:val="single" w:sz="4" w:space="0" w:color="auto"/>
              <w:right w:val="single" w:sz="4" w:space="0" w:color="auto"/>
            </w:tcBorders>
            <w:shd w:val="clear" w:color="auto" w:fill="auto"/>
            <w:hideMark/>
          </w:tcPr>
          <w:p w:rsidR="005F3C17" w:rsidRPr="005F3C17" w:rsidRDefault="008B7A79" w:rsidP="004B4919">
            <w:pPr>
              <w:spacing w:after="120"/>
            </w:pPr>
            <w:r>
              <w:t>May</w:t>
            </w:r>
            <w:r w:rsidR="00E031E8">
              <w:t xml:space="preserve"> reduce bias</w:t>
            </w:r>
            <w:r w:rsidR="001B702F">
              <w:t>,</w:t>
            </w:r>
            <w:r w:rsidR="00E031E8">
              <w:t xml:space="preserve"> and loss of power</w:t>
            </w:r>
            <w:r>
              <w:t xml:space="preserve"> and precision</w:t>
            </w:r>
            <w:r w:rsidR="00E031E8">
              <w:t xml:space="preserve"> due to missing data.</w:t>
            </w:r>
            <w:r w:rsidR="00E031E8">
              <w:br/>
            </w:r>
            <w:r w:rsidR="00072A72">
              <w:t xml:space="preserve">More complicated </w:t>
            </w:r>
            <w:r w:rsidR="00072A72" w:rsidRPr="005F3C17">
              <w:t>to</w:t>
            </w:r>
            <w:r w:rsidR="00072A72">
              <w:t xml:space="preserve"> define,</w:t>
            </w:r>
            <w:r w:rsidR="00072A72" w:rsidRPr="005F3C17">
              <w:t xml:space="preserve"> apply, document, and reproduce</w:t>
            </w:r>
            <w:r w:rsidR="00957DFA">
              <w:t>.</w:t>
            </w:r>
            <w:r w:rsidR="00FF6B7C">
              <w:br/>
              <w:t>Requires access to pooled individual participant data.</w:t>
            </w:r>
            <w:r w:rsidR="005F3C17" w:rsidRPr="005F3C17">
              <w:br/>
            </w:r>
            <w:r w:rsidR="00072A72" w:rsidRPr="005F3C17">
              <w:t>Requires</w:t>
            </w:r>
            <w:r w:rsidR="00072A72">
              <w:t xml:space="preserve"> </w:t>
            </w:r>
            <w:r w:rsidR="00072A72" w:rsidRPr="005F3C17">
              <w:t>extensive exploration of study-specific data</w:t>
            </w:r>
            <w:r w:rsidR="00072A72">
              <w:t xml:space="preserve"> and assessment of results</w:t>
            </w:r>
            <w:r w:rsidR="00957DFA">
              <w:t>.</w:t>
            </w:r>
            <w:r w:rsidR="005F3C17" w:rsidRPr="005F3C17">
              <w:br/>
              <w:t>Computationally intensive</w:t>
            </w:r>
            <w:r w:rsidR="00957DFA">
              <w:t>.</w:t>
            </w:r>
          </w:p>
        </w:tc>
      </w:tr>
    </w:tbl>
    <w:p w:rsidR="002F0707" w:rsidRDefault="002F0707" w:rsidP="00EF5EDE">
      <w:r>
        <w:br w:type="page"/>
      </w:r>
    </w:p>
    <w:p w:rsidR="008E01DC" w:rsidRPr="00786DB8" w:rsidRDefault="008E01DC" w:rsidP="00DE7880">
      <w:pPr>
        <w:rPr>
          <w:b/>
          <w:bCs/>
        </w:rPr>
      </w:pPr>
      <w:r w:rsidRPr="000B5975">
        <w:rPr>
          <w:b/>
          <w:bCs/>
        </w:rPr>
        <w:lastRenderedPageBreak/>
        <w:t>Supplementary</w:t>
      </w:r>
      <w:r w:rsidR="00D56110" w:rsidRPr="000B5975">
        <w:rPr>
          <w:b/>
          <w:bCs/>
        </w:rPr>
        <w:t xml:space="preserve"> Material </w:t>
      </w:r>
      <w:r w:rsidR="00270978">
        <w:rPr>
          <w:b/>
          <w:bCs/>
        </w:rPr>
        <w:t>S6</w:t>
      </w:r>
      <w:r w:rsidRPr="000B5975">
        <w:rPr>
          <w:b/>
          <w:bCs/>
        </w:rPr>
        <w:t>. Validation of harmonized data</w:t>
      </w:r>
      <w:r w:rsidR="0072147A">
        <w:rPr>
          <w:b/>
          <w:bCs/>
        </w:rPr>
        <w:t xml:space="preserve"> </w:t>
      </w:r>
      <w:r w:rsidRPr="000B5975">
        <w:rPr>
          <w:b/>
          <w:bCs/>
        </w:rPr>
        <w:t>sets</w:t>
      </w:r>
    </w:p>
    <w:p w:rsidR="008E01DC" w:rsidRDefault="008E01DC" w:rsidP="008E01DC">
      <w:pPr>
        <w:spacing w:after="0" w:line="240" w:lineRule="auto"/>
        <w:rPr>
          <w:rFonts w:ascii="Calibri" w:eastAsia="Times New Roman" w:hAnsi="Calibri" w:cs="Calibri"/>
          <w:color w:val="000000"/>
        </w:rPr>
      </w:pPr>
      <w:r w:rsidRPr="00DA13FF">
        <w:rPr>
          <w:rFonts w:ascii="Calibri" w:eastAsia="Times New Roman" w:hAnsi="Calibri" w:cs="Calibri"/>
          <w:color w:val="000000"/>
        </w:rPr>
        <w:t xml:space="preserve">After harmonized data </w:t>
      </w:r>
      <w:r>
        <w:rPr>
          <w:rFonts w:ascii="Calibri" w:eastAsia="Times New Roman" w:hAnsi="Calibri" w:cs="Calibri"/>
          <w:color w:val="000000"/>
        </w:rPr>
        <w:t>is</w:t>
      </w:r>
      <w:r w:rsidRPr="00DA13FF">
        <w:rPr>
          <w:rFonts w:ascii="Calibri" w:eastAsia="Times New Roman" w:hAnsi="Calibri" w:cs="Calibri"/>
          <w:color w:val="000000"/>
        </w:rPr>
        <w:t xml:space="preserve"> generated, the accuracy of harmonization </w:t>
      </w:r>
      <w:r>
        <w:rPr>
          <w:rFonts w:ascii="Calibri" w:eastAsia="Times New Roman" w:hAnsi="Calibri" w:cs="Calibri"/>
          <w:color w:val="000000"/>
        </w:rPr>
        <w:t>processing</w:t>
      </w:r>
      <w:r w:rsidRPr="00DA13FF">
        <w:rPr>
          <w:rFonts w:ascii="Calibri" w:eastAsia="Times New Roman" w:hAnsi="Calibri" w:cs="Calibri"/>
          <w:color w:val="000000"/>
        </w:rPr>
        <w:t xml:space="preserve"> and </w:t>
      </w:r>
      <w:r>
        <w:rPr>
          <w:rFonts w:ascii="Calibri" w:eastAsia="Times New Roman" w:hAnsi="Calibri" w:cs="Calibri"/>
          <w:color w:val="000000"/>
        </w:rPr>
        <w:t>consistency</w:t>
      </w:r>
      <w:r w:rsidRPr="00DA13FF">
        <w:rPr>
          <w:rFonts w:ascii="Calibri" w:eastAsia="Times New Roman" w:hAnsi="Calibri" w:cs="Calibri"/>
          <w:color w:val="000000"/>
        </w:rPr>
        <w:t xml:space="preserve"> of the harmonized data content must be validated.</w:t>
      </w:r>
      <w:r>
        <w:rPr>
          <w:rFonts w:ascii="Calibri" w:eastAsia="Times New Roman" w:hAnsi="Calibri" w:cs="Calibri"/>
          <w:color w:val="000000"/>
        </w:rPr>
        <w:t xml:space="preserve"> </w:t>
      </w:r>
      <w:r w:rsidR="009B2AB0">
        <w:rPr>
          <w:rFonts w:ascii="Calibri" w:eastAsia="Times New Roman" w:hAnsi="Calibri" w:cs="Calibri"/>
          <w:color w:val="000000"/>
        </w:rPr>
        <w:t xml:space="preserve">Example of </w:t>
      </w:r>
      <w:r>
        <w:t xml:space="preserve">procedures </w:t>
      </w:r>
      <w:r w:rsidR="009B2AB0">
        <w:t xml:space="preserve">used </w:t>
      </w:r>
      <w:r w:rsidRPr="00DA13FF">
        <w:rPr>
          <w:rFonts w:ascii="Calibri" w:eastAsia="Times New Roman" w:hAnsi="Calibri" w:cs="Calibri"/>
          <w:color w:val="000000"/>
        </w:rPr>
        <w:t xml:space="preserve">to </w:t>
      </w:r>
      <w:r>
        <w:rPr>
          <w:rFonts w:ascii="Calibri" w:eastAsia="Times New Roman" w:hAnsi="Calibri" w:cs="Calibri"/>
          <w:color w:val="000000"/>
        </w:rPr>
        <w:t>explore</w:t>
      </w:r>
      <w:r w:rsidRPr="00DA13FF">
        <w:rPr>
          <w:rFonts w:ascii="Calibri" w:eastAsia="Times New Roman" w:hAnsi="Calibri" w:cs="Calibri"/>
          <w:color w:val="000000"/>
        </w:rPr>
        <w:t xml:space="preserve"> harmonized </w:t>
      </w:r>
      <w:r>
        <w:rPr>
          <w:rFonts w:ascii="Calibri" w:eastAsia="Times New Roman" w:hAnsi="Calibri" w:cs="Calibri"/>
          <w:color w:val="000000"/>
        </w:rPr>
        <w:t>variables</w:t>
      </w:r>
      <w:r w:rsidRPr="00DA13FF">
        <w:rPr>
          <w:rFonts w:ascii="Calibri" w:eastAsia="Times New Roman" w:hAnsi="Calibri" w:cs="Calibri"/>
          <w:color w:val="000000"/>
        </w:rPr>
        <w:t xml:space="preserve"> </w:t>
      </w:r>
      <w:r>
        <w:rPr>
          <w:rFonts w:ascii="Calibri" w:eastAsia="Times New Roman" w:hAnsi="Calibri" w:cs="Calibri"/>
          <w:color w:val="000000"/>
        </w:rPr>
        <w:t xml:space="preserve">content </w:t>
      </w:r>
      <w:r w:rsidRPr="00DA13FF">
        <w:rPr>
          <w:rFonts w:ascii="Calibri" w:eastAsia="Times New Roman" w:hAnsi="Calibri" w:cs="Calibri"/>
          <w:color w:val="000000"/>
        </w:rPr>
        <w:t>within and across stud</w:t>
      </w:r>
      <w:r>
        <w:rPr>
          <w:rFonts w:ascii="Calibri" w:eastAsia="Times New Roman" w:hAnsi="Calibri" w:cs="Calibri"/>
          <w:color w:val="000000"/>
        </w:rPr>
        <w:t>y-specific data</w:t>
      </w:r>
      <w:r w:rsidR="0072147A">
        <w:rPr>
          <w:rFonts w:ascii="Calibri" w:eastAsia="Times New Roman" w:hAnsi="Calibri" w:cs="Calibri"/>
          <w:color w:val="000000"/>
        </w:rPr>
        <w:t xml:space="preserve"> </w:t>
      </w:r>
      <w:r>
        <w:rPr>
          <w:rFonts w:ascii="Calibri" w:eastAsia="Times New Roman" w:hAnsi="Calibri" w:cs="Calibri"/>
          <w:color w:val="000000"/>
        </w:rPr>
        <w:t>sets</w:t>
      </w:r>
      <w:r>
        <w:t xml:space="preserve"> are presented </w:t>
      </w:r>
      <w:r w:rsidR="00DE7880">
        <w:t>below</w:t>
      </w:r>
      <w:r w:rsidRPr="00DA13FF">
        <w:rPr>
          <w:rFonts w:ascii="Calibri" w:eastAsia="Times New Roman" w:hAnsi="Calibri" w:cs="Calibri"/>
          <w:color w:val="000000"/>
        </w:rPr>
        <w:t>.</w:t>
      </w:r>
    </w:p>
    <w:p w:rsidR="008E01DC" w:rsidRDefault="008E01DC" w:rsidP="008E01DC"/>
    <w:tbl>
      <w:tblPr>
        <w:tblW w:w="9340" w:type="dxa"/>
        <w:tblLook w:val="04A0"/>
      </w:tblPr>
      <w:tblGrid>
        <w:gridCol w:w="1207"/>
        <w:gridCol w:w="49"/>
        <w:gridCol w:w="8084"/>
      </w:tblGrid>
      <w:tr w:rsidR="008E01DC" w:rsidRPr="00DA13FF" w:rsidTr="009118AD">
        <w:trPr>
          <w:trHeight w:val="389"/>
        </w:trPr>
        <w:tc>
          <w:tcPr>
            <w:tcW w:w="9340" w:type="dxa"/>
            <w:gridSpan w:val="3"/>
            <w:tcBorders>
              <w:top w:val="single" w:sz="4" w:space="0" w:color="auto"/>
              <w:left w:val="single" w:sz="4" w:space="0" w:color="auto"/>
              <w:bottom w:val="nil"/>
              <w:right w:val="single" w:sz="4" w:space="0" w:color="000000"/>
            </w:tcBorders>
            <w:shd w:val="clear" w:color="000000" w:fill="D9E1F2"/>
            <w:noWrap/>
            <w:vAlign w:val="center"/>
            <w:hideMark/>
          </w:tcPr>
          <w:p w:rsidR="008E01DC" w:rsidRPr="00DA13FF" w:rsidRDefault="008E01DC" w:rsidP="009118AD">
            <w:pPr>
              <w:spacing w:after="120" w:line="240" w:lineRule="auto"/>
              <w:rPr>
                <w:rFonts w:ascii="Calibri" w:eastAsia="Times New Roman" w:hAnsi="Calibri" w:cs="Calibri"/>
                <w:b/>
                <w:bCs/>
                <w:color w:val="000000"/>
              </w:rPr>
            </w:pPr>
            <w:r w:rsidRPr="00DA13FF">
              <w:rPr>
                <w:rFonts w:ascii="Calibri" w:eastAsia="Times New Roman" w:hAnsi="Calibri" w:cs="Calibri"/>
                <w:b/>
                <w:bCs/>
                <w:color w:val="000000"/>
              </w:rPr>
              <w:t xml:space="preserve">Verify the list of </w:t>
            </w:r>
            <w:r>
              <w:rPr>
                <w:rFonts w:ascii="Calibri" w:eastAsia="Times New Roman" w:hAnsi="Calibri" w:cs="Calibri"/>
                <w:b/>
                <w:bCs/>
                <w:color w:val="000000"/>
              </w:rPr>
              <w:t>identifiers (</w:t>
            </w:r>
            <w:r w:rsidRPr="00DA13FF">
              <w:rPr>
                <w:rFonts w:ascii="Calibri" w:eastAsia="Times New Roman" w:hAnsi="Calibri" w:cs="Calibri"/>
                <w:b/>
                <w:bCs/>
                <w:color w:val="000000"/>
              </w:rPr>
              <w:t>ID</w:t>
            </w:r>
            <w:r>
              <w:rPr>
                <w:rFonts w:ascii="Calibri" w:eastAsia="Times New Roman" w:hAnsi="Calibri" w:cs="Calibri"/>
                <w:b/>
                <w:bCs/>
                <w:color w:val="000000"/>
              </w:rPr>
              <w:t>s)</w:t>
            </w:r>
            <w:r w:rsidRPr="00DA13FF">
              <w:rPr>
                <w:rFonts w:ascii="Calibri" w:eastAsia="Times New Roman" w:hAnsi="Calibri" w:cs="Calibri"/>
                <w:b/>
                <w:bCs/>
                <w:color w:val="000000"/>
              </w:rPr>
              <w:t xml:space="preserve"> in each study-specific </w:t>
            </w:r>
            <w:r>
              <w:rPr>
                <w:rFonts w:ascii="Calibri" w:eastAsia="Times New Roman" w:hAnsi="Calibri" w:cs="Calibri"/>
                <w:b/>
                <w:bCs/>
                <w:color w:val="000000"/>
              </w:rPr>
              <w:t xml:space="preserve">harmonized </w:t>
            </w:r>
            <w:r w:rsidRPr="00DA13FF">
              <w:rPr>
                <w:rFonts w:ascii="Calibri" w:eastAsia="Times New Roman" w:hAnsi="Calibri" w:cs="Calibri"/>
                <w:b/>
                <w:bCs/>
                <w:color w:val="000000"/>
              </w:rPr>
              <w:t>data</w:t>
            </w:r>
            <w:r w:rsidR="0072147A">
              <w:rPr>
                <w:rFonts w:ascii="Calibri" w:eastAsia="Times New Roman" w:hAnsi="Calibri" w:cs="Calibri"/>
                <w:b/>
                <w:bCs/>
                <w:color w:val="000000"/>
              </w:rPr>
              <w:t xml:space="preserve"> </w:t>
            </w:r>
            <w:r w:rsidRPr="00DA13FF">
              <w:rPr>
                <w:rFonts w:ascii="Calibri" w:eastAsia="Times New Roman" w:hAnsi="Calibri" w:cs="Calibri"/>
                <w:b/>
                <w:bCs/>
                <w:color w:val="000000"/>
              </w:rPr>
              <w:t>set</w:t>
            </w:r>
          </w:p>
        </w:tc>
      </w:tr>
      <w:tr w:rsidR="008E01DC" w:rsidRPr="00DA13FF" w:rsidTr="009118AD">
        <w:trPr>
          <w:trHeight w:val="864"/>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Procedure</w:t>
            </w:r>
            <w:r>
              <w:rPr>
                <w:rFonts w:ascii="Calibri" w:eastAsia="Times New Roman" w:hAnsi="Calibri" w:cs="Calibri"/>
                <w:i/>
                <w:iCs/>
                <w:color w:val="000000"/>
              </w:rPr>
              <w:t>s</w:t>
            </w:r>
          </w:p>
        </w:tc>
        <w:tc>
          <w:tcPr>
            <w:tcW w:w="8133" w:type="dxa"/>
            <w:gridSpan w:val="2"/>
            <w:tcBorders>
              <w:top w:val="nil"/>
              <w:left w:val="nil"/>
              <w:bottom w:val="nil"/>
              <w:right w:val="single" w:sz="4" w:space="0" w:color="auto"/>
            </w:tcBorders>
            <w:shd w:val="clear" w:color="auto" w:fill="auto"/>
            <w:hideMark/>
          </w:tcPr>
          <w:p w:rsidR="008E01DC"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 xml:space="preserve">Verify that the correct participants or entities are present in the study-specific </w:t>
            </w:r>
            <w:r>
              <w:rPr>
                <w:rFonts w:ascii="Calibri" w:eastAsia="Times New Roman" w:hAnsi="Calibri" w:cs="Calibri"/>
                <w:color w:val="000000"/>
              </w:rPr>
              <w:t xml:space="preserve">harmonized </w:t>
            </w:r>
            <w:r w:rsidRPr="00DA13FF">
              <w:rPr>
                <w:rFonts w:ascii="Calibri" w:eastAsia="Times New Roman" w:hAnsi="Calibri" w:cs="Calibri"/>
                <w:color w:val="000000"/>
              </w:rPr>
              <w:t>data</w:t>
            </w:r>
            <w:r w:rsidR="0072147A">
              <w:rPr>
                <w:rFonts w:ascii="Calibri" w:eastAsia="Times New Roman" w:hAnsi="Calibri" w:cs="Calibri"/>
                <w:color w:val="000000"/>
              </w:rPr>
              <w:t xml:space="preserve"> </w:t>
            </w:r>
            <w:r w:rsidRPr="00DA13FF">
              <w:rPr>
                <w:rFonts w:ascii="Calibri" w:eastAsia="Times New Roman" w:hAnsi="Calibri" w:cs="Calibri"/>
                <w:color w:val="000000"/>
              </w:rPr>
              <w:t>set.</w:t>
            </w:r>
          </w:p>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 xml:space="preserve">Compare the IDs to the list of IDs in the </w:t>
            </w:r>
            <w:r>
              <w:rPr>
                <w:rFonts w:ascii="Calibri" w:eastAsia="Times New Roman" w:hAnsi="Calibri" w:cs="Calibri"/>
                <w:color w:val="000000"/>
              </w:rPr>
              <w:t xml:space="preserve">input </w:t>
            </w:r>
            <w:r w:rsidRPr="00DA13FF">
              <w:rPr>
                <w:rFonts w:ascii="Calibri" w:eastAsia="Times New Roman" w:hAnsi="Calibri" w:cs="Calibri"/>
                <w:color w:val="000000"/>
              </w:rPr>
              <w:t>study-specific data</w:t>
            </w:r>
            <w:r w:rsidR="0072147A">
              <w:rPr>
                <w:rFonts w:ascii="Calibri" w:eastAsia="Times New Roman" w:hAnsi="Calibri" w:cs="Calibri"/>
                <w:color w:val="000000"/>
              </w:rPr>
              <w:t xml:space="preserve"> </w:t>
            </w:r>
            <w:r w:rsidRPr="00DA13FF">
              <w:rPr>
                <w:rFonts w:ascii="Calibri" w:eastAsia="Times New Roman" w:hAnsi="Calibri" w:cs="Calibri"/>
                <w:color w:val="000000"/>
              </w:rPr>
              <w:t>set</w:t>
            </w:r>
            <w:r>
              <w:rPr>
                <w:rFonts w:ascii="Calibri" w:eastAsia="Times New Roman" w:hAnsi="Calibri" w:cs="Calibri"/>
                <w:color w:val="000000"/>
              </w:rPr>
              <w:t xml:space="preserve"> or reference list available.</w:t>
            </w:r>
          </w:p>
        </w:tc>
      </w:tr>
      <w:tr w:rsidR="008E01DC" w:rsidRPr="00DA13FF" w:rsidTr="009118AD">
        <w:trPr>
          <w:trHeight w:val="288"/>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 </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Where relevant, make corrections and document any modifications.</w:t>
            </w:r>
          </w:p>
        </w:tc>
      </w:tr>
      <w:tr w:rsidR="008E01DC" w:rsidRPr="00DA13FF" w:rsidTr="009118AD">
        <w:trPr>
          <w:trHeight w:val="576"/>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Example</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The list of participants in the study-specific harmonized data</w:t>
            </w:r>
            <w:r w:rsidR="0072147A">
              <w:rPr>
                <w:rFonts w:ascii="Calibri" w:eastAsia="Times New Roman" w:hAnsi="Calibri" w:cs="Calibri"/>
                <w:color w:val="000000"/>
              </w:rPr>
              <w:t xml:space="preserve"> </w:t>
            </w:r>
            <w:r w:rsidRPr="00DA13FF">
              <w:rPr>
                <w:rFonts w:ascii="Calibri" w:eastAsia="Times New Roman" w:hAnsi="Calibri" w:cs="Calibri"/>
                <w:color w:val="000000"/>
              </w:rPr>
              <w:t>set is confirmed to match the participants in the</w:t>
            </w:r>
            <w:r>
              <w:rPr>
                <w:rFonts w:ascii="Calibri" w:eastAsia="Times New Roman" w:hAnsi="Calibri" w:cs="Calibri"/>
                <w:color w:val="000000"/>
              </w:rPr>
              <w:t xml:space="preserve"> input</w:t>
            </w:r>
            <w:r w:rsidRPr="00DA13FF">
              <w:rPr>
                <w:rFonts w:ascii="Calibri" w:eastAsia="Times New Roman" w:hAnsi="Calibri" w:cs="Calibri"/>
                <w:color w:val="000000"/>
              </w:rPr>
              <w:t xml:space="preserve"> study-specific data</w:t>
            </w:r>
            <w:r w:rsidR="0072147A">
              <w:rPr>
                <w:rFonts w:ascii="Calibri" w:eastAsia="Times New Roman" w:hAnsi="Calibri" w:cs="Calibri"/>
                <w:color w:val="000000"/>
              </w:rPr>
              <w:t xml:space="preserve"> </w:t>
            </w:r>
            <w:r w:rsidRPr="00DA13FF">
              <w:rPr>
                <w:rFonts w:ascii="Calibri" w:eastAsia="Times New Roman" w:hAnsi="Calibri" w:cs="Calibri"/>
                <w:color w:val="000000"/>
              </w:rPr>
              <w:t>set</w:t>
            </w:r>
            <w:r w:rsidR="00E157A0">
              <w:rPr>
                <w:rFonts w:ascii="Calibri" w:eastAsia="Times New Roman" w:hAnsi="Calibri" w:cs="Calibri"/>
                <w:color w:val="000000"/>
              </w:rPr>
              <w:t>, excluding participants that were withdrawn</w:t>
            </w:r>
            <w:r w:rsidRPr="00DA13FF">
              <w:rPr>
                <w:rFonts w:ascii="Calibri" w:eastAsia="Times New Roman" w:hAnsi="Calibri" w:cs="Calibri"/>
                <w:color w:val="000000"/>
              </w:rPr>
              <w:t>.</w:t>
            </w:r>
          </w:p>
        </w:tc>
      </w:tr>
      <w:tr w:rsidR="008E01DC" w:rsidRPr="00DA13FF" w:rsidTr="009118AD">
        <w:trPr>
          <w:trHeight w:val="288"/>
        </w:trPr>
        <w:tc>
          <w:tcPr>
            <w:tcW w:w="9340" w:type="dxa"/>
            <w:gridSpan w:val="3"/>
            <w:tcBorders>
              <w:top w:val="nil"/>
              <w:left w:val="single" w:sz="4" w:space="0" w:color="auto"/>
              <w:bottom w:val="nil"/>
              <w:right w:val="single" w:sz="4" w:space="0" w:color="000000"/>
            </w:tcBorders>
            <w:shd w:val="clear" w:color="000000" w:fill="D9E1F2"/>
            <w:noWrap/>
            <w:hideMark/>
          </w:tcPr>
          <w:p w:rsidR="008E01DC" w:rsidRPr="00DA13FF" w:rsidRDefault="008E01DC" w:rsidP="009118AD">
            <w:pPr>
              <w:spacing w:after="120" w:line="240" w:lineRule="auto"/>
              <w:rPr>
                <w:rFonts w:ascii="Calibri" w:eastAsia="Times New Roman" w:hAnsi="Calibri" w:cs="Calibri"/>
                <w:b/>
                <w:bCs/>
                <w:color w:val="000000"/>
              </w:rPr>
            </w:pPr>
            <w:r w:rsidRPr="00DA13FF">
              <w:rPr>
                <w:rFonts w:ascii="Calibri" w:eastAsia="Times New Roman" w:hAnsi="Calibri" w:cs="Calibri"/>
                <w:b/>
                <w:bCs/>
                <w:color w:val="000000"/>
              </w:rPr>
              <w:t xml:space="preserve">Verify the list of variables and format in </w:t>
            </w:r>
            <w:r>
              <w:rPr>
                <w:rFonts w:ascii="Calibri" w:eastAsia="Times New Roman" w:hAnsi="Calibri" w:cs="Calibri"/>
                <w:b/>
                <w:bCs/>
                <w:color w:val="000000"/>
              </w:rPr>
              <w:t xml:space="preserve">each </w:t>
            </w:r>
            <w:r w:rsidRPr="00DA13FF">
              <w:rPr>
                <w:rFonts w:ascii="Calibri" w:eastAsia="Times New Roman" w:hAnsi="Calibri" w:cs="Calibri"/>
                <w:b/>
                <w:bCs/>
                <w:color w:val="000000"/>
              </w:rPr>
              <w:t xml:space="preserve">study-specific </w:t>
            </w:r>
            <w:r>
              <w:rPr>
                <w:rFonts w:ascii="Calibri" w:eastAsia="Times New Roman" w:hAnsi="Calibri" w:cs="Calibri"/>
                <w:b/>
                <w:bCs/>
                <w:color w:val="000000"/>
              </w:rPr>
              <w:t xml:space="preserve">harmonized </w:t>
            </w:r>
            <w:r w:rsidRPr="00DA13FF">
              <w:rPr>
                <w:rFonts w:ascii="Calibri" w:eastAsia="Times New Roman" w:hAnsi="Calibri" w:cs="Calibri"/>
                <w:b/>
                <w:bCs/>
                <w:color w:val="000000"/>
              </w:rPr>
              <w:t>data</w:t>
            </w:r>
            <w:r w:rsidR="0072147A">
              <w:rPr>
                <w:rFonts w:ascii="Calibri" w:eastAsia="Times New Roman" w:hAnsi="Calibri" w:cs="Calibri"/>
                <w:b/>
                <w:bCs/>
                <w:color w:val="000000"/>
              </w:rPr>
              <w:t xml:space="preserve"> </w:t>
            </w:r>
            <w:r w:rsidRPr="00DA13FF">
              <w:rPr>
                <w:rFonts w:ascii="Calibri" w:eastAsia="Times New Roman" w:hAnsi="Calibri" w:cs="Calibri"/>
                <w:b/>
                <w:bCs/>
                <w:color w:val="000000"/>
              </w:rPr>
              <w:t>set</w:t>
            </w:r>
          </w:p>
        </w:tc>
      </w:tr>
      <w:tr w:rsidR="008E01DC" w:rsidRPr="00DA13FF" w:rsidTr="009118AD">
        <w:trPr>
          <w:trHeight w:val="576"/>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Procedure</w:t>
            </w:r>
            <w:r>
              <w:rPr>
                <w:rFonts w:ascii="Calibri" w:eastAsia="Times New Roman" w:hAnsi="Calibri" w:cs="Calibri"/>
                <w:i/>
                <w:iCs/>
                <w:color w:val="000000"/>
              </w:rPr>
              <w:t>s</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 xml:space="preserve">Verify that the list of study-specific harmonized variables and variable metadata (e.g., name, description, format) correspond to the </w:t>
            </w:r>
            <w:proofErr w:type="spellStart"/>
            <w:r w:rsidRPr="00DA13FF">
              <w:rPr>
                <w:rFonts w:ascii="Calibri" w:eastAsia="Times New Roman" w:hAnsi="Calibri" w:cs="Calibri"/>
                <w:color w:val="000000"/>
              </w:rPr>
              <w:t>DataSchema</w:t>
            </w:r>
            <w:proofErr w:type="spellEnd"/>
            <w:r w:rsidRPr="00DA13FF">
              <w:rPr>
                <w:rFonts w:ascii="Calibri" w:eastAsia="Times New Roman" w:hAnsi="Calibri" w:cs="Calibri"/>
                <w:color w:val="000000"/>
              </w:rPr>
              <w:t>.</w:t>
            </w:r>
          </w:p>
        </w:tc>
      </w:tr>
      <w:tr w:rsidR="008E01DC" w:rsidRPr="00DA13FF" w:rsidTr="009118AD">
        <w:trPr>
          <w:trHeight w:val="864"/>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 </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Verify that all harmonization statuses are correct</w:t>
            </w:r>
            <w:r>
              <w:rPr>
                <w:rFonts w:ascii="Calibri" w:eastAsia="Times New Roman" w:hAnsi="Calibri" w:cs="Calibri"/>
                <w:color w:val="000000"/>
              </w:rPr>
              <w:t>ly assigned</w:t>
            </w:r>
            <w:r w:rsidRPr="00DA13FF">
              <w:rPr>
                <w:rFonts w:ascii="Calibri" w:eastAsia="Times New Roman" w:hAnsi="Calibri" w:cs="Calibri"/>
                <w:color w:val="000000"/>
              </w:rPr>
              <w:t>. Variables considered as ''complete'' for the study-specific data</w:t>
            </w:r>
            <w:r w:rsidR="0072147A">
              <w:rPr>
                <w:rFonts w:ascii="Calibri" w:eastAsia="Times New Roman" w:hAnsi="Calibri" w:cs="Calibri"/>
                <w:color w:val="000000"/>
              </w:rPr>
              <w:t xml:space="preserve"> </w:t>
            </w:r>
            <w:r w:rsidRPr="00DA13FF">
              <w:rPr>
                <w:rFonts w:ascii="Calibri" w:eastAsia="Times New Roman" w:hAnsi="Calibri" w:cs="Calibri"/>
                <w:color w:val="000000"/>
              </w:rPr>
              <w:t xml:space="preserve">set must include </w:t>
            </w:r>
            <w:r>
              <w:rPr>
                <w:rFonts w:ascii="Calibri" w:eastAsia="Times New Roman" w:hAnsi="Calibri" w:cs="Calibri"/>
                <w:color w:val="000000"/>
              </w:rPr>
              <w:t>information</w:t>
            </w:r>
            <w:r w:rsidRPr="00DA13FF">
              <w:rPr>
                <w:rFonts w:ascii="Calibri" w:eastAsia="Times New Roman" w:hAnsi="Calibri" w:cs="Calibri"/>
                <w:color w:val="000000"/>
              </w:rPr>
              <w:t xml:space="preserve">, and variables considered as ''impossible'' should </w:t>
            </w:r>
            <w:r>
              <w:rPr>
                <w:rFonts w:ascii="Calibri" w:eastAsia="Times New Roman" w:hAnsi="Calibri" w:cs="Calibri"/>
                <w:color w:val="000000"/>
              </w:rPr>
              <w:t>be empty</w:t>
            </w:r>
            <w:r w:rsidRPr="00DA13FF">
              <w:rPr>
                <w:rFonts w:ascii="Calibri" w:eastAsia="Times New Roman" w:hAnsi="Calibri" w:cs="Calibri"/>
                <w:color w:val="000000"/>
              </w:rPr>
              <w:t>.</w:t>
            </w:r>
          </w:p>
        </w:tc>
      </w:tr>
      <w:tr w:rsidR="008E01DC" w:rsidRPr="00DA13FF" w:rsidTr="009118AD">
        <w:trPr>
          <w:trHeight w:val="288"/>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 </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Where relevant, make corrections and document any modifications.</w:t>
            </w:r>
          </w:p>
        </w:tc>
      </w:tr>
      <w:tr w:rsidR="008E01DC" w:rsidRPr="00DA13FF" w:rsidTr="009118AD">
        <w:trPr>
          <w:trHeight w:val="576"/>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Example</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 xml:space="preserve">The </w:t>
            </w:r>
            <w:r>
              <w:rPr>
                <w:rFonts w:ascii="Calibri" w:eastAsia="Times New Roman" w:hAnsi="Calibri" w:cs="Calibri"/>
                <w:color w:val="000000"/>
              </w:rPr>
              <w:t xml:space="preserve">harmonized </w:t>
            </w:r>
            <w:r w:rsidRPr="00DA13FF">
              <w:rPr>
                <w:rFonts w:ascii="Calibri" w:eastAsia="Times New Roman" w:hAnsi="Calibri" w:cs="Calibri"/>
                <w:color w:val="000000"/>
              </w:rPr>
              <w:t xml:space="preserve">variable </w:t>
            </w:r>
            <w:r>
              <w:rPr>
                <w:rFonts w:ascii="Calibri" w:eastAsia="Times New Roman" w:hAnsi="Calibri" w:cs="Calibri"/>
                <w:color w:val="000000"/>
              </w:rPr>
              <w:t>“</w:t>
            </w:r>
            <w:r w:rsidRPr="00DA13FF">
              <w:rPr>
                <w:rFonts w:ascii="Calibri" w:eastAsia="Times New Roman" w:hAnsi="Calibri" w:cs="Calibri"/>
                <w:color w:val="000000"/>
              </w:rPr>
              <w:t>age started smoking</w:t>
            </w:r>
            <w:r>
              <w:rPr>
                <w:rFonts w:ascii="Calibri" w:eastAsia="Times New Roman" w:hAnsi="Calibri" w:cs="Calibri"/>
                <w:color w:val="000000"/>
              </w:rPr>
              <w:t>”</w:t>
            </w:r>
            <w:r w:rsidRPr="00DA13FF">
              <w:rPr>
                <w:rFonts w:ascii="Calibri" w:eastAsia="Times New Roman" w:hAnsi="Calibri" w:cs="Calibri"/>
                <w:color w:val="000000"/>
              </w:rPr>
              <w:t xml:space="preserve"> is missing the category label </w:t>
            </w:r>
            <w:r>
              <w:rPr>
                <w:rFonts w:ascii="Calibri" w:eastAsia="Times New Roman" w:hAnsi="Calibri" w:cs="Calibri"/>
                <w:color w:val="000000"/>
              </w:rPr>
              <w:t>“</w:t>
            </w:r>
            <w:r w:rsidRPr="00DA13FF">
              <w:rPr>
                <w:rFonts w:ascii="Calibri" w:eastAsia="Times New Roman" w:hAnsi="Calibri" w:cs="Calibri"/>
                <w:color w:val="000000"/>
              </w:rPr>
              <w:t>-7</w:t>
            </w:r>
            <w:r>
              <w:rPr>
                <w:rFonts w:ascii="Calibri" w:eastAsia="Times New Roman" w:hAnsi="Calibri" w:cs="Calibri"/>
                <w:color w:val="000000"/>
              </w:rPr>
              <w:t>”</w:t>
            </w:r>
            <w:r w:rsidRPr="00DA13FF">
              <w:rPr>
                <w:rFonts w:ascii="Calibri" w:eastAsia="Times New Roman" w:hAnsi="Calibri" w:cs="Calibri"/>
                <w:color w:val="000000"/>
              </w:rPr>
              <w:t xml:space="preserve"> indicating non-smokers, so the variable metadata is updated.</w:t>
            </w:r>
          </w:p>
        </w:tc>
      </w:tr>
      <w:tr w:rsidR="008E01DC" w:rsidRPr="00DA13FF" w:rsidTr="009118AD">
        <w:trPr>
          <w:trHeight w:val="288"/>
        </w:trPr>
        <w:tc>
          <w:tcPr>
            <w:tcW w:w="9340" w:type="dxa"/>
            <w:gridSpan w:val="3"/>
            <w:tcBorders>
              <w:top w:val="nil"/>
              <w:left w:val="single" w:sz="4" w:space="0" w:color="auto"/>
              <w:bottom w:val="nil"/>
              <w:right w:val="single" w:sz="4" w:space="0" w:color="000000"/>
            </w:tcBorders>
            <w:shd w:val="clear" w:color="000000" w:fill="D9E1F2"/>
            <w:noWrap/>
            <w:hideMark/>
          </w:tcPr>
          <w:p w:rsidR="008E01DC" w:rsidRPr="00DA13FF" w:rsidRDefault="008E01DC" w:rsidP="009118AD">
            <w:pPr>
              <w:spacing w:after="120" w:line="240" w:lineRule="auto"/>
              <w:rPr>
                <w:rFonts w:ascii="Calibri" w:eastAsia="Times New Roman" w:hAnsi="Calibri" w:cs="Calibri"/>
                <w:b/>
                <w:bCs/>
                <w:color w:val="000000"/>
              </w:rPr>
            </w:pPr>
            <w:r w:rsidRPr="00DA13FF">
              <w:rPr>
                <w:rFonts w:ascii="Calibri" w:eastAsia="Times New Roman" w:hAnsi="Calibri" w:cs="Calibri"/>
                <w:b/>
                <w:bCs/>
                <w:color w:val="000000"/>
              </w:rPr>
              <w:t xml:space="preserve">Perform univariate checks in each study-specific </w:t>
            </w:r>
            <w:r>
              <w:rPr>
                <w:rFonts w:ascii="Calibri" w:eastAsia="Times New Roman" w:hAnsi="Calibri" w:cs="Calibri"/>
                <w:b/>
                <w:bCs/>
                <w:color w:val="000000"/>
              </w:rPr>
              <w:t xml:space="preserve">harmonized </w:t>
            </w:r>
            <w:r w:rsidRPr="00DA13FF">
              <w:rPr>
                <w:rFonts w:ascii="Calibri" w:eastAsia="Times New Roman" w:hAnsi="Calibri" w:cs="Calibri"/>
                <w:b/>
                <w:bCs/>
                <w:color w:val="000000"/>
              </w:rPr>
              <w:t>data</w:t>
            </w:r>
            <w:r w:rsidR="0072147A">
              <w:rPr>
                <w:rFonts w:ascii="Calibri" w:eastAsia="Times New Roman" w:hAnsi="Calibri" w:cs="Calibri"/>
                <w:b/>
                <w:bCs/>
                <w:color w:val="000000"/>
              </w:rPr>
              <w:t xml:space="preserve"> </w:t>
            </w:r>
            <w:r w:rsidRPr="00DA13FF">
              <w:rPr>
                <w:rFonts w:ascii="Calibri" w:eastAsia="Times New Roman" w:hAnsi="Calibri" w:cs="Calibri"/>
                <w:b/>
                <w:bCs/>
                <w:color w:val="000000"/>
              </w:rPr>
              <w:t>set</w:t>
            </w:r>
          </w:p>
        </w:tc>
      </w:tr>
      <w:tr w:rsidR="008E01DC" w:rsidRPr="00DA13FF" w:rsidTr="009118AD">
        <w:trPr>
          <w:trHeight w:val="288"/>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Procedure</w:t>
            </w:r>
            <w:r>
              <w:rPr>
                <w:rFonts w:ascii="Calibri" w:eastAsia="Times New Roman" w:hAnsi="Calibri" w:cs="Calibri"/>
                <w:i/>
                <w:iCs/>
                <w:color w:val="000000"/>
              </w:rPr>
              <w:t>s</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Generate univariate distributions of each study-specific harmonized variable.</w:t>
            </w:r>
          </w:p>
        </w:tc>
      </w:tr>
      <w:tr w:rsidR="008E01DC" w:rsidRPr="00DA13FF" w:rsidTr="009118AD">
        <w:trPr>
          <w:trHeight w:val="288"/>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 </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 xml:space="preserve">For continuous variables: </w:t>
            </w:r>
            <w:r>
              <w:rPr>
                <w:rFonts w:ascii="Calibri" w:eastAsia="Times New Roman" w:hAnsi="Calibri" w:cs="Calibri"/>
                <w:color w:val="000000"/>
              </w:rPr>
              <w:t>I</w:t>
            </w:r>
            <w:r w:rsidRPr="00DA13FF">
              <w:rPr>
                <w:rFonts w:ascii="Calibri" w:eastAsia="Times New Roman" w:hAnsi="Calibri" w:cs="Calibri"/>
                <w:color w:val="000000"/>
              </w:rPr>
              <w:t>dentify any improbable values or outliers.</w:t>
            </w:r>
          </w:p>
        </w:tc>
      </w:tr>
      <w:tr w:rsidR="008E01DC" w:rsidRPr="00DA13FF" w:rsidTr="009118AD">
        <w:trPr>
          <w:trHeight w:val="576"/>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 </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 xml:space="preserve">For categorical variables: </w:t>
            </w:r>
            <w:r>
              <w:rPr>
                <w:rFonts w:ascii="Calibri" w:eastAsia="Times New Roman" w:hAnsi="Calibri" w:cs="Calibri"/>
                <w:color w:val="000000"/>
              </w:rPr>
              <w:t>I</w:t>
            </w:r>
            <w:r w:rsidRPr="00DA13FF">
              <w:rPr>
                <w:rFonts w:ascii="Calibri" w:eastAsia="Times New Roman" w:hAnsi="Calibri" w:cs="Calibri"/>
                <w:color w:val="000000"/>
              </w:rPr>
              <w:t xml:space="preserve">dentify any values that do not correspond to the categories defined in the </w:t>
            </w:r>
            <w:proofErr w:type="spellStart"/>
            <w:r w:rsidRPr="00DA13FF">
              <w:rPr>
                <w:rFonts w:ascii="Calibri" w:eastAsia="Times New Roman" w:hAnsi="Calibri" w:cs="Calibri"/>
                <w:color w:val="000000"/>
              </w:rPr>
              <w:t>DataSchema</w:t>
            </w:r>
            <w:proofErr w:type="spellEnd"/>
            <w:r w:rsidRPr="00DA13FF">
              <w:rPr>
                <w:rFonts w:ascii="Calibri" w:eastAsia="Times New Roman" w:hAnsi="Calibri" w:cs="Calibri"/>
                <w:color w:val="000000"/>
              </w:rPr>
              <w:t>.</w:t>
            </w:r>
          </w:p>
        </w:tc>
      </w:tr>
      <w:tr w:rsidR="008E01DC" w:rsidRPr="00DA13FF" w:rsidTr="009118AD">
        <w:trPr>
          <w:trHeight w:val="288"/>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 </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For all variables, verify the algorithm and script used to generate each variable.</w:t>
            </w:r>
          </w:p>
        </w:tc>
      </w:tr>
      <w:tr w:rsidR="008E01DC" w:rsidRPr="00DA13FF" w:rsidTr="009118AD">
        <w:trPr>
          <w:trHeight w:val="288"/>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 </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Pr>
                <w:rFonts w:ascii="Calibri" w:eastAsia="Times New Roman" w:hAnsi="Calibri" w:cs="Calibri"/>
                <w:color w:val="000000"/>
              </w:rPr>
              <w:t>D</w:t>
            </w:r>
            <w:r w:rsidRPr="00DA13FF">
              <w:rPr>
                <w:rFonts w:ascii="Calibri" w:eastAsia="Times New Roman" w:hAnsi="Calibri" w:cs="Calibri"/>
                <w:color w:val="000000"/>
              </w:rPr>
              <w:t xml:space="preserve">ocument issues to verify in the </w:t>
            </w:r>
            <w:r>
              <w:rPr>
                <w:rFonts w:ascii="Calibri" w:eastAsia="Times New Roman" w:hAnsi="Calibri" w:cs="Calibri"/>
                <w:color w:val="000000"/>
              </w:rPr>
              <w:t xml:space="preserve">input </w:t>
            </w:r>
            <w:r w:rsidRPr="00DA13FF">
              <w:rPr>
                <w:rFonts w:ascii="Calibri" w:eastAsia="Times New Roman" w:hAnsi="Calibri" w:cs="Calibri"/>
                <w:color w:val="000000"/>
              </w:rPr>
              <w:t>study-specific data.</w:t>
            </w:r>
          </w:p>
        </w:tc>
      </w:tr>
      <w:tr w:rsidR="008E01DC" w:rsidRPr="00DA13FF" w:rsidTr="009118AD">
        <w:trPr>
          <w:trHeight w:val="288"/>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 </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Where relevant, make corrections and document any modifications.</w:t>
            </w:r>
          </w:p>
        </w:tc>
      </w:tr>
      <w:tr w:rsidR="008E01DC" w:rsidRPr="00DA13FF" w:rsidTr="009118AD">
        <w:trPr>
          <w:trHeight w:val="576"/>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Example</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 xml:space="preserve">The values for </w:t>
            </w:r>
            <w:r>
              <w:rPr>
                <w:rFonts w:ascii="Calibri" w:eastAsia="Times New Roman" w:hAnsi="Calibri" w:cs="Calibri"/>
                <w:color w:val="000000"/>
              </w:rPr>
              <w:t>“</w:t>
            </w:r>
            <w:r w:rsidRPr="00DA13FF">
              <w:rPr>
                <w:rFonts w:ascii="Calibri" w:eastAsia="Times New Roman" w:hAnsi="Calibri" w:cs="Calibri"/>
                <w:color w:val="000000"/>
              </w:rPr>
              <w:t>volume of blood taken</w:t>
            </w:r>
            <w:r>
              <w:rPr>
                <w:rFonts w:ascii="Calibri" w:eastAsia="Times New Roman" w:hAnsi="Calibri" w:cs="Calibri"/>
                <w:color w:val="000000"/>
              </w:rPr>
              <w:t>”</w:t>
            </w:r>
            <w:r w:rsidRPr="00DA13FF">
              <w:rPr>
                <w:rFonts w:ascii="Calibri" w:eastAsia="Times New Roman" w:hAnsi="Calibri" w:cs="Calibri"/>
                <w:color w:val="000000"/>
              </w:rPr>
              <w:t xml:space="preserve"> are improbably high, and it is </w:t>
            </w:r>
            <w:r>
              <w:rPr>
                <w:rFonts w:ascii="Calibri" w:eastAsia="Times New Roman" w:hAnsi="Calibri" w:cs="Calibri"/>
                <w:color w:val="000000"/>
              </w:rPr>
              <w:t>confirmed</w:t>
            </w:r>
            <w:r w:rsidRPr="00DA13FF">
              <w:rPr>
                <w:rFonts w:ascii="Calibri" w:eastAsia="Times New Roman" w:hAnsi="Calibri" w:cs="Calibri"/>
                <w:color w:val="000000"/>
              </w:rPr>
              <w:t xml:space="preserve"> that the units </w:t>
            </w:r>
            <w:r>
              <w:rPr>
                <w:rFonts w:ascii="Calibri" w:eastAsia="Times New Roman" w:hAnsi="Calibri" w:cs="Calibri"/>
                <w:color w:val="000000"/>
              </w:rPr>
              <w:t>were</w:t>
            </w:r>
            <w:r w:rsidRPr="00DA13FF">
              <w:rPr>
                <w:rFonts w:ascii="Calibri" w:eastAsia="Times New Roman" w:hAnsi="Calibri" w:cs="Calibri"/>
                <w:color w:val="000000"/>
              </w:rPr>
              <w:t xml:space="preserve"> in microliters instead of milliliters.</w:t>
            </w:r>
          </w:p>
        </w:tc>
      </w:tr>
      <w:tr w:rsidR="008E01DC" w:rsidRPr="00DA13FF" w:rsidTr="009118AD">
        <w:trPr>
          <w:trHeight w:val="288"/>
        </w:trPr>
        <w:tc>
          <w:tcPr>
            <w:tcW w:w="9340" w:type="dxa"/>
            <w:gridSpan w:val="3"/>
            <w:tcBorders>
              <w:top w:val="nil"/>
              <w:left w:val="single" w:sz="4" w:space="0" w:color="auto"/>
              <w:bottom w:val="nil"/>
              <w:right w:val="single" w:sz="4" w:space="0" w:color="000000"/>
            </w:tcBorders>
            <w:shd w:val="clear" w:color="000000" w:fill="D9E1F2"/>
            <w:noWrap/>
            <w:hideMark/>
          </w:tcPr>
          <w:p w:rsidR="008E01DC" w:rsidRPr="00DA13FF" w:rsidRDefault="008E01DC" w:rsidP="009118AD">
            <w:pPr>
              <w:spacing w:after="120" w:line="240" w:lineRule="auto"/>
              <w:rPr>
                <w:rFonts w:ascii="Calibri" w:eastAsia="Times New Roman" w:hAnsi="Calibri" w:cs="Calibri"/>
                <w:b/>
                <w:bCs/>
                <w:color w:val="000000"/>
              </w:rPr>
            </w:pPr>
            <w:r w:rsidRPr="00DA13FF">
              <w:rPr>
                <w:rFonts w:ascii="Calibri" w:eastAsia="Times New Roman" w:hAnsi="Calibri" w:cs="Calibri"/>
                <w:b/>
                <w:bCs/>
                <w:color w:val="000000"/>
              </w:rPr>
              <w:t xml:space="preserve">Perform multivariate checks in each study-specific </w:t>
            </w:r>
            <w:r>
              <w:rPr>
                <w:rFonts w:ascii="Calibri" w:eastAsia="Times New Roman" w:hAnsi="Calibri" w:cs="Calibri"/>
                <w:b/>
                <w:bCs/>
                <w:color w:val="000000"/>
              </w:rPr>
              <w:t xml:space="preserve">harmonized </w:t>
            </w:r>
            <w:r w:rsidRPr="00DA13FF">
              <w:rPr>
                <w:rFonts w:ascii="Calibri" w:eastAsia="Times New Roman" w:hAnsi="Calibri" w:cs="Calibri"/>
                <w:b/>
                <w:bCs/>
                <w:color w:val="000000"/>
              </w:rPr>
              <w:t>data</w:t>
            </w:r>
            <w:r w:rsidR="0072147A">
              <w:rPr>
                <w:rFonts w:ascii="Calibri" w:eastAsia="Times New Roman" w:hAnsi="Calibri" w:cs="Calibri"/>
                <w:b/>
                <w:bCs/>
                <w:color w:val="000000"/>
              </w:rPr>
              <w:t xml:space="preserve"> </w:t>
            </w:r>
            <w:r w:rsidRPr="00DA13FF">
              <w:rPr>
                <w:rFonts w:ascii="Calibri" w:eastAsia="Times New Roman" w:hAnsi="Calibri" w:cs="Calibri"/>
                <w:b/>
                <w:bCs/>
                <w:color w:val="000000"/>
              </w:rPr>
              <w:t>set</w:t>
            </w:r>
          </w:p>
        </w:tc>
      </w:tr>
      <w:tr w:rsidR="008E01DC" w:rsidRPr="00DA13FF" w:rsidTr="009118AD">
        <w:trPr>
          <w:trHeight w:val="288"/>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Procedure</w:t>
            </w:r>
            <w:r>
              <w:rPr>
                <w:rFonts w:ascii="Calibri" w:eastAsia="Times New Roman" w:hAnsi="Calibri" w:cs="Calibri"/>
                <w:i/>
                <w:iCs/>
                <w:color w:val="000000"/>
              </w:rPr>
              <w:t>s</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Generate cross-references across relevant variables.</w:t>
            </w:r>
          </w:p>
        </w:tc>
      </w:tr>
      <w:tr w:rsidR="008E01DC" w:rsidRPr="00DA13FF" w:rsidTr="009118AD">
        <w:trPr>
          <w:trHeight w:val="288"/>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 </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Pr>
                <w:rFonts w:ascii="Calibri" w:eastAsia="Times New Roman" w:hAnsi="Calibri" w:cs="Calibri"/>
                <w:color w:val="000000"/>
              </w:rPr>
              <w:t>D</w:t>
            </w:r>
            <w:r w:rsidRPr="00DA13FF">
              <w:rPr>
                <w:rFonts w:ascii="Calibri" w:eastAsia="Times New Roman" w:hAnsi="Calibri" w:cs="Calibri"/>
                <w:color w:val="000000"/>
              </w:rPr>
              <w:t xml:space="preserve">ocument issues to verify in the </w:t>
            </w:r>
            <w:r>
              <w:rPr>
                <w:rFonts w:ascii="Calibri" w:eastAsia="Times New Roman" w:hAnsi="Calibri" w:cs="Calibri"/>
                <w:color w:val="000000"/>
              </w:rPr>
              <w:t xml:space="preserve">input </w:t>
            </w:r>
            <w:r w:rsidRPr="00DA13FF">
              <w:rPr>
                <w:rFonts w:ascii="Calibri" w:eastAsia="Times New Roman" w:hAnsi="Calibri" w:cs="Calibri"/>
                <w:color w:val="000000"/>
              </w:rPr>
              <w:t>study-specific data.</w:t>
            </w:r>
          </w:p>
        </w:tc>
      </w:tr>
      <w:tr w:rsidR="008E01DC" w:rsidRPr="00DA13FF" w:rsidTr="009118AD">
        <w:trPr>
          <w:trHeight w:val="288"/>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 </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Where relevant, make corrections and document any modifications.</w:t>
            </w:r>
          </w:p>
        </w:tc>
      </w:tr>
      <w:tr w:rsidR="008E01DC" w:rsidRPr="00DA13FF" w:rsidTr="009118AD">
        <w:trPr>
          <w:trHeight w:val="576"/>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lastRenderedPageBreak/>
              <w:t>Example</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 xml:space="preserve">The variable </w:t>
            </w:r>
            <w:r>
              <w:rPr>
                <w:rFonts w:ascii="Calibri" w:eastAsia="Times New Roman" w:hAnsi="Calibri" w:cs="Calibri"/>
                <w:color w:val="000000"/>
              </w:rPr>
              <w:t>“</w:t>
            </w:r>
            <w:r w:rsidRPr="00DA13FF">
              <w:rPr>
                <w:rFonts w:ascii="Calibri" w:eastAsia="Times New Roman" w:hAnsi="Calibri" w:cs="Calibri"/>
                <w:color w:val="000000"/>
              </w:rPr>
              <w:t xml:space="preserve">ever </w:t>
            </w:r>
            <w:r w:rsidR="00CD19AE" w:rsidRPr="00DA13FF">
              <w:rPr>
                <w:rFonts w:ascii="Calibri" w:eastAsia="Times New Roman" w:hAnsi="Calibri" w:cs="Calibri"/>
                <w:color w:val="000000"/>
              </w:rPr>
              <w:t>dr</w:t>
            </w:r>
            <w:r w:rsidR="00CD19AE">
              <w:rPr>
                <w:rFonts w:ascii="Calibri" w:eastAsia="Times New Roman" w:hAnsi="Calibri" w:cs="Calibri"/>
                <w:color w:val="000000"/>
              </w:rPr>
              <w:t>a</w:t>
            </w:r>
            <w:r w:rsidR="00CD19AE" w:rsidRPr="00DA13FF">
              <w:rPr>
                <w:rFonts w:ascii="Calibri" w:eastAsia="Times New Roman" w:hAnsi="Calibri" w:cs="Calibri"/>
                <w:color w:val="000000"/>
              </w:rPr>
              <w:t xml:space="preserve">nk </w:t>
            </w:r>
            <w:r w:rsidRPr="00DA13FF">
              <w:rPr>
                <w:rFonts w:ascii="Calibri" w:eastAsia="Times New Roman" w:hAnsi="Calibri" w:cs="Calibri"/>
                <w:color w:val="000000"/>
              </w:rPr>
              <w:t>alcohol during pregnancy</w:t>
            </w:r>
            <w:r>
              <w:rPr>
                <w:rFonts w:ascii="Calibri" w:eastAsia="Times New Roman" w:hAnsi="Calibri" w:cs="Calibri"/>
                <w:color w:val="000000"/>
              </w:rPr>
              <w:t>”</w:t>
            </w:r>
            <w:r w:rsidRPr="00DA13FF">
              <w:rPr>
                <w:rFonts w:ascii="Calibri" w:eastAsia="Times New Roman" w:hAnsi="Calibri" w:cs="Calibri"/>
                <w:color w:val="000000"/>
              </w:rPr>
              <w:t xml:space="preserve"> is cross-tabulated with </w:t>
            </w:r>
            <w:r>
              <w:rPr>
                <w:rFonts w:ascii="Calibri" w:eastAsia="Times New Roman" w:hAnsi="Calibri" w:cs="Calibri"/>
                <w:color w:val="000000"/>
              </w:rPr>
              <w:t>“</w:t>
            </w:r>
            <w:r w:rsidRPr="00DA13FF">
              <w:rPr>
                <w:rFonts w:ascii="Calibri" w:eastAsia="Times New Roman" w:hAnsi="Calibri" w:cs="Calibri"/>
                <w:color w:val="000000"/>
              </w:rPr>
              <w:t>frequency of drinking alcohol during pregnancy</w:t>
            </w:r>
            <w:r>
              <w:rPr>
                <w:rFonts w:ascii="Calibri" w:eastAsia="Times New Roman" w:hAnsi="Calibri" w:cs="Calibri"/>
                <w:color w:val="000000"/>
              </w:rPr>
              <w:t>”</w:t>
            </w:r>
            <w:r w:rsidRPr="00DA13FF">
              <w:rPr>
                <w:rFonts w:ascii="Calibri" w:eastAsia="Times New Roman" w:hAnsi="Calibri" w:cs="Calibri"/>
                <w:color w:val="000000"/>
              </w:rPr>
              <w:t xml:space="preserve"> to check </w:t>
            </w:r>
            <w:r>
              <w:rPr>
                <w:rFonts w:ascii="Calibri" w:eastAsia="Times New Roman" w:hAnsi="Calibri" w:cs="Calibri"/>
                <w:color w:val="000000"/>
              </w:rPr>
              <w:t>consistency</w:t>
            </w:r>
            <w:r w:rsidRPr="00DA13FF">
              <w:rPr>
                <w:rFonts w:ascii="Calibri" w:eastAsia="Times New Roman" w:hAnsi="Calibri" w:cs="Calibri"/>
                <w:color w:val="000000"/>
              </w:rPr>
              <w:t xml:space="preserve"> of 0 and non-zero values.</w:t>
            </w:r>
          </w:p>
        </w:tc>
      </w:tr>
      <w:tr w:rsidR="008E01DC" w:rsidRPr="00DA13FF" w:rsidTr="009118AD">
        <w:trPr>
          <w:trHeight w:val="288"/>
        </w:trPr>
        <w:tc>
          <w:tcPr>
            <w:tcW w:w="9340" w:type="dxa"/>
            <w:gridSpan w:val="3"/>
            <w:tcBorders>
              <w:top w:val="nil"/>
              <w:left w:val="single" w:sz="4" w:space="0" w:color="auto"/>
              <w:bottom w:val="nil"/>
              <w:right w:val="single" w:sz="4" w:space="0" w:color="000000"/>
            </w:tcBorders>
            <w:shd w:val="clear" w:color="000000" w:fill="D9E1F2"/>
            <w:noWrap/>
            <w:hideMark/>
          </w:tcPr>
          <w:p w:rsidR="008E01DC" w:rsidRPr="00DA13FF" w:rsidRDefault="008E01DC" w:rsidP="009118AD">
            <w:pPr>
              <w:spacing w:after="120" w:line="240" w:lineRule="auto"/>
              <w:rPr>
                <w:rFonts w:ascii="Calibri" w:eastAsia="Times New Roman" w:hAnsi="Calibri" w:cs="Calibri"/>
                <w:b/>
                <w:bCs/>
                <w:color w:val="000000"/>
              </w:rPr>
            </w:pPr>
            <w:r w:rsidRPr="00DA13FF">
              <w:rPr>
                <w:rFonts w:ascii="Calibri" w:eastAsia="Times New Roman" w:hAnsi="Calibri" w:cs="Calibri"/>
                <w:b/>
                <w:bCs/>
                <w:color w:val="000000"/>
              </w:rPr>
              <w:t>Compare data content across study-specific harmonized data</w:t>
            </w:r>
            <w:r w:rsidR="0072147A">
              <w:rPr>
                <w:rFonts w:ascii="Calibri" w:eastAsia="Times New Roman" w:hAnsi="Calibri" w:cs="Calibri"/>
                <w:b/>
                <w:bCs/>
                <w:color w:val="000000"/>
              </w:rPr>
              <w:t xml:space="preserve"> </w:t>
            </w:r>
            <w:r w:rsidRPr="00DA13FF">
              <w:rPr>
                <w:rFonts w:ascii="Calibri" w:eastAsia="Times New Roman" w:hAnsi="Calibri" w:cs="Calibri"/>
                <w:b/>
                <w:bCs/>
                <w:color w:val="000000"/>
              </w:rPr>
              <w:t xml:space="preserve">sets </w:t>
            </w:r>
          </w:p>
        </w:tc>
      </w:tr>
      <w:tr w:rsidR="008E01DC" w:rsidRPr="00DA13FF" w:rsidTr="009118AD">
        <w:trPr>
          <w:trHeight w:val="288"/>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Procedure</w:t>
            </w:r>
            <w:r>
              <w:rPr>
                <w:rFonts w:ascii="Calibri" w:eastAsia="Times New Roman" w:hAnsi="Calibri" w:cs="Calibri"/>
                <w:i/>
                <w:iCs/>
                <w:color w:val="000000"/>
              </w:rPr>
              <w:t>s</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Generate distributions for harmonized variables across study-specific data</w:t>
            </w:r>
            <w:r w:rsidR="0072147A">
              <w:rPr>
                <w:rFonts w:ascii="Calibri" w:eastAsia="Times New Roman" w:hAnsi="Calibri" w:cs="Calibri"/>
                <w:color w:val="000000"/>
              </w:rPr>
              <w:t xml:space="preserve"> </w:t>
            </w:r>
            <w:r w:rsidRPr="00DA13FF">
              <w:rPr>
                <w:rFonts w:ascii="Calibri" w:eastAsia="Times New Roman" w:hAnsi="Calibri" w:cs="Calibri"/>
                <w:color w:val="000000"/>
              </w:rPr>
              <w:t>sets.</w:t>
            </w:r>
          </w:p>
        </w:tc>
      </w:tr>
      <w:tr w:rsidR="008E01DC" w:rsidRPr="00DA13FF" w:rsidTr="009118AD">
        <w:trPr>
          <w:trHeight w:val="288"/>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 </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Compare distributions and identify any improbable results.</w:t>
            </w:r>
          </w:p>
        </w:tc>
      </w:tr>
      <w:tr w:rsidR="008E01DC" w:rsidRPr="00DA13FF" w:rsidTr="009118AD">
        <w:trPr>
          <w:trHeight w:val="288"/>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 </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Pr>
                <w:rFonts w:ascii="Calibri" w:eastAsia="Times New Roman" w:hAnsi="Calibri" w:cs="Calibri"/>
                <w:color w:val="000000"/>
              </w:rPr>
              <w:t>D</w:t>
            </w:r>
            <w:r w:rsidRPr="00DA13FF">
              <w:rPr>
                <w:rFonts w:ascii="Calibri" w:eastAsia="Times New Roman" w:hAnsi="Calibri" w:cs="Calibri"/>
                <w:color w:val="000000"/>
              </w:rPr>
              <w:t>ocument issues to verify in the</w:t>
            </w:r>
            <w:r>
              <w:rPr>
                <w:rFonts w:ascii="Calibri" w:eastAsia="Times New Roman" w:hAnsi="Calibri" w:cs="Calibri"/>
                <w:color w:val="000000"/>
              </w:rPr>
              <w:t xml:space="preserve"> input</w:t>
            </w:r>
            <w:r w:rsidRPr="00DA13FF">
              <w:rPr>
                <w:rFonts w:ascii="Calibri" w:eastAsia="Times New Roman" w:hAnsi="Calibri" w:cs="Calibri"/>
                <w:color w:val="000000"/>
              </w:rPr>
              <w:t xml:space="preserve"> study-specific data.</w:t>
            </w:r>
          </w:p>
        </w:tc>
      </w:tr>
      <w:tr w:rsidR="008E01DC" w:rsidRPr="00DA13FF" w:rsidTr="009118AD">
        <w:trPr>
          <w:trHeight w:val="288"/>
        </w:trPr>
        <w:tc>
          <w:tcPr>
            <w:tcW w:w="1207" w:type="dxa"/>
            <w:tcBorders>
              <w:top w:val="nil"/>
              <w:left w:val="single" w:sz="4" w:space="0" w:color="auto"/>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 </w:t>
            </w:r>
          </w:p>
        </w:tc>
        <w:tc>
          <w:tcPr>
            <w:tcW w:w="8133" w:type="dxa"/>
            <w:gridSpan w:val="2"/>
            <w:tcBorders>
              <w:top w:val="nil"/>
              <w:left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sidRPr="00DA13FF">
              <w:rPr>
                <w:rFonts w:ascii="Calibri" w:eastAsia="Times New Roman" w:hAnsi="Calibri" w:cs="Calibri"/>
                <w:color w:val="000000"/>
              </w:rPr>
              <w:t>Where relevant, make corrections and document any modifications.</w:t>
            </w:r>
          </w:p>
        </w:tc>
      </w:tr>
      <w:tr w:rsidR="008E01DC" w:rsidRPr="00DA13FF" w:rsidTr="009118AD">
        <w:trPr>
          <w:trHeight w:val="600"/>
        </w:trPr>
        <w:tc>
          <w:tcPr>
            <w:tcW w:w="1207" w:type="dxa"/>
            <w:tcBorders>
              <w:top w:val="nil"/>
              <w:left w:val="single" w:sz="4" w:space="0" w:color="auto"/>
              <w:bottom w:val="nil"/>
              <w:right w:val="nil"/>
            </w:tcBorders>
            <w:shd w:val="clear" w:color="auto" w:fill="auto"/>
            <w:hideMark/>
          </w:tcPr>
          <w:p w:rsidR="008E01DC" w:rsidRPr="00DA13FF" w:rsidRDefault="008E01DC" w:rsidP="009118AD">
            <w:pPr>
              <w:spacing w:after="120" w:line="240" w:lineRule="auto"/>
              <w:rPr>
                <w:rFonts w:ascii="Calibri" w:eastAsia="Times New Roman" w:hAnsi="Calibri" w:cs="Calibri"/>
                <w:i/>
                <w:iCs/>
                <w:color w:val="000000"/>
              </w:rPr>
            </w:pPr>
            <w:r w:rsidRPr="00DA13FF">
              <w:rPr>
                <w:rFonts w:ascii="Calibri" w:eastAsia="Times New Roman" w:hAnsi="Calibri" w:cs="Calibri"/>
                <w:i/>
                <w:iCs/>
                <w:color w:val="000000"/>
              </w:rPr>
              <w:t>Example</w:t>
            </w:r>
          </w:p>
        </w:tc>
        <w:tc>
          <w:tcPr>
            <w:tcW w:w="8133" w:type="dxa"/>
            <w:gridSpan w:val="2"/>
            <w:tcBorders>
              <w:top w:val="nil"/>
              <w:left w:val="nil"/>
              <w:bottom w:val="nil"/>
              <w:right w:val="single" w:sz="4" w:space="0" w:color="auto"/>
            </w:tcBorders>
            <w:shd w:val="clear" w:color="auto" w:fill="auto"/>
            <w:hideMark/>
          </w:tcPr>
          <w:p w:rsidR="008E01DC" w:rsidRPr="00DA13FF" w:rsidRDefault="008E01DC" w:rsidP="009118AD">
            <w:pPr>
              <w:spacing w:after="120" w:line="240" w:lineRule="auto"/>
              <w:rPr>
                <w:rFonts w:ascii="Calibri" w:eastAsia="Times New Roman" w:hAnsi="Calibri" w:cs="Calibri"/>
                <w:color w:val="000000"/>
              </w:rPr>
            </w:pPr>
            <w:r>
              <w:rPr>
                <w:rFonts w:ascii="Calibri" w:eastAsia="Times New Roman" w:hAnsi="Calibri" w:cs="Calibri"/>
                <w:color w:val="000000"/>
              </w:rPr>
              <w:t>Comparing s</w:t>
            </w:r>
            <w:r w:rsidRPr="00DA13FF">
              <w:rPr>
                <w:rFonts w:ascii="Calibri" w:eastAsia="Times New Roman" w:hAnsi="Calibri" w:cs="Calibri"/>
                <w:color w:val="000000"/>
              </w:rPr>
              <w:t xml:space="preserve">itting height across </w:t>
            </w:r>
            <w:r>
              <w:rPr>
                <w:rFonts w:ascii="Calibri" w:eastAsia="Times New Roman" w:hAnsi="Calibri" w:cs="Calibri"/>
                <w:color w:val="000000"/>
              </w:rPr>
              <w:t xml:space="preserve">studies shows that </w:t>
            </w:r>
            <w:r w:rsidRPr="00DA13FF">
              <w:rPr>
                <w:rFonts w:ascii="Calibri" w:eastAsia="Times New Roman" w:hAnsi="Calibri" w:cs="Calibri"/>
                <w:color w:val="000000"/>
              </w:rPr>
              <w:t xml:space="preserve">values are </w:t>
            </w:r>
            <w:r>
              <w:rPr>
                <w:rFonts w:ascii="Calibri" w:eastAsia="Times New Roman" w:hAnsi="Calibri" w:cs="Calibri"/>
                <w:color w:val="000000"/>
              </w:rPr>
              <w:t>systematically</w:t>
            </w:r>
            <w:r w:rsidRPr="00DA13FF">
              <w:rPr>
                <w:rFonts w:ascii="Calibri" w:eastAsia="Times New Roman" w:hAnsi="Calibri" w:cs="Calibri"/>
                <w:color w:val="000000"/>
              </w:rPr>
              <w:t xml:space="preserve"> 30 cm higher in two cohorts compared to the others. </w:t>
            </w:r>
          </w:p>
        </w:tc>
      </w:tr>
      <w:tr w:rsidR="008E01DC" w:rsidRPr="00F3632F" w:rsidTr="009118AD">
        <w:trPr>
          <w:trHeight w:val="288"/>
        </w:trPr>
        <w:tc>
          <w:tcPr>
            <w:tcW w:w="9340" w:type="dxa"/>
            <w:gridSpan w:val="3"/>
            <w:tcBorders>
              <w:top w:val="nil"/>
              <w:left w:val="single" w:sz="4" w:space="0" w:color="auto"/>
              <w:bottom w:val="nil"/>
              <w:right w:val="single" w:sz="4" w:space="0" w:color="000000"/>
            </w:tcBorders>
            <w:shd w:val="clear" w:color="000000" w:fill="D9E1F2"/>
            <w:noWrap/>
            <w:hideMark/>
          </w:tcPr>
          <w:p w:rsidR="008E01DC" w:rsidRPr="00F3632F" w:rsidRDefault="008E01DC" w:rsidP="009118AD">
            <w:pPr>
              <w:spacing w:after="120" w:line="240" w:lineRule="auto"/>
              <w:rPr>
                <w:rFonts w:ascii="Calibri" w:eastAsia="Times New Roman" w:hAnsi="Calibri" w:cs="Calibri"/>
                <w:b/>
                <w:bCs/>
                <w:color w:val="000000"/>
              </w:rPr>
            </w:pPr>
            <w:r w:rsidRPr="00F3632F">
              <w:rPr>
                <w:rFonts w:ascii="Calibri" w:eastAsia="Times New Roman" w:hAnsi="Calibri" w:cs="Calibri"/>
                <w:b/>
                <w:bCs/>
                <w:color w:val="000000"/>
              </w:rPr>
              <w:t xml:space="preserve">Resolve </w:t>
            </w:r>
            <w:r>
              <w:rPr>
                <w:rFonts w:ascii="Calibri" w:eastAsia="Times New Roman" w:hAnsi="Calibri" w:cs="Calibri"/>
                <w:b/>
                <w:bCs/>
                <w:color w:val="000000"/>
              </w:rPr>
              <w:t xml:space="preserve">remaining </w:t>
            </w:r>
            <w:r w:rsidRPr="00F3632F">
              <w:rPr>
                <w:rFonts w:ascii="Calibri" w:eastAsia="Times New Roman" w:hAnsi="Calibri" w:cs="Calibri"/>
                <w:b/>
                <w:bCs/>
                <w:color w:val="000000"/>
              </w:rPr>
              <w:t>issues, where possible</w:t>
            </w:r>
          </w:p>
        </w:tc>
      </w:tr>
      <w:tr w:rsidR="008E01DC" w:rsidRPr="00F3632F" w:rsidTr="009118AD">
        <w:trPr>
          <w:trHeight w:val="576"/>
        </w:trPr>
        <w:tc>
          <w:tcPr>
            <w:tcW w:w="1256" w:type="dxa"/>
            <w:gridSpan w:val="2"/>
            <w:tcBorders>
              <w:top w:val="nil"/>
              <w:left w:val="single" w:sz="4" w:space="0" w:color="auto"/>
              <w:bottom w:val="nil"/>
              <w:right w:val="nil"/>
            </w:tcBorders>
            <w:shd w:val="clear" w:color="auto" w:fill="auto"/>
            <w:hideMark/>
          </w:tcPr>
          <w:p w:rsidR="008E01DC" w:rsidRPr="00F3632F" w:rsidRDefault="008E01DC" w:rsidP="009118AD">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Procedure</w:t>
            </w:r>
            <w:r>
              <w:rPr>
                <w:rFonts w:ascii="Calibri" w:eastAsia="Times New Roman" w:hAnsi="Calibri" w:cs="Calibri"/>
                <w:i/>
                <w:iCs/>
                <w:color w:val="000000"/>
              </w:rPr>
              <w:t>s</w:t>
            </w:r>
          </w:p>
        </w:tc>
        <w:tc>
          <w:tcPr>
            <w:tcW w:w="8084" w:type="dxa"/>
            <w:tcBorders>
              <w:top w:val="nil"/>
              <w:left w:val="nil"/>
              <w:bottom w:val="nil"/>
              <w:right w:val="single" w:sz="4" w:space="0" w:color="auto"/>
            </w:tcBorders>
            <w:shd w:val="clear" w:color="auto" w:fill="auto"/>
            <w:hideMark/>
          </w:tcPr>
          <w:p w:rsidR="008E01DC" w:rsidRPr="00F3632F" w:rsidRDefault="008E01DC" w:rsidP="009118AD">
            <w:pPr>
              <w:spacing w:after="120" w:line="240" w:lineRule="auto"/>
              <w:rPr>
                <w:rFonts w:ascii="Calibri" w:eastAsia="Times New Roman" w:hAnsi="Calibri" w:cs="Calibri"/>
                <w:color w:val="000000"/>
              </w:rPr>
            </w:pPr>
            <w:r>
              <w:rPr>
                <w:rFonts w:ascii="Calibri" w:eastAsia="Times New Roman" w:hAnsi="Calibri" w:cs="Calibri"/>
                <w:color w:val="000000"/>
              </w:rPr>
              <w:t>If needed,</w:t>
            </w:r>
            <w:r w:rsidRPr="00F3632F">
              <w:rPr>
                <w:rFonts w:ascii="Calibri" w:eastAsia="Times New Roman" w:hAnsi="Calibri" w:cs="Calibri"/>
                <w:color w:val="000000"/>
              </w:rPr>
              <w:t xml:space="preserve"> contact the </w:t>
            </w:r>
            <w:r>
              <w:rPr>
                <w:rFonts w:ascii="Calibri" w:eastAsia="Times New Roman" w:hAnsi="Calibri" w:cs="Calibri"/>
                <w:color w:val="000000"/>
              </w:rPr>
              <w:t xml:space="preserve">study </w:t>
            </w:r>
            <w:r w:rsidRPr="00F3632F">
              <w:rPr>
                <w:rFonts w:ascii="Calibri" w:eastAsia="Times New Roman" w:hAnsi="Calibri" w:cs="Calibri"/>
                <w:color w:val="000000"/>
              </w:rPr>
              <w:t xml:space="preserve">data managers with </w:t>
            </w:r>
            <w:r>
              <w:rPr>
                <w:rFonts w:ascii="Calibri" w:eastAsia="Times New Roman" w:hAnsi="Calibri" w:cs="Calibri"/>
                <w:color w:val="000000"/>
              </w:rPr>
              <w:t xml:space="preserve">remaining </w:t>
            </w:r>
            <w:r w:rsidRPr="00F3632F">
              <w:rPr>
                <w:rFonts w:ascii="Calibri" w:eastAsia="Times New Roman" w:hAnsi="Calibri" w:cs="Calibri"/>
                <w:color w:val="000000"/>
              </w:rPr>
              <w:t>questions</w:t>
            </w:r>
            <w:r>
              <w:rPr>
                <w:rFonts w:ascii="Calibri" w:eastAsia="Times New Roman" w:hAnsi="Calibri" w:cs="Calibri"/>
                <w:color w:val="000000"/>
              </w:rPr>
              <w:t xml:space="preserve"> </w:t>
            </w:r>
            <w:r w:rsidRPr="00F3632F">
              <w:rPr>
                <w:rFonts w:ascii="Calibri" w:eastAsia="Times New Roman" w:hAnsi="Calibri" w:cs="Calibri"/>
                <w:color w:val="000000"/>
              </w:rPr>
              <w:t>about</w:t>
            </w:r>
            <w:r>
              <w:rPr>
                <w:rFonts w:ascii="Calibri" w:eastAsia="Times New Roman" w:hAnsi="Calibri" w:cs="Calibri"/>
                <w:color w:val="000000"/>
              </w:rPr>
              <w:t xml:space="preserve"> input</w:t>
            </w:r>
            <w:r w:rsidRPr="00F3632F">
              <w:rPr>
                <w:rFonts w:ascii="Calibri" w:eastAsia="Times New Roman" w:hAnsi="Calibri" w:cs="Calibri"/>
                <w:color w:val="000000"/>
              </w:rPr>
              <w:t xml:space="preserve"> study-specific data</w:t>
            </w:r>
            <w:r w:rsidR="0072147A">
              <w:rPr>
                <w:rFonts w:ascii="Calibri" w:eastAsia="Times New Roman" w:hAnsi="Calibri" w:cs="Calibri"/>
                <w:color w:val="000000"/>
              </w:rPr>
              <w:t xml:space="preserve"> </w:t>
            </w:r>
            <w:r>
              <w:rPr>
                <w:rFonts w:ascii="Calibri" w:eastAsia="Times New Roman" w:hAnsi="Calibri" w:cs="Calibri"/>
                <w:color w:val="000000"/>
              </w:rPr>
              <w:t>sets</w:t>
            </w:r>
            <w:r w:rsidRPr="00F3632F">
              <w:rPr>
                <w:rFonts w:ascii="Calibri" w:eastAsia="Times New Roman" w:hAnsi="Calibri" w:cs="Calibri"/>
                <w:color w:val="000000"/>
              </w:rPr>
              <w:t>.</w:t>
            </w:r>
          </w:p>
        </w:tc>
      </w:tr>
      <w:tr w:rsidR="008E01DC" w:rsidRPr="00F3632F" w:rsidTr="009118AD">
        <w:trPr>
          <w:trHeight w:val="288"/>
        </w:trPr>
        <w:tc>
          <w:tcPr>
            <w:tcW w:w="1256" w:type="dxa"/>
            <w:gridSpan w:val="2"/>
            <w:tcBorders>
              <w:top w:val="nil"/>
              <w:left w:val="single" w:sz="4" w:space="0" w:color="auto"/>
              <w:bottom w:val="nil"/>
              <w:right w:val="nil"/>
            </w:tcBorders>
            <w:shd w:val="clear" w:color="auto" w:fill="auto"/>
            <w:hideMark/>
          </w:tcPr>
          <w:p w:rsidR="008E01DC" w:rsidRPr="00F3632F" w:rsidRDefault="008E01DC" w:rsidP="009118AD">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 </w:t>
            </w:r>
          </w:p>
        </w:tc>
        <w:tc>
          <w:tcPr>
            <w:tcW w:w="8084" w:type="dxa"/>
            <w:tcBorders>
              <w:top w:val="nil"/>
              <w:left w:val="nil"/>
              <w:bottom w:val="nil"/>
              <w:right w:val="single" w:sz="4" w:space="0" w:color="auto"/>
            </w:tcBorders>
            <w:shd w:val="clear" w:color="auto" w:fill="auto"/>
            <w:hideMark/>
          </w:tcPr>
          <w:p w:rsidR="008E01DC" w:rsidRPr="00F3632F" w:rsidRDefault="008E01DC" w:rsidP="009118AD">
            <w:pPr>
              <w:spacing w:after="120" w:line="240" w:lineRule="auto"/>
              <w:rPr>
                <w:rFonts w:ascii="Calibri" w:eastAsia="Times New Roman" w:hAnsi="Calibri" w:cs="Calibri"/>
                <w:color w:val="000000"/>
              </w:rPr>
            </w:pPr>
            <w:r w:rsidRPr="00F3632F">
              <w:rPr>
                <w:rFonts w:ascii="Calibri" w:eastAsia="Times New Roman" w:hAnsi="Calibri" w:cs="Calibri"/>
                <w:color w:val="000000"/>
              </w:rPr>
              <w:t>Where possible, resolve questions and update documentation.</w:t>
            </w:r>
          </w:p>
        </w:tc>
      </w:tr>
      <w:tr w:rsidR="008E01DC" w:rsidRPr="00F3632F" w:rsidTr="009118AD">
        <w:trPr>
          <w:trHeight w:val="576"/>
        </w:trPr>
        <w:tc>
          <w:tcPr>
            <w:tcW w:w="1256" w:type="dxa"/>
            <w:gridSpan w:val="2"/>
            <w:tcBorders>
              <w:top w:val="nil"/>
              <w:left w:val="single" w:sz="4" w:space="0" w:color="auto"/>
              <w:bottom w:val="single" w:sz="4" w:space="0" w:color="auto"/>
              <w:right w:val="nil"/>
            </w:tcBorders>
            <w:shd w:val="clear" w:color="auto" w:fill="auto"/>
            <w:hideMark/>
          </w:tcPr>
          <w:p w:rsidR="008E01DC" w:rsidRPr="00F3632F" w:rsidRDefault="008E01DC" w:rsidP="009118AD">
            <w:pPr>
              <w:spacing w:after="120" w:line="240" w:lineRule="auto"/>
              <w:rPr>
                <w:rFonts w:ascii="Calibri" w:eastAsia="Times New Roman" w:hAnsi="Calibri" w:cs="Calibri"/>
                <w:i/>
                <w:iCs/>
                <w:color w:val="000000"/>
              </w:rPr>
            </w:pPr>
            <w:r w:rsidRPr="00F3632F">
              <w:rPr>
                <w:rFonts w:ascii="Calibri" w:eastAsia="Times New Roman" w:hAnsi="Calibri" w:cs="Calibri"/>
                <w:i/>
                <w:iCs/>
                <w:color w:val="000000"/>
              </w:rPr>
              <w:t>Example</w:t>
            </w:r>
          </w:p>
        </w:tc>
        <w:tc>
          <w:tcPr>
            <w:tcW w:w="8084" w:type="dxa"/>
            <w:tcBorders>
              <w:top w:val="nil"/>
              <w:left w:val="nil"/>
              <w:bottom w:val="single" w:sz="4" w:space="0" w:color="auto"/>
              <w:right w:val="single" w:sz="4" w:space="0" w:color="auto"/>
            </w:tcBorders>
            <w:shd w:val="clear" w:color="auto" w:fill="auto"/>
            <w:hideMark/>
          </w:tcPr>
          <w:p w:rsidR="008E01DC" w:rsidRPr="00F3632F" w:rsidRDefault="008E01DC" w:rsidP="009118AD">
            <w:pPr>
              <w:spacing w:after="120" w:line="240" w:lineRule="auto"/>
              <w:rPr>
                <w:rFonts w:ascii="Calibri" w:eastAsia="Times New Roman" w:hAnsi="Calibri" w:cs="Calibri"/>
                <w:color w:val="000000"/>
              </w:rPr>
            </w:pPr>
            <w:r>
              <w:rPr>
                <w:rFonts w:ascii="Calibri" w:eastAsia="Times New Roman" w:hAnsi="Calibri" w:cs="Calibri"/>
                <w:color w:val="000000"/>
              </w:rPr>
              <w:t>M</w:t>
            </w:r>
            <w:r w:rsidRPr="00DA13FF">
              <w:rPr>
                <w:rFonts w:ascii="Calibri" w:eastAsia="Times New Roman" w:hAnsi="Calibri" w:cs="Calibri"/>
                <w:color w:val="000000"/>
              </w:rPr>
              <w:t>easurement methodology</w:t>
            </w:r>
            <w:r>
              <w:rPr>
                <w:rFonts w:ascii="Calibri" w:eastAsia="Times New Roman" w:hAnsi="Calibri" w:cs="Calibri"/>
                <w:color w:val="000000"/>
              </w:rPr>
              <w:t xml:space="preserve"> for sitting height is verified with study managers, and it is discovered that the methodology used in two cohorts added 30 cm.</w:t>
            </w:r>
          </w:p>
        </w:tc>
      </w:tr>
    </w:tbl>
    <w:p w:rsidR="008E01DC" w:rsidRDefault="008E01DC" w:rsidP="008E01DC"/>
    <w:p w:rsidR="008E01DC" w:rsidRPr="00AA5248" w:rsidRDefault="008E01DC" w:rsidP="008E01DC">
      <w:pPr>
        <w:spacing w:before="240" w:after="0" w:line="240" w:lineRule="auto"/>
        <w:rPr>
          <w:b/>
          <w:bCs/>
        </w:rPr>
      </w:pPr>
      <w:r w:rsidRPr="00AA5248">
        <w:rPr>
          <w:b/>
          <w:bCs/>
        </w:rPr>
        <w:t xml:space="preserve">Definitions: </w:t>
      </w:r>
    </w:p>
    <w:p w:rsidR="008E01DC" w:rsidRPr="00AA5248" w:rsidRDefault="008E01DC" w:rsidP="008E01DC">
      <w:pPr>
        <w:pStyle w:val="ListParagraph"/>
        <w:numPr>
          <w:ilvl w:val="0"/>
          <w:numId w:val="3"/>
        </w:numPr>
        <w:spacing w:after="0" w:line="240" w:lineRule="auto"/>
        <w:ind w:left="357" w:hanging="357"/>
        <w:rPr>
          <w:rFonts w:ascii="Calibri" w:eastAsia="Times New Roman" w:hAnsi="Calibri" w:cs="Calibri"/>
          <w:color w:val="000000"/>
        </w:rPr>
      </w:pPr>
      <w:r w:rsidRPr="00AA5248">
        <w:t>I</w:t>
      </w:r>
      <w:r w:rsidRPr="00AA5248">
        <w:rPr>
          <w:rFonts w:ascii="Calibri" w:eastAsia="Times New Roman" w:hAnsi="Calibri" w:cs="Calibri"/>
          <w:color w:val="000000"/>
        </w:rPr>
        <w:t>nput study-specific data</w:t>
      </w:r>
      <w:r w:rsidR="0072147A">
        <w:rPr>
          <w:rFonts w:ascii="Calibri" w:eastAsia="Times New Roman" w:hAnsi="Calibri" w:cs="Calibri"/>
          <w:color w:val="000000"/>
        </w:rPr>
        <w:t xml:space="preserve"> </w:t>
      </w:r>
      <w:r w:rsidRPr="00AA5248">
        <w:rPr>
          <w:rFonts w:ascii="Calibri" w:eastAsia="Times New Roman" w:hAnsi="Calibri" w:cs="Calibri"/>
          <w:color w:val="000000"/>
        </w:rPr>
        <w:t>set: Data</w:t>
      </w:r>
      <w:r w:rsidR="0072147A">
        <w:rPr>
          <w:rFonts w:ascii="Calibri" w:eastAsia="Times New Roman" w:hAnsi="Calibri" w:cs="Calibri"/>
          <w:color w:val="000000"/>
        </w:rPr>
        <w:t xml:space="preserve"> </w:t>
      </w:r>
      <w:r w:rsidRPr="00AA5248">
        <w:rPr>
          <w:rFonts w:ascii="Calibri" w:eastAsia="Times New Roman" w:hAnsi="Calibri" w:cs="Calibri"/>
          <w:color w:val="000000"/>
        </w:rPr>
        <w:t>set provided by studies prior to harmonization</w:t>
      </w:r>
    </w:p>
    <w:p w:rsidR="008E01DC" w:rsidRPr="00AA5248" w:rsidRDefault="008E01DC" w:rsidP="008E01DC">
      <w:pPr>
        <w:pStyle w:val="ListParagraph"/>
        <w:numPr>
          <w:ilvl w:val="0"/>
          <w:numId w:val="3"/>
        </w:numPr>
        <w:spacing w:after="0" w:line="240" w:lineRule="auto"/>
        <w:ind w:left="357" w:hanging="357"/>
        <w:rPr>
          <w:rFonts w:ascii="Calibri" w:eastAsia="Times New Roman" w:hAnsi="Calibri" w:cs="Calibri"/>
          <w:color w:val="000000"/>
        </w:rPr>
      </w:pPr>
      <w:r w:rsidRPr="00AA5248">
        <w:rPr>
          <w:rFonts w:ascii="Calibri" w:eastAsia="Times New Roman" w:hAnsi="Calibri" w:cs="Calibri"/>
          <w:color w:val="000000"/>
        </w:rPr>
        <w:t>Harmonized study-specific data</w:t>
      </w:r>
      <w:r w:rsidR="0072147A">
        <w:rPr>
          <w:rFonts w:ascii="Calibri" w:eastAsia="Times New Roman" w:hAnsi="Calibri" w:cs="Calibri"/>
          <w:color w:val="000000"/>
        </w:rPr>
        <w:t xml:space="preserve"> </w:t>
      </w:r>
      <w:r w:rsidRPr="00AA5248">
        <w:rPr>
          <w:rFonts w:ascii="Calibri" w:eastAsia="Times New Roman" w:hAnsi="Calibri" w:cs="Calibri"/>
          <w:color w:val="000000"/>
        </w:rPr>
        <w:t>set: Harmonized data</w:t>
      </w:r>
      <w:r w:rsidR="0072147A">
        <w:rPr>
          <w:rFonts w:ascii="Calibri" w:eastAsia="Times New Roman" w:hAnsi="Calibri" w:cs="Calibri"/>
          <w:color w:val="000000"/>
        </w:rPr>
        <w:t xml:space="preserve"> </w:t>
      </w:r>
      <w:r w:rsidRPr="00AA5248">
        <w:rPr>
          <w:rFonts w:ascii="Calibri" w:eastAsia="Times New Roman" w:hAnsi="Calibri" w:cs="Calibri"/>
          <w:color w:val="000000"/>
        </w:rPr>
        <w:t>set generated from a given study-specific data</w:t>
      </w:r>
      <w:r w:rsidR="0072147A">
        <w:rPr>
          <w:rFonts w:ascii="Calibri" w:eastAsia="Times New Roman" w:hAnsi="Calibri" w:cs="Calibri"/>
          <w:color w:val="000000"/>
        </w:rPr>
        <w:t xml:space="preserve"> </w:t>
      </w:r>
      <w:r w:rsidRPr="00AA5248">
        <w:rPr>
          <w:rFonts w:ascii="Calibri" w:eastAsia="Times New Roman" w:hAnsi="Calibri" w:cs="Calibri"/>
          <w:color w:val="000000"/>
        </w:rPr>
        <w:t xml:space="preserve">set </w:t>
      </w:r>
    </w:p>
    <w:p w:rsidR="008E01DC" w:rsidRPr="00AA5248" w:rsidRDefault="008E01DC" w:rsidP="008E01DC">
      <w:pPr>
        <w:pStyle w:val="ListParagraph"/>
        <w:numPr>
          <w:ilvl w:val="0"/>
          <w:numId w:val="3"/>
        </w:numPr>
        <w:spacing w:after="0" w:line="240" w:lineRule="auto"/>
        <w:ind w:left="357" w:hanging="357"/>
        <w:rPr>
          <w:rFonts w:ascii="Calibri" w:eastAsia="Times New Roman" w:hAnsi="Calibri" w:cs="Calibri"/>
          <w:color w:val="000000"/>
        </w:rPr>
      </w:pPr>
      <w:proofErr w:type="spellStart"/>
      <w:r w:rsidRPr="00AA5248">
        <w:rPr>
          <w:rFonts w:ascii="Calibri" w:eastAsia="Times New Roman" w:hAnsi="Calibri" w:cs="Calibri"/>
          <w:color w:val="000000"/>
        </w:rPr>
        <w:t>DataSchema</w:t>
      </w:r>
      <w:proofErr w:type="spellEnd"/>
      <w:r w:rsidRPr="00AA5248">
        <w:rPr>
          <w:rFonts w:ascii="Calibri" w:eastAsia="Times New Roman" w:hAnsi="Calibri" w:cs="Calibri"/>
          <w:color w:val="000000"/>
        </w:rPr>
        <w:t>: List of</w:t>
      </w:r>
      <w:r w:rsidR="00DE7880">
        <w:rPr>
          <w:rFonts w:ascii="Calibri" w:eastAsia="Times New Roman" w:hAnsi="Calibri" w:cs="Calibri"/>
          <w:color w:val="000000"/>
        </w:rPr>
        <w:t xml:space="preserve"> core</w:t>
      </w:r>
      <w:r w:rsidRPr="00AA5248">
        <w:rPr>
          <w:rFonts w:ascii="Calibri" w:eastAsia="Times New Roman" w:hAnsi="Calibri" w:cs="Calibri"/>
          <w:color w:val="000000"/>
        </w:rPr>
        <w:t xml:space="preserve"> variables to be generated</w:t>
      </w:r>
    </w:p>
    <w:p w:rsidR="008E01DC" w:rsidRDefault="008E01DC" w:rsidP="00EF5EDE"/>
    <w:sectPr w:rsidR="008E01DC" w:rsidSect="00314A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0AF" w:rsidRDefault="009E10AF" w:rsidP="003E7579">
      <w:pPr>
        <w:spacing w:after="0" w:line="240" w:lineRule="auto"/>
      </w:pPr>
      <w:r>
        <w:separator/>
      </w:r>
    </w:p>
  </w:endnote>
  <w:endnote w:type="continuationSeparator" w:id="0">
    <w:p w:rsidR="009E10AF" w:rsidRDefault="009E10AF" w:rsidP="003E7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0AF" w:rsidRDefault="009E10AF" w:rsidP="003E7579">
      <w:pPr>
        <w:spacing w:after="0" w:line="240" w:lineRule="auto"/>
      </w:pPr>
      <w:r>
        <w:separator/>
      </w:r>
    </w:p>
  </w:footnote>
  <w:footnote w:type="continuationSeparator" w:id="0">
    <w:p w:rsidR="009E10AF" w:rsidRDefault="009E10AF" w:rsidP="003E7579">
      <w:pPr>
        <w:spacing w:after="0" w:line="240" w:lineRule="auto"/>
      </w:pPr>
      <w:r>
        <w:continuationSeparator/>
      </w:r>
    </w:p>
  </w:footnote>
  <w:footnote w:id="1">
    <w:p w:rsidR="003E7579" w:rsidRPr="004114DC" w:rsidRDefault="003E7579" w:rsidP="003E7579">
      <w:pPr>
        <w:pStyle w:val="FootnoteText"/>
        <w:rPr>
          <w:lang w:val="fr-CA"/>
        </w:rPr>
      </w:pPr>
      <w:r>
        <w:rPr>
          <w:rStyle w:val="FootnoteReference"/>
        </w:rPr>
        <w:footnoteRef/>
      </w:r>
      <w:r>
        <w:t xml:space="preserve"> </w:t>
      </w:r>
      <w:r w:rsidRPr="004114DC">
        <w:t>https://www.maelstrom-research.org/study/3d</w:t>
      </w:r>
    </w:p>
  </w:footnote>
  <w:footnote w:id="2">
    <w:p w:rsidR="003E7579" w:rsidRPr="004114DC" w:rsidRDefault="003E7579" w:rsidP="003E7579">
      <w:pPr>
        <w:pStyle w:val="FootnoteText"/>
        <w:rPr>
          <w:lang w:val="fr-CA"/>
        </w:rPr>
      </w:pPr>
      <w:r>
        <w:rPr>
          <w:rStyle w:val="FootnoteReference"/>
        </w:rPr>
        <w:footnoteRef/>
      </w:r>
      <w:r w:rsidRPr="004114DC">
        <w:rPr>
          <w:lang w:val="fr-CA"/>
        </w:rPr>
        <w:t xml:space="preserve"> https://www.maelstrom-research.org/study/aob</w:t>
      </w:r>
    </w:p>
  </w:footnote>
  <w:footnote w:id="3">
    <w:p w:rsidR="003E7579" w:rsidRPr="004114DC" w:rsidRDefault="003E7579" w:rsidP="003E7579">
      <w:pPr>
        <w:pStyle w:val="FootnoteText"/>
        <w:rPr>
          <w:lang w:val="fr-CA"/>
        </w:rPr>
      </w:pPr>
      <w:r>
        <w:rPr>
          <w:rStyle w:val="FootnoteReference"/>
        </w:rPr>
        <w:footnoteRef/>
      </w:r>
      <w:r w:rsidRPr="004114DC">
        <w:rPr>
          <w:lang w:val="fr-CA"/>
        </w:rPr>
        <w:t xml:space="preserve"> https://www.maelstrom-research.org/study/apron</w:t>
      </w:r>
    </w:p>
  </w:footnote>
  <w:footnote w:id="4">
    <w:p w:rsidR="003E7579" w:rsidRPr="004114DC" w:rsidRDefault="003E7579" w:rsidP="003E7579">
      <w:pPr>
        <w:pStyle w:val="FootnoteText"/>
        <w:rPr>
          <w:lang w:val="fr-CA"/>
        </w:rPr>
      </w:pPr>
      <w:r>
        <w:rPr>
          <w:rStyle w:val="FootnoteReference"/>
        </w:rPr>
        <w:footnoteRef/>
      </w:r>
      <w:r w:rsidRPr="004114DC">
        <w:rPr>
          <w:lang w:val="fr-CA"/>
        </w:rPr>
        <w:t xml:space="preserve"> https://www.maelstrom-research.org/study/family</w:t>
      </w:r>
    </w:p>
  </w:footnote>
  <w:footnote w:id="5">
    <w:p w:rsidR="003E7579" w:rsidRPr="006F63D7" w:rsidRDefault="003E7579" w:rsidP="003E7579">
      <w:pPr>
        <w:pStyle w:val="FootnoteText"/>
        <w:rPr>
          <w:lang w:val="fr-CA"/>
        </w:rPr>
      </w:pPr>
      <w:r>
        <w:rPr>
          <w:rStyle w:val="FootnoteReference"/>
        </w:rPr>
        <w:footnoteRef/>
      </w:r>
      <w:r w:rsidRPr="006F63D7">
        <w:rPr>
          <w:lang w:val="fr-CA"/>
        </w:rPr>
        <w:t xml:space="preserve"> https://www.maelstrom-research.org/study/obs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469A2"/>
    <w:multiLevelType w:val="hybridMultilevel"/>
    <w:tmpl w:val="73B8F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7E67471"/>
    <w:multiLevelType w:val="hybridMultilevel"/>
    <w:tmpl w:val="2DD8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04D5D"/>
    <w:multiLevelType w:val="hybridMultilevel"/>
    <w:tmpl w:val="763075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55F264F8"/>
    <w:multiLevelType w:val="hybridMultilevel"/>
    <w:tmpl w:val="8EE8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0367D"/>
    <w:multiLevelType w:val="multilevel"/>
    <w:tmpl w:val="442473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3CE7D51"/>
    <w:multiLevelType w:val="hybridMultilevel"/>
    <w:tmpl w:val="9F480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footnotePr>
    <w:footnote w:id="-1"/>
    <w:footnote w:id="0"/>
  </w:footnotePr>
  <w:endnotePr>
    <w:endnote w:id="-1"/>
    <w:endnote w:id="0"/>
  </w:endnotePr>
  <w:compat/>
  <w:rsids>
    <w:rsidRoot w:val="005F3C17"/>
    <w:rsid w:val="00012666"/>
    <w:rsid w:val="00022C71"/>
    <w:rsid w:val="00023FF8"/>
    <w:rsid w:val="00030273"/>
    <w:rsid w:val="00033A58"/>
    <w:rsid w:val="00035E4F"/>
    <w:rsid w:val="00035F4D"/>
    <w:rsid w:val="0005575D"/>
    <w:rsid w:val="00072A72"/>
    <w:rsid w:val="00077429"/>
    <w:rsid w:val="000A2B28"/>
    <w:rsid w:val="000B2B9E"/>
    <w:rsid w:val="000B5975"/>
    <w:rsid w:val="000C46B0"/>
    <w:rsid w:val="000C6578"/>
    <w:rsid w:val="000D0EEC"/>
    <w:rsid w:val="000D4283"/>
    <w:rsid w:val="000D61B6"/>
    <w:rsid w:val="000E1E94"/>
    <w:rsid w:val="000E49EA"/>
    <w:rsid w:val="00105059"/>
    <w:rsid w:val="00157048"/>
    <w:rsid w:val="0019036A"/>
    <w:rsid w:val="00192603"/>
    <w:rsid w:val="001A1B7A"/>
    <w:rsid w:val="001B702F"/>
    <w:rsid w:val="001C3104"/>
    <w:rsid w:val="001D3D27"/>
    <w:rsid w:val="00201003"/>
    <w:rsid w:val="00202D4D"/>
    <w:rsid w:val="00220EDE"/>
    <w:rsid w:val="0024064D"/>
    <w:rsid w:val="002535DC"/>
    <w:rsid w:val="002540BE"/>
    <w:rsid w:val="002624B8"/>
    <w:rsid w:val="0026356D"/>
    <w:rsid w:val="002677F0"/>
    <w:rsid w:val="00270978"/>
    <w:rsid w:val="00281411"/>
    <w:rsid w:val="00281D8A"/>
    <w:rsid w:val="002B0075"/>
    <w:rsid w:val="002C13BC"/>
    <w:rsid w:val="002C5E7D"/>
    <w:rsid w:val="002C675E"/>
    <w:rsid w:val="002C7688"/>
    <w:rsid w:val="002F0707"/>
    <w:rsid w:val="003031A7"/>
    <w:rsid w:val="00303721"/>
    <w:rsid w:val="003052D6"/>
    <w:rsid w:val="00314A33"/>
    <w:rsid w:val="003321DC"/>
    <w:rsid w:val="003467EF"/>
    <w:rsid w:val="00355B5D"/>
    <w:rsid w:val="00357776"/>
    <w:rsid w:val="00361669"/>
    <w:rsid w:val="003621DE"/>
    <w:rsid w:val="00362EE3"/>
    <w:rsid w:val="00366775"/>
    <w:rsid w:val="00377AFF"/>
    <w:rsid w:val="00395198"/>
    <w:rsid w:val="003B2C75"/>
    <w:rsid w:val="003C32B5"/>
    <w:rsid w:val="003C5A40"/>
    <w:rsid w:val="003C5BAC"/>
    <w:rsid w:val="003D3BEA"/>
    <w:rsid w:val="003E7579"/>
    <w:rsid w:val="00411B56"/>
    <w:rsid w:val="00431C05"/>
    <w:rsid w:val="004577F7"/>
    <w:rsid w:val="0046204F"/>
    <w:rsid w:val="0046501C"/>
    <w:rsid w:val="00466B2E"/>
    <w:rsid w:val="00467B58"/>
    <w:rsid w:val="0047202C"/>
    <w:rsid w:val="004734D4"/>
    <w:rsid w:val="00473733"/>
    <w:rsid w:val="00477D55"/>
    <w:rsid w:val="00482302"/>
    <w:rsid w:val="00483782"/>
    <w:rsid w:val="00487417"/>
    <w:rsid w:val="004957DF"/>
    <w:rsid w:val="004B4919"/>
    <w:rsid w:val="004B555E"/>
    <w:rsid w:val="004C0F45"/>
    <w:rsid w:val="004C2968"/>
    <w:rsid w:val="004C6F81"/>
    <w:rsid w:val="004F5085"/>
    <w:rsid w:val="004F6A8A"/>
    <w:rsid w:val="00501827"/>
    <w:rsid w:val="00501EA2"/>
    <w:rsid w:val="00536D7E"/>
    <w:rsid w:val="00544EF7"/>
    <w:rsid w:val="0054793B"/>
    <w:rsid w:val="00553348"/>
    <w:rsid w:val="00561B78"/>
    <w:rsid w:val="00587993"/>
    <w:rsid w:val="00591248"/>
    <w:rsid w:val="005B5E20"/>
    <w:rsid w:val="005B697E"/>
    <w:rsid w:val="005C4619"/>
    <w:rsid w:val="005E4954"/>
    <w:rsid w:val="005F0A7D"/>
    <w:rsid w:val="005F3C17"/>
    <w:rsid w:val="005F49FD"/>
    <w:rsid w:val="005F4A67"/>
    <w:rsid w:val="00604661"/>
    <w:rsid w:val="00623D7E"/>
    <w:rsid w:val="00624BC5"/>
    <w:rsid w:val="00630DD0"/>
    <w:rsid w:val="0063305C"/>
    <w:rsid w:val="00655DCF"/>
    <w:rsid w:val="006672A4"/>
    <w:rsid w:val="00670A19"/>
    <w:rsid w:val="00682EA5"/>
    <w:rsid w:val="006850D8"/>
    <w:rsid w:val="00690AAE"/>
    <w:rsid w:val="006B6625"/>
    <w:rsid w:val="006C40D3"/>
    <w:rsid w:val="006D0FCE"/>
    <w:rsid w:val="006D19CD"/>
    <w:rsid w:val="006D3B77"/>
    <w:rsid w:val="006D67D1"/>
    <w:rsid w:val="006D730B"/>
    <w:rsid w:val="006F3E30"/>
    <w:rsid w:val="00713BB1"/>
    <w:rsid w:val="00714B3A"/>
    <w:rsid w:val="0072147A"/>
    <w:rsid w:val="007237A7"/>
    <w:rsid w:val="00732874"/>
    <w:rsid w:val="00737192"/>
    <w:rsid w:val="00745E35"/>
    <w:rsid w:val="00753C16"/>
    <w:rsid w:val="007745B7"/>
    <w:rsid w:val="00786DB8"/>
    <w:rsid w:val="00790006"/>
    <w:rsid w:val="00791764"/>
    <w:rsid w:val="007A1F9E"/>
    <w:rsid w:val="007A2C1C"/>
    <w:rsid w:val="007C3507"/>
    <w:rsid w:val="007D0AFE"/>
    <w:rsid w:val="007D6EC0"/>
    <w:rsid w:val="007E1418"/>
    <w:rsid w:val="007F2881"/>
    <w:rsid w:val="007F7092"/>
    <w:rsid w:val="00810214"/>
    <w:rsid w:val="00827BE5"/>
    <w:rsid w:val="00846CF3"/>
    <w:rsid w:val="00853F9E"/>
    <w:rsid w:val="00857621"/>
    <w:rsid w:val="00873F50"/>
    <w:rsid w:val="00884EDB"/>
    <w:rsid w:val="00894316"/>
    <w:rsid w:val="008A7C41"/>
    <w:rsid w:val="008B0188"/>
    <w:rsid w:val="008B7A79"/>
    <w:rsid w:val="008E01DC"/>
    <w:rsid w:val="008E3406"/>
    <w:rsid w:val="008F4949"/>
    <w:rsid w:val="008F7440"/>
    <w:rsid w:val="00922878"/>
    <w:rsid w:val="00925127"/>
    <w:rsid w:val="00941C8F"/>
    <w:rsid w:val="00952AD8"/>
    <w:rsid w:val="009541EC"/>
    <w:rsid w:val="00957DFA"/>
    <w:rsid w:val="0096384D"/>
    <w:rsid w:val="00980FE7"/>
    <w:rsid w:val="009963CA"/>
    <w:rsid w:val="009A756E"/>
    <w:rsid w:val="009B2AB0"/>
    <w:rsid w:val="009B51CB"/>
    <w:rsid w:val="009C7F67"/>
    <w:rsid w:val="009D6761"/>
    <w:rsid w:val="009E10AF"/>
    <w:rsid w:val="00A0048B"/>
    <w:rsid w:val="00A03233"/>
    <w:rsid w:val="00A07A34"/>
    <w:rsid w:val="00A12AC4"/>
    <w:rsid w:val="00A14EA4"/>
    <w:rsid w:val="00A155DE"/>
    <w:rsid w:val="00A228EC"/>
    <w:rsid w:val="00A235B0"/>
    <w:rsid w:val="00A26786"/>
    <w:rsid w:val="00A41A1A"/>
    <w:rsid w:val="00A52BBF"/>
    <w:rsid w:val="00A64E03"/>
    <w:rsid w:val="00AA0F0A"/>
    <w:rsid w:val="00AA5248"/>
    <w:rsid w:val="00AC009A"/>
    <w:rsid w:val="00AC77F2"/>
    <w:rsid w:val="00AE0480"/>
    <w:rsid w:val="00AE2B95"/>
    <w:rsid w:val="00AE511E"/>
    <w:rsid w:val="00AF07DF"/>
    <w:rsid w:val="00AF122B"/>
    <w:rsid w:val="00AF5029"/>
    <w:rsid w:val="00B266F6"/>
    <w:rsid w:val="00B318E1"/>
    <w:rsid w:val="00B41993"/>
    <w:rsid w:val="00B61228"/>
    <w:rsid w:val="00B827B0"/>
    <w:rsid w:val="00BA3683"/>
    <w:rsid w:val="00BB1063"/>
    <w:rsid w:val="00BB166F"/>
    <w:rsid w:val="00BB2E3C"/>
    <w:rsid w:val="00BB3C7F"/>
    <w:rsid w:val="00BE43C1"/>
    <w:rsid w:val="00BE711F"/>
    <w:rsid w:val="00BE7CD9"/>
    <w:rsid w:val="00BF3F3F"/>
    <w:rsid w:val="00C06945"/>
    <w:rsid w:val="00C27605"/>
    <w:rsid w:val="00C40A76"/>
    <w:rsid w:val="00C4191E"/>
    <w:rsid w:val="00C708FE"/>
    <w:rsid w:val="00C80584"/>
    <w:rsid w:val="00C8445D"/>
    <w:rsid w:val="00C91151"/>
    <w:rsid w:val="00C949C6"/>
    <w:rsid w:val="00C94E88"/>
    <w:rsid w:val="00CB36A6"/>
    <w:rsid w:val="00CC574B"/>
    <w:rsid w:val="00CD0563"/>
    <w:rsid w:val="00CD058C"/>
    <w:rsid w:val="00CD19AE"/>
    <w:rsid w:val="00CD647E"/>
    <w:rsid w:val="00CD71BC"/>
    <w:rsid w:val="00CF243E"/>
    <w:rsid w:val="00D033C8"/>
    <w:rsid w:val="00D35BE7"/>
    <w:rsid w:val="00D4360C"/>
    <w:rsid w:val="00D51745"/>
    <w:rsid w:val="00D56110"/>
    <w:rsid w:val="00D70CB3"/>
    <w:rsid w:val="00D72A8D"/>
    <w:rsid w:val="00D94898"/>
    <w:rsid w:val="00DA01F8"/>
    <w:rsid w:val="00DA13FF"/>
    <w:rsid w:val="00DA328A"/>
    <w:rsid w:val="00DA34BF"/>
    <w:rsid w:val="00DA5842"/>
    <w:rsid w:val="00DC7BD0"/>
    <w:rsid w:val="00DE45C5"/>
    <w:rsid w:val="00DE7880"/>
    <w:rsid w:val="00E0316F"/>
    <w:rsid w:val="00E031E8"/>
    <w:rsid w:val="00E157A0"/>
    <w:rsid w:val="00E15F1A"/>
    <w:rsid w:val="00E17103"/>
    <w:rsid w:val="00E24B05"/>
    <w:rsid w:val="00E33660"/>
    <w:rsid w:val="00E546EF"/>
    <w:rsid w:val="00E62A2F"/>
    <w:rsid w:val="00E70094"/>
    <w:rsid w:val="00E75C70"/>
    <w:rsid w:val="00E8124A"/>
    <w:rsid w:val="00EA0ADA"/>
    <w:rsid w:val="00EA7BEE"/>
    <w:rsid w:val="00EB0748"/>
    <w:rsid w:val="00EC0F65"/>
    <w:rsid w:val="00EC3F57"/>
    <w:rsid w:val="00EC587D"/>
    <w:rsid w:val="00EC76ED"/>
    <w:rsid w:val="00EE199A"/>
    <w:rsid w:val="00EE78A6"/>
    <w:rsid w:val="00EF0531"/>
    <w:rsid w:val="00EF5EDE"/>
    <w:rsid w:val="00F11068"/>
    <w:rsid w:val="00F14AB5"/>
    <w:rsid w:val="00F16CF6"/>
    <w:rsid w:val="00F250F7"/>
    <w:rsid w:val="00F27899"/>
    <w:rsid w:val="00F3632F"/>
    <w:rsid w:val="00F37477"/>
    <w:rsid w:val="00F44643"/>
    <w:rsid w:val="00F447CA"/>
    <w:rsid w:val="00F75FA5"/>
    <w:rsid w:val="00F80065"/>
    <w:rsid w:val="00F802CA"/>
    <w:rsid w:val="00F81BEE"/>
    <w:rsid w:val="00F82CA8"/>
    <w:rsid w:val="00F97702"/>
    <w:rsid w:val="00FB2825"/>
    <w:rsid w:val="00FC4743"/>
    <w:rsid w:val="00FF6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A72"/>
    <w:pPr>
      <w:spacing w:after="0" w:line="240" w:lineRule="auto"/>
    </w:pPr>
  </w:style>
  <w:style w:type="character" w:styleId="CommentReference">
    <w:name w:val="annotation reference"/>
    <w:basedOn w:val="DefaultParagraphFont"/>
    <w:uiPriority w:val="99"/>
    <w:semiHidden/>
    <w:unhideWhenUsed/>
    <w:qFormat/>
    <w:rsid w:val="00281D8A"/>
    <w:rPr>
      <w:sz w:val="16"/>
      <w:szCs w:val="16"/>
    </w:rPr>
  </w:style>
  <w:style w:type="paragraph" w:styleId="CommentText">
    <w:name w:val="annotation text"/>
    <w:basedOn w:val="Normal"/>
    <w:link w:val="CommentTextChar"/>
    <w:uiPriority w:val="99"/>
    <w:unhideWhenUsed/>
    <w:qFormat/>
    <w:rsid w:val="00281D8A"/>
    <w:pPr>
      <w:spacing w:line="240" w:lineRule="auto"/>
    </w:pPr>
    <w:rPr>
      <w:sz w:val="20"/>
      <w:szCs w:val="20"/>
    </w:rPr>
  </w:style>
  <w:style w:type="character" w:customStyle="1" w:styleId="CommentTextChar">
    <w:name w:val="Comment Text Char"/>
    <w:basedOn w:val="DefaultParagraphFont"/>
    <w:link w:val="CommentText"/>
    <w:uiPriority w:val="99"/>
    <w:qFormat/>
    <w:rsid w:val="00281D8A"/>
    <w:rPr>
      <w:sz w:val="20"/>
      <w:szCs w:val="20"/>
    </w:rPr>
  </w:style>
  <w:style w:type="paragraph" w:styleId="CommentSubject">
    <w:name w:val="annotation subject"/>
    <w:basedOn w:val="CommentText"/>
    <w:next w:val="CommentText"/>
    <w:link w:val="CommentSubjectChar"/>
    <w:uiPriority w:val="99"/>
    <w:semiHidden/>
    <w:unhideWhenUsed/>
    <w:rsid w:val="00281D8A"/>
    <w:rPr>
      <w:b/>
      <w:bCs/>
    </w:rPr>
  </w:style>
  <w:style w:type="character" w:customStyle="1" w:styleId="CommentSubjectChar">
    <w:name w:val="Comment Subject Char"/>
    <w:basedOn w:val="CommentTextChar"/>
    <w:link w:val="CommentSubject"/>
    <w:uiPriority w:val="99"/>
    <w:semiHidden/>
    <w:rsid w:val="00281D8A"/>
    <w:rPr>
      <w:b/>
      <w:bCs/>
      <w:sz w:val="20"/>
      <w:szCs w:val="20"/>
    </w:rPr>
  </w:style>
  <w:style w:type="paragraph" w:styleId="BalloonText">
    <w:name w:val="Balloon Text"/>
    <w:basedOn w:val="Normal"/>
    <w:link w:val="BalloonTextChar"/>
    <w:uiPriority w:val="99"/>
    <w:semiHidden/>
    <w:unhideWhenUsed/>
    <w:rsid w:val="00281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D8A"/>
    <w:rPr>
      <w:rFonts w:ascii="Segoe UI" w:hAnsi="Segoe UI" w:cs="Segoe UI"/>
      <w:sz w:val="18"/>
      <w:szCs w:val="18"/>
    </w:rPr>
  </w:style>
  <w:style w:type="paragraph" w:styleId="ListParagraph">
    <w:name w:val="List Paragraph"/>
    <w:basedOn w:val="Normal"/>
    <w:uiPriority w:val="34"/>
    <w:qFormat/>
    <w:rsid w:val="005F4A67"/>
    <w:pPr>
      <w:ind w:left="720"/>
      <w:contextualSpacing/>
    </w:pPr>
  </w:style>
  <w:style w:type="paragraph" w:styleId="Bibliography">
    <w:name w:val="Bibliography"/>
    <w:basedOn w:val="Normal"/>
    <w:next w:val="Normal"/>
    <w:uiPriority w:val="37"/>
    <w:unhideWhenUsed/>
    <w:rsid w:val="007E1418"/>
  </w:style>
  <w:style w:type="table" w:styleId="TableGrid">
    <w:name w:val="Table Grid"/>
    <w:basedOn w:val="TableNormal"/>
    <w:uiPriority w:val="39"/>
    <w:rsid w:val="00314A33"/>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E7579"/>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E7579"/>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3E7579"/>
    <w:rPr>
      <w:sz w:val="20"/>
      <w:szCs w:val="20"/>
      <w:lang w:val="en-CA"/>
    </w:rPr>
  </w:style>
  <w:style w:type="character" w:styleId="FootnoteReference">
    <w:name w:val="footnote reference"/>
    <w:basedOn w:val="DefaultParagraphFont"/>
    <w:uiPriority w:val="99"/>
    <w:semiHidden/>
    <w:unhideWhenUsed/>
    <w:rsid w:val="003E7579"/>
    <w:rPr>
      <w:vertAlign w:val="superscript"/>
    </w:rPr>
  </w:style>
  <w:style w:type="paragraph" w:styleId="Revision">
    <w:name w:val="Revision"/>
    <w:hidden/>
    <w:uiPriority w:val="99"/>
    <w:semiHidden/>
    <w:rsid w:val="00A0048B"/>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004952">
      <w:bodyDiv w:val="1"/>
      <w:marLeft w:val="0"/>
      <w:marRight w:val="0"/>
      <w:marTop w:val="0"/>
      <w:marBottom w:val="0"/>
      <w:divBdr>
        <w:top w:val="none" w:sz="0" w:space="0" w:color="auto"/>
        <w:left w:val="none" w:sz="0" w:space="0" w:color="auto"/>
        <w:bottom w:val="none" w:sz="0" w:space="0" w:color="auto"/>
        <w:right w:val="none" w:sz="0" w:space="0" w:color="auto"/>
      </w:divBdr>
    </w:div>
    <w:div w:id="307168881">
      <w:bodyDiv w:val="1"/>
      <w:marLeft w:val="0"/>
      <w:marRight w:val="0"/>
      <w:marTop w:val="0"/>
      <w:marBottom w:val="0"/>
      <w:divBdr>
        <w:top w:val="none" w:sz="0" w:space="0" w:color="auto"/>
        <w:left w:val="none" w:sz="0" w:space="0" w:color="auto"/>
        <w:bottom w:val="none" w:sz="0" w:space="0" w:color="auto"/>
        <w:right w:val="none" w:sz="0" w:space="0" w:color="auto"/>
      </w:divBdr>
    </w:div>
    <w:div w:id="342904627">
      <w:bodyDiv w:val="1"/>
      <w:marLeft w:val="0"/>
      <w:marRight w:val="0"/>
      <w:marTop w:val="0"/>
      <w:marBottom w:val="0"/>
      <w:divBdr>
        <w:top w:val="none" w:sz="0" w:space="0" w:color="auto"/>
        <w:left w:val="none" w:sz="0" w:space="0" w:color="auto"/>
        <w:bottom w:val="none" w:sz="0" w:space="0" w:color="auto"/>
        <w:right w:val="none" w:sz="0" w:space="0" w:color="auto"/>
      </w:divBdr>
    </w:div>
    <w:div w:id="550117760">
      <w:bodyDiv w:val="1"/>
      <w:marLeft w:val="0"/>
      <w:marRight w:val="0"/>
      <w:marTop w:val="0"/>
      <w:marBottom w:val="0"/>
      <w:divBdr>
        <w:top w:val="none" w:sz="0" w:space="0" w:color="auto"/>
        <w:left w:val="none" w:sz="0" w:space="0" w:color="auto"/>
        <w:bottom w:val="none" w:sz="0" w:space="0" w:color="auto"/>
        <w:right w:val="none" w:sz="0" w:space="0" w:color="auto"/>
      </w:divBdr>
    </w:div>
    <w:div w:id="585767592">
      <w:bodyDiv w:val="1"/>
      <w:marLeft w:val="0"/>
      <w:marRight w:val="0"/>
      <w:marTop w:val="0"/>
      <w:marBottom w:val="0"/>
      <w:divBdr>
        <w:top w:val="none" w:sz="0" w:space="0" w:color="auto"/>
        <w:left w:val="none" w:sz="0" w:space="0" w:color="auto"/>
        <w:bottom w:val="none" w:sz="0" w:space="0" w:color="auto"/>
        <w:right w:val="none" w:sz="0" w:space="0" w:color="auto"/>
      </w:divBdr>
    </w:div>
    <w:div w:id="590818662">
      <w:bodyDiv w:val="1"/>
      <w:marLeft w:val="0"/>
      <w:marRight w:val="0"/>
      <w:marTop w:val="0"/>
      <w:marBottom w:val="0"/>
      <w:divBdr>
        <w:top w:val="none" w:sz="0" w:space="0" w:color="auto"/>
        <w:left w:val="none" w:sz="0" w:space="0" w:color="auto"/>
        <w:bottom w:val="none" w:sz="0" w:space="0" w:color="auto"/>
        <w:right w:val="none" w:sz="0" w:space="0" w:color="auto"/>
      </w:divBdr>
    </w:div>
    <w:div w:id="640355383">
      <w:bodyDiv w:val="1"/>
      <w:marLeft w:val="0"/>
      <w:marRight w:val="0"/>
      <w:marTop w:val="0"/>
      <w:marBottom w:val="0"/>
      <w:divBdr>
        <w:top w:val="none" w:sz="0" w:space="0" w:color="auto"/>
        <w:left w:val="none" w:sz="0" w:space="0" w:color="auto"/>
        <w:bottom w:val="none" w:sz="0" w:space="0" w:color="auto"/>
        <w:right w:val="none" w:sz="0" w:space="0" w:color="auto"/>
      </w:divBdr>
    </w:div>
    <w:div w:id="655455577">
      <w:bodyDiv w:val="1"/>
      <w:marLeft w:val="0"/>
      <w:marRight w:val="0"/>
      <w:marTop w:val="0"/>
      <w:marBottom w:val="0"/>
      <w:divBdr>
        <w:top w:val="none" w:sz="0" w:space="0" w:color="auto"/>
        <w:left w:val="none" w:sz="0" w:space="0" w:color="auto"/>
        <w:bottom w:val="none" w:sz="0" w:space="0" w:color="auto"/>
        <w:right w:val="none" w:sz="0" w:space="0" w:color="auto"/>
      </w:divBdr>
    </w:div>
    <w:div w:id="715079223">
      <w:bodyDiv w:val="1"/>
      <w:marLeft w:val="0"/>
      <w:marRight w:val="0"/>
      <w:marTop w:val="0"/>
      <w:marBottom w:val="0"/>
      <w:divBdr>
        <w:top w:val="none" w:sz="0" w:space="0" w:color="auto"/>
        <w:left w:val="none" w:sz="0" w:space="0" w:color="auto"/>
        <w:bottom w:val="none" w:sz="0" w:space="0" w:color="auto"/>
        <w:right w:val="none" w:sz="0" w:space="0" w:color="auto"/>
      </w:divBdr>
    </w:div>
    <w:div w:id="740448613">
      <w:bodyDiv w:val="1"/>
      <w:marLeft w:val="0"/>
      <w:marRight w:val="0"/>
      <w:marTop w:val="0"/>
      <w:marBottom w:val="0"/>
      <w:divBdr>
        <w:top w:val="none" w:sz="0" w:space="0" w:color="auto"/>
        <w:left w:val="none" w:sz="0" w:space="0" w:color="auto"/>
        <w:bottom w:val="none" w:sz="0" w:space="0" w:color="auto"/>
        <w:right w:val="none" w:sz="0" w:space="0" w:color="auto"/>
      </w:divBdr>
    </w:div>
    <w:div w:id="767119271">
      <w:bodyDiv w:val="1"/>
      <w:marLeft w:val="0"/>
      <w:marRight w:val="0"/>
      <w:marTop w:val="0"/>
      <w:marBottom w:val="0"/>
      <w:divBdr>
        <w:top w:val="none" w:sz="0" w:space="0" w:color="auto"/>
        <w:left w:val="none" w:sz="0" w:space="0" w:color="auto"/>
        <w:bottom w:val="none" w:sz="0" w:space="0" w:color="auto"/>
        <w:right w:val="none" w:sz="0" w:space="0" w:color="auto"/>
      </w:divBdr>
    </w:div>
    <w:div w:id="839076901">
      <w:bodyDiv w:val="1"/>
      <w:marLeft w:val="0"/>
      <w:marRight w:val="0"/>
      <w:marTop w:val="0"/>
      <w:marBottom w:val="0"/>
      <w:divBdr>
        <w:top w:val="none" w:sz="0" w:space="0" w:color="auto"/>
        <w:left w:val="none" w:sz="0" w:space="0" w:color="auto"/>
        <w:bottom w:val="none" w:sz="0" w:space="0" w:color="auto"/>
        <w:right w:val="none" w:sz="0" w:space="0" w:color="auto"/>
      </w:divBdr>
    </w:div>
    <w:div w:id="845830037">
      <w:bodyDiv w:val="1"/>
      <w:marLeft w:val="0"/>
      <w:marRight w:val="0"/>
      <w:marTop w:val="0"/>
      <w:marBottom w:val="0"/>
      <w:divBdr>
        <w:top w:val="none" w:sz="0" w:space="0" w:color="auto"/>
        <w:left w:val="none" w:sz="0" w:space="0" w:color="auto"/>
        <w:bottom w:val="none" w:sz="0" w:space="0" w:color="auto"/>
        <w:right w:val="none" w:sz="0" w:space="0" w:color="auto"/>
      </w:divBdr>
    </w:div>
    <w:div w:id="850990471">
      <w:bodyDiv w:val="1"/>
      <w:marLeft w:val="0"/>
      <w:marRight w:val="0"/>
      <w:marTop w:val="0"/>
      <w:marBottom w:val="0"/>
      <w:divBdr>
        <w:top w:val="none" w:sz="0" w:space="0" w:color="auto"/>
        <w:left w:val="none" w:sz="0" w:space="0" w:color="auto"/>
        <w:bottom w:val="none" w:sz="0" w:space="0" w:color="auto"/>
        <w:right w:val="none" w:sz="0" w:space="0" w:color="auto"/>
      </w:divBdr>
    </w:div>
    <w:div w:id="892694594">
      <w:bodyDiv w:val="1"/>
      <w:marLeft w:val="0"/>
      <w:marRight w:val="0"/>
      <w:marTop w:val="0"/>
      <w:marBottom w:val="0"/>
      <w:divBdr>
        <w:top w:val="none" w:sz="0" w:space="0" w:color="auto"/>
        <w:left w:val="none" w:sz="0" w:space="0" w:color="auto"/>
        <w:bottom w:val="none" w:sz="0" w:space="0" w:color="auto"/>
        <w:right w:val="none" w:sz="0" w:space="0" w:color="auto"/>
      </w:divBdr>
    </w:div>
    <w:div w:id="918952785">
      <w:bodyDiv w:val="1"/>
      <w:marLeft w:val="0"/>
      <w:marRight w:val="0"/>
      <w:marTop w:val="0"/>
      <w:marBottom w:val="0"/>
      <w:divBdr>
        <w:top w:val="none" w:sz="0" w:space="0" w:color="auto"/>
        <w:left w:val="none" w:sz="0" w:space="0" w:color="auto"/>
        <w:bottom w:val="none" w:sz="0" w:space="0" w:color="auto"/>
        <w:right w:val="none" w:sz="0" w:space="0" w:color="auto"/>
      </w:divBdr>
    </w:div>
    <w:div w:id="954675776">
      <w:bodyDiv w:val="1"/>
      <w:marLeft w:val="0"/>
      <w:marRight w:val="0"/>
      <w:marTop w:val="0"/>
      <w:marBottom w:val="0"/>
      <w:divBdr>
        <w:top w:val="none" w:sz="0" w:space="0" w:color="auto"/>
        <w:left w:val="none" w:sz="0" w:space="0" w:color="auto"/>
        <w:bottom w:val="none" w:sz="0" w:space="0" w:color="auto"/>
        <w:right w:val="none" w:sz="0" w:space="0" w:color="auto"/>
      </w:divBdr>
    </w:div>
    <w:div w:id="1026373013">
      <w:bodyDiv w:val="1"/>
      <w:marLeft w:val="0"/>
      <w:marRight w:val="0"/>
      <w:marTop w:val="0"/>
      <w:marBottom w:val="0"/>
      <w:divBdr>
        <w:top w:val="none" w:sz="0" w:space="0" w:color="auto"/>
        <w:left w:val="none" w:sz="0" w:space="0" w:color="auto"/>
        <w:bottom w:val="none" w:sz="0" w:space="0" w:color="auto"/>
        <w:right w:val="none" w:sz="0" w:space="0" w:color="auto"/>
      </w:divBdr>
    </w:div>
    <w:div w:id="1082800333">
      <w:bodyDiv w:val="1"/>
      <w:marLeft w:val="0"/>
      <w:marRight w:val="0"/>
      <w:marTop w:val="0"/>
      <w:marBottom w:val="0"/>
      <w:divBdr>
        <w:top w:val="none" w:sz="0" w:space="0" w:color="auto"/>
        <w:left w:val="none" w:sz="0" w:space="0" w:color="auto"/>
        <w:bottom w:val="none" w:sz="0" w:space="0" w:color="auto"/>
        <w:right w:val="none" w:sz="0" w:space="0" w:color="auto"/>
      </w:divBdr>
    </w:div>
    <w:div w:id="1084376869">
      <w:bodyDiv w:val="1"/>
      <w:marLeft w:val="0"/>
      <w:marRight w:val="0"/>
      <w:marTop w:val="0"/>
      <w:marBottom w:val="0"/>
      <w:divBdr>
        <w:top w:val="none" w:sz="0" w:space="0" w:color="auto"/>
        <w:left w:val="none" w:sz="0" w:space="0" w:color="auto"/>
        <w:bottom w:val="none" w:sz="0" w:space="0" w:color="auto"/>
        <w:right w:val="none" w:sz="0" w:space="0" w:color="auto"/>
      </w:divBdr>
    </w:div>
    <w:div w:id="1135030300">
      <w:bodyDiv w:val="1"/>
      <w:marLeft w:val="0"/>
      <w:marRight w:val="0"/>
      <w:marTop w:val="0"/>
      <w:marBottom w:val="0"/>
      <w:divBdr>
        <w:top w:val="none" w:sz="0" w:space="0" w:color="auto"/>
        <w:left w:val="none" w:sz="0" w:space="0" w:color="auto"/>
        <w:bottom w:val="none" w:sz="0" w:space="0" w:color="auto"/>
        <w:right w:val="none" w:sz="0" w:space="0" w:color="auto"/>
      </w:divBdr>
    </w:div>
    <w:div w:id="1161192837">
      <w:bodyDiv w:val="1"/>
      <w:marLeft w:val="0"/>
      <w:marRight w:val="0"/>
      <w:marTop w:val="0"/>
      <w:marBottom w:val="0"/>
      <w:divBdr>
        <w:top w:val="none" w:sz="0" w:space="0" w:color="auto"/>
        <w:left w:val="none" w:sz="0" w:space="0" w:color="auto"/>
        <w:bottom w:val="none" w:sz="0" w:space="0" w:color="auto"/>
        <w:right w:val="none" w:sz="0" w:space="0" w:color="auto"/>
      </w:divBdr>
    </w:div>
    <w:div w:id="1236353449">
      <w:bodyDiv w:val="1"/>
      <w:marLeft w:val="0"/>
      <w:marRight w:val="0"/>
      <w:marTop w:val="0"/>
      <w:marBottom w:val="0"/>
      <w:divBdr>
        <w:top w:val="none" w:sz="0" w:space="0" w:color="auto"/>
        <w:left w:val="none" w:sz="0" w:space="0" w:color="auto"/>
        <w:bottom w:val="none" w:sz="0" w:space="0" w:color="auto"/>
        <w:right w:val="none" w:sz="0" w:space="0" w:color="auto"/>
      </w:divBdr>
    </w:div>
    <w:div w:id="1319727982">
      <w:bodyDiv w:val="1"/>
      <w:marLeft w:val="0"/>
      <w:marRight w:val="0"/>
      <w:marTop w:val="0"/>
      <w:marBottom w:val="0"/>
      <w:divBdr>
        <w:top w:val="none" w:sz="0" w:space="0" w:color="auto"/>
        <w:left w:val="none" w:sz="0" w:space="0" w:color="auto"/>
        <w:bottom w:val="none" w:sz="0" w:space="0" w:color="auto"/>
        <w:right w:val="none" w:sz="0" w:space="0" w:color="auto"/>
      </w:divBdr>
    </w:div>
    <w:div w:id="1366252241">
      <w:bodyDiv w:val="1"/>
      <w:marLeft w:val="0"/>
      <w:marRight w:val="0"/>
      <w:marTop w:val="0"/>
      <w:marBottom w:val="0"/>
      <w:divBdr>
        <w:top w:val="none" w:sz="0" w:space="0" w:color="auto"/>
        <w:left w:val="none" w:sz="0" w:space="0" w:color="auto"/>
        <w:bottom w:val="none" w:sz="0" w:space="0" w:color="auto"/>
        <w:right w:val="none" w:sz="0" w:space="0" w:color="auto"/>
      </w:divBdr>
    </w:div>
    <w:div w:id="1513835165">
      <w:bodyDiv w:val="1"/>
      <w:marLeft w:val="0"/>
      <w:marRight w:val="0"/>
      <w:marTop w:val="0"/>
      <w:marBottom w:val="0"/>
      <w:divBdr>
        <w:top w:val="none" w:sz="0" w:space="0" w:color="auto"/>
        <w:left w:val="none" w:sz="0" w:space="0" w:color="auto"/>
        <w:bottom w:val="none" w:sz="0" w:space="0" w:color="auto"/>
        <w:right w:val="none" w:sz="0" w:space="0" w:color="auto"/>
      </w:divBdr>
    </w:div>
    <w:div w:id="1549027777">
      <w:bodyDiv w:val="1"/>
      <w:marLeft w:val="0"/>
      <w:marRight w:val="0"/>
      <w:marTop w:val="0"/>
      <w:marBottom w:val="0"/>
      <w:divBdr>
        <w:top w:val="none" w:sz="0" w:space="0" w:color="auto"/>
        <w:left w:val="none" w:sz="0" w:space="0" w:color="auto"/>
        <w:bottom w:val="none" w:sz="0" w:space="0" w:color="auto"/>
        <w:right w:val="none" w:sz="0" w:space="0" w:color="auto"/>
      </w:divBdr>
    </w:div>
    <w:div w:id="1549611545">
      <w:bodyDiv w:val="1"/>
      <w:marLeft w:val="0"/>
      <w:marRight w:val="0"/>
      <w:marTop w:val="0"/>
      <w:marBottom w:val="0"/>
      <w:divBdr>
        <w:top w:val="none" w:sz="0" w:space="0" w:color="auto"/>
        <w:left w:val="none" w:sz="0" w:space="0" w:color="auto"/>
        <w:bottom w:val="none" w:sz="0" w:space="0" w:color="auto"/>
        <w:right w:val="none" w:sz="0" w:space="0" w:color="auto"/>
      </w:divBdr>
    </w:div>
    <w:div w:id="1564489103">
      <w:bodyDiv w:val="1"/>
      <w:marLeft w:val="0"/>
      <w:marRight w:val="0"/>
      <w:marTop w:val="0"/>
      <w:marBottom w:val="0"/>
      <w:divBdr>
        <w:top w:val="none" w:sz="0" w:space="0" w:color="auto"/>
        <w:left w:val="none" w:sz="0" w:space="0" w:color="auto"/>
        <w:bottom w:val="none" w:sz="0" w:space="0" w:color="auto"/>
        <w:right w:val="none" w:sz="0" w:space="0" w:color="auto"/>
      </w:divBdr>
    </w:div>
    <w:div w:id="1567446454">
      <w:bodyDiv w:val="1"/>
      <w:marLeft w:val="0"/>
      <w:marRight w:val="0"/>
      <w:marTop w:val="0"/>
      <w:marBottom w:val="0"/>
      <w:divBdr>
        <w:top w:val="none" w:sz="0" w:space="0" w:color="auto"/>
        <w:left w:val="none" w:sz="0" w:space="0" w:color="auto"/>
        <w:bottom w:val="none" w:sz="0" w:space="0" w:color="auto"/>
        <w:right w:val="none" w:sz="0" w:space="0" w:color="auto"/>
      </w:divBdr>
    </w:div>
    <w:div w:id="1630283572">
      <w:bodyDiv w:val="1"/>
      <w:marLeft w:val="0"/>
      <w:marRight w:val="0"/>
      <w:marTop w:val="0"/>
      <w:marBottom w:val="0"/>
      <w:divBdr>
        <w:top w:val="none" w:sz="0" w:space="0" w:color="auto"/>
        <w:left w:val="none" w:sz="0" w:space="0" w:color="auto"/>
        <w:bottom w:val="none" w:sz="0" w:space="0" w:color="auto"/>
        <w:right w:val="none" w:sz="0" w:space="0" w:color="auto"/>
      </w:divBdr>
    </w:div>
    <w:div w:id="1646859606">
      <w:bodyDiv w:val="1"/>
      <w:marLeft w:val="0"/>
      <w:marRight w:val="0"/>
      <w:marTop w:val="0"/>
      <w:marBottom w:val="0"/>
      <w:divBdr>
        <w:top w:val="none" w:sz="0" w:space="0" w:color="auto"/>
        <w:left w:val="none" w:sz="0" w:space="0" w:color="auto"/>
        <w:bottom w:val="none" w:sz="0" w:space="0" w:color="auto"/>
        <w:right w:val="none" w:sz="0" w:space="0" w:color="auto"/>
      </w:divBdr>
    </w:div>
    <w:div w:id="1736779963">
      <w:bodyDiv w:val="1"/>
      <w:marLeft w:val="0"/>
      <w:marRight w:val="0"/>
      <w:marTop w:val="0"/>
      <w:marBottom w:val="0"/>
      <w:divBdr>
        <w:top w:val="none" w:sz="0" w:space="0" w:color="auto"/>
        <w:left w:val="none" w:sz="0" w:space="0" w:color="auto"/>
        <w:bottom w:val="none" w:sz="0" w:space="0" w:color="auto"/>
        <w:right w:val="none" w:sz="0" w:space="0" w:color="auto"/>
      </w:divBdr>
    </w:div>
    <w:div w:id="1777871853">
      <w:bodyDiv w:val="1"/>
      <w:marLeft w:val="0"/>
      <w:marRight w:val="0"/>
      <w:marTop w:val="0"/>
      <w:marBottom w:val="0"/>
      <w:divBdr>
        <w:top w:val="none" w:sz="0" w:space="0" w:color="auto"/>
        <w:left w:val="none" w:sz="0" w:space="0" w:color="auto"/>
        <w:bottom w:val="none" w:sz="0" w:space="0" w:color="auto"/>
        <w:right w:val="none" w:sz="0" w:space="0" w:color="auto"/>
      </w:divBdr>
    </w:div>
    <w:div w:id="1778866229">
      <w:bodyDiv w:val="1"/>
      <w:marLeft w:val="0"/>
      <w:marRight w:val="0"/>
      <w:marTop w:val="0"/>
      <w:marBottom w:val="0"/>
      <w:divBdr>
        <w:top w:val="none" w:sz="0" w:space="0" w:color="auto"/>
        <w:left w:val="none" w:sz="0" w:space="0" w:color="auto"/>
        <w:bottom w:val="none" w:sz="0" w:space="0" w:color="auto"/>
        <w:right w:val="none" w:sz="0" w:space="0" w:color="auto"/>
      </w:divBdr>
    </w:div>
    <w:div w:id="1797333538">
      <w:bodyDiv w:val="1"/>
      <w:marLeft w:val="0"/>
      <w:marRight w:val="0"/>
      <w:marTop w:val="0"/>
      <w:marBottom w:val="0"/>
      <w:divBdr>
        <w:top w:val="none" w:sz="0" w:space="0" w:color="auto"/>
        <w:left w:val="none" w:sz="0" w:space="0" w:color="auto"/>
        <w:bottom w:val="none" w:sz="0" w:space="0" w:color="auto"/>
        <w:right w:val="none" w:sz="0" w:space="0" w:color="auto"/>
      </w:divBdr>
    </w:div>
    <w:div w:id="1830363466">
      <w:bodyDiv w:val="1"/>
      <w:marLeft w:val="0"/>
      <w:marRight w:val="0"/>
      <w:marTop w:val="0"/>
      <w:marBottom w:val="0"/>
      <w:divBdr>
        <w:top w:val="none" w:sz="0" w:space="0" w:color="auto"/>
        <w:left w:val="none" w:sz="0" w:space="0" w:color="auto"/>
        <w:bottom w:val="none" w:sz="0" w:space="0" w:color="auto"/>
        <w:right w:val="none" w:sz="0" w:space="0" w:color="auto"/>
      </w:divBdr>
    </w:div>
    <w:div w:id="1840610733">
      <w:bodyDiv w:val="1"/>
      <w:marLeft w:val="0"/>
      <w:marRight w:val="0"/>
      <w:marTop w:val="0"/>
      <w:marBottom w:val="0"/>
      <w:divBdr>
        <w:top w:val="none" w:sz="0" w:space="0" w:color="auto"/>
        <w:left w:val="none" w:sz="0" w:space="0" w:color="auto"/>
        <w:bottom w:val="none" w:sz="0" w:space="0" w:color="auto"/>
        <w:right w:val="none" w:sz="0" w:space="0" w:color="auto"/>
      </w:divBdr>
    </w:div>
    <w:div w:id="1842238177">
      <w:bodyDiv w:val="1"/>
      <w:marLeft w:val="0"/>
      <w:marRight w:val="0"/>
      <w:marTop w:val="0"/>
      <w:marBottom w:val="0"/>
      <w:divBdr>
        <w:top w:val="none" w:sz="0" w:space="0" w:color="auto"/>
        <w:left w:val="none" w:sz="0" w:space="0" w:color="auto"/>
        <w:bottom w:val="none" w:sz="0" w:space="0" w:color="auto"/>
        <w:right w:val="none" w:sz="0" w:space="0" w:color="auto"/>
      </w:divBdr>
    </w:div>
    <w:div w:id="1883592403">
      <w:bodyDiv w:val="1"/>
      <w:marLeft w:val="0"/>
      <w:marRight w:val="0"/>
      <w:marTop w:val="0"/>
      <w:marBottom w:val="0"/>
      <w:divBdr>
        <w:top w:val="none" w:sz="0" w:space="0" w:color="auto"/>
        <w:left w:val="none" w:sz="0" w:space="0" w:color="auto"/>
        <w:bottom w:val="none" w:sz="0" w:space="0" w:color="auto"/>
        <w:right w:val="none" w:sz="0" w:space="0" w:color="auto"/>
      </w:divBdr>
    </w:div>
    <w:div w:id="1895500441">
      <w:bodyDiv w:val="1"/>
      <w:marLeft w:val="0"/>
      <w:marRight w:val="0"/>
      <w:marTop w:val="0"/>
      <w:marBottom w:val="0"/>
      <w:divBdr>
        <w:top w:val="none" w:sz="0" w:space="0" w:color="auto"/>
        <w:left w:val="none" w:sz="0" w:space="0" w:color="auto"/>
        <w:bottom w:val="none" w:sz="0" w:space="0" w:color="auto"/>
        <w:right w:val="none" w:sz="0" w:space="0" w:color="auto"/>
      </w:divBdr>
    </w:div>
    <w:div w:id="1897163042">
      <w:bodyDiv w:val="1"/>
      <w:marLeft w:val="0"/>
      <w:marRight w:val="0"/>
      <w:marTop w:val="0"/>
      <w:marBottom w:val="0"/>
      <w:divBdr>
        <w:top w:val="none" w:sz="0" w:space="0" w:color="auto"/>
        <w:left w:val="none" w:sz="0" w:space="0" w:color="auto"/>
        <w:bottom w:val="none" w:sz="0" w:space="0" w:color="auto"/>
        <w:right w:val="none" w:sz="0" w:space="0" w:color="auto"/>
      </w:divBdr>
    </w:div>
    <w:div w:id="1897736885">
      <w:bodyDiv w:val="1"/>
      <w:marLeft w:val="0"/>
      <w:marRight w:val="0"/>
      <w:marTop w:val="0"/>
      <w:marBottom w:val="0"/>
      <w:divBdr>
        <w:top w:val="none" w:sz="0" w:space="0" w:color="auto"/>
        <w:left w:val="none" w:sz="0" w:space="0" w:color="auto"/>
        <w:bottom w:val="none" w:sz="0" w:space="0" w:color="auto"/>
        <w:right w:val="none" w:sz="0" w:space="0" w:color="auto"/>
      </w:divBdr>
    </w:div>
    <w:div w:id="1915822026">
      <w:bodyDiv w:val="1"/>
      <w:marLeft w:val="0"/>
      <w:marRight w:val="0"/>
      <w:marTop w:val="0"/>
      <w:marBottom w:val="0"/>
      <w:divBdr>
        <w:top w:val="none" w:sz="0" w:space="0" w:color="auto"/>
        <w:left w:val="none" w:sz="0" w:space="0" w:color="auto"/>
        <w:bottom w:val="none" w:sz="0" w:space="0" w:color="auto"/>
        <w:right w:val="none" w:sz="0" w:space="0" w:color="auto"/>
      </w:divBdr>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50716305">
      <w:bodyDiv w:val="1"/>
      <w:marLeft w:val="0"/>
      <w:marRight w:val="0"/>
      <w:marTop w:val="0"/>
      <w:marBottom w:val="0"/>
      <w:divBdr>
        <w:top w:val="none" w:sz="0" w:space="0" w:color="auto"/>
        <w:left w:val="none" w:sz="0" w:space="0" w:color="auto"/>
        <w:bottom w:val="none" w:sz="0" w:space="0" w:color="auto"/>
        <w:right w:val="none" w:sz="0" w:space="0" w:color="auto"/>
      </w:divBdr>
    </w:div>
    <w:div w:id="21261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elstrom-research.org/study/pae-hp"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7706</Words>
  <Characters>43929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tina.wey@gmail.com</dc:creator>
  <cp:lastModifiedBy>jansimarie.s</cp:lastModifiedBy>
  <cp:revision>2</cp:revision>
  <dcterms:created xsi:type="dcterms:W3CDTF">2022-08-09T19:24:00Z</dcterms:created>
  <dcterms:modified xsi:type="dcterms:W3CDTF">2022-08-09T19:24:00Z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id="vXhYiNdC"/&gt;&lt;style id="http://www.zotero.org/styles/jdohad-style" hasBibliography="1" bibliographyStyleHasBeenSet="1"/&gt;&lt;prefs&gt;&lt;pref name="fieldType" value="Field"/&gt;&lt;pref name="automaticJournalAb</vt:lpwstr>
  </property>
  <property fmtid="{D5CDD505-2E9C-101B-9397-08002B2CF9AE}" pid="3" name="ZOTERO_PREF_2">
    <vt:lpwstr>breviations" value="true"/&gt;&lt;/prefs&gt;&lt;/data&gt;</vt:lpwstr>
  </property>
</Properties>
</file>