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C9C0" w14:textId="2475E8EF" w:rsidR="0053715C" w:rsidRDefault="0015537B" w:rsidP="0015537B">
      <w:pPr>
        <w:pStyle w:val="Kop1"/>
        <w:jc w:val="left"/>
        <w:rPr>
          <w:lang w:val="en-GB"/>
        </w:rPr>
      </w:pPr>
      <w:r w:rsidRPr="002A6178">
        <w:rPr>
          <w:lang w:val="en-GB"/>
        </w:rPr>
        <w:t>Supplementary information</w:t>
      </w:r>
    </w:p>
    <w:p w14:paraId="267F6A57" w14:textId="77777777" w:rsidR="0015603C" w:rsidRDefault="0015603C" w:rsidP="0053715C">
      <w:pPr>
        <w:rPr>
          <w:b/>
          <w:bCs/>
          <w:color w:val="000000" w:themeColor="text1"/>
          <w:szCs w:val="21"/>
          <w:lang w:val="en-GB"/>
        </w:rPr>
      </w:pPr>
      <w:r>
        <w:rPr>
          <w:b/>
          <w:bCs/>
          <w:noProof/>
          <w:color w:val="000000" w:themeColor="text1"/>
          <w:szCs w:val="21"/>
          <w:lang w:val="nl-NL" w:eastAsia="nl-NL"/>
        </w:rPr>
        <w:drawing>
          <wp:inline distT="0" distB="0" distL="0" distR="0" wp14:anchorId="61C4C399" wp14:editId="6E048FC2">
            <wp:extent cx="5130800" cy="249109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25"/>
                    <a:stretch/>
                  </pic:blipFill>
                  <pic:spPr bwMode="auto">
                    <a:xfrm>
                      <a:off x="0" y="0"/>
                      <a:ext cx="5130800" cy="249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6D97A1" w14:textId="27F2B1BF" w:rsidR="0053715C" w:rsidRDefault="008C5A2E" w:rsidP="0053715C">
      <w:pPr>
        <w:rPr>
          <w:color w:val="000000" w:themeColor="text1"/>
          <w:szCs w:val="21"/>
          <w:lang w:val="en-GB"/>
        </w:rPr>
      </w:pPr>
      <w:r>
        <w:rPr>
          <w:b/>
          <w:bCs/>
          <w:color w:val="000000" w:themeColor="text1"/>
          <w:szCs w:val="21"/>
          <w:lang w:val="en-GB"/>
        </w:rPr>
        <w:t xml:space="preserve">Supplementary </w:t>
      </w:r>
      <w:r w:rsidRPr="00586715">
        <w:rPr>
          <w:b/>
          <w:bCs/>
          <w:color w:val="000000" w:themeColor="text1"/>
          <w:szCs w:val="21"/>
          <w:lang w:val="en-GB"/>
        </w:rPr>
        <w:t>Fig</w:t>
      </w:r>
      <w:r>
        <w:rPr>
          <w:b/>
          <w:bCs/>
          <w:color w:val="000000" w:themeColor="text1"/>
          <w:szCs w:val="21"/>
          <w:lang w:val="en-GB"/>
        </w:rPr>
        <w:t>ure</w:t>
      </w:r>
      <w:r w:rsidRPr="00586715">
        <w:rPr>
          <w:b/>
          <w:bCs/>
          <w:color w:val="000000" w:themeColor="text1"/>
          <w:szCs w:val="21"/>
          <w:lang w:val="en-GB"/>
        </w:rPr>
        <w:t xml:space="preserve"> </w:t>
      </w:r>
      <w:r w:rsidR="0053715C" w:rsidRPr="00586715">
        <w:rPr>
          <w:b/>
          <w:bCs/>
          <w:color w:val="000000" w:themeColor="text1"/>
          <w:szCs w:val="21"/>
          <w:lang w:val="en-GB"/>
        </w:rPr>
        <w:t xml:space="preserve">S1 – DNA methylation </w:t>
      </w:r>
      <w:r w:rsidR="00DF2ABD" w:rsidRPr="00586715">
        <w:rPr>
          <w:b/>
          <w:bCs/>
          <w:color w:val="000000" w:themeColor="text1"/>
          <w:szCs w:val="21"/>
          <w:lang w:val="en-GB"/>
        </w:rPr>
        <w:t xml:space="preserve">of the </w:t>
      </w:r>
      <w:r w:rsidR="0053715C" w:rsidRPr="00586715">
        <w:rPr>
          <w:b/>
          <w:bCs/>
          <w:i/>
          <w:color w:val="000000" w:themeColor="text1"/>
          <w:szCs w:val="21"/>
          <w:lang w:val="en-GB"/>
        </w:rPr>
        <w:t>Srebf2</w:t>
      </w:r>
      <w:r w:rsidR="00DF2ABD" w:rsidRPr="00586715">
        <w:rPr>
          <w:b/>
          <w:bCs/>
          <w:color w:val="000000" w:themeColor="text1"/>
          <w:szCs w:val="21"/>
          <w:lang w:val="en-GB"/>
        </w:rPr>
        <w:t xml:space="preserve"> promotor site per CpG position in</w:t>
      </w:r>
      <w:r w:rsidR="0053715C" w:rsidRPr="00586715">
        <w:rPr>
          <w:b/>
          <w:bCs/>
          <w:color w:val="000000" w:themeColor="text1"/>
          <w:szCs w:val="21"/>
          <w:lang w:val="en-GB"/>
        </w:rPr>
        <w:t xml:space="preserve"> fetal liver</w:t>
      </w:r>
      <w:r w:rsidR="00DF2ABD" w:rsidRPr="00586715">
        <w:rPr>
          <w:b/>
          <w:bCs/>
          <w:color w:val="000000" w:themeColor="text1"/>
          <w:szCs w:val="21"/>
          <w:lang w:val="en-GB"/>
        </w:rPr>
        <w:t xml:space="preserve"> of preeclampsia-exposed offspring</w:t>
      </w:r>
      <w:r w:rsidR="0053715C" w:rsidRPr="00586715">
        <w:rPr>
          <w:b/>
          <w:bCs/>
          <w:color w:val="000000" w:themeColor="text1"/>
          <w:szCs w:val="21"/>
          <w:lang w:val="en-GB"/>
        </w:rPr>
        <w:t xml:space="preserve">. </w:t>
      </w:r>
      <w:r w:rsidR="0053715C" w:rsidRPr="00586715">
        <w:rPr>
          <w:color w:val="000000" w:themeColor="text1"/>
          <w:szCs w:val="21"/>
          <w:lang w:val="en-GB"/>
        </w:rPr>
        <w:t xml:space="preserve">DNA methylation percentage was analysed </w:t>
      </w:r>
      <w:r w:rsidR="00DF2ABD" w:rsidRPr="00586715">
        <w:rPr>
          <w:color w:val="000000" w:themeColor="text1"/>
          <w:szCs w:val="21"/>
          <w:lang w:val="en-GB"/>
        </w:rPr>
        <w:t xml:space="preserve">using </w:t>
      </w:r>
      <w:r w:rsidR="0053715C" w:rsidRPr="00586715">
        <w:rPr>
          <w:color w:val="000000" w:themeColor="text1"/>
          <w:szCs w:val="21"/>
          <w:lang w:val="en-GB"/>
        </w:rPr>
        <w:t xml:space="preserve">pyrosequencing for 7 CpG positions in the </w:t>
      </w:r>
      <w:r w:rsidR="0053715C" w:rsidRPr="00586715">
        <w:rPr>
          <w:i/>
          <w:iCs/>
          <w:color w:val="000000" w:themeColor="text1"/>
          <w:szCs w:val="21"/>
          <w:lang w:val="en-GB"/>
        </w:rPr>
        <w:t>Srebf2</w:t>
      </w:r>
      <w:r w:rsidR="0053715C" w:rsidRPr="00586715">
        <w:rPr>
          <w:color w:val="000000" w:themeColor="text1"/>
          <w:szCs w:val="21"/>
          <w:lang w:val="en-GB"/>
        </w:rPr>
        <w:t xml:space="preserve"> promotor site. Control groups and sFlt1+LPS male n=9, sFtl1+ LPS female n=8. Analysed using repeated measure two-way ANOVA, data presented as mean </w:t>
      </w:r>
      <w:r w:rsidR="0053715C" w:rsidRPr="00586715">
        <w:rPr>
          <w:rFonts w:ascii="Calibri" w:hAnsi="Calibri"/>
          <w:color w:val="000000" w:themeColor="text1"/>
          <w:lang w:val="en-GB"/>
        </w:rPr>
        <w:t>±</w:t>
      </w:r>
      <w:r w:rsidR="0053715C" w:rsidRPr="00586715">
        <w:rPr>
          <w:color w:val="000000" w:themeColor="text1"/>
          <w:lang w:val="en-GB"/>
        </w:rPr>
        <w:t>SD.</w:t>
      </w:r>
      <w:r w:rsidR="0053715C" w:rsidRPr="00586715">
        <w:rPr>
          <w:color w:val="000000" w:themeColor="text1"/>
          <w:szCs w:val="21"/>
          <w:lang w:val="en-GB"/>
        </w:rPr>
        <w:t xml:space="preserve"> * p&lt;0.05 for treatment.</w:t>
      </w:r>
    </w:p>
    <w:p w14:paraId="2802EBF3" w14:textId="2D215B06" w:rsidR="0015603C" w:rsidRPr="00586715" w:rsidRDefault="003675B3" w:rsidP="0053715C">
      <w:pPr>
        <w:rPr>
          <w:color w:val="000000" w:themeColor="text1"/>
          <w:szCs w:val="21"/>
          <w:lang w:val="en-GB"/>
        </w:rPr>
      </w:pPr>
      <w:r>
        <w:rPr>
          <w:noProof/>
          <w:color w:val="000000" w:themeColor="text1"/>
          <w:szCs w:val="21"/>
          <w:lang w:val="nl-NL" w:eastAsia="nl-NL"/>
        </w:rPr>
        <w:lastRenderedPageBreak/>
        <w:drawing>
          <wp:inline distT="0" distB="0" distL="0" distR="0" wp14:anchorId="0B51F640" wp14:editId="73ADB431">
            <wp:extent cx="5438775" cy="855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"/>
                    <a:stretch/>
                  </pic:blipFill>
                  <pic:spPr bwMode="auto">
                    <a:xfrm>
                      <a:off x="0" y="0"/>
                      <a:ext cx="543877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ED9D3" w14:textId="59E0E356" w:rsidR="0053715C" w:rsidRPr="003675B3" w:rsidRDefault="008C5A2E" w:rsidP="0053715C">
      <w:pPr>
        <w:rPr>
          <w:color w:val="FF0000"/>
        </w:rPr>
      </w:pPr>
      <w:r>
        <w:rPr>
          <w:b/>
          <w:bCs/>
          <w:color w:val="000000" w:themeColor="text1"/>
          <w:szCs w:val="21"/>
          <w:lang w:val="en-GB"/>
        </w:rPr>
        <w:lastRenderedPageBreak/>
        <w:t xml:space="preserve">Supplementary </w:t>
      </w:r>
      <w:r w:rsidR="0053715C" w:rsidRPr="00586715">
        <w:rPr>
          <w:b/>
          <w:bCs/>
          <w:color w:val="000000" w:themeColor="text1"/>
          <w:szCs w:val="21"/>
          <w:lang w:val="en-GB"/>
        </w:rPr>
        <w:t>Fig</w:t>
      </w:r>
      <w:r>
        <w:rPr>
          <w:b/>
          <w:bCs/>
          <w:color w:val="000000" w:themeColor="text1"/>
          <w:szCs w:val="21"/>
          <w:lang w:val="en-GB"/>
        </w:rPr>
        <w:t>ure</w:t>
      </w:r>
      <w:r w:rsidR="0053715C" w:rsidRPr="00586715">
        <w:rPr>
          <w:b/>
          <w:bCs/>
          <w:color w:val="000000" w:themeColor="text1"/>
          <w:szCs w:val="21"/>
          <w:lang w:val="en-GB"/>
        </w:rPr>
        <w:t xml:space="preserve"> S2 – DNA methylation per CpG position </w:t>
      </w:r>
      <w:r w:rsidR="00DF2ABD" w:rsidRPr="00586715">
        <w:rPr>
          <w:b/>
          <w:bCs/>
          <w:color w:val="000000" w:themeColor="text1"/>
          <w:szCs w:val="21"/>
          <w:lang w:val="en-GB"/>
        </w:rPr>
        <w:t>of</w:t>
      </w:r>
      <w:r w:rsidR="0053715C" w:rsidRPr="00586715">
        <w:rPr>
          <w:b/>
          <w:bCs/>
          <w:color w:val="000000" w:themeColor="text1"/>
          <w:szCs w:val="21"/>
          <w:lang w:val="en-GB"/>
        </w:rPr>
        <w:t xml:space="preserve"> Line1, </w:t>
      </w:r>
      <w:r w:rsidR="0053715C" w:rsidRPr="00586715">
        <w:rPr>
          <w:b/>
          <w:bCs/>
          <w:i/>
          <w:color w:val="000000" w:themeColor="text1"/>
          <w:szCs w:val="21"/>
          <w:lang w:val="en-GB"/>
        </w:rPr>
        <w:t>Bdnf</w:t>
      </w:r>
      <w:r w:rsidR="0053715C" w:rsidRPr="00586715">
        <w:rPr>
          <w:b/>
          <w:bCs/>
          <w:color w:val="000000" w:themeColor="text1"/>
          <w:szCs w:val="21"/>
          <w:lang w:val="en-GB"/>
        </w:rPr>
        <w:t xml:space="preserve"> exon IV and </w:t>
      </w:r>
      <w:r w:rsidR="0053715C" w:rsidRPr="00586715">
        <w:rPr>
          <w:b/>
          <w:bCs/>
          <w:i/>
          <w:color w:val="000000" w:themeColor="text1"/>
          <w:szCs w:val="21"/>
          <w:lang w:val="en-GB"/>
        </w:rPr>
        <w:t>Auts2</w:t>
      </w:r>
      <w:r w:rsidR="00DF2ABD" w:rsidRPr="00586715">
        <w:rPr>
          <w:b/>
          <w:bCs/>
          <w:color w:val="000000" w:themeColor="text1"/>
          <w:szCs w:val="21"/>
          <w:lang w:val="en-GB"/>
        </w:rPr>
        <w:t xml:space="preserve"> in the fetal brain</w:t>
      </w:r>
      <w:r w:rsidR="007A77D7" w:rsidRPr="00586715">
        <w:rPr>
          <w:b/>
          <w:bCs/>
          <w:color w:val="000000" w:themeColor="text1"/>
          <w:szCs w:val="21"/>
          <w:lang w:val="en-GB"/>
        </w:rPr>
        <w:t xml:space="preserve"> of preeclampsia-exposed offspring</w:t>
      </w:r>
      <w:r w:rsidR="0053715C" w:rsidRPr="00586715">
        <w:rPr>
          <w:b/>
          <w:bCs/>
          <w:color w:val="000000" w:themeColor="text1"/>
          <w:szCs w:val="21"/>
          <w:lang w:val="en-GB"/>
        </w:rPr>
        <w:t xml:space="preserve">. </w:t>
      </w:r>
      <w:r w:rsidR="0053715C" w:rsidRPr="00586715">
        <w:rPr>
          <w:color w:val="000000" w:themeColor="text1"/>
          <w:szCs w:val="21"/>
          <w:lang w:val="en-GB"/>
        </w:rPr>
        <w:t xml:space="preserve">DNA methylation percentage was analysed with pyrosequencing on fetal whole brain. (a) Global DNA methylation was analysed with five CpG positions of </w:t>
      </w:r>
      <w:r w:rsidR="00DF2ABD" w:rsidRPr="00586715">
        <w:rPr>
          <w:color w:val="000000" w:themeColor="text1"/>
          <w:szCs w:val="21"/>
          <w:lang w:val="en-GB"/>
        </w:rPr>
        <w:t xml:space="preserve">repetitive element </w:t>
      </w:r>
      <w:r w:rsidR="0053715C" w:rsidRPr="00586715">
        <w:rPr>
          <w:color w:val="000000" w:themeColor="text1"/>
          <w:szCs w:val="21"/>
          <w:lang w:val="en-GB"/>
        </w:rPr>
        <w:t xml:space="preserve">LINE1.  (b) Six CpG positions were analysed for the </w:t>
      </w:r>
      <w:r w:rsidR="0053715C" w:rsidRPr="00586715">
        <w:rPr>
          <w:i/>
          <w:iCs/>
          <w:color w:val="000000" w:themeColor="text1"/>
          <w:szCs w:val="21"/>
          <w:lang w:val="en-GB"/>
        </w:rPr>
        <w:t>Bdnf</w:t>
      </w:r>
      <w:r w:rsidR="0053715C" w:rsidRPr="00586715">
        <w:rPr>
          <w:color w:val="000000" w:themeColor="text1"/>
          <w:szCs w:val="21"/>
          <w:lang w:val="en-GB"/>
        </w:rPr>
        <w:t xml:space="preserve"> exon IV promotor site</w:t>
      </w:r>
      <w:r w:rsidR="00E03EB7" w:rsidRPr="00586715">
        <w:rPr>
          <w:color w:val="000000" w:themeColor="text1"/>
          <w:szCs w:val="21"/>
          <w:lang w:val="en-GB"/>
        </w:rPr>
        <w:t>, positions are given relative to the transcription start site</w:t>
      </w:r>
      <w:r w:rsidR="0053715C" w:rsidRPr="00586715">
        <w:rPr>
          <w:color w:val="000000" w:themeColor="text1"/>
          <w:szCs w:val="21"/>
          <w:lang w:val="en-GB"/>
        </w:rPr>
        <w:t>. Two of the significant</w:t>
      </w:r>
      <w:r w:rsidR="0010484F" w:rsidRPr="00586715">
        <w:rPr>
          <w:color w:val="000000" w:themeColor="text1"/>
          <w:szCs w:val="21"/>
          <w:lang w:val="en-GB"/>
        </w:rPr>
        <w:t>ly lower methylated</w:t>
      </w:r>
      <w:r w:rsidR="0053715C" w:rsidRPr="00586715">
        <w:rPr>
          <w:color w:val="000000" w:themeColor="text1"/>
          <w:szCs w:val="21"/>
          <w:lang w:val="en-GB"/>
        </w:rPr>
        <w:t xml:space="preserve"> CpG positions are located in a transcription factor binding motif. Transcription factor </w:t>
      </w:r>
      <w:proofErr w:type="spellStart"/>
      <w:r w:rsidR="0053715C" w:rsidRPr="00586715">
        <w:rPr>
          <w:color w:val="000000" w:themeColor="text1"/>
          <w:szCs w:val="21"/>
          <w:lang w:val="en-GB"/>
        </w:rPr>
        <w:t>CaRF</w:t>
      </w:r>
      <w:proofErr w:type="spellEnd"/>
      <w:r w:rsidR="0053715C" w:rsidRPr="00586715">
        <w:rPr>
          <w:color w:val="000000" w:themeColor="text1"/>
          <w:szCs w:val="21"/>
          <w:lang w:val="en-GB"/>
        </w:rPr>
        <w:t xml:space="preserve"> can bind to CaRE1 motif with CpG position -66 and CREB can bind to CRE with CpG position -35. (c) 20 CpG positions were analysed for the </w:t>
      </w:r>
      <w:r w:rsidR="0053715C" w:rsidRPr="00586715">
        <w:rPr>
          <w:i/>
          <w:iCs/>
          <w:color w:val="000000" w:themeColor="text1"/>
          <w:szCs w:val="21"/>
          <w:lang w:val="en-GB"/>
        </w:rPr>
        <w:t>Auts2</w:t>
      </w:r>
      <w:r w:rsidR="0053715C" w:rsidRPr="00586715">
        <w:rPr>
          <w:color w:val="000000" w:themeColor="text1"/>
          <w:szCs w:val="21"/>
          <w:lang w:val="en-GB"/>
        </w:rPr>
        <w:t xml:space="preserve"> promotor site</w:t>
      </w:r>
      <w:r w:rsidR="00E03EB7" w:rsidRPr="00586715">
        <w:rPr>
          <w:color w:val="000000" w:themeColor="text1"/>
          <w:szCs w:val="21"/>
          <w:lang w:val="en-GB"/>
        </w:rPr>
        <w:t>, positions are given relative to the transcription start site</w:t>
      </w:r>
      <w:r w:rsidR="003675B3">
        <w:rPr>
          <w:color w:val="1F497D"/>
        </w:rPr>
        <w:t xml:space="preserve">. </w:t>
      </w:r>
      <w:r w:rsidR="003675B3" w:rsidRPr="003675B3">
        <w:rPr>
          <w:color w:val="000000" w:themeColor="text1"/>
        </w:rPr>
        <w:t xml:space="preserve">DNA methylation of 12 of these CpG positions was significantly different between </w:t>
      </w:r>
      <w:proofErr w:type="spellStart"/>
      <w:r w:rsidR="003675B3" w:rsidRPr="003675B3">
        <w:rPr>
          <w:color w:val="000000" w:themeColor="text1"/>
        </w:rPr>
        <w:t>sFlt+LPS</w:t>
      </w:r>
      <w:proofErr w:type="spellEnd"/>
      <w:r w:rsidR="003675B3" w:rsidRPr="003675B3">
        <w:rPr>
          <w:color w:val="000000" w:themeColor="text1"/>
        </w:rPr>
        <w:t xml:space="preserve"> and control male offspring. </w:t>
      </w:r>
      <w:r w:rsidR="0053715C" w:rsidRPr="003675B3">
        <w:rPr>
          <w:color w:val="000000" w:themeColor="text1"/>
          <w:szCs w:val="21"/>
          <w:lang w:val="en-GB"/>
        </w:rPr>
        <w:t xml:space="preserve">Control groups and sFlt1+LPS male n=9, sFtl1+ LPS female n=8. Analysed using </w:t>
      </w:r>
      <w:r w:rsidR="0053715C" w:rsidRPr="00586715">
        <w:rPr>
          <w:color w:val="000000" w:themeColor="text1"/>
          <w:szCs w:val="21"/>
          <w:lang w:val="en-GB"/>
        </w:rPr>
        <w:t xml:space="preserve">repeated measure two-way ANOVA, data presented as mean </w:t>
      </w:r>
      <w:r w:rsidR="0053715C" w:rsidRPr="00586715">
        <w:rPr>
          <w:rFonts w:ascii="Calibri" w:hAnsi="Calibri"/>
          <w:color w:val="000000" w:themeColor="text1"/>
          <w:lang w:val="en-GB"/>
        </w:rPr>
        <w:t>±</w:t>
      </w:r>
      <w:r w:rsidR="0053715C" w:rsidRPr="00586715">
        <w:rPr>
          <w:color w:val="000000" w:themeColor="text1"/>
          <w:lang w:val="en-GB"/>
        </w:rPr>
        <w:t>SD.</w:t>
      </w:r>
      <w:r w:rsidR="0053715C" w:rsidRPr="00586715">
        <w:rPr>
          <w:color w:val="000000" w:themeColor="text1"/>
          <w:szCs w:val="21"/>
          <w:lang w:val="en-GB"/>
        </w:rPr>
        <w:t xml:space="preserve"> * p&lt;0.05 for trea</w:t>
      </w:r>
      <w:r w:rsidR="0053715C" w:rsidRPr="003675B3">
        <w:rPr>
          <w:color w:val="000000" w:themeColor="text1"/>
          <w:szCs w:val="21"/>
          <w:lang w:val="en-GB"/>
        </w:rPr>
        <w:t>tment</w:t>
      </w:r>
      <w:r w:rsidR="003675B3" w:rsidRPr="003675B3">
        <w:rPr>
          <w:color w:val="000000" w:themeColor="text1"/>
          <w:szCs w:val="21"/>
          <w:lang w:val="en-GB"/>
        </w:rPr>
        <w:t xml:space="preserve">; </w:t>
      </w:r>
      <w:r w:rsidR="003675B3" w:rsidRPr="003675B3">
        <w:rPr>
          <w:color w:val="000000" w:themeColor="text1"/>
        </w:rPr>
        <w:t>$ p&lt;0.05 for treatment in the male subgroup.</w:t>
      </w:r>
    </w:p>
    <w:p w14:paraId="4CB059E8" w14:textId="76EB26B7" w:rsidR="0053715C" w:rsidRPr="00586715" w:rsidRDefault="0053715C" w:rsidP="0053715C">
      <w:pPr>
        <w:spacing w:after="0" w:line="240" w:lineRule="auto"/>
        <w:jc w:val="left"/>
        <w:rPr>
          <w:color w:val="000000" w:themeColor="text1"/>
          <w:lang w:val="en-GB"/>
        </w:rPr>
      </w:pPr>
      <w:r w:rsidRPr="00586715">
        <w:rPr>
          <w:color w:val="000000" w:themeColor="text1"/>
          <w:szCs w:val="21"/>
          <w:lang w:val="en-GB"/>
        </w:rPr>
        <w:t xml:space="preserve">CaRE1: Calcium-responsive elemet-1, </w:t>
      </w:r>
      <w:proofErr w:type="spellStart"/>
      <w:r w:rsidRPr="00586715">
        <w:rPr>
          <w:color w:val="000000" w:themeColor="text1"/>
          <w:szCs w:val="21"/>
          <w:lang w:val="en-GB"/>
        </w:rPr>
        <w:t>CaRF</w:t>
      </w:r>
      <w:proofErr w:type="spellEnd"/>
      <w:r w:rsidRPr="00586715">
        <w:rPr>
          <w:color w:val="000000" w:themeColor="text1"/>
          <w:szCs w:val="21"/>
          <w:lang w:val="en-GB"/>
        </w:rPr>
        <w:t xml:space="preserve">: CaRE1 dependent transcription factor, CRE: cyclic adenosine monophosphate response element, CREB: CRE-binding protein, USF: upstream stimulatory factor. </w:t>
      </w:r>
    </w:p>
    <w:sectPr w:rsidR="0053715C" w:rsidRPr="00586715" w:rsidSect="002A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6055B"/>
    <w:multiLevelType w:val="hybridMultilevel"/>
    <w:tmpl w:val="8EF0025C"/>
    <w:lvl w:ilvl="0" w:tplc="56FA4B2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7B"/>
    <w:rsid w:val="0001697A"/>
    <w:rsid w:val="0010484F"/>
    <w:rsid w:val="00115A7D"/>
    <w:rsid w:val="001319F1"/>
    <w:rsid w:val="001438B3"/>
    <w:rsid w:val="0015537B"/>
    <w:rsid w:val="0015603C"/>
    <w:rsid w:val="00181B20"/>
    <w:rsid w:val="001B6499"/>
    <w:rsid w:val="002A6178"/>
    <w:rsid w:val="002A71C9"/>
    <w:rsid w:val="003675B3"/>
    <w:rsid w:val="003D2F96"/>
    <w:rsid w:val="00470D5B"/>
    <w:rsid w:val="004803DC"/>
    <w:rsid w:val="004B11A9"/>
    <w:rsid w:val="005313A8"/>
    <w:rsid w:val="0053715C"/>
    <w:rsid w:val="00546759"/>
    <w:rsid w:val="00586715"/>
    <w:rsid w:val="005C2E85"/>
    <w:rsid w:val="0068181B"/>
    <w:rsid w:val="006D526E"/>
    <w:rsid w:val="006D65AB"/>
    <w:rsid w:val="007125F2"/>
    <w:rsid w:val="00782CC0"/>
    <w:rsid w:val="007A77D7"/>
    <w:rsid w:val="00861ADC"/>
    <w:rsid w:val="008C5A2E"/>
    <w:rsid w:val="008E684D"/>
    <w:rsid w:val="009013F0"/>
    <w:rsid w:val="009D0DE6"/>
    <w:rsid w:val="009E21B8"/>
    <w:rsid w:val="00A32E8D"/>
    <w:rsid w:val="00A62356"/>
    <w:rsid w:val="00C33187"/>
    <w:rsid w:val="00C678E0"/>
    <w:rsid w:val="00C86550"/>
    <w:rsid w:val="00D236BF"/>
    <w:rsid w:val="00D23FDF"/>
    <w:rsid w:val="00DC3A72"/>
    <w:rsid w:val="00DF2ABD"/>
    <w:rsid w:val="00E03EB7"/>
    <w:rsid w:val="00E65867"/>
    <w:rsid w:val="00E834A0"/>
    <w:rsid w:val="00F130B4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7793"/>
  <w15:docId w15:val="{904AC471-DD58-4789-816E-063D5C04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537B"/>
    <w:pPr>
      <w:spacing w:after="200" w:line="276" w:lineRule="auto"/>
      <w:jc w:val="both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5537B"/>
    <w:pPr>
      <w:keepNext/>
      <w:keepLines/>
      <w:spacing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537B"/>
    <w:rPr>
      <w:rFonts w:eastAsiaTheme="majorEastAsia" w:cstheme="majorBidi"/>
      <w:b/>
      <w:bCs/>
      <w:sz w:val="28"/>
      <w:szCs w:val="28"/>
      <w:lang w:val="en-US"/>
    </w:rPr>
  </w:style>
  <w:style w:type="table" w:styleId="Tabelraster">
    <w:name w:val="Table Grid"/>
    <w:basedOn w:val="Standaardtabel"/>
    <w:uiPriority w:val="59"/>
    <w:rsid w:val="001553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5537B"/>
    <w:pPr>
      <w:keepNext/>
      <w:spacing w:after="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15537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alweb">
    <w:name w:val="Normal (Web)"/>
    <w:basedOn w:val="Standaard"/>
    <w:uiPriority w:val="99"/>
    <w:unhideWhenUsed/>
    <w:rsid w:val="009D0D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438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38B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38B3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38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38B3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8B3"/>
    <w:rPr>
      <w:rFonts w:ascii="Tahom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8C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F736-3D70-49B1-87B0-7FF3D543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Hofsink</dc:creator>
  <cp:keywords/>
  <dc:description/>
  <cp:lastModifiedBy>Plosch, T (og)</cp:lastModifiedBy>
  <cp:revision>4</cp:revision>
  <dcterms:created xsi:type="dcterms:W3CDTF">2022-04-26T08:09:00Z</dcterms:created>
  <dcterms:modified xsi:type="dcterms:W3CDTF">2022-05-03T12:26:00Z</dcterms:modified>
</cp:coreProperties>
</file>