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93" w:type="dxa"/>
        <w:jc w:val="center"/>
        <w:tblLayout w:type="fixed"/>
        <w:tblLook w:val="04A0" w:firstRow="1" w:lastRow="0" w:firstColumn="1" w:lastColumn="0" w:noHBand="0" w:noVBand="1"/>
      </w:tblPr>
      <w:tblGrid>
        <w:gridCol w:w="1215"/>
        <w:gridCol w:w="1132"/>
        <w:gridCol w:w="2147"/>
        <w:gridCol w:w="1137"/>
        <w:gridCol w:w="3307"/>
        <w:gridCol w:w="990"/>
        <w:gridCol w:w="2547"/>
        <w:gridCol w:w="1414"/>
        <w:gridCol w:w="1274"/>
        <w:gridCol w:w="30"/>
      </w:tblGrid>
      <w:tr w:rsidR="00E80470" w:rsidRPr="0067542D" w14:paraId="39F7B468" w14:textId="087396C0" w:rsidTr="00626D84">
        <w:trPr>
          <w:gridAfter w:val="1"/>
          <w:wAfter w:w="30" w:type="dxa"/>
          <w:jc w:val="center"/>
        </w:trPr>
        <w:tc>
          <w:tcPr>
            <w:tcW w:w="1218" w:type="dxa"/>
            <w:tcBorders>
              <w:top w:val="single" w:sz="12" w:space="0" w:color="auto"/>
              <w:left w:val="nil"/>
              <w:right w:val="nil"/>
            </w:tcBorders>
            <w:vAlign w:val="center"/>
          </w:tcPr>
          <w:p w14:paraId="691ECC6F" w14:textId="678A1744" w:rsidR="00E80470" w:rsidRPr="0067542D" w:rsidRDefault="00E80470" w:rsidP="0067542D">
            <w:pPr>
              <w:jc w:val="center"/>
              <w:rPr>
                <w:rFonts w:cstheme="minorHAnsi"/>
                <w:b/>
                <w:sz w:val="20"/>
                <w:szCs w:val="20"/>
              </w:rPr>
            </w:pPr>
            <w:r w:rsidRPr="0067542D">
              <w:rPr>
                <w:rFonts w:cstheme="minorHAnsi"/>
                <w:b/>
                <w:sz w:val="20"/>
                <w:szCs w:val="20"/>
              </w:rPr>
              <w:t>Author, Year</w:t>
            </w:r>
          </w:p>
        </w:tc>
        <w:tc>
          <w:tcPr>
            <w:tcW w:w="1134" w:type="dxa"/>
            <w:tcBorders>
              <w:top w:val="single" w:sz="12" w:space="0" w:color="auto"/>
              <w:left w:val="nil"/>
              <w:right w:val="nil"/>
            </w:tcBorders>
            <w:vAlign w:val="center"/>
          </w:tcPr>
          <w:p w14:paraId="0103AE5D" w14:textId="1C43D677" w:rsidR="00E80470" w:rsidRPr="0067542D" w:rsidRDefault="00E80470" w:rsidP="00A50197">
            <w:pPr>
              <w:jc w:val="center"/>
              <w:rPr>
                <w:rFonts w:cstheme="minorHAnsi"/>
                <w:b/>
                <w:sz w:val="20"/>
                <w:szCs w:val="20"/>
              </w:rPr>
            </w:pPr>
            <w:r w:rsidRPr="0067542D">
              <w:rPr>
                <w:rFonts w:cstheme="minorHAnsi"/>
                <w:b/>
                <w:sz w:val="20"/>
                <w:szCs w:val="20"/>
              </w:rPr>
              <w:t>Meta-Analysis</w:t>
            </w:r>
            <w:r>
              <w:rPr>
                <w:rFonts w:cstheme="minorHAnsi"/>
                <w:b/>
                <w:sz w:val="20"/>
                <w:szCs w:val="20"/>
              </w:rPr>
              <w:t xml:space="preserve"> (MA</w:t>
            </w:r>
            <w:bookmarkStart w:id="0" w:name="_GoBack"/>
            <w:r w:rsidR="00A50197">
              <w:rPr>
                <w:rFonts w:cstheme="minorHAnsi"/>
                <w:b/>
                <w:sz w:val="20"/>
                <w:szCs w:val="20"/>
              </w:rPr>
              <w:t>), and</w:t>
            </w:r>
            <w:bookmarkEnd w:id="0"/>
            <w:r>
              <w:rPr>
                <w:rFonts w:cstheme="minorHAnsi"/>
                <w:b/>
                <w:sz w:val="20"/>
                <w:szCs w:val="20"/>
              </w:rPr>
              <w:t xml:space="preserve">/or Systematic Review (SR) </w:t>
            </w:r>
          </w:p>
        </w:tc>
        <w:tc>
          <w:tcPr>
            <w:tcW w:w="2151" w:type="dxa"/>
            <w:tcBorders>
              <w:top w:val="single" w:sz="12" w:space="0" w:color="auto"/>
              <w:left w:val="nil"/>
              <w:right w:val="nil"/>
            </w:tcBorders>
            <w:vAlign w:val="center"/>
          </w:tcPr>
          <w:p w14:paraId="509F020C" w14:textId="46BDF8EE" w:rsidR="00E80470" w:rsidRPr="0067542D" w:rsidRDefault="00E80470" w:rsidP="0067542D">
            <w:pPr>
              <w:jc w:val="center"/>
              <w:rPr>
                <w:rFonts w:cstheme="minorHAnsi"/>
                <w:b/>
                <w:sz w:val="20"/>
                <w:szCs w:val="20"/>
              </w:rPr>
            </w:pPr>
            <w:r w:rsidRPr="0067542D">
              <w:rPr>
                <w:rFonts w:cstheme="minorHAnsi"/>
                <w:b/>
                <w:sz w:val="20"/>
                <w:szCs w:val="20"/>
              </w:rPr>
              <w:t>Country</w:t>
            </w:r>
          </w:p>
        </w:tc>
        <w:tc>
          <w:tcPr>
            <w:tcW w:w="1139" w:type="dxa"/>
            <w:tcBorders>
              <w:top w:val="single" w:sz="12" w:space="0" w:color="auto"/>
              <w:left w:val="nil"/>
              <w:right w:val="nil"/>
            </w:tcBorders>
            <w:vAlign w:val="center"/>
          </w:tcPr>
          <w:p w14:paraId="165A5286" w14:textId="2BB7581D" w:rsidR="00E80470" w:rsidRPr="0067542D" w:rsidRDefault="00E80470" w:rsidP="0067542D">
            <w:pPr>
              <w:jc w:val="center"/>
              <w:rPr>
                <w:rFonts w:cstheme="minorHAnsi"/>
                <w:b/>
                <w:sz w:val="20"/>
                <w:szCs w:val="20"/>
              </w:rPr>
            </w:pPr>
            <w:r w:rsidRPr="0067542D">
              <w:rPr>
                <w:rFonts w:cstheme="minorHAnsi"/>
                <w:b/>
                <w:sz w:val="20"/>
                <w:szCs w:val="20"/>
              </w:rPr>
              <w:t xml:space="preserve">Number </w:t>
            </w:r>
            <w:r>
              <w:rPr>
                <w:rFonts w:cstheme="minorHAnsi"/>
                <w:b/>
                <w:sz w:val="20"/>
                <w:szCs w:val="20"/>
              </w:rPr>
              <w:t>o</w:t>
            </w:r>
            <w:r w:rsidRPr="0067542D">
              <w:rPr>
                <w:rFonts w:cstheme="minorHAnsi"/>
                <w:b/>
                <w:sz w:val="20"/>
                <w:szCs w:val="20"/>
              </w:rPr>
              <w:t>f Summary Statistics</w:t>
            </w:r>
          </w:p>
          <w:p w14:paraId="7F1E6BE2" w14:textId="77777777" w:rsidR="00E80470" w:rsidRPr="0067542D" w:rsidRDefault="00E80470" w:rsidP="0067542D">
            <w:pPr>
              <w:jc w:val="center"/>
              <w:rPr>
                <w:rFonts w:cstheme="minorHAnsi"/>
                <w:b/>
                <w:sz w:val="20"/>
                <w:szCs w:val="20"/>
              </w:rPr>
            </w:pPr>
          </w:p>
        </w:tc>
        <w:tc>
          <w:tcPr>
            <w:tcW w:w="3314" w:type="dxa"/>
            <w:tcBorders>
              <w:top w:val="single" w:sz="12" w:space="0" w:color="auto"/>
              <w:left w:val="nil"/>
              <w:right w:val="nil"/>
            </w:tcBorders>
            <w:vAlign w:val="center"/>
          </w:tcPr>
          <w:p w14:paraId="4D1DC206" w14:textId="5C159462" w:rsidR="00E80470" w:rsidRPr="0067542D" w:rsidRDefault="00E80470" w:rsidP="0067542D">
            <w:pPr>
              <w:jc w:val="center"/>
              <w:rPr>
                <w:rFonts w:cstheme="minorHAnsi"/>
                <w:b/>
                <w:sz w:val="20"/>
                <w:szCs w:val="20"/>
              </w:rPr>
            </w:pPr>
            <w:r w:rsidRPr="0067542D">
              <w:rPr>
                <w:rFonts w:cstheme="minorHAnsi"/>
                <w:b/>
                <w:sz w:val="20"/>
                <w:szCs w:val="20"/>
              </w:rPr>
              <w:t>Pooled Estimate Data</w:t>
            </w:r>
          </w:p>
        </w:tc>
        <w:tc>
          <w:tcPr>
            <w:tcW w:w="992" w:type="dxa"/>
            <w:tcBorders>
              <w:top w:val="single" w:sz="12" w:space="0" w:color="auto"/>
              <w:left w:val="nil"/>
              <w:right w:val="nil"/>
            </w:tcBorders>
            <w:vAlign w:val="center"/>
          </w:tcPr>
          <w:p w14:paraId="71CA1EDA" w14:textId="59CC1E2C" w:rsidR="00E80470" w:rsidRPr="0067542D" w:rsidRDefault="00E80470" w:rsidP="0067542D">
            <w:pPr>
              <w:jc w:val="center"/>
              <w:rPr>
                <w:rFonts w:cstheme="minorHAnsi"/>
                <w:b/>
                <w:sz w:val="20"/>
                <w:szCs w:val="20"/>
              </w:rPr>
            </w:pPr>
            <w:r w:rsidRPr="0067542D">
              <w:rPr>
                <w:rFonts w:cstheme="minorHAnsi"/>
                <w:b/>
                <w:sz w:val="20"/>
                <w:szCs w:val="20"/>
              </w:rPr>
              <w:t>Age Range</w:t>
            </w:r>
          </w:p>
          <w:p w14:paraId="3D7C93F8" w14:textId="77777777" w:rsidR="00E80470" w:rsidRPr="0067542D" w:rsidRDefault="00E80470" w:rsidP="0067542D">
            <w:pPr>
              <w:jc w:val="center"/>
              <w:rPr>
                <w:rFonts w:cstheme="minorHAnsi"/>
                <w:b/>
                <w:sz w:val="20"/>
                <w:szCs w:val="20"/>
              </w:rPr>
            </w:pPr>
          </w:p>
        </w:tc>
        <w:tc>
          <w:tcPr>
            <w:tcW w:w="2552" w:type="dxa"/>
            <w:tcBorders>
              <w:top w:val="single" w:sz="12" w:space="0" w:color="auto"/>
              <w:left w:val="nil"/>
              <w:right w:val="nil"/>
            </w:tcBorders>
            <w:vAlign w:val="center"/>
          </w:tcPr>
          <w:p w14:paraId="5C5ABFC4" w14:textId="7E802639" w:rsidR="00E80470" w:rsidRPr="0067542D" w:rsidRDefault="00E80470" w:rsidP="0067542D">
            <w:pPr>
              <w:jc w:val="center"/>
              <w:rPr>
                <w:rFonts w:cstheme="minorHAnsi"/>
                <w:b/>
                <w:sz w:val="20"/>
                <w:szCs w:val="20"/>
              </w:rPr>
            </w:pPr>
            <w:r w:rsidRPr="0067542D">
              <w:rPr>
                <w:rFonts w:cstheme="minorHAnsi"/>
                <w:b/>
                <w:sz w:val="20"/>
                <w:szCs w:val="20"/>
              </w:rPr>
              <w:t>Quality Assessment</w:t>
            </w:r>
            <w:r>
              <w:rPr>
                <w:rFonts w:cstheme="minorHAnsi"/>
                <w:b/>
                <w:sz w:val="20"/>
                <w:szCs w:val="20"/>
              </w:rPr>
              <w:t xml:space="preserve"> Tools / Results</w:t>
            </w:r>
          </w:p>
          <w:p w14:paraId="372A527B" w14:textId="103AAC2A" w:rsidR="00E80470" w:rsidRPr="0067542D" w:rsidRDefault="00E80470" w:rsidP="0067542D">
            <w:pPr>
              <w:jc w:val="center"/>
              <w:rPr>
                <w:rFonts w:cstheme="minorHAnsi"/>
                <w:b/>
                <w:sz w:val="20"/>
                <w:szCs w:val="20"/>
              </w:rPr>
            </w:pPr>
          </w:p>
        </w:tc>
        <w:tc>
          <w:tcPr>
            <w:tcW w:w="1417" w:type="dxa"/>
            <w:tcBorders>
              <w:top w:val="single" w:sz="12" w:space="0" w:color="auto"/>
              <w:left w:val="nil"/>
              <w:right w:val="nil"/>
            </w:tcBorders>
          </w:tcPr>
          <w:p w14:paraId="225FE9D0" w14:textId="77777777" w:rsidR="00E80470" w:rsidRDefault="00E80470" w:rsidP="0067542D">
            <w:pPr>
              <w:jc w:val="center"/>
              <w:rPr>
                <w:rFonts w:cstheme="minorHAnsi"/>
                <w:b/>
                <w:sz w:val="20"/>
                <w:szCs w:val="20"/>
              </w:rPr>
            </w:pPr>
          </w:p>
          <w:p w14:paraId="2502F06A" w14:textId="77777777" w:rsidR="00E80470" w:rsidRDefault="00E80470" w:rsidP="0067542D">
            <w:pPr>
              <w:jc w:val="center"/>
              <w:rPr>
                <w:rFonts w:cstheme="minorHAnsi"/>
                <w:b/>
                <w:sz w:val="20"/>
                <w:szCs w:val="20"/>
              </w:rPr>
            </w:pPr>
          </w:p>
          <w:p w14:paraId="00187AC6" w14:textId="4F410C68" w:rsidR="00E80470" w:rsidRDefault="00024B88" w:rsidP="0067542D">
            <w:pPr>
              <w:jc w:val="center"/>
              <w:rPr>
                <w:rFonts w:cstheme="minorHAnsi"/>
                <w:b/>
                <w:sz w:val="20"/>
                <w:szCs w:val="20"/>
              </w:rPr>
            </w:pPr>
            <w:r>
              <w:rPr>
                <w:rFonts w:cstheme="minorHAnsi"/>
                <w:b/>
                <w:sz w:val="20"/>
                <w:szCs w:val="20"/>
              </w:rPr>
              <w:t>EQUATOR Network</w:t>
            </w:r>
            <w:r w:rsidR="00E80470">
              <w:rPr>
                <w:rFonts w:cstheme="minorHAnsi"/>
                <w:b/>
                <w:sz w:val="20"/>
                <w:szCs w:val="20"/>
              </w:rPr>
              <w:t xml:space="preserve"> guideline followed?      </w:t>
            </w:r>
          </w:p>
          <w:p w14:paraId="6DB1224A" w14:textId="77777777" w:rsidR="00E80470" w:rsidRDefault="00E80470" w:rsidP="0067542D">
            <w:pPr>
              <w:jc w:val="center"/>
              <w:rPr>
                <w:rFonts w:cstheme="minorHAnsi"/>
                <w:b/>
                <w:sz w:val="11"/>
                <w:szCs w:val="20"/>
              </w:rPr>
            </w:pPr>
          </w:p>
          <w:p w14:paraId="49799566" w14:textId="77777777" w:rsidR="00E80470" w:rsidRDefault="00E80470" w:rsidP="0067542D">
            <w:pPr>
              <w:jc w:val="center"/>
              <w:rPr>
                <w:rFonts w:cstheme="minorHAnsi"/>
                <w:b/>
                <w:sz w:val="11"/>
                <w:szCs w:val="20"/>
              </w:rPr>
            </w:pPr>
          </w:p>
          <w:p w14:paraId="3174BFEC" w14:textId="60622230" w:rsidR="00E80470" w:rsidRPr="00A50197" w:rsidRDefault="00E80470" w:rsidP="0067542D">
            <w:pPr>
              <w:jc w:val="center"/>
              <w:rPr>
                <w:rFonts w:cstheme="minorHAnsi"/>
                <w:b/>
                <w:sz w:val="16"/>
                <w:szCs w:val="16"/>
              </w:rPr>
            </w:pPr>
          </w:p>
        </w:tc>
        <w:tc>
          <w:tcPr>
            <w:tcW w:w="1276" w:type="dxa"/>
            <w:tcBorders>
              <w:top w:val="single" w:sz="12" w:space="0" w:color="auto"/>
              <w:left w:val="nil"/>
              <w:right w:val="nil"/>
            </w:tcBorders>
            <w:vAlign w:val="center"/>
          </w:tcPr>
          <w:p w14:paraId="04715A06" w14:textId="1DADD944" w:rsidR="00E80470" w:rsidRPr="0067542D" w:rsidRDefault="00E80470" w:rsidP="0067542D">
            <w:pPr>
              <w:jc w:val="center"/>
              <w:rPr>
                <w:rFonts w:cstheme="minorHAnsi"/>
                <w:b/>
                <w:sz w:val="20"/>
                <w:szCs w:val="20"/>
              </w:rPr>
            </w:pPr>
            <w:r>
              <w:rPr>
                <w:rFonts w:cstheme="minorHAnsi"/>
                <w:b/>
                <w:sz w:val="20"/>
                <w:szCs w:val="20"/>
              </w:rPr>
              <w:t xml:space="preserve">Overall </w:t>
            </w:r>
            <w:r w:rsidRPr="0067542D">
              <w:rPr>
                <w:rFonts w:cstheme="minorHAnsi"/>
                <w:b/>
                <w:sz w:val="20"/>
                <w:szCs w:val="20"/>
              </w:rPr>
              <w:t>Quality Assessment Rating</w:t>
            </w:r>
          </w:p>
          <w:p w14:paraId="6F456EAD" w14:textId="77777777" w:rsidR="00E80470" w:rsidRPr="0067542D" w:rsidRDefault="00E80470" w:rsidP="0067542D">
            <w:pPr>
              <w:jc w:val="center"/>
              <w:rPr>
                <w:rFonts w:cstheme="minorHAnsi"/>
                <w:b/>
                <w:sz w:val="20"/>
                <w:szCs w:val="20"/>
              </w:rPr>
            </w:pPr>
          </w:p>
        </w:tc>
      </w:tr>
      <w:tr w:rsidR="00E80470" w:rsidRPr="0067542D" w14:paraId="361C27CC" w14:textId="02594C3B" w:rsidTr="00626D84">
        <w:trPr>
          <w:gridAfter w:val="1"/>
          <w:wAfter w:w="30" w:type="dxa"/>
          <w:jc w:val="center"/>
        </w:trPr>
        <w:tc>
          <w:tcPr>
            <w:tcW w:w="1218" w:type="dxa"/>
            <w:tcBorders>
              <w:left w:val="nil"/>
              <w:right w:val="nil"/>
            </w:tcBorders>
            <w:vAlign w:val="center"/>
          </w:tcPr>
          <w:p w14:paraId="6ED0D56B" w14:textId="16D8E912" w:rsidR="00E80470" w:rsidRPr="0067542D" w:rsidRDefault="00E80470" w:rsidP="0067542D">
            <w:pPr>
              <w:jc w:val="center"/>
              <w:rPr>
                <w:rFonts w:cstheme="minorHAnsi"/>
                <w:sz w:val="20"/>
                <w:szCs w:val="20"/>
              </w:rPr>
            </w:pPr>
            <w:r w:rsidRPr="0067542D">
              <w:rPr>
                <w:rFonts w:cstheme="minorHAnsi"/>
                <w:sz w:val="20"/>
                <w:szCs w:val="20"/>
              </w:rPr>
              <w:t>Alvarez-Bueno</w:t>
            </w:r>
            <w:r>
              <w:rPr>
                <w:rFonts w:cstheme="minorHAnsi"/>
                <w:sz w:val="20"/>
                <w:szCs w:val="20"/>
              </w:rPr>
              <w:t xml:space="preserve"> et al., 2017</w:t>
            </w:r>
            <w:r w:rsidRPr="001E2E0A">
              <w:rPr>
                <w:rFonts w:cstheme="minorHAnsi"/>
                <w:sz w:val="20"/>
                <w:szCs w:val="20"/>
                <w:vertAlign w:val="superscript"/>
              </w:rPr>
              <w:t>2</w:t>
            </w:r>
            <w:r w:rsidR="009F36BF">
              <w:rPr>
                <w:rFonts w:cstheme="minorHAnsi"/>
                <w:sz w:val="20"/>
                <w:szCs w:val="20"/>
                <w:vertAlign w:val="superscript"/>
              </w:rPr>
              <w:t>3</w:t>
            </w:r>
          </w:p>
        </w:tc>
        <w:tc>
          <w:tcPr>
            <w:tcW w:w="1134" w:type="dxa"/>
            <w:tcBorders>
              <w:left w:val="nil"/>
              <w:right w:val="nil"/>
            </w:tcBorders>
            <w:vAlign w:val="center"/>
          </w:tcPr>
          <w:p w14:paraId="3ACBCDFC" w14:textId="7D6833A2" w:rsidR="00E80470" w:rsidRPr="0067542D" w:rsidRDefault="00E80470"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5942053D" w14:textId="0544C87B" w:rsidR="00E80470" w:rsidRPr="0067542D" w:rsidRDefault="00E80470" w:rsidP="0067542D">
            <w:pPr>
              <w:jc w:val="center"/>
              <w:rPr>
                <w:rFonts w:cstheme="minorHAnsi"/>
                <w:sz w:val="20"/>
                <w:szCs w:val="20"/>
              </w:rPr>
            </w:pPr>
            <w:r w:rsidRPr="0067542D">
              <w:rPr>
                <w:rFonts w:cstheme="minorHAnsi"/>
                <w:sz w:val="20"/>
                <w:szCs w:val="20"/>
              </w:rPr>
              <w:t>UK (2), Denmark (1), Netherlands (2), Spain (2), Greece (2), USA (5), Poland (1)</w:t>
            </w:r>
          </w:p>
        </w:tc>
        <w:tc>
          <w:tcPr>
            <w:tcW w:w="1139" w:type="dxa"/>
            <w:tcBorders>
              <w:left w:val="nil"/>
              <w:right w:val="nil"/>
            </w:tcBorders>
            <w:vAlign w:val="center"/>
          </w:tcPr>
          <w:p w14:paraId="54CFDA50" w14:textId="0E5751AA" w:rsidR="00E80470" w:rsidRPr="0067542D" w:rsidRDefault="00E80470" w:rsidP="0067542D">
            <w:pPr>
              <w:jc w:val="center"/>
              <w:rPr>
                <w:rFonts w:cstheme="minorHAnsi"/>
                <w:sz w:val="20"/>
                <w:szCs w:val="20"/>
              </w:rPr>
            </w:pPr>
            <w:r w:rsidRPr="0067542D">
              <w:rPr>
                <w:rFonts w:cstheme="minorHAnsi"/>
                <w:sz w:val="20"/>
                <w:szCs w:val="20"/>
              </w:rPr>
              <w:t>2</w:t>
            </w:r>
          </w:p>
        </w:tc>
        <w:tc>
          <w:tcPr>
            <w:tcW w:w="3314" w:type="dxa"/>
            <w:tcBorders>
              <w:left w:val="nil"/>
              <w:right w:val="nil"/>
            </w:tcBorders>
            <w:vAlign w:val="center"/>
          </w:tcPr>
          <w:p w14:paraId="44F71125" w14:textId="6D04B447" w:rsidR="00E80470" w:rsidRPr="0067542D" w:rsidRDefault="00E80470" w:rsidP="0067542D">
            <w:pPr>
              <w:jc w:val="center"/>
              <w:rPr>
                <w:rFonts w:cstheme="minorHAnsi"/>
                <w:sz w:val="20"/>
                <w:szCs w:val="20"/>
              </w:rPr>
            </w:pPr>
            <w:r w:rsidRPr="0067542D">
              <w:rPr>
                <w:rFonts w:cstheme="minorHAnsi"/>
                <w:sz w:val="20"/>
                <w:szCs w:val="20"/>
              </w:rPr>
              <w:t>Odds ratio for pre</w:t>
            </w:r>
            <w:r w:rsidR="0071402B">
              <w:rPr>
                <w:rFonts w:cstheme="minorHAnsi"/>
                <w:sz w:val="20"/>
                <w:szCs w:val="20"/>
              </w:rPr>
              <w:t>-</w:t>
            </w:r>
            <w:r w:rsidRPr="0067542D">
              <w:rPr>
                <w:rFonts w:cstheme="minorHAnsi"/>
                <w:sz w:val="20"/>
                <w:szCs w:val="20"/>
              </w:rPr>
              <w:t xml:space="preserve">pregnancy overweight: -0.02 (95% CI: -0.05 to 0.02) </w:t>
            </w:r>
            <w:r w:rsidRPr="0067542D">
              <w:rPr>
                <w:rFonts w:cstheme="minorHAnsi"/>
                <w:sz w:val="20"/>
                <w:szCs w:val="20"/>
              </w:rPr>
              <w:br/>
              <w:t>Odds ratio for obese mothers: -0.06 (95% CI: -0.09 to -0.03)</w:t>
            </w:r>
          </w:p>
        </w:tc>
        <w:tc>
          <w:tcPr>
            <w:tcW w:w="992" w:type="dxa"/>
            <w:tcBorders>
              <w:left w:val="nil"/>
              <w:right w:val="nil"/>
            </w:tcBorders>
            <w:vAlign w:val="center"/>
          </w:tcPr>
          <w:p w14:paraId="66F79537" w14:textId="0A018B54" w:rsidR="00E80470" w:rsidRPr="0067542D" w:rsidRDefault="00E80470" w:rsidP="0067542D">
            <w:pPr>
              <w:jc w:val="center"/>
              <w:rPr>
                <w:rFonts w:cstheme="minorHAnsi"/>
                <w:sz w:val="20"/>
                <w:szCs w:val="20"/>
              </w:rPr>
            </w:pPr>
            <w:r w:rsidRPr="0067542D">
              <w:rPr>
                <w:rFonts w:cstheme="minorHAnsi"/>
                <w:sz w:val="20"/>
                <w:szCs w:val="20"/>
              </w:rPr>
              <w:t>6 months to 14 years</w:t>
            </w:r>
          </w:p>
        </w:tc>
        <w:tc>
          <w:tcPr>
            <w:tcW w:w="2552" w:type="dxa"/>
            <w:tcBorders>
              <w:left w:val="nil"/>
              <w:right w:val="nil"/>
            </w:tcBorders>
            <w:vAlign w:val="center"/>
          </w:tcPr>
          <w:p w14:paraId="577C6A25" w14:textId="54F73556" w:rsidR="00E80470" w:rsidRPr="0067542D" w:rsidRDefault="00E80470" w:rsidP="0067542D">
            <w:pPr>
              <w:jc w:val="center"/>
              <w:rPr>
                <w:rFonts w:cstheme="minorHAnsi"/>
                <w:sz w:val="20"/>
                <w:szCs w:val="20"/>
              </w:rPr>
            </w:pPr>
            <w:r w:rsidRPr="0067542D">
              <w:rPr>
                <w:rFonts w:cstheme="minorHAnsi"/>
                <w:sz w:val="20"/>
                <w:szCs w:val="20"/>
              </w:rPr>
              <w:t>Studies met 57.58% to 84.84% of the quality criteria, as assessed by the Quality of Reporting of Observational Longitudinal Research instrument</w:t>
            </w:r>
          </w:p>
        </w:tc>
        <w:tc>
          <w:tcPr>
            <w:tcW w:w="1417" w:type="dxa"/>
            <w:tcBorders>
              <w:left w:val="nil"/>
              <w:right w:val="nil"/>
            </w:tcBorders>
            <w:vAlign w:val="center"/>
          </w:tcPr>
          <w:p w14:paraId="2B442227" w14:textId="4BE56C27" w:rsidR="00E80470" w:rsidRPr="0067542D" w:rsidRDefault="00B372CF" w:rsidP="00F629DF">
            <w:pPr>
              <w:jc w:val="center"/>
              <w:rPr>
                <w:rFonts w:cstheme="minorHAnsi"/>
                <w:sz w:val="20"/>
                <w:szCs w:val="20"/>
              </w:rPr>
            </w:pPr>
            <w:r>
              <w:rPr>
                <w:rFonts w:cstheme="minorHAnsi"/>
                <w:sz w:val="20"/>
                <w:szCs w:val="20"/>
              </w:rPr>
              <w:t xml:space="preserve">MOOSE guidelines and Cochrane </w:t>
            </w:r>
            <w:r w:rsidR="00D42408">
              <w:rPr>
                <w:rFonts w:cstheme="minorHAnsi"/>
                <w:sz w:val="20"/>
                <w:szCs w:val="20"/>
              </w:rPr>
              <w:t>Collaboration Handbook</w:t>
            </w:r>
            <w:r>
              <w:rPr>
                <w:rFonts w:cstheme="minorHAnsi"/>
                <w:sz w:val="20"/>
                <w:szCs w:val="20"/>
              </w:rPr>
              <w:t xml:space="preserve"> followed. </w:t>
            </w:r>
            <w:r w:rsidR="00E80470">
              <w:rPr>
                <w:rFonts w:cstheme="minorHAnsi"/>
                <w:sz w:val="20"/>
                <w:szCs w:val="20"/>
              </w:rPr>
              <w:t>Only use of PRISMA flowchart specified</w:t>
            </w:r>
          </w:p>
        </w:tc>
        <w:tc>
          <w:tcPr>
            <w:tcW w:w="1276" w:type="dxa"/>
            <w:tcBorders>
              <w:left w:val="nil"/>
              <w:right w:val="nil"/>
            </w:tcBorders>
            <w:vAlign w:val="center"/>
          </w:tcPr>
          <w:p w14:paraId="4324566B" w14:textId="66F39FBE" w:rsidR="00E80470" w:rsidRPr="0067542D" w:rsidRDefault="00E80470" w:rsidP="0067542D">
            <w:pPr>
              <w:jc w:val="center"/>
              <w:rPr>
                <w:rFonts w:cstheme="minorHAnsi"/>
                <w:sz w:val="20"/>
                <w:szCs w:val="20"/>
              </w:rPr>
            </w:pPr>
            <w:r w:rsidRPr="0067542D">
              <w:rPr>
                <w:rFonts w:cstheme="minorHAnsi"/>
                <w:sz w:val="20"/>
                <w:szCs w:val="20"/>
              </w:rPr>
              <w:t>high</w:t>
            </w:r>
          </w:p>
        </w:tc>
      </w:tr>
      <w:tr w:rsidR="00E80470" w:rsidRPr="0067542D" w14:paraId="7E957713" w14:textId="1DD44907" w:rsidTr="00626D84">
        <w:trPr>
          <w:gridAfter w:val="1"/>
          <w:wAfter w:w="30" w:type="dxa"/>
          <w:jc w:val="center"/>
        </w:trPr>
        <w:tc>
          <w:tcPr>
            <w:tcW w:w="1218" w:type="dxa"/>
            <w:tcBorders>
              <w:left w:val="nil"/>
              <w:right w:val="nil"/>
            </w:tcBorders>
            <w:vAlign w:val="center"/>
          </w:tcPr>
          <w:p w14:paraId="51240DC9" w14:textId="31D82268" w:rsidR="00E80470" w:rsidRPr="0067542D" w:rsidRDefault="00E80470" w:rsidP="0067542D">
            <w:pPr>
              <w:jc w:val="center"/>
              <w:rPr>
                <w:rFonts w:cstheme="minorHAnsi"/>
                <w:sz w:val="20"/>
                <w:szCs w:val="20"/>
              </w:rPr>
            </w:pPr>
            <w:r w:rsidRPr="0067542D">
              <w:rPr>
                <w:rFonts w:cstheme="minorHAnsi"/>
                <w:sz w:val="20"/>
                <w:szCs w:val="20"/>
              </w:rPr>
              <w:t>Andersson</w:t>
            </w:r>
            <w:r>
              <w:rPr>
                <w:rFonts w:cstheme="minorHAnsi"/>
                <w:sz w:val="20"/>
                <w:szCs w:val="20"/>
              </w:rPr>
              <w:t xml:space="preserve"> et al.</w:t>
            </w:r>
            <w:r w:rsidRPr="0067542D">
              <w:rPr>
                <w:rFonts w:cstheme="minorHAnsi"/>
                <w:sz w:val="20"/>
                <w:szCs w:val="20"/>
              </w:rPr>
              <w:t>,</w:t>
            </w:r>
          </w:p>
          <w:p w14:paraId="712F7EF8" w14:textId="6CBD4B54" w:rsidR="00E80470" w:rsidRPr="0067542D" w:rsidRDefault="00E80470" w:rsidP="0067542D">
            <w:pPr>
              <w:jc w:val="center"/>
              <w:rPr>
                <w:rFonts w:cstheme="minorHAnsi"/>
                <w:sz w:val="20"/>
                <w:szCs w:val="20"/>
              </w:rPr>
            </w:pPr>
            <w:r>
              <w:rPr>
                <w:rFonts w:cstheme="minorHAnsi"/>
                <w:sz w:val="20"/>
                <w:szCs w:val="20"/>
              </w:rPr>
              <w:t>2016</w:t>
            </w:r>
            <w:r w:rsidRPr="00EE74F9">
              <w:rPr>
                <w:rFonts w:cstheme="minorHAnsi"/>
                <w:sz w:val="20"/>
                <w:szCs w:val="20"/>
                <w:vertAlign w:val="superscript"/>
              </w:rPr>
              <w:t>2</w:t>
            </w:r>
            <w:r w:rsidR="009F36BF">
              <w:rPr>
                <w:rFonts w:cstheme="minorHAnsi"/>
                <w:sz w:val="20"/>
                <w:szCs w:val="20"/>
                <w:vertAlign w:val="superscript"/>
              </w:rPr>
              <w:t>4</w:t>
            </w:r>
          </w:p>
        </w:tc>
        <w:tc>
          <w:tcPr>
            <w:tcW w:w="1134" w:type="dxa"/>
            <w:tcBorders>
              <w:left w:val="nil"/>
              <w:right w:val="nil"/>
            </w:tcBorders>
            <w:vAlign w:val="center"/>
          </w:tcPr>
          <w:p w14:paraId="0F6DB2AC" w14:textId="2191CF54" w:rsidR="00E80470" w:rsidRPr="0067542D" w:rsidRDefault="00E80470"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5CEC1BCE" w14:textId="37A9FD78" w:rsidR="00E80470" w:rsidRPr="0067542D" w:rsidRDefault="00E80470" w:rsidP="0067542D">
            <w:pPr>
              <w:jc w:val="center"/>
              <w:rPr>
                <w:rFonts w:cstheme="minorHAnsi"/>
                <w:sz w:val="20"/>
                <w:szCs w:val="20"/>
              </w:rPr>
            </w:pPr>
            <w:r w:rsidRPr="0067542D">
              <w:rPr>
                <w:rFonts w:cstheme="minorHAnsi"/>
                <w:sz w:val="20"/>
                <w:szCs w:val="20"/>
              </w:rPr>
              <w:t xml:space="preserve">Italy (1), </w:t>
            </w:r>
            <w:proofErr w:type="spellStart"/>
            <w:r w:rsidRPr="0067542D">
              <w:rPr>
                <w:rFonts w:cstheme="minorHAnsi"/>
                <w:sz w:val="20"/>
                <w:szCs w:val="20"/>
              </w:rPr>
              <w:t>Austrailia</w:t>
            </w:r>
            <w:proofErr w:type="spellEnd"/>
            <w:r w:rsidRPr="0067542D">
              <w:rPr>
                <w:rFonts w:cstheme="minorHAnsi"/>
                <w:sz w:val="20"/>
                <w:szCs w:val="20"/>
              </w:rPr>
              <w:t xml:space="preserve"> (1), USA (4), UK (1), Netherlands (1), France (1), Sweden (2), Germany (1), Denmark (1),Taiwan (3)</w:t>
            </w:r>
          </w:p>
        </w:tc>
        <w:tc>
          <w:tcPr>
            <w:tcW w:w="1139" w:type="dxa"/>
            <w:tcBorders>
              <w:left w:val="nil"/>
              <w:right w:val="nil"/>
            </w:tcBorders>
            <w:vAlign w:val="center"/>
          </w:tcPr>
          <w:p w14:paraId="68F38533" w14:textId="46E49B0F" w:rsidR="00E80470" w:rsidRPr="0067542D" w:rsidRDefault="00E80470" w:rsidP="0067542D">
            <w:pPr>
              <w:jc w:val="center"/>
              <w:rPr>
                <w:rFonts w:cstheme="minorHAnsi"/>
                <w:sz w:val="20"/>
                <w:szCs w:val="20"/>
              </w:rPr>
            </w:pPr>
            <w:r w:rsidRPr="0067542D">
              <w:rPr>
                <w:rFonts w:cstheme="minorHAnsi"/>
                <w:sz w:val="20"/>
                <w:szCs w:val="20"/>
              </w:rPr>
              <w:t>ranges reported</w:t>
            </w:r>
          </w:p>
        </w:tc>
        <w:tc>
          <w:tcPr>
            <w:tcW w:w="3314" w:type="dxa"/>
            <w:tcBorders>
              <w:left w:val="nil"/>
              <w:right w:val="nil"/>
            </w:tcBorders>
            <w:vAlign w:val="center"/>
          </w:tcPr>
          <w:p w14:paraId="6149EDC9" w14:textId="09D50184"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27AEB34A" w14:textId="784ABD60" w:rsidR="00E80470" w:rsidRPr="0067542D" w:rsidRDefault="00E80470" w:rsidP="0067542D">
            <w:pPr>
              <w:jc w:val="center"/>
              <w:rPr>
                <w:rFonts w:cstheme="minorHAnsi"/>
                <w:sz w:val="20"/>
                <w:szCs w:val="20"/>
              </w:rPr>
            </w:pPr>
            <w:r w:rsidRPr="0067542D">
              <w:rPr>
                <w:rFonts w:cstheme="minorHAnsi"/>
                <w:sz w:val="20"/>
                <w:szCs w:val="20"/>
              </w:rPr>
              <w:t>0 to 14 years</w:t>
            </w:r>
          </w:p>
        </w:tc>
        <w:tc>
          <w:tcPr>
            <w:tcW w:w="2552" w:type="dxa"/>
            <w:tcBorders>
              <w:left w:val="nil"/>
              <w:right w:val="nil"/>
            </w:tcBorders>
            <w:vAlign w:val="center"/>
          </w:tcPr>
          <w:p w14:paraId="4BC411B1" w14:textId="6F166024" w:rsidR="00E80470" w:rsidRPr="0067542D" w:rsidRDefault="00E80470" w:rsidP="0067542D">
            <w:pPr>
              <w:jc w:val="center"/>
              <w:rPr>
                <w:rFonts w:cstheme="minorHAnsi"/>
                <w:sz w:val="20"/>
                <w:szCs w:val="20"/>
              </w:rPr>
            </w:pPr>
            <w:r w:rsidRPr="0067542D">
              <w:rPr>
                <w:rFonts w:cstheme="minorHAnsi"/>
                <w:sz w:val="20"/>
                <w:szCs w:val="20"/>
              </w:rPr>
              <w:t xml:space="preserve">Performed: made own ranking </w:t>
            </w:r>
            <w:r w:rsidRPr="0067542D">
              <w:rPr>
                <w:rFonts w:cstheme="minorHAnsi"/>
                <w:sz w:val="20"/>
                <w:szCs w:val="20"/>
              </w:rPr>
              <w:br/>
              <w:t>average: 5.8/10</w:t>
            </w:r>
          </w:p>
        </w:tc>
        <w:tc>
          <w:tcPr>
            <w:tcW w:w="1417" w:type="dxa"/>
            <w:tcBorders>
              <w:left w:val="nil"/>
              <w:right w:val="nil"/>
            </w:tcBorders>
            <w:vAlign w:val="center"/>
          </w:tcPr>
          <w:p w14:paraId="586CB676" w14:textId="3EF442E5" w:rsidR="00E80470" w:rsidRPr="0067542D" w:rsidRDefault="00E80470" w:rsidP="00F629DF">
            <w:pPr>
              <w:jc w:val="center"/>
              <w:rPr>
                <w:rFonts w:cstheme="minorHAnsi"/>
                <w:sz w:val="20"/>
                <w:szCs w:val="20"/>
              </w:rPr>
            </w:pPr>
            <w:r>
              <w:rPr>
                <w:rFonts w:cstheme="minorHAnsi"/>
                <w:sz w:val="20"/>
                <w:szCs w:val="20"/>
              </w:rPr>
              <w:t>Search performed according to PRISMA criteria</w:t>
            </w:r>
          </w:p>
        </w:tc>
        <w:tc>
          <w:tcPr>
            <w:tcW w:w="1276" w:type="dxa"/>
            <w:tcBorders>
              <w:left w:val="nil"/>
              <w:right w:val="nil"/>
            </w:tcBorders>
            <w:vAlign w:val="center"/>
          </w:tcPr>
          <w:p w14:paraId="7420EAD5" w14:textId="6FDEFBBF"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5F6391C7" w14:textId="1912A07A" w:rsidTr="00626D84">
        <w:trPr>
          <w:gridAfter w:val="1"/>
          <w:wAfter w:w="30" w:type="dxa"/>
          <w:jc w:val="center"/>
        </w:trPr>
        <w:tc>
          <w:tcPr>
            <w:tcW w:w="1218" w:type="dxa"/>
            <w:tcBorders>
              <w:left w:val="nil"/>
              <w:right w:val="nil"/>
            </w:tcBorders>
            <w:vAlign w:val="center"/>
          </w:tcPr>
          <w:p w14:paraId="47061C0C" w14:textId="04E4AE42" w:rsidR="00E80470" w:rsidRPr="0067542D" w:rsidRDefault="00E80470" w:rsidP="0067542D">
            <w:pPr>
              <w:jc w:val="center"/>
              <w:rPr>
                <w:rFonts w:cstheme="minorHAnsi"/>
                <w:sz w:val="20"/>
                <w:szCs w:val="20"/>
              </w:rPr>
            </w:pPr>
            <w:r w:rsidRPr="0067542D">
              <w:rPr>
                <w:rFonts w:cstheme="minorHAnsi"/>
                <w:sz w:val="20"/>
                <w:szCs w:val="20"/>
              </w:rPr>
              <w:t>Birks</w:t>
            </w:r>
            <w:r>
              <w:rPr>
                <w:rFonts w:cstheme="minorHAnsi"/>
                <w:sz w:val="20"/>
                <w:szCs w:val="20"/>
              </w:rPr>
              <w:t xml:space="preserve"> et al., 2016</w:t>
            </w:r>
            <w:r w:rsidRPr="00EE74F9">
              <w:rPr>
                <w:rFonts w:cstheme="minorHAnsi"/>
                <w:sz w:val="20"/>
                <w:szCs w:val="20"/>
                <w:vertAlign w:val="superscript"/>
              </w:rPr>
              <w:t>2</w:t>
            </w:r>
            <w:r w:rsidR="009F36BF">
              <w:rPr>
                <w:rFonts w:cstheme="minorHAnsi"/>
                <w:sz w:val="20"/>
                <w:szCs w:val="20"/>
                <w:vertAlign w:val="superscript"/>
              </w:rPr>
              <w:t>5</w:t>
            </w:r>
          </w:p>
        </w:tc>
        <w:tc>
          <w:tcPr>
            <w:tcW w:w="1134" w:type="dxa"/>
            <w:tcBorders>
              <w:left w:val="nil"/>
              <w:right w:val="nil"/>
            </w:tcBorders>
            <w:vAlign w:val="center"/>
          </w:tcPr>
          <w:p w14:paraId="17391432" w14:textId="71CB9E8E" w:rsidR="00E80470" w:rsidRPr="0067542D" w:rsidRDefault="00F629DF"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46C1FD5B" w14:textId="7E6C2E4C" w:rsidR="00E80470" w:rsidRPr="0067542D" w:rsidRDefault="00E80470" w:rsidP="0067542D">
            <w:pPr>
              <w:jc w:val="center"/>
              <w:rPr>
                <w:rFonts w:cstheme="minorHAnsi"/>
                <w:sz w:val="20"/>
                <w:szCs w:val="20"/>
              </w:rPr>
            </w:pPr>
            <w:r w:rsidRPr="0067542D">
              <w:rPr>
                <w:rFonts w:cstheme="minorHAnsi"/>
                <w:sz w:val="20"/>
                <w:szCs w:val="20"/>
              </w:rPr>
              <w:t>Netherlands (2), Sweden (1), Denmark (1), Portugal (1), Spain(2), Lithuania (1), Norway (1), Italy (1), France (1), Poland (1), Greece (1)</w:t>
            </w:r>
          </w:p>
        </w:tc>
        <w:tc>
          <w:tcPr>
            <w:tcW w:w="1139" w:type="dxa"/>
            <w:tcBorders>
              <w:left w:val="nil"/>
              <w:right w:val="nil"/>
            </w:tcBorders>
            <w:vAlign w:val="center"/>
          </w:tcPr>
          <w:p w14:paraId="1B215784" w14:textId="4B1D6B8C" w:rsidR="00E80470" w:rsidRPr="0067542D" w:rsidRDefault="00E80470" w:rsidP="0067542D">
            <w:pPr>
              <w:jc w:val="center"/>
              <w:rPr>
                <w:rFonts w:cstheme="minorHAnsi"/>
                <w:sz w:val="20"/>
                <w:szCs w:val="20"/>
              </w:rPr>
            </w:pPr>
            <w:r w:rsidRPr="0067542D">
              <w:rPr>
                <w:rFonts w:cstheme="minorHAnsi"/>
                <w:sz w:val="20"/>
                <w:szCs w:val="20"/>
              </w:rPr>
              <w:t>1</w:t>
            </w:r>
          </w:p>
        </w:tc>
        <w:tc>
          <w:tcPr>
            <w:tcW w:w="3314" w:type="dxa"/>
            <w:tcBorders>
              <w:left w:val="nil"/>
              <w:right w:val="nil"/>
            </w:tcBorders>
            <w:vAlign w:val="center"/>
          </w:tcPr>
          <w:p w14:paraId="6927130E" w14:textId="0975E24D" w:rsidR="00E80470" w:rsidRPr="0067542D" w:rsidRDefault="00E80470" w:rsidP="0067542D">
            <w:pPr>
              <w:jc w:val="center"/>
              <w:rPr>
                <w:rFonts w:cstheme="minorHAnsi"/>
                <w:sz w:val="20"/>
                <w:szCs w:val="20"/>
              </w:rPr>
            </w:pPr>
            <w:r w:rsidRPr="0067542D">
              <w:rPr>
                <w:rFonts w:cstheme="minorHAnsi"/>
                <w:sz w:val="20"/>
                <w:szCs w:val="20"/>
              </w:rPr>
              <w:t>Odds ratio for occupational exposure to one or more EDC: 1.25; 95% CI: 1.04, 1.49</w:t>
            </w:r>
          </w:p>
        </w:tc>
        <w:tc>
          <w:tcPr>
            <w:tcW w:w="992" w:type="dxa"/>
            <w:tcBorders>
              <w:left w:val="nil"/>
              <w:right w:val="nil"/>
            </w:tcBorders>
            <w:vAlign w:val="center"/>
          </w:tcPr>
          <w:p w14:paraId="40C5C229" w14:textId="0461C06E" w:rsidR="00E80470" w:rsidRPr="0067542D" w:rsidRDefault="00E80470" w:rsidP="0067542D">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3D2FAEF9" w14:textId="32FF3913" w:rsidR="00E80470" w:rsidRPr="0067542D" w:rsidRDefault="00E80470" w:rsidP="0067542D">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78E2EB82" w14:textId="5ECB3007" w:rsidR="00E80470" w:rsidRPr="0067542D" w:rsidRDefault="00F629DF" w:rsidP="00F629DF">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7DB6829F" w14:textId="5DA0B23E" w:rsidR="00E80470" w:rsidRPr="0067542D" w:rsidRDefault="00E80470" w:rsidP="0067542D">
            <w:pPr>
              <w:jc w:val="center"/>
              <w:rPr>
                <w:rFonts w:cstheme="minorHAnsi"/>
                <w:sz w:val="20"/>
                <w:szCs w:val="20"/>
              </w:rPr>
            </w:pPr>
            <w:r w:rsidRPr="0067542D">
              <w:rPr>
                <w:rFonts w:cstheme="minorHAnsi"/>
                <w:sz w:val="20"/>
                <w:szCs w:val="20"/>
              </w:rPr>
              <w:t>N/A</w:t>
            </w:r>
          </w:p>
        </w:tc>
      </w:tr>
      <w:tr w:rsidR="00E80470" w:rsidRPr="0067542D" w14:paraId="5FB2AABA" w14:textId="62ACC1E5" w:rsidTr="00626D84">
        <w:trPr>
          <w:gridAfter w:val="1"/>
          <w:wAfter w:w="30" w:type="dxa"/>
          <w:jc w:val="center"/>
        </w:trPr>
        <w:tc>
          <w:tcPr>
            <w:tcW w:w="1218" w:type="dxa"/>
            <w:tcBorders>
              <w:left w:val="nil"/>
              <w:right w:val="nil"/>
            </w:tcBorders>
            <w:vAlign w:val="center"/>
          </w:tcPr>
          <w:p w14:paraId="09DC64AD" w14:textId="06B995E6" w:rsidR="00E80470" w:rsidRPr="0067542D" w:rsidRDefault="00E80470" w:rsidP="0067542D">
            <w:pPr>
              <w:jc w:val="center"/>
              <w:rPr>
                <w:rFonts w:cstheme="minorHAnsi"/>
                <w:sz w:val="20"/>
                <w:szCs w:val="20"/>
              </w:rPr>
            </w:pPr>
            <w:proofErr w:type="spellStart"/>
            <w:r w:rsidRPr="0067542D">
              <w:rPr>
                <w:rFonts w:cstheme="minorHAnsi"/>
                <w:sz w:val="20"/>
                <w:szCs w:val="20"/>
              </w:rPr>
              <w:t>Bleker</w:t>
            </w:r>
            <w:proofErr w:type="spellEnd"/>
            <w:r>
              <w:rPr>
                <w:rFonts w:cstheme="minorHAnsi"/>
                <w:sz w:val="20"/>
                <w:szCs w:val="20"/>
              </w:rPr>
              <w:t xml:space="preserve"> et al., 2018</w:t>
            </w:r>
            <w:r w:rsidRPr="00EE74F9">
              <w:rPr>
                <w:rFonts w:cstheme="minorHAnsi"/>
                <w:sz w:val="20"/>
                <w:szCs w:val="20"/>
                <w:vertAlign w:val="superscript"/>
              </w:rPr>
              <w:t>2</w:t>
            </w:r>
            <w:r w:rsidR="009F36BF">
              <w:rPr>
                <w:rFonts w:cstheme="minorHAnsi"/>
                <w:sz w:val="20"/>
                <w:szCs w:val="20"/>
                <w:vertAlign w:val="superscript"/>
              </w:rPr>
              <w:t>6</w:t>
            </w:r>
          </w:p>
        </w:tc>
        <w:tc>
          <w:tcPr>
            <w:tcW w:w="1134" w:type="dxa"/>
            <w:tcBorders>
              <w:left w:val="nil"/>
              <w:right w:val="nil"/>
            </w:tcBorders>
            <w:vAlign w:val="center"/>
          </w:tcPr>
          <w:p w14:paraId="3D475B63" w14:textId="2B8EB402" w:rsidR="00E80470" w:rsidRPr="0067542D" w:rsidRDefault="00515E0D"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425E55BB" w14:textId="03C87BF0" w:rsidR="00E80470" w:rsidRPr="0067542D" w:rsidRDefault="00E80470" w:rsidP="0067542D">
            <w:pPr>
              <w:jc w:val="center"/>
              <w:rPr>
                <w:rFonts w:cstheme="minorHAnsi"/>
                <w:sz w:val="20"/>
                <w:szCs w:val="20"/>
              </w:rPr>
            </w:pPr>
            <w:r w:rsidRPr="0067542D">
              <w:rPr>
                <w:rFonts w:cstheme="minorHAnsi"/>
                <w:sz w:val="20"/>
                <w:szCs w:val="20"/>
              </w:rPr>
              <w:t>USA (3), UK (5), Canada (3), China (1), India (1)</w:t>
            </w:r>
          </w:p>
        </w:tc>
        <w:tc>
          <w:tcPr>
            <w:tcW w:w="1139" w:type="dxa"/>
            <w:tcBorders>
              <w:left w:val="nil"/>
              <w:right w:val="nil"/>
            </w:tcBorders>
            <w:vAlign w:val="center"/>
          </w:tcPr>
          <w:p w14:paraId="380BC87E" w14:textId="42B3BAF7"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37175048" w14:textId="4BA7D2A9"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1BE8F45B" w14:textId="4510BEE9" w:rsidR="00E80470" w:rsidRPr="0067542D" w:rsidRDefault="00E80470" w:rsidP="0067542D">
            <w:pPr>
              <w:jc w:val="center"/>
              <w:rPr>
                <w:rFonts w:cstheme="minorHAnsi"/>
                <w:sz w:val="20"/>
                <w:szCs w:val="20"/>
              </w:rPr>
            </w:pPr>
            <w:r>
              <w:rPr>
                <w:rFonts w:cstheme="minorHAnsi"/>
                <w:sz w:val="20"/>
                <w:szCs w:val="20"/>
              </w:rPr>
              <w:t>1 month to 15 years</w:t>
            </w:r>
          </w:p>
        </w:tc>
        <w:tc>
          <w:tcPr>
            <w:tcW w:w="2552" w:type="dxa"/>
            <w:tcBorders>
              <w:left w:val="nil"/>
              <w:right w:val="nil"/>
            </w:tcBorders>
            <w:vAlign w:val="center"/>
          </w:tcPr>
          <w:p w14:paraId="006CFE86" w14:textId="16209788" w:rsidR="00E80470" w:rsidRPr="0067542D" w:rsidRDefault="00E80470" w:rsidP="0067542D">
            <w:pPr>
              <w:jc w:val="center"/>
              <w:rPr>
                <w:rFonts w:cstheme="minorHAnsi"/>
                <w:sz w:val="20"/>
                <w:szCs w:val="20"/>
              </w:rPr>
            </w:pPr>
            <w:r w:rsidRPr="0067542D">
              <w:rPr>
                <w:rFonts w:cstheme="minorHAnsi"/>
                <w:sz w:val="20"/>
                <w:szCs w:val="20"/>
              </w:rPr>
              <w:t>Newcastle–Ottawa Scale (NOS)</w:t>
            </w:r>
            <w:r w:rsidRPr="0067542D">
              <w:rPr>
                <w:rFonts w:cstheme="minorHAnsi"/>
                <w:sz w:val="20"/>
                <w:szCs w:val="20"/>
              </w:rPr>
              <w:br/>
              <w:t>Quality ranking (low, high intermediate): most studies were intermediate</w:t>
            </w:r>
          </w:p>
        </w:tc>
        <w:tc>
          <w:tcPr>
            <w:tcW w:w="1417" w:type="dxa"/>
            <w:tcBorders>
              <w:left w:val="nil"/>
              <w:right w:val="nil"/>
            </w:tcBorders>
            <w:vAlign w:val="center"/>
          </w:tcPr>
          <w:p w14:paraId="0BA52471" w14:textId="3CCEA5B2" w:rsidR="00E80470" w:rsidRPr="0067542D" w:rsidRDefault="00515E0D" w:rsidP="00515E0D">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52F3015A" w14:textId="3471C526"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5ACE2326" w14:textId="00E6933C" w:rsidTr="00626D84">
        <w:trPr>
          <w:gridAfter w:val="1"/>
          <w:wAfter w:w="30" w:type="dxa"/>
          <w:jc w:val="center"/>
        </w:trPr>
        <w:tc>
          <w:tcPr>
            <w:tcW w:w="1218" w:type="dxa"/>
            <w:tcBorders>
              <w:left w:val="nil"/>
              <w:right w:val="nil"/>
            </w:tcBorders>
            <w:vAlign w:val="center"/>
          </w:tcPr>
          <w:p w14:paraId="644C861F" w14:textId="116E6F19" w:rsidR="00E80470" w:rsidRPr="0067542D" w:rsidRDefault="00E80470" w:rsidP="0067542D">
            <w:pPr>
              <w:jc w:val="center"/>
              <w:rPr>
                <w:rFonts w:cstheme="minorHAnsi"/>
                <w:sz w:val="20"/>
                <w:szCs w:val="20"/>
              </w:rPr>
            </w:pPr>
            <w:r w:rsidRPr="0067542D">
              <w:rPr>
                <w:rFonts w:cstheme="minorHAnsi"/>
                <w:sz w:val="20"/>
                <w:szCs w:val="20"/>
              </w:rPr>
              <w:t>Burke</w:t>
            </w:r>
            <w:r>
              <w:rPr>
                <w:rFonts w:cstheme="minorHAnsi"/>
                <w:sz w:val="20"/>
                <w:szCs w:val="20"/>
              </w:rPr>
              <w:t xml:space="preserve"> et al., 2012</w:t>
            </w:r>
            <w:r w:rsidRPr="00EE74F9">
              <w:rPr>
                <w:rFonts w:cstheme="minorHAnsi"/>
                <w:sz w:val="20"/>
                <w:szCs w:val="20"/>
                <w:vertAlign w:val="superscript"/>
              </w:rPr>
              <w:t>2</w:t>
            </w:r>
            <w:r w:rsidR="009F36BF">
              <w:rPr>
                <w:rFonts w:cstheme="minorHAnsi"/>
                <w:sz w:val="20"/>
                <w:szCs w:val="20"/>
                <w:vertAlign w:val="superscript"/>
              </w:rPr>
              <w:t>7</w:t>
            </w:r>
          </w:p>
        </w:tc>
        <w:tc>
          <w:tcPr>
            <w:tcW w:w="1134" w:type="dxa"/>
            <w:tcBorders>
              <w:left w:val="nil"/>
              <w:right w:val="nil"/>
            </w:tcBorders>
            <w:vAlign w:val="center"/>
          </w:tcPr>
          <w:p w14:paraId="4035F8D6" w14:textId="1C9C8579" w:rsidR="00E80470" w:rsidRPr="0067542D" w:rsidRDefault="00626D84"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46AA1DAE" w14:textId="7589BD74" w:rsidR="00E80470" w:rsidRPr="0067542D" w:rsidRDefault="00E80470" w:rsidP="0067542D">
            <w:pPr>
              <w:jc w:val="center"/>
              <w:rPr>
                <w:rFonts w:cstheme="minorHAnsi"/>
                <w:sz w:val="20"/>
                <w:szCs w:val="20"/>
              </w:rPr>
            </w:pPr>
            <w:r w:rsidRPr="0067542D">
              <w:rPr>
                <w:rFonts w:cstheme="minorHAnsi"/>
                <w:sz w:val="20"/>
                <w:szCs w:val="20"/>
              </w:rPr>
              <w:t xml:space="preserve">UK (21), Sweden (5), USA (20), Finland (3), Poland, Denmark (4), Australia (6), Taiwan (1), Japan (1), Thailand (1), Tasmania (1), </w:t>
            </w:r>
            <w:r w:rsidRPr="0067542D">
              <w:rPr>
                <w:rFonts w:cstheme="minorHAnsi"/>
                <w:sz w:val="20"/>
                <w:szCs w:val="20"/>
              </w:rPr>
              <w:lastRenderedPageBreak/>
              <w:t>Canada (3), Brazil (2), Chile (1), Germany (2), Poland (1), Norway (2), New Zealand (3), Czech Republic (1), Greece (1)</w:t>
            </w:r>
          </w:p>
        </w:tc>
        <w:tc>
          <w:tcPr>
            <w:tcW w:w="1139" w:type="dxa"/>
            <w:tcBorders>
              <w:left w:val="nil"/>
              <w:right w:val="nil"/>
            </w:tcBorders>
            <w:vAlign w:val="center"/>
          </w:tcPr>
          <w:p w14:paraId="074179A6" w14:textId="04187F29" w:rsidR="00E80470" w:rsidRPr="0067542D" w:rsidRDefault="00E80470" w:rsidP="0067542D">
            <w:pPr>
              <w:jc w:val="center"/>
              <w:rPr>
                <w:rFonts w:cstheme="minorHAnsi"/>
                <w:sz w:val="20"/>
                <w:szCs w:val="20"/>
              </w:rPr>
            </w:pPr>
            <w:r w:rsidRPr="0067542D">
              <w:rPr>
                <w:rFonts w:cstheme="minorHAnsi"/>
                <w:sz w:val="20"/>
                <w:szCs w:val="20"/>
              </w:rPr>
              <w:lastRenderedPageBreak/>
              <w:t>more than 10</w:t>
            </w:r>
            <w:r w:rsidRPr="0067542D">
              <w:rPr>
                <w:rFonts w:cstheme="minorHAnsi"/>
                <w:sz w:val="20"/>
                <w:szCs w:val="20"/>
              </w:rPr>
              <w:br/>
              <w:t>(2 significant)</w:t>
            </w:r>
          </w:p>
        </w:tc>
        <w:tc>
          <w:tcPr>
            <w:tcW w:w="3314" w:type="dxa"/>
            <w:tcBorders>
              <w:left w:val="nil"/>
              <w:right w:val="nil"/>
            </w:tcBorders>
            <w:vAlign w:val="center"/>
          </w:tcPr>
          <w:p w14:paraId="75E49C2F" w14:textId="538CB5BB" w:rsidR="00E80470" w:rsidRPr="0067542D" w:rsidRDefault="00E80470" w:rsidP="0067542D">
            <w:pPr>
              <w:jc w:val="center"/>
              <w:rPr>
                <w:rFonts w:cstheme="minorHAnsi"/>
                <w:sz w:val="20"/>
                <w:szCs w:val="20"/>
              </w:rPr>
            </w:pPr>
            <w:r w:rsidRPr="0067542D">
              <w:rPr>
                <w:rFonts w:cstheme="minorHAnsi"/>
                <w:sz w:val="20"/>
                <w:szCs w:val="20"/>
              </w:rPr>
              <w:t xml:space="preserve">Odds ratio for risk of wheeze in children aged ≤2: 1.70, 95% CI = 1.24–2.3, </w:t>
            </w:r>
            <w:r w:rsidRPr="0067542D">
              <w:rPr>
                <w:rFonts w:cstheme="minorHAnsi"/>
                <w:sz w:val="20"/>
                <w:szCs w:val="20"/>
              </w:rPr>
              <w:br/>
              <w:t>Odds ratio for risk of asthma in children aged ≤2: 1.85, 95% CI = 1.35-2.53</w:t>
            </w:r>
          </w:p>
        </w:tc>
        <w:tc>
          <w:tcPr>
            <w:tcW w:w="992" w:type="dxa"/>
            <w:tcBorders>
              <w:left w:val="nil"/>
              <w:right w:val="nil"/>
            </w:tcBorders>
            <w:vAlign w:val="center"/>
          </w:tcPr>
          <w:p w14:paraId="25B4BBAA" w14:textId="5F75D6B8" w:rsidR="00E80470" w:rsidRPr="0067542D" w:rsidRDefault="00E80470" w:rsidP="0067542D">
            <w:pPr>
              <w:jc w:val="center"/>
              <w:rPr>
                <w:rFonts w:cstheme="minorHAnsi"/>
                <w:sz w:val="20"/>
                <w:szCs w:val="20"/>
              </w:rPr>
            </w:pPr>
            <w:r>
              <w:rPr>
                <w:rFonts w:cstheme="minorHAnsi"/>
                <w:sz w:val="20"/>
                <w:szCs w:val="20"/>
              </w:rPr>
              <w:t>&lt;2 to 18 years</w:t>
            </w:r>
          </w:p>
        </w:tc>
        <w:tc>
          <w:tcPr>
            <w:tcW w:w="2552" w:type="dxa"/>
            <w:tcBorders>
              <w:left w:val="nil"/>
              <w:right w:val="nil"/>
            </w:tcBorders>
            <w:vAlign w:val="center"/>
          </w:tcPr>
          <w:p w14:paraId="233DA0C6" w14:textId="55B82949" w:rsidR="00E80470" w:rsidRPr="0067542D" w:rsidRDefault="00E80470" w:rsidP="0067542D">
            <w:pPr>
              <w:jc w:val="center"/>
              <w:rPr>
                <w:rFonts w:cstheme="minorHAnsi"/>
                <w:sz w:val="20"/>
                <w:szCs w:val="20"/>
              </w:rPr>
            </w:pPr>
            <w:r w:rsidRPr="0067542D">
              <w:rPr>
                <w:rFonts w:cstheme="minorHAnsi"/>
                <w:sz w:val="20"/>
                <w:szCs w:val="20"/>
              </w:rPr>
              <w:t>Newcastle–Ottawa Scale (NOS)</w:t>
            </w:r>
            <w:r>
              <w:rPr>
                <w:rFonts w:cstheme="minorHAnsi"/>
                <w:sz w:val="20"/>
                <w:szCs w:val="20"/>
              </w:rPr>
              <w:t xml:space="preserve"> </w:t>
            </w:r>
            <w:r w:rsidRPr="0067542D">
              <w:rPr>
                <w:rFonts w:cstheme="minorHAnsi"/>
                <w:color w:val="000000"/>
                <w:sz w:val="20"/>
                <w:szCs w:val="20"/>
              </w:rPr>
              <w:t xml:space="preserve">for the 71 included studies ranged from 5 to 7 with a median of 6. Thirty-one of the 71 studies (44%) were scored as being of </w:t>
            </w:r>
            <w:r w:rsidRPr="0067542D">
              <w:rPr>
                <w:rFonts w:cstheme="minorHAnsi"/>
                <w:color w:val="000000"/>
                <w:sz w:val="20"/>
                <w:szCs w:val="20"/>
              </w:rPr>
              <w:lastRenderedPageBreak/>
              <w:t>moderate or high level (&gt;6) methodological quality</w:t>
            </w:r>
          </w:p>
        </w:tc>
        <w:tc>
          <w:tcPr>
            <w:tcW w:w="1417" w:type="dxa"/>
            <w:tcBorders>
              <w:left w:val="nil"/>
              <w:right w:val="nil"/>
            </w:tcBorders>
            <w:vAlign w:val="center"/>
          </w:tcPr>
          <w:p w14:paraId="4553E00E" w14:textId="2872CD17" w:rsidR="00E80470" w:rsidRPr="0067542D" w:rsidRDefault="00B372CF" w:rsidP="00626D84">
            <w:pPr>
              <w:jc w:val="center"/>
              <w:rPr>
                <w:rFonts w:cstheme="minorHAnsi"/>
                <w:sz w:val="20"/>
                <w:szCs w:val="20"/>
              </w:rPr>
            </w:pPr>
            <w:r>
              <w:rPr>
                <w:rFonts w:cstheme="minorHAnsi"/>
                <w:sz w:val="20"/>
                <w:szCs w:val="20"/>
              </w:rPr>
              <w:lastRenderedPageBreak/>
              <w:t>MOOSE guidelines followed</w:t>
            </w:r>
          </w:p>
        </w:tc>
        <w:tc>
          <w:tcPr>
            <w:tcW w:w="1276" w:type="dxa"/>
            <w:tcBorders>
              <w:left w:val="nil"/>
              <w:right w:val="nil"/>
            </w:tcBorders>
            <w:vAlign w:val="center"/>
          </w:tcPr>
          <w:p w14:paraId="21902BE5" w14:textId="5973AA2A" w:rsidR="00E80470" w:rsidRPr="0067542D" w:rsidRDefault="00E80470" w:rsidP="00A569FE">
            <w:pPr>
              <w:jc w:val="center"/>
              <w:rPr>
                <w:rFonts w:cstheme="minorHAnsi"/>
                <w:sz w:val="20"/>
                <w:szCs w:val="20"/>
              </w:rPr>
            </w:pPr>
            <w:r w:rsidRPr="0067542D">
              <w:rPr>
                <w:rFonts w:cstheme="minorHAnsi"/>
                <w:sz w:val="20"/>
                <w:szCs w:val="20"/>
              </w:rPr>
              <w:t>moderate</w:t>
            </w:r>
          </w:p>
        </w:tc>
      </w:tr>
      <w:tr w:rsidR="00E80470" w:rsidRPr="0067542D" w14:paraId="4937FC0F" w14:textId="466D4B80" w:rsidTr="00626D84">
        <w:trPr>
          <w:gridAfter w:val="1"/>
          <w:wAfter w:w="30" w:type="dxa"/>
          <w:jc w:val="center"/>
        </w:trPr>
        <w:tc>
          <w:tcPr>
            <w:tcW w:w="1218" w:type="dxa"/>
            <w:tcBorders>
              <w:left w:val="nil"/>
              <w:right w:val="nil"/>
            </w:tcBorders>
            <w:vAlign w:val="center"/>
          </w:tcPr>
          <w:p w14:paraId="312753CE" w14:textId="35DBEDF8" w:rsidR="00E80470" w:rsidRPr="0067542D" w:rsidRDefault="00E80470" w:rsidP="0067542D">
            <w:pPr>
              <w:jc w:val="center"/>
              <w:rPr>
                <w:rFonts w:cstheme="minorHAnsi"/>
                <w:sz w:val="20"/>
                <w:szCs w:val="20"/>
              </w:rPr>
            </w:pPr>
            <w:proofErr w:type="spellStart"/>
            <w:r w:rsidRPr="0067542D">
              <w:rPr>
                <w:rFonts w:cstheme="minorHAnsi"/>
                <w:sz w:val="20"/>
                <w:szCs w:val="20"/>
              </w:rPr>
              <w:t>Bussières</w:t>
            </w:r>
            <w:proofErr w:type="spellEnd"/>
            <w:r>
              <w:rPr>
                <w:rFonts w:cstheme="minorHAnsi"/>
                <w:sz w:val="20"/>
                <w:szCs w:val="20"/>
              </w:rPr>
              <w:t xml:space="preserve"> et al., 2015</w:t>
            </w:r>
            <w:r w:rsidRPr="00EE74F9">
              <w:rPr>
                <w:rFonts w:cstheme="minorHAnsi"/>
                <w:sz w:val="20"/>
                <w:szCs w:val="20"/>
                <w:vertAlign w:val="superscript"/>
              </w:rPr>
              <w:t>2</w:t>
            </w:r>
            <w:r w:rsidR="009F36BF">
              <w:rPr>
                <w:rFonts w:cstheme="minorHAnsi"/>
                <w:sz w:val="20"/>
                <w:szCs w:val="20"/>
                <w:vertAlign w:val="superscript"/>
              </w:rPr>
              <w:t>8</w:t>
            </w:r>
          </w:p>
        </w:tc>
        <w:tc>
          <w:tcPr>
            <w:tcW w:w="1134" w:type="dxa"/>
            <w:tcBorders>
              <w:left w:val="nil"/>
              <w:right w:val="nil"/>
            </w:tcBorders>
            <w:vAlign w:val="center"/>
          </w:tcPr>
          <w:p w14:paraId="6F5B41F9" w14:textId="3BB93724" w:rsidR="00E80470" w:rsidRPr="0067542D" w:rsidRDefault="00626D84"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00F36A64" w14:textId="34D19032" w:rsidR="00E80470" w:rsidRPr="0067542D" w:rsidRDefault="00E80470" w:rsidP="0067542D">
            <w:pPr>
              <w:jc w:val="center"/>
              <w:rPr>
                <w:rFonts w:cstheme="minorHAnsi"/>
                <w:sz w:val="20"/>
                <w:szCs w:val="20"/>
              </w:rPr>
            </w:pPr>
            <w:r w:rsidRPr="0067542D">
              <w:rPr>
                <w:rFonts w:cstheme="minorHAnsi"/>
                <w:sz w:val="20"/>
                <w:szCs w:val="20"/>
              </w:rPr>
              <w:t>Netherlands (6), Sweden (4), Germany (3), USA (47), Norway (3), UK (5), Canada (2), France (1), Denmark (8), Italy (1), Israel (2), India (1), South Africa (1), Brazil (1), China(2)</w:t>
            </w:r>
          </w:p>
        </w:tc>
        <w:tc>
          <w:tcPr>
            <w:tcW w:w="1139" w:type="dxa"/>
            <w:tcBorders>
              <w:left w:val="nil"/>
              <w:right w:val="nil"/>
            </w:tcBorders>
            <w:vAlign w:val="center"/>
          </w:tcPr>
          <w:p w14:paraId="15452F42" w14:textId="3AD2EAD0" w:rsidR="00E80470" w:rsidRPr="0067542D" w:rsidRDefault="00E80470" w:rsidP="0067542D">
            <w:pPr>
              <w:jc w:val="center"/>
              <w:rPr>
                <w:rFonts w:cstheme="minorHAnsi"/>
                <w:sz w:val="20"/>
                <w:szCs w:val="20"/>
              </w:rPr>
            </w:pPr>
            <w:r w:rsidRPr="0067542D">
              <w:rPr>
                <w:rFonts w:cstheme="minorHAnsi"/>
                <w:sz w:val="20"/>
                <w:szCs w:val="20"/>
              </w:rPr>
              <w:t>1</w:t>
            </w:r>
          </w:p>
        </w:tc>
        <w:tc>
          <w:tcPr>
            <w:tcW w:w="3314" w:type="dxa"/>
            <w:tcBorders>
              <w:left w:val="nil"/>
              <w:right w:val="nil"/>
            </w:tcBorders>
            <w:vAlign w:val="center"/>
          </w:tcPr>
          <w:p w14:paraId="1A32C1E9" w14:textId="63540B3F" w:rsidR="00E80470" w:rsidRPr="0067542D" w:rsidRDefault="00E80470" w:rsidP="0067542D">
            <w:pPr>
              <w:jc w:val="center"/>
              <w:rPr>
                <w:rFonts w:cstheme="minorHAnsi"/>
                <w:sz w:val="20"/>
                <w:szCs w:val="20"/>
              </w:rPr>
            </w:pPr>
            <w:r w:rsidRPr="0067542D">
              <w:rPr>
                <w:rFonts w:cstheme="minorHAnsi"/>
                <w:sz w:val="20"/>
                <w:szCs w:val="20"/>
              </w:rPr>
              <w:t>Cohen's d for all studies: −0.12; 95% CI: −0.17, −0.08</w:t>
            </w:r>
          </w:p>
        </w:tc>
        <w:tc>
          <w:tcPr>
            <w:tcW w:w="992" w:type="dxa"/>
            <w:tcBorders>
              <w:left w:val="nil"/>
              <w:right w:val="nil"/>
            </w:tcBorders>
            <w:vAlign w:val="center"/>
          </w:tcPr>
          <w:p w14:paraId="15D0B9E2" w14:textId="60C8F039" w:rsidR="00E80470" w:rsidRPr="0067542D" w:rsidRDefault="00E80470" w:rsidP="0067542D">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529596FB" w14:textId="1FA746A0" w:rsidR="00E80470" w:rsidRPr="0067542D" w:rsidRDefault="00E80470" w:rsidP="0067542D">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211E92C8" w14:textId="073D7E28" w:rsidR="00E80470" w:rsidRPr="0067542D" w:rsidRDefault="00626D84" w:rsidP="00626D84">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0377BD8D" w14:textId="3DC747E9" w:rsidR="00E80470" w:rsidRPr="0067542D" w:rsidRDefault="00E80470" w:rsidP="0067542D">
            <w:pPr>
              <w:jc w:val="center"/>
              <w:rPr>
                <w:rFonts w:cstheme="minorHAnsi"/>
                <w:sz w:val="20"/>
                <w:szCs w:val="20"/>
              </w:rPr>
            </w:pPr>
            <w:r w:rsidRPr="0067542D">
              <w:rPr>
                <w:rFonts w:cstheme="minorHAnsi"/>
                <w:sz w:val="20"/>
                <w:szCs w:val="20"/>
              </w:rPr>
              <w:t>N/A</w:t>
            </w:r>
          </w:p>
        </w:tc>
      </w:tr>
      <w:tr w:rsidR="00E80470" w:rsidRPr="0067542D" w14:paraId="1C98977E" w14:textId="27C3FA43" w:rsidTr="007E615E">
        <w:trPr>
          <w:gridAfter w:val="1"/>
          <w:wAfter w:w="30" w:type="dxa"/>
          <w:jc w:val="center"/>
        </w:trPr>
        <w:tc>
          <w:tcPr>
            <w:tcW w:w="1218" w:type="dxa"/>
            <w:tcBorders>
              <w:left w:val="nil"/>
              <w:right w:val="nil"/>
            </w:tcBorders>
            <w:vAlign w:val="center"/>
          </w:tcPr>
          <w:p w14:paraId="03CD9991" w14:textId="49DBA091" w:rsidR="00E80470" w:rsidRPr="0067542D" w:rsidRDefault="00E80470" w:rsidP="0067542D">
            <w:pPr>
              <w:jc w:val="center"/>
              <w:rPr>
                <w:rFonts w:cstheme="minorHAnsi"/>
                <w:sz w:val="20"/>
                <w:szCs w:val="20"/>
              </w:rPr>
            </w:pPr>
            <w:r w:rsidRPr="0067542D">
              <w:rPr>
                <w:rFonts w:cstheme="minorHAnsi"/>
                <w:sz w:val="20"/>
                <w:szCs w:val="20"/>
              </w:rPr>
              <w:t>Cook</w:t>
            </w:r>
            <w:r>
              <w:rPr>
                <w:rFonts w:cstheme="minorHAnsi"/>
                <w:sz w:val="20"/>
                <w:szCs w:val="20"/>
              </w:rPr>
              <w:t xml:space="preserve"> et al., 2018</w:t>
            </w:r>
            <w:r w:rsidRPr="00EE74F9">
              <w:rPr>
                <w:rFonts w:cstheme="minorHAnsi"/>
                <w:sz w:val="20"/>
                <w:szCs w:val="20"/>
                <w:vertAlign w:val="superscript"/>
              </w:rPr>
              <w:t>2</w:t>
            </w:r>
            <w:r w:rsidR="009F36BF">
              <w:rPr>
                <w:rFonts w:cstheme="minorHAnsi"/>
                <w:sz w:val="20"/>
                <w:szCs w:val="20"/>
                <w:vertAlign w:val="superscript"/>
              </w:rPr>
              <w:t>9</w:t>
            </w:r>
          </w:p>
        </w:tc>
        <w:tc>
          <w:tcPr>
            <w:tcW w:w="1134" w:type="dxa"/>
            <w:tcBorders>
              <w:left w:val="nil"/>
              <w:right w:val="nil"/>
            </w:tcBorders>
            <w:vAlign w:val="center"/>
          </w:tcPr>
          <w:p w14:paraId="3CD9ED37" w14:textId="4B854528" w:rsidR="00E80470" w:rsidRPr="0067542D" w:rsidRDefault="007E615E"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7F7EAA05" w14:textId="1AFED263" w:rsidR="00E80470" w:rsidRPr="0067542D" w:rsidRDefault="00E80470" w:rsidP="0067542D">
            <w:pPr>
              <w:jc w:val="center"/>
              <w:rPr>
                <w:rFonts w:cstheme="minorHAnsi"/>
                <w:sz w:val="20"/>
                <w:szCs w:val="20"/>
              </w:rPr>
            </w:pPr>
            <w:r w:rsidRPr="0067542D">
              <w:rPr>
                <w:rFonts w:cstheme="minorHAnsi"/>
                <w:sz w:val="20"/>
                <w:szCs w:val="20"/>
              </w:rPr>
              <w:t>UK (5), USA (11), Canada (1), Switzerland (1), Italy (1), Israel (1), Brazil (1)</w:t>
            </w:r>
          </w:p>
        </w:tc>
        <w:tc>
          <w:tcPr>
            <w:tcW w:w="1139" w:type="dxa"/>
            <w:tcBorders>
              <w:left w:val="nil"/>
              <w:right w:val="nil"/>
            </w:tcBorders>
            <w:vAlign w:val="center"/>
          </w:tcPr>
          <w:p w14:paraId="394D7342" w14:textId="4886F9C4"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6B4B9081" w14:textId="00496F98"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3505A911" w14:textId="4FF5D9D0" w:rsidR="00E80470" w:rsidRPr="0067542D" w:rsidRDefault="00E80470" w:rsidP="0067542D">
            <w:pPr>
              <w:jc w:val="center"/>
              <w:rPr>
                <w:rFonts w:cstheme="minorHAnsi"/>
                <w:sz w:val="20"/>
                <w:szCs w:val="20"/>
              </w:rPr>
            </w:pPr>
            <w:r>
              <w:rPr>
                <w:rFonts w:cstheme="minorHAnsi"/>
                <w:sz w:val="20"/>
                <w:szCs w:val="20"/>
              </w:rPr>
              <w:t>0 to 1.5 years</w:t>
            </w:r>
          </w:p>
        </w:tc>
        <w:tc>
          <w:tcPr>
            <w:tcW w:w="2552" w:type="dxa"/>
            <w:tcBorders>
              <w:left w:val="nil"/>
              <w:right w:val="nil"/>
            </w:tcBorders>
            <w:vAlign w:val="center"/>
          </w:tcPr>
          <w:p w14:paraId="2C96A955" w14:textId="6F4D3CDE" w:rsidR="00E80470" w:rsidRPr="0067542D" w:rsidRDefault="00E80470" w:rsidP="0067542D">
            <w:pPr>
              <w:jc w:val="center"/>
              <w:rPr>
                <w:rFonts w:cstheme="minorHAnsi"/>
                <w:sz w:val="20"/>
                <w:szCs w:val="20"/>
              </w:rPr>
            </w:pPr>
            <w:r w:rsidRPr="0067542D">
              <w:rPr>
                <w:rFonts w:cstheme="minorHAnsi"/>
                <w:sz w:val="20"/>
                <w:szCs w:val="20"/>
              </w:rPr>
              <w:t>Down's and Black feasibility checklist</w:t>
            </w:r>
            <w:r w:rsidRPr="0067542D">
              <w:rPr>
                <w:rFonts w:cstheme="minorHAnsi"/>
                <w:sz w:val="20"/>
                <w:szCs w:val="20"/>
              </w:rPr>
              <w:br/>
              <w:t>Methodological quality was poor to medium with scores ranging from 8 to 16 on a 30-point scale, and over 19% of papers scoring over 15.</w:t>
            </w:r>
          </w:p>
        </w:tc>
        <w:tc>
          <w:tcPr>
            <w:tcW w:w="1417" w:type="dxa"/>
            <w:tcBorders>
              <w:left w:val="nil"/>
              <w:right w:val="nil"/>
            </w:tcBorders>
            <w:vAlign w:val="center"/>
          </w:tcPr>
          <w:p w14:paraId="545FF46C" w14:textId="2E4958B0" w:rsidR="00E80470" w:rsidRPr="0067542D" w:rsidRDefault="007E615E" w:rsidP="007E615E">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3533BB0E" w14:textId="2CF1D408" w:rsidR="00E80470" w:rsidRPr="0067542D" w:rsidRDefault="00E80470" w:rsidP="00A569FE">
            <w:pPr>
              <w:jc w:val="center"/>
              <w:rPr>
                <w:rFonts w:cstheme="minorHAnsi"/>
                <w:sz w:val="20"/>
                <w:szCs w:val="20"/>
              </w:rPr>
            </w:pPr>
            <w:r w:rsidRPr="0067542D">
              <w:rPr>
                <w:rFonts w:cstheme="minorHAnsi"/>
                <w:sz w:val="20"/>
                <w:szCs w:val="20"/>
              </w:rPr>
              <w:t>low</w:t>
            </w:r>
          </w:p>
        </w:tc>
      </w:tr>
      <w:tr w:rsidR="00E80470" w:rsidRPr="0067542D" w14:paraId="35E347BC" w14:textId="42F93F0F" w:rsidTr="00626D84">
        <w:trPr>
          <w:gridAfter w:val="1"/>
          <w:wAfter w:w="30" w:type="dxa"/>
          <w:jc w:val="center"/>
        </w:trPr>
        <w:tc>
          <w:tcPr>
            <w:tcW w:w="1218" w:type="dxa"/>
            <w:tcBorders>
              <w:left w:val="nil"/>
              <w:right w:val="nil"/>
            </w:tcBorders>
            <w:vAlign w:val="center"/>
          </w:tcPr>
          <w:p w14:paraId="4B241CAB" w14:textId="3F043148" w:rsidR="00E80470" w:rsidRPr="0067542D" w:rsidRDefault="00E80470" w:rsidP="0067542D">
            <w:pPr>
              <w:jc w:val="center"/>
              <w:rPr>
                <w:rFonts w:cstheme="minorHAnsi"/>
                <w:sz w:val="20"/>
                <w:szCs w:val="20"/>
              </w:rPr>
            </w:pPr>
            <w:r w:rsidRPr="0067542D">
              <w:rPr>
                <w:rFonts w:cstheme="minorHAnsi"/>
                <w:sz w:val="20"/>
                <w:szCs w:val="20"/>
              </w:rPr>
              <w:t>Crider</w:t>
            </w:r>
            <w:r>
              <w:rPr>
                <w:rFonts w:cstheme="minorHAnsi"/>
                <w:sz w:val="20"/>
                <w:szCs w:val="20"/>
              </w:rPr>
              <w:t xml:space="preserve"> et al., 2013</w:t>
            </w:r>
            <w:r w:rsidR="009F36BF">
              <w:rPr>
                <w:rFonts w:cstheme="minorHAnsi"/>
                <w:sz w:val="20"/>
                <w:szCs w:val="20"/>
                <w:vertAlign w:val="superscript"/>
              </w:rPr>
              <w:t>30</w:t>
            </w:r>
          </w:p>
        </w:tc>
        <w:tc>
          <w:tcPr>
            <w:tcW w:w="1134" w:type="dxa"/>
            <w:tcBorders>
              <w:left w:val="nil"/>
              <w:right w:val="nil"/>
            </w:tcBorders>
            <w:vAlign w:val="center"/>
          </w:tcPr>
          <w:p w14:paraId="12E347FD" w14:textId="52BAEAA5" w:rsidR="00E80470" w:rsidRPr="0067542D" w:rsidRDefault="007E615E"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3D1E7DE6" w14:textId="5252AC0B" w:rsidR="00E80470" w:rsidRPr="0067542D" w:rsidRDefault="00E80470" w:rsidP="0067542D">
            <w:pPr>
              <w:jc w:val="center"/>
              <w:rPr>
                <w:rFonts w:cstheme="minorHAnsi"/>
                <w:sz w:val="20"/>
                <w:szCs w:val="20"/>
              </w:rPr>
            </w:pPr>
            <w:r w:rsidRPr="0067542D">
              <w:rPr>
                <w:rFonts w:cstheme="minorHAnsi"/>
                <w:sz w:val="20"/>
                <w:szCs w:val="20"/>
              </w:rPr>
              <w:t xml:space="preserve">Netherlands (2), Norway (1), </w:t>
            </w:r>
            <w:proofErr w:type="spellStart"/>
            <w:r w:rsidRPr="0067542D">
              <w:rPr>
                <w:rFonts w:cstheme="minorHAnsi"/>
                <w:sz w:val="20"/>
                <w:szCs w:val="20"/>
              </w:rPr>
              <w:t>Austrailia</w:t>
            </w:r>
            <w:proofErr w:type="spellEnd"/>
            <w:r w:rsidRPr="0067542D">
              <w:rPr>
                <w:rFonts w:cstheme="minorHAnsi"/>
                <w:sz w:val="20"/>
                <w:szCs w:val="20"/>
              </w:rPr>
              <w:t xml:space="preserve"> (1), USA (1)</w:t>
            </w:r>
          </w:p>
        </w:tc>
        <w:tc>
          <w:tcPr>
            <w:tcW w:w="1139" w:type="dxa"/>
            <w:tcBorders>
              <w:left w:val="nil"/>
              <w:right w:val="nil"/>
            </w:tcBorders>
            <w:vAlign w:val="center"/>
          </w:tcPr>
          <w:p w14:paraId="55D0AC28" w14:textId="7D28A3A0" w:rsidR="00E80470" w:rsidRPr="0067542D" w:rsidRDefault="00E80470" w:rsidP="0067542D">
            <w:pPr>
              <w:jc w:val="center"/>
              <w:rPr>
                <w:rFonts w:cstheme="minorHAnsi"/>
                <w:sz w:val="20"/>
                <w:szCs w:val="20"/>
              </w:rPr>
            </w:pPr>
            <w:r w:rsidRPr="0067542D">
              <w:rPr>
                <w:rFonts w:cstheme="minorHAnsi"/>
                <w:sz w:val="20"/>
                <w:szCs w:val="20"/>
              </w:rPr>
              <w:t>1</w:t>
            </w:r>
          </w:p>
        </w:tc>
        <w:tc>
          <w:tcPr>
            <w:tcW w:w="3314" w:type="dxa"/>
            <w:tcBorders>
              <w:left w:val="nil"/>
              <w:right w:val="nil"/>
            </w:tcBorders>
            <w:vAlign w:val="center"/>
          </w:tcPr>
          <w:p w14:paraId="41695EEF" w14:textId="1104B46C" w:rsidR="00E80470" w:rsidRPr="0067542D" w:rsidRDefault="00E80470" w:rsidP="0067542D">
            <w:pPr>
              <w:jc w:val="center"/>
              <w:rPr>
                <w:rFonts w:cstheme="minorHAnsi"/>
                <w:sz w:val="20"/>
                <w:szCs w:val="20"/>
              </w:rPr>
            </w:pPr>
            <w:r w:rsidRPr="0067542D">
              <w:rPr>
                <w:rFonts w:cstheme="minorHAnsi"/>
                <w:sz w:val="20"/>
                <w:szCs w:val="20"/>
              </w:rPr>
              <w:t>Risk ratio (risk of asthma): 1.01; 95% CI: 0.78, 1.30</w:t>
            </w:r>
          </w:p>
        </w:tc>
        <w:tc>
          <w:tcPr>
            <w:tcW w:w="992" w:type="dxa"/>
            <w:tcBorders>
              <w:left w:val="nil"/>
              <w:right w:val="nil"/>
            </w:tcBorders>
            <w:vAlign w:val="center"/>
          </w:tcPr>
          <w:p w14:paraId="7F7B410B" w14:textId="664FFDFD" w:rsidR="00E80470" w:rsidRPr="0067542D" w:rsidRDefault="00E80470" w:rsidP="0067542D">
            <w:pPr>
              <w:jc w:val="center"/>
              <w:rPr>
                <w:rFonts w:cstheme="minorHAnsi"/>
                <w:sz w:val="20"/>
                <w:szCs w:val="20"/>
              </w:rPr>
            </w:pPr>
            <w:r w:rsidRPr="0067542D">
              <w:rPr>
                <w:rFonts w:cstheme="minorHAnsi"/>
                <w:sz w:val="20"/>
                <w:szCs w:val="20"/>
              </w:rPr>
              <w:t>6 months to 7 years</w:t>
            </w:r>
          </w:p>
        </w:tc>
        <w:tc>
          <w:tcPr>
            <w:tcW w:w="2552" w:type="dxa"/>
            <w:tcBorders>
              <w:left w:val="nil"/>
              <w:right w:val="nil"/>
            </w:tcBorders>
            <w:vAlign w:val="center"/>
          </w:tcPr>
          <w:p w14:paraId="14574D0D" w14:textId="2C51763E" w:rsidR="00E80470" w:rsidRPr="0067542D" w:rsidRDefault="00E80470" w:rsidP="0067542D">
            <w:pPr>
              <w:jc w:val="center"/>
              <w:rPr>
                <w:rFonts w:cstheme="minorHAnsi"/>
                <w:sz w:val="20"/>
                <w:szCs w:val="20"/>
              </w:rPr>
            </w:pPr>
            <w:r w:rsidRPr="0067542D">
              <w:rPr>
                <w:rFonts w:cstheme="minorHAnsi"/>
                <w:sz w:val="20"/>
                <w:szCs w:val="20"/>
              </w:rPr>
              <w:t>Newcastle–Ottawa Scale (NOS)</w:t>
            </w:r>
            <w:r w:rsidRPr="0067542D">
              <w:rPr>
                <w:rFonts w:cstheme="minorHAnsi"/>
                <w:sz w:val="20"/>
                <w:szCs w:val="20"/>
              </w:rPr>
              <w:br/>
              <w:t>Scores &gt;=6</w:t>
            </w:r>
          </w:p>
        </w:tc>
        <w:tc>
          <w:tcPr>
            <w:tcW w:w="1417" w:type="dxa"/>
            <w:tcBorders>
              <w:left w:val="nil"/>
              <w:right w:val="nil"/>
            </w:tcBorders>
          </w:tcPr>
          <w:p w14:paraId="67275B2A" w14:textId="4618D341" w:rsidR="00E80470" w:rsidRPr="0067542D" w:rsidRDefault="00DB2355" w:rsidP="00A569FE">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367B460D" w14:textId="0030B1F3" w:rsidR="00E80470" w:rsidRPr="0067542D" w:rsidRDefault="00E80470" w:rsidP="00A569FE">
            <w:pPr>
              <w:jc w:val="center"/>
              <w:rPr>
                <w:rFonts w:cstheme="minorHAnsi"/>
                <w:sz w:val="20"/>
                <w:szCs w:val="20"/>
              </w:rPr>
            </w:pPr>
            <w:r w:rsidRPr="0067542D">
              <w:rPr>
                <w:rFonts w:cstheme="minorHAnsi"/>
                <w:sz w:val="20"/>
                <w:szCs w:val="20"/>
              </w:rPr>
              <w:t>moderate</w:t>
            </w:r>
          </w:p>
        </w:tc>
      </w:tr>
      <w:tr w:rsidR="00E80470" w:rsidRPr="0067542D" w14:paraId="05D2AEE9" w14:textId="4A035796" w:rsidTr="002525C2">
        <w:trPr>
          <w:gridAfter w:val="1"/>
          <w:wAfter w:w="30" w:type="dxa"/>
          <w:jc w:val="center"/>
        </w:trPr>
        <w:tc>
          <w:tcPr>
            <w:tcW w:w="1218" w:type="dxa"/>
            <w:tcBorders>
              <w:left w:val="nil"/>
              <w:right w:val="nil"/>
            </w:tcBorders>
            <w:vAlign w:val="center"/>
          </w:tcPr>
          <w:p w14:paraId="32C47263" w14:textId="03152B63" w:rsidR="00E80470" w:rsidRPr="0067542D" w:rsidRDefault="00E80470" w:rsidP="0067542D">
            <w:pPr>
              <w:jc w:val="center"/>
              <w:rPr>
                <w:rFonts w:cstheme="minorHAnsi"/>
                <w:sz w:val="20"/>
                <w:szCs w:val="20"/>
              </w:rPr>
            </w:pPr>
            <w:r w:rsidRPr="0067542D">
              <w:rPr>
                <w:rFonts w:cstheme="minorHAnsi"/>
                <w:sz w:val="20"/>
                <w:szCs w:val="20"/>
              </w:rPr>
              <w:t>Dalrymple</w:t>
            </w:r>
            <w:r>
              <w:rPr>
                <w:rFonts w:cstheme="minorHAnsi"/>
                <w:sz w:val="20"/>
                <w:szCs w:val="20"/>
              </w:rPr>
              <w:t xml:space="preserve"> et al., 2018</w:t>
            </w:r>
            <w:r w:rsidR="009F36BF">
              <w:rPr>
                <w:rFonts w:cstheme="minorHAnsi"/>
                <w:sz w:val="20"/>
                <w:szCs w:val="20"/>
                <w:vertAlign w:val="superscript"/>
              </w:rPr>
              <w:t>31</w:t>
            </w:r>
          </w:p>
        </w:tc>
        <w:tc>
          <w:tcPr>
            <w:tcW w:w="1134" w:type="dxa"/>
            <w:tcBorders>
              <w:left w:val="nil"/>
              <w:right w:val="nil"/>
            </w:tcBorders>
            <w:vAlign w:val="center"/>
          </w:tcPr>
          <w:p w14:paraId="18FDCBE4" w14:textId="67C890FC" w:rsidR="00E80470" w:rsidRPr="0067542D" w:rsidRDefault="002525C2"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7E46376D" w14:textId="344D6A8F" w:rsidR="00E80470" w:rsidRPr="0067542D" w:rsidRDefault="00E80470" w:rsidP="0067542D">
            <w:pPr>
              <w:jc w:val="center"/>
              <w:rPr>
                <w:rFonts w:cstheme="minorHAnsi"/>
                <w:sz w:val="20"/>
                <w:szCs w:val="20"/>
              </w:rPr>
            </w:pPr>
            <w:r w:rsidRPr="0067542D">
              <w:rPr>
                <w:rFonts w:cstheme="minorHAnsi"/>
                <w:sz w:val="20"/>
                <w:szCs w:val="20"/>
              </w:rPr>
              <w:t>Ireland (1), Germany (1), Finland (2), Sweden (1), UK (1), USA (1), Denmark (1)</w:t>
            </w:r>
          </w:p>
        </w:tc>
        <w:tc>
          <w:tcPr>
            <w:tcW w:w="1139" w:type="dxa"/>
            <w:tcBorders>
              <w:left w:val="nil"/>
              <w:right w:val="nil"/>
            </w:tcBorders>
            <w:vAlign w:val="center"/>
          </w:tcPr>
          <w:p w14:paraId="66C93BD1" w14:textId="1B1A1FA6"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5108BE6E" w14:textId="1C4AD7AA"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2701A8B9" w14:textId="25CFC554" w:rsidR="00E80470" w:rsidRPr="0067542D" w:rsidRDefault="00E80470" w:rsidP="0067542D">
            <w:pPr>
              <w:jc w:val="center"/>
              <w:rPr>
                <w:rFonts w:cstheme="minorHAnsi"/>
                <w:sz w:val="20"/>
                <w:szCs w:val="20"/>
              </w:rPr>
            </w:pPr>
            <w:r w:rsidRPr="0067542D">
              <w:rPr>
                <w:rFonts w:cstheme="minorHAnsi"/>
                <w:sz w:val="20"/>
                <w:szCs w:val="20"/>
              </w:rPr>
              <w:t>29 weeks to 7 years</w:t>
            </w:r>
          </w:p>
        </w:tc>
        <w:tc>
          <w:tcPr>
            <w:tcW w:w="2552" w:type="dxa"/>
            <w:tcBorders>
              <w:left w:val="nil"/>
              <w:right w:val="nil"/>
            </w:tcBorders>
            <w:vAlign w:val="center"/>
          </w:tcPr>
          <w:p w14:paraId="7EFB9054" w14:textId="2F22B061" w:rsidR="00E80470" w:rsidRPr="0067542D" w:rsidRDefault="00E80470" w:rsidP="0067542D">
            <w:pPr>
              <w:jc w:val="center"/>
              <w:rPr>
                <w:rFonts w:cstheme="minorHAnsi"/>
                <w:sz w:val="20"/>
                <w:szCs w:val="20"/>
              </w:rPr>
            </w:pPr>
            <w:r w:rsidRPr="0067542D">
              <w:rPr>
                <w:rFonts w:cstheme="minorHAnsi"/>
                <w:sz w:val="20"/>
                <w:szCs w:val="20"/>
              </w:rPr>
              <w:t>The Cochrane Handbook for Systematic Reviews of Interventions tool</w:t>
            </w:r>
            <w:r>
              <w:rPr>
                <w:rFonts w:cstheme="minorHAnsi"/>
                <w:sz w:val="20"/>
                <w:szCs w:val="20"/>
              </w:rPr>
              <w:t xml:space="preserve"> </w:t>
            </w:r>
            <w:r w:rsidRPr="0067542D">
              <w:rPr>
                <w:rFonts w:cstheme="minorHAnsi"/>
                <w:sz w:val="20"/>
                <w:szCs w:val="20"/>
              </w:rPr>
              <w:t>(Higgins &amp; Altman, 2008) was used</w:t>
            </w:r>
            <w:r w:rsidRPr="0067542D">
              <w:rPr>
                <w:rFonts w:cstheme="minorHAnsi"/>
                <w:sz w:val="20"/>
                <w:szCs w:val="20"/>
              </w:rPr>
              <w:br/>
              <w:t>low to moderate</w:t>
            </w:r>
          </w:p>
        </w:tc>
        <w:tc>
          <w:tcPr>
            <w:tcW w:w="1417" w:type="dxa"/>
            <w:tcBorders>
              <w:left w:val="nil"/>
              <w:right w:val="nil"/>
            </w:tcBorders>
            <w:vAlign w:val="center"/>
          </w:tcPr>
          <w:p w14:paraId="3F60E08A" w14:textId="185261AA" w:rsidR="00E80470" w:rsidRPr="0067542D" w:rsidRDefault="002525C2" w:rsidP="002525C2">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05B281F3" w14:textId="6BE15AAF" w:rsidR="00E80470" w:rsidRPr="0067542D" w:rsidRDefault="00E80470" w:rsidP="00A569FE">
            <w:pPr>
              <w:jc w:val="center"/>
              <w:rPr>
                <w:rFonts w:cstheme="minorHAnsi"/>
                <w:sz w:val="20"/>
                <w:szCs w:val="20"/>
              </w:rPr>
            </w:pPr>
            <w:r w:rsidRPr="0067542D">
              <w:rPr>
                <w:rFonts w:cstheme="minorHAnsi"/>
                <w:sz w:val="20"/>
                <w:szCs w:val="20"/>
              </w:rPr>
              <w:t>low</w:t>
            </w:r>
          </w:p>
        </w:tc>
      </w:tr>
      <w:tr w:rsidR="00E80470" w:rsidRPr="0067542D" w14:paraId="76F0BB28" w14:textId="31D9E635" w:rsidTr="00626D84">
        <w:trPr>
          <w:gridAfter w:val="1"/>
          <w:wAfter w:w="30" w:type="dxa"/>
          <w:jc w:val="center"/>
        </w:trPr>
        <w:tc>
          <w:tcPr>
            <w:tcW w:w="1218" w:type="dxa"/>
            <w:tcBorders>
              <w:left w:val="nil"/>
              <w:right w:val="nil"/>
            </w:tcBorders>
            <w:vAlign w:val="center"/>
          </w:tcPr>
          <w:p w14:paraId="1B17C97C" w14:textId="0858AD70" w:rsidR="00E80470" w:rsidRPr="0067542D" w:rsidRDefault="00E80470" w:rsidP="0067542D">
            <w:pPr>
              <w:jc w:val="center"/>
              <w:rPr>
                <w:rFonts w:cstheme="minorHAnsi"/>
                <w:sz w:val="20"/>
                <w:szCs w:val="20"/>
              </w:rPr>
            </w:pPr>
            <w:proofErr w:type="spellStart"/>
            <w:r w:rsidRPr="0067542D">
              <w:rPr>
                <w:rFonts w:cstheme="minorHAnsi"/>
                <w:sz w:val="20"/>
                <w:szCs w:val="20"/>
              </w:rPr>
              <w:t>Davidsen</w:t>
            </w:r>
            <w:proofErr w:type="spellEnd"/>
            <w:r>
              <w:rPr>
                <w:rFonts w:cstheme="minorHAnsi"/>
                <w:sz w:val="20"/>
                <w:szCs w:val="20"/>
              </w:rPr>
              <w:t xml:space="preserve"> et al., 2015</w:t>
            </w:r>
            <w:r w:rsidR="009F36BF">
              <w:rPr>
                <w:rFonts w:cstheme="minorHAnsi"/>
                <w:sz w:val="20"/>
                <w:szCs w:val="20"/>
                <w:vertAlign w:val="superscript"/>
              </w:rPr>
              <w:t>32</w:t>
            </w:r>
          </w:p>
        </w:tc>
        <w:tc>
          <w:tcPr>
            <w:tcW w:w="1134" w:type="dxa"/>
            <w:tcBorders>
              <w:left w:val="nil"/>
              <w:right w:val="nil"/>
            </w:tcBorders>
            <w:vAlign w:val="center"/>
          </w:tcPr>
          <w:p w14:paraId="627BB36A" w14:textId="146EF39C" w:rsidR="00E80470" w:rsidRPr="0067542D" w:rsidRDefault="002525C2"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68CF41DD" w14:textId="5B83986F" w:rsidR="00E80470" w:rsidRPr="0067542D" w:rsidRDefault="00E80470" w:rsidP="0067542D">
            <w:pPr>
              <w:jc w:val="center"/>
              <w:rPr>
                <w:rFonts w:cstheme="minorHAnsi"/>
                <w:sz w:val="20"/>
                <w:szCs w:val="20"/>
              </w:rPr>
            </w:pPr>
            <w:r w:rsidRPr="0067542D">
              <w:rPr>
                <w:rFonts w:cstheme="minorHAnsi"/>
                <w:sz w:val="20"/>
                <w:szCs w:val="20"/>
              </w:rPr>
              <w:t>USA (7), UK (2), Norway (1)</w:t>
            </w:r>
          </w:p>
        </w:tc>
        <w:tc>
          <w:tcPr>
            <w:tcW w:w="1139" w:type="dxa"/>
            <w:tcBorders>
              <w:left w:val="nil"/>
              <w:right w:val="nil"/>
            </w:tcBorders>
            <w:vAlign w:val="center"/>
          </w:tcPr>
          <w:p w14:paraId="721EA84E" w14:textId="543CD3C8"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1D2B9D31" w14:textId="7E404622"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2AFD18E0" w14:textId="2ED1E901" w:rsidR="00E80470" w:rsidRPr="0067542D" w:rsidRDefault="00E80470" w:rsidP="0067542D">
            <w:pPr>
              <w:jc w:val="center"/>
              <w:rPr>
                <w:rFonts w:cstheme="minorHAnsi"/>
                <w:sz w:val="20"/>
                <w:szCs w:val="20"/>
              </w:rPr>
            </w:pPr>
            <w:r w:rsidRPr="0067542D">
              <w:rPr>
                <w:rFonts w:cstheme="minorHAnsi"/>
                <w:sz w:val="20"/>
                <w:szCs w:val="20"/>
              </w:rPr>
              <w:t>0 to 6 years</w:t>
            </w:r>
          </w:p>
        </w:tc>
        <w:tc>
          <w:tcPr>
            <w:tcW w:w="2552" w:type="dxa"/>
            <w:tcBorders>
              <w:left w:val="nil"/>
              <w:right w:val="nil"/>
            </w:tcBorders>
            <w:vAlign w:val="center"/>
          </w:tcPr>
          <w:p w14:paraId="1CD0EF7D" w14:textId="3214100C" w:rsidR="00E80470" w:rsidRPr="0067542D" w:rsidRDefault="00E80470" w:rsidP="00A569FE">
            <w:pPr>
              <w:jc w:val="center"/>
              <w:rPr>
                <w:rFonts w:cstheme="minorHAnsi"/>
                <w:sz w:val="20"/>
                <w:szCs w:val="20"/>
              </w:rPr>
            </w:pPr>
            <w:r w:rsidRPr="0067542D">
              <w:rPr>
                <w:rFonts w:cstheme="minorHAnsi"/>
                <w:sz w:val="20"/>
                <w:szCs w:val="20"/>
              </w:rPr>
              <w:t>assessed for risk of bias</w:t>
            </w:r>
          </w:p>
        </w:tc>
        <w:tc>
          <w:tcPr>
            <w:tcW w:w="1417" w:type="dxa"/>
            <w:tcBorders>
              <w:left w:val="nil"/>
              <w:right w:val="nil"/>
            </w:tcBorders>
          </w:tcPr>
          <w:p w14:paraId="56396B64" w14:textId="5140A3F7" w:rsidR="00E80470" w:rsidRPr="0067542D" w:rsidRDefault="002525C2" w:rsidP="0067542D">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4AB02011" w14:textId="0292D671"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6BE40C9A" w14:textId="23D4C8B4" w:rsidTr="002F6657">
        <w:trPr>
          <w:gridAfter w:val="1"/>
          <w:wAfter w:w="30" w:type="dxa"/>
          <w:jc w:val="center"/>
        </w:trPr>
        <w:tc>
          <w:tcPr>
            <w:tcW w:w="1218" w:type="dxa"/>
            <w:tcBorders>
              <w:left w:val="nil"/>
              <w:right w:val="nil"/>
            </w:tcBorders>
            <w:vAlign w:val="center"/>
          </w:tcPr>
          <w:p w14:paraId="03C73218" w14:textId="256ED1E9" w:rsidR="00E80470" w:rsidRPr="0067542D" w:rsidRDefault="00E80470" w:rsidP="0067542D">
            <w:pPr>
              <w:jc w:val="center"/>
              <w:rPr>
                <w:rFonts w:cstheme="minorHAnsi"/>
                <w:sz w:val="20"/>
                <w:szCs w:val="20"/>
              </w:rPr>
            </w:pPr>
            <w:r w:rsidRPr="0067542D">
              <w:rPr>
                <w:rFonts w:cstheme="minorHAnsi"/>
                <w:sz w:val="20"/>
                <w:szCs w:val="20"/>
              </w:rPr>
              <w:t>Delgado-</w:t>
            </w:r>
            <w:proofErr w:type="spellStart"/>
            <w:r w:rsidRPr="0067542D">
              <w:rPr>
                <w:rFonts w:cstheme="minorHAnsi"/>
                <w:sz w:val="20"/>
                <w:szCs w:val="20"/>
              </w:rPr>
              <w:t>Noguera</w:t>
            </w:r>
            <w:proofErr w:type="spellEnd"/>
            <w:r>
              <w:rPr>
                <w:rFonts w:cstheme="minorHAnsi"/>
                <w:sz w:val="20"/>
                <w:szCs w:val="20"/>
              </w:rPr>
              <w:t xml:space="preserve"> et al., 2015</w:t>
            </w:r>
            <w:r w:rsidRPr="00EE74F9">
              <w:rPr>
                <w:rFonts w:cstheme="minorHAnsi"/>
                <w:sz w:val="20"/>
                <w:szCs w:val="20"/>
                <w:vertAlign w:val="superscript"/>
              </w:rPr>
              <w:t>3</w:t>
            </w:r>
            <w:r w:rsidR="009F36BF">
              <w:rPr>
                <w:rFonts w:cstheme="minorHAnsi"/>
                <w:sz w:val="20"/>
                <w:szCs w:val="20"/>
                <w:vertAlign w:val="superscript"/>
              </w:rPr>
              <w:t>3</w:t>
            </w:r>
          </w:p>
        </w:tc>
        <w:tc>
          <w:tcPr>
            <w:tcW w:w="1134" w:type="dxa"/>
            <w:tcBorders>
              <w:left w:val="nil"/>
              <w:right w:val="nil"/>
            </w:tcBorders>
            <w:vAlign w:val="center"/>
          </w:tcPr>
          <w:p w14:paraId="6B8DE0F1" w14:textId="7F8455E6" w:rsidR="00E80470" w:rsidRPr="0067542D" w:rsidRDefault="002F6657"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3016D3A8" w14:textId="3E9EC239" w:rsidR="00E80470" w:rsidRPr="0067542D" w:rsidRDefault="00E80470" w:rsidP="0067542D">
            <w:pPr>
              <w:jc w:val="center"/>
              <w:rPr>
                <w:rFonts w:cstheme="minorHAnsi"/>
                <w:sz w:val="20"/>
                <w:szCs w:val="20"/>
              </w:rPr>
            </w:pPr>
            <w:r w:rsidRPr="0067542D">
              <w:rPr>
                <w:rFonts w:cstheme="minorHAnsi"/>
                <w:sz w:val="20"/>
                <w:szCs w:val="20"/>
              </w:rPr>
              <w:t>Denmark (1), Norway (1), USA (1), Australia (1), Sweden (1), Netherlands (1), Germany (2)</w:t>
            </w:r>
          </w:p>
        </w:tc>
        <w:tc>
          <w:tcPr>
            <w:tcW w:w="1139" w:type="dxa"/>
            <w:tcBorders>
              <w:left w:val="nil"/>
              <w:right w:val="nil"/>
            </w:tcBorders>
            <w:vAlign w:val="center"/>
          </w:tcPr>
          <w:p w14:paraId="76C2A70C" w14:textId="3C958D80"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248F8174" w14:textId="02CF897B"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56803660" w14:textId="45E49BC3" w:rsidR="00E80470" w:rsidRPr="0067542D" w:rsidRDefault="00E80470" w:rsidP="0067542D">
            <w:pPr>
              <w:jc w:val="center"/>
              <w:rPr>
                <w:rFonts w:cstheme="minorHAnsi"/>
                <w:sz w:val="20"/>
                <w:szCs w:val="20"/>
              </w:rPr>
            </w:pPr>
            <w:r w:rsidRPr="0067542D">
              <w:rPr>
                <w:rFonts w:cstheme="minorHAnsi"/>
                <w:sz w:val="20"/>
                <w:szCs w:val="20"/>
              </w:rPr>
              <w:t>0 to 2 years; 4 to 7 years</w:t>
            </w:r>
          </w:p>
        </w:tc>
        <w:tc>
          <w:tcPr>
            <w:tcW w:w="2552" w:type="dxa"/>
            <w:tcBorders>
              <w:left w:val="nil"/>
              <w:right w:val="nil"/>
            </w:tcBorders>
            <w:vAlign w:val="center"/>
          </w:tcPr>
          <w:p w14:paraId="54D36BF3" w14:textId="78BF28B7" w:rsidR="00E80470" w:rsidRPr="0067542D" w:rsidRDefault="00E80470" w:rsidP="0067542D">
            <w:pPr>
              <w:jc w:val="center"/>
              <w:rPr>
                <w:rFonts w:cstheme="minorHAnsi"/>
                <w:sz w:val="20"/>
                <w:szCs w:val="20"/>
              </w:rPr>
            </w:pPr>
            <w:r>
              <w:rPr>
                <w:rFonts w:cstheme="minorHAnsi"/>
                <w:sz w:val="20"/>
                <w:szCs w:val="20"/>
              </w:rPr>
              <w:t>t</w:t>
            </w:r>
            <w:r w:rsidRPr="0067542D">
              <w:rPr>
                <w:rFonts w:cstheme="minorHAnsi"/>
                <w:sz w:val="20"/>
                <w:szCs w:val="20"/>
              </w:rPr>
              <w:t>he evidence from the studies was of moderate to low quality</w:t>
            </w:r>
          </w:p>
        </w:tc>
        <w:tc>
          <w:tcPr>
            <w:tcW w:w="1417" w:type="dxa"/>
            <w:tcBorders>
              <w:left w:val="nil"/>
              <w:right w:val="nil"/>
            </w:tcBorders>
            <w:vAlign w:val="center"/>
          </w:tcPr>
          <w:p w14:paraId="02C01306" w14:textId="78B36F9B" w:rsidR="00E80470" w:rsidRPr="0067542D" w:rsidRDefault="000D48D1" w:rsidP="002F6657">
            <w:pPr>
              <w:jc w:val="center"/>
              <w:rPr>
                <w:rFonts w:cstheme="minorHAnsi"/>
                <w:sz w:val="20"/>
                <w:szCs w:val="20"/>
              </w:rPr>
            </w:pPr>
            <w:r>
              <w:rPr>
                <w:rFonts w:cstheme="minorHAnsi"/>
                <w:sz w:val="20"/>
                <w:szCs w:val="20"/>
              </w:rPr>
              <w:t>Cochrane Handbook for Systematic Reviews of Interventions followed</w:t>
            </w:r>
          </w:p>
        </w:tc>
        <w:tc>
          <w:tcPr>
            <w:tcW w:w="1276" w:type="dxa"/>
            <w:tcBorders>
              <w:left w:val="nil"/>
              <w:right w:val="nil"/>
            </w:tcBorders>
            <w:vAlign w:val="center"/>
          </w:tcPr>
          <w:p w14:paraId="0FB2D612" w14:textId="73D9B9F6" w:rsidR="00E80470" w:rsidRPr="0067542D" w:rsidRDefault="00E80470" w:rsidP="00A569FE">
            <w:pPr>
              <w:jc w:val="center"/>
              <w:rPr>
                <w:rFonts w:cstheme="minorHAnsi"/>
                <w:sz w:val="20"/>
                <w:szCs w:val="20"/>
              </w:rPr>
            </w:pPr>
            <w:r w:rsidRPr="0067542D">
              <w:rPr>
                <w:rFonts w:cstheme="minorHAnsi"/>
                <w:sz w:val="20"/>
                <w:szCs w:val="20"/>
              </w:rPr>
              <w:t>low</w:t>
            </w:r>
          </w:p>
        </w:tc>
      </w:tr>
      <w:tr w:rsidR="00E80470" w:rsidRPr="0067542D" w14:paraId="51675BB0" w14:textId="52002A78" w:rsidTr="002F6657">
        <w:trPr>
          <w:gridAfter w:val="1"/>
          <w:wAfter w:w="30" w:type="dxa"/>
          <w:jc w:val="center"/>
        </w:trPr>
        <w:tc>
          <w:tcPr>
            <w:tcW w:w="1218" w:type="dxa"/>
            <w:tcBorders>
              <w:left w:val="nil"/>
              <w:right w:val="nil"/>
            </w:tcBorders>
            <w:vAlign w:val="center"/>
          </w:tcPr>
          <w:p w14:paraId="22AEDCC7" w14:textId="59A95B35" w:rsidR="00E80470" w:rsidRPr="0067542D" w:rsidRDefault="00E80470" w:rsidP="0067542D">
            <w:pPr>
              <w:jc w:val="center"/>
              <w:rPr>
                <w:rFonts w:cstheme="minorHAnsi"/>
                <w:sz w:val="20"/>
                <w:szCs w:val="20"/>
              </w:rPr>
            </w:pPr>
            <w:r w:rsidRPr="0067542D">
              <w:rPr>
                <w:rFonts w:cstheme="minorHAnsi"/>
                <w:sz w:val="20"/>
                <w:szCs w:val="20"/>
              </w:rPr>
              <w:t>Doherty</w:t>
            </w:r>
            <w:r>
              <w:rPr>
                <w:rFonts w:cstheme="minorHAnsi"/>
                <w:sz w:val="20"/>
                <w:szCs w:val="20"/>
              </w:rPr>
              <w:t xml:space="preserve"> et al., 2018</w:t>
            </w:r>
            <w:r w:rsidRPr="00EE74F9">
              <w:rPr>
                <w:rFonts w:cstheme="minorHAnsi"/>
                <w:sz w:val="20"/>
                <w:szCs w:val="20"/>
                <w:vertAlign w:val="superscript"/>
              </w:rPr>
              <w:t>3</w:t>
            </w:r>
            <w:r w:rsidR="009F36BF">
              <w:rPr>
                <w:rFonts w:cstheme="minorHAnsi"/>
                <w:sz w:val="20"/>
                <w:szCs w:val="20"/>
                <w:vertAlign w:val="superscript"/>
              </w:rPr>
              <w:t>4</w:t>
            </w:r>
          </w:p>
        </w:tc>
        <w:tc>
          <w:tcPr>
            <w:tcW w:w="1134" w:type="dxa"/>
            <w:tcBorders>
              <w:left w:val="nil"/>
              <w:right w:val="nil"/>
            </w:tcBorders>
            <w:vAlign w:val="center"/>
          </w:tcPr>
          <w:p w14:paraId="14C6E173" w14:textId="12E05B88" w:rsidR="00E80470" w:rsidRPr="0067542D" w:rsidRDefault="002F6657"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43A9665D" w14:textId="3CFB6E65" w:rsidR="00E80470" w:rsidRPr="0067542D" w:rsidRDefault="00E80470" w:rsidP="0067542D">
            <w:pPr>
              <w:jc w:val="center"/>
              <w:rPr>
                <w:rFonts w:cstheme="minorHAnsi"/>
                <w:sz w:val="20"/>
                <w:szCs w:val="20"/>
              </w:rPr>
            </w:pPr>
            <w:r w:rsidRPr="0067542D">
              <w:rPr>
                <w:rFonts w:cstheme="minorHAnsi"/>
                <w:sz w:val="20"/>
                <w:szCs w:val="20"/>
              </w:rPr>
              <w:t>Zambia (1), USA (1), Finland (2), Sweden (1), Mexico (1)</w:t>
            </w:r>
          </w:p>
        </w:tc>
        <w:tc>
          <w:tcPr>
            <w:tcW w:w="1139" w:type="dxa"/>
            <w:tcBorders>
              <w:left w:val="nil"/>
              <w:right w:val="nil"/>
            </w:tcBorders>
            <w:vAlign w:val="center"/>
          </w:tcPr>
          <w:p w14:paraId="54C8DE4B" w14:textId="50624C47"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3904BB4A" w14:textId="6ED9E25D"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44F653C5" w14:textId="6E385DDB" w:rsidR="00E80470" w:rsidRPr="0067542D" w:rsidRDefault="00E80470" w:rsidP="0067542D">
            <w:pPr>
              <w:jc w:val="center"/>
              <w:rPr>
                <w:rFonts w:cstheme="minorHAnsi"/>
                <w:sz w:val="20"/>
                <w:szCs w:val="20"/>
              </w:rPr>
            </w:pPr>
            <w:r w:rsidRPr="0067542D">
              <w:rPr>
                <w:rFonts w:cstheme="minorHAnsi"/>
                <w:sz w:val="20"/>
                <w:szCs w:val="20"/>
              </w:rPr>
              <w:t xml:space="preserve">12 weeks to 2 years; 5 </w:t>
            </w:r>
            <w:r w:rsidRPr="0067542D">
              <w:rPr>
                <w:rFonts w:cstheme="minorHAnsi"/>
                <w:sz w:val="20"/>
                <w:szCs w:val="20"/>
              </w:rPr>
              <w:lastRenderedPageBreak/>
              <w:t>to 6 years</w:t>
            </w:r>
          </w:p>
        </w:tc>
        <w:tc>
          <w:tcPr>
            <w:tcW w:w="2552" w:type="dxa"/>
            <w:tcBorders>
              <w:left w:val="nil"/>
              <w:right w:val="nil"/>
            </w:tcBorders>
            <w:vAlign w:val="center"/>
          </w:tcPr>
          <w:p w14:paraId="5393CA79" w14:textId="0ADE675C" w:rsidR="00E80470" w:rsidRPr="0067542D" w:rsidRDefault="00E80470" w:rsidP="0067542D">
            <w:pPr>
              <w:jc w:val="center"/>
              <w:rPr>
                <w:rFonts w:cstheme="minorHAnsi"/>
                <w:sz w:val="20"/>
                <w:szCs w:val="20"/>
              </w:rPr>
            </w:pPr>
            <w:r w:rsidRPr="0067542D">
              <w:rPr>
                <w:rFonts w:cstheme="minorHAnsi"/>
                <w:sz w:val="20"/>
                <w:szCs w:val="20"/>
              </w:rPr>
              <w:lastRenderedPageBreak/>
              <w:t>Newcastle–Ottawa Scale (NOS)</w:t>
            </w:r>
          </w:p>
        </w:tc>
        <w:tc>
          <w:tcPr>
            <w:tcW w:w="1417" w:type="dxa"/>
            <w:tcBorders>
              <w:left w:val="nil"/>
              <w:right w:val="nil"/>
            </w:tcBorders>
            <w:vAlign w:val="center"/>
          </w:tcPr>
          <w:p w14:paraId="16F046BA" w14:textId="4CB9905E" w:rsidR="00E80470" w:rsidRPr="0067542D" w:rsidRDefault="002F6657" w:rsidP="002F6657">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38F8982A" w14:textId="1DA67C03" w:rsidR="00E80470" w:rsidRPr="0067542D" w:rsidRDefault="00E80470" w:rsidP="00A569FE">
            <w:pPr>
              <w:jc w:val="center"/>
              <w:rPr>
                <w:rFonts w:cstheme="minorHAnsi"/>
                <w:sz w:val="20"/>
                <w:szCs w:val="20"/>
              </w:rPr>
            </w:pPr>
            <w:r w:rsidRPr="0067542D">
              <w:rPr>
                <w:rFonts w:cstheme="minorHAnsi"/>
                <w:sz w:val="20"/>
                <w:szCs w:val="20"/>
              </w:rPr>
              <w:t>moderate</w:t>
            </w:r>
          </w:p>
        </w:tc>
      </w:tr>
      <w:tr w:rsidR="00E80470" w:rsidRPr="0067542D" w14:paraId="05C8D5AB" w14:textId="61763EF5" w:rsidTr="00626D84">
        <w:trPr>
          <w:gridAfter w:val="1"/>
          <w:wAfter w:w="30" w:type="dxa"/>
          <w:jc w:val="center"/>
        </w:trPr>
        <w:tc>
          <w:tcPr>
            <w:tcW w:w="1218" w:type="dxa"/>
            <w:tcBorders>
              <w:left w:val="nil"/>
              <w:right w:val="nil"/>
            </w:tcBorders>
            <w:vAlign w:val="center"/>
          </w:tcPr>
          <w:p w14:paraId="0C4B7B15" w14:textId="7613670D" w:rsidR="00E80470" w:rsidRPr="0067542D" w:rsidRDefault="00E80470" w:rsidP="0067542D">
            <w:pPr>
              <w:jc w:val="center"/>
              <w:rPr>
                <w:rFonts w:cstheme="minorHAnsi"/>
                <w:sz w:val="20"/>
                <w:szCs w:val="20"/>
              </w:rPr>
            </w:pPr>
            <w:proofErr w:type="spellStart"/>
            <w:r w:rsidRPr="000C69CD">
              <w:rPr>
                <w:rFonts w:cstheme="minorHAnsi"/>
                <w:sz w:val="20"/>
                <w:szCs w:val="20"/>
              </w:rPr>
              <w:t>Ejaredar</w:t>
            </w:r>
            <w:proofErr w:type="spellEnd"/>
            <w:r w:rsidRPr="000C69CD">
              <w:rPr>
                <w:rFonts w:cstheme="minorHAnsi"/>
                <w:sz w:val="20"/>
                <w:szCs w:val="20"/>
              </w:rPr>
              <w:t xml:space="preserve"> et al., 2015</w:t>
            </w:r>
            <w:r w:rsidRPr="000C69CD">
              <w:rPr>
                <w:rFonts w:cstheme="minorHAnsi"/>
                <w:sz w:val="20"/>
                <w:szCs w:val="20"/>
                <w:vertAlign w:val="superscript"/>
              </w:rPr>
              <w:t>3</w:t>
            </w:r>
            <w:r w:rsidR="009F36BF" w:rsidRPr="000C69CD">
              <w:rPr>
                <w:rFonts w:cstheme="minorHAnsi"/>
                <w:sz w:val="20"/>
                <w:szCs w:val="20"/>
                <w:vertAlign w:val="superscript"/>
              </w:rPr>
              <w:t>5</w:t>
            </w:r>
          </w:p>
        </w:tc>
        <w:tc>
          <w:tcPr>
            <w:tcW w:w="1134" w:type="dxa"/>
            <w:tcBorders>
              <w:left w:val="nil"/>
              <w:right w:val="nil"/>
            </w:tcBorders>
            <w:vAlign w:val="center"/>
          </w:tcPr>
          <w:p w14:paraId="6BD91295" w14:textId="4424375D" w:rsidR="00E80470" w:rsidRPr="0067542D" w:rsidRDefault="002F6657"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6E357B56" w14:textId="7998FBFB" w:rsidR="00E80470" w:rsidRPr="0067542D" w:rsidRDefault="00E80470" w:rsidP="0067542D">
            <w:pPr>
              <w:jc w:val="center"/>
              <w:rPr>
                <w:rFonts w:cstheme="minorHAnsi"/>
                <w:sz w:val="20"/>
                <w:szCs w:val="20"/>
              </w:rPr>
            </w:pPr>
            <w:r w:rsidRPr="0067542D">
              <w:rPr>
                <w:rFonts w:cstheme="minorHAnsi"/>
                <w:sz w:val="20"/>
                <w:szCs w:val="20"/>
              </w:rPr>
              <w:t>South Korea (3), USA(6), Mexico (1), Italy (1)</w:t>
            </w:r>
          </w:p>
        </w:tc>
        <w:tc>
          <w:tcPr>
            <w:tcW w:w="1139" w:type="dxa"/>
            <w:tcBorders>
              <w:left w:val="nil"/>
              <w:right w:val="nil"/>
            </w:tcBorders>
            <w:vAlign w:val="center"/>
          </w:tcPr>
          <w:p w14:paraId="14C9718E" w14:textId="66152565"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0F1609DD" w14:textId="37CDE9D9"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1C9E9ED1" w14:textId="0375887C" w:rsidR="00E80470" w:rsidRPr="0067542D" w:rsidRDefault="00E80470" w:rsidP="0067542D">
            <w:pPr>
              <w:jc w:val="center"/>
              <w:rPr>
                <w:rFonts w:cstheme="minorHAnsi"/>
                <w:sz w:val="20"/>
                <w:szCs w:val="20"/>
              </w:rPr>
            </w:pPr>
            <w:r w:rsidRPr="0067542D">
              <w:rPr>
                <w:rFonts w:cstheme="minorHAnsi"/>
                <w:sz w:val="20"/>
                <w:szCs w:val="20"/>
              </w:rPr>
              <w:t>0 to 11 years</w:t>
            </w:r>
          </w:p>
        </w:tc>
        <w:tc>
          <w:tcPr>
            <w:tcW w:w="2552" w:type="dxa"/>
            <w:tcBorders>
              <w:left w:val="nil"/>
              <w:right w:val="nil"/>
            </w:tcBorders>
            <w:vAlign w:val="center"/>
          </w:tcPr>
          <w:p w14:paraId="7ECED8CE" w14:textId="14580442" w:rsidR="00E80470" w:rsidRPr="0067542D" w:rsidRDefault="00E80470" w:rsidP="0067542D">
            <w:pPr>
              <w:jc w:val="center"/>
              <w:rPr>
                <w:rFonts w:cstheme="minorHAnsi"/>
                <w:sz w:val="20"/>
                <w:szCs w:val="20"/>
              </w:rPr>
            </w:pPr>
            <w:r w:rsidRPr="0067542D">
              <w:rPr>
                <w:rFonts w:cstheme="minorHAnsi"/>
                <w:sz w:val="20"/>
                <w:szCs w:val="20"/>
              </w:rPr>
              <w:t>A modified version of the quality assessment tool, designed by Hayden et al. (2006</w:t>
            </w:r>
            <w:r>
              <w:rPr>
                <w:rFonts w:cstheme="minorHAnsi"/>
                <w:sz w:val="20"/>
                <w:szCs w:val="20"/>
              </w:rPr>
              <w:t>)</w:t>
            </w:r>
          </w:p>
        </w:tc>
        <w:tc>
          <w:tcPr>
            <w:tcW w:w="1417" w:type="dxa"/>
            <w:tcBorders>
              <w:left w:val="nil"/>
              <w:right w:val="nil"/>
            </w:tcBorders>
          </w:tcPr>
          <w:p w14:paraId="20600A9C" w14:textId="2F57E83E" w:rsidR="00E80470" w:rsidRPr="0067542D" w:rsidRDefault="0061187A" w:rsidP="0067542D">
            <w:pPr>
              <w:jc w:val="center"/>
              <w:rPr>
                <w:rFonts w:cstheme="minorHAnsi"/>
                <w:sz w:val="20"/>
                <w:szCs w:val="20"/>
              </w:rPr>
            </w:pPr>
            <w:r>
              <w:rPr>
                <w:rFonts w:cstheme="minorHAnsi"/>
                <w:sz w:val="20"/>
                <w:szCs w:val="20"/>
              </w:rPr>
              <w:t xml:space="preserve">MOOSE </w:t>
            </w:r>
            <w:r w:rsidR="004811AA">
              <w:rPr>
                <w:rFonts w:cstheme="minorHAnsi"/>
                <w:sz w:val="20"/>
                <w:szCs w:val="20"/>
              </w:rPr>
              <w:t xml:space="preserve">guidelines </w:t>
            </w:r>
            <w:r w:rsidR="00024B88">
              <w:rPr>
                <w:rFonts w:cstheme="minorHAnsi"/>
                <w:sz w:val="20"/>
                <w:szCs w:val="20"/>
              </w:rPr>
              <w:t>followed</w:t>
            </w:r>
          </w:p>
        </w:tc>
        <w:tc>
          <w:tcPr>
            <w:tcW w:w="1276" w:type="dxa"/>
            <w:tcBorders>
              <w:left w:val="nil"/>
              <w:right w:val="nil"/>
            </w:tcBorders>
            <w:vAlign w:val="center"/>
          </w:tcPr>
          <w:p w14:paraId="0C3F68C8" w14:textId="1AD60A91"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716CB03C" w14:textId="6F0801A6" w:rsidTr="00626D84">
        <w:trPr>
          <w:gridAfter w:val="1"/>
          <w:wAfter w:w="30" w:type="dxa"/>
          <w:jc w:val="center"/>
        </w:trPr>
        <w:tc>
          <w:tcPr>
            <w:tcW w:w="1218" w:type="dxa"/>
            <w:tcBorders>
              <w:left w:val="nil"/>
              <w:right w:val="nil"/>
            </w:tcBorders>
            <w:vAlign w:val="center"/>
          </w:tcPr>
          <w:p w14:paraId="0DEADC9C" w14:textId="61D322DF" w:rsidR="00E80470" w:rsidRPr="0067542D" w:rsidRDefault="00E80470" w:rsidP="0067542D">
            <w:pPr>
              <w:jc w:val="center"/>
              <w:rPr>
                <w:rFonts w:cstheme="minorHAnsi"/>
                <w:sz w:val="20"/>
                <w:szCs w:val="20"/>
              </w:rPr>
            </w:pPr>
            <w:proofErr w:type="spellStart"/>
            <w:r w:rsidRPr="0067542D">
              <w:rPr>
                <w:rFonts w:cstheme="minorHAnsi"/>
                <w:sz w:val="20"/>
                <w:szCs w:val="20"/>
              </w:rPr>
              <w:t>Faucher</w:t>
            </w:r>
            <w:proofErr w:type="spellEnd"/>
            <w:r>
              <w:rPr>
                <w:rFonts w:cstheme="minorHAnsi"/>
                <w:sz w:val="20"/>
                <w:szCs w:val="20"/>
              </w:rPr>
              <w:t xml:space="preserve"> et al., 2016</w:t>
            </w:r>
            <w:r w:rsidRPr="00EE74F9">
              <w:rPr>
                <w:rFonts w:cstheme="minorHAnsi"/>
                <w:sz w:val="20"/>
                <w:szCs w:val="20"/>
                <w:vertAlign w:val="superscript"/>
              </w:rPr>
              <w:t>3</w:t>
            </w:r>
            <w:r w:rsidR="009F36BF">
              <w:rPr>
                <w:rFonts w:cstheme="minorHAnsi"/>
                <w:sz w:val="20"/>
                <w:szCs w:val="20"/>
                <w:vertAlign w:val="superscript"/>
              </w:rPr>
              <w:t>6</w:t>
            </w:r>
          </w:p>
        </w:tc>
        <w:tc>
          <w:tcPr>
            <w:tcW w:w="1134" w:type="dxa"/>
            <w:tcBorders>
              <w:left w:val="nil"/>
              <w:right w:val="nil"/>
            </w:tcBorders>
            <w:vAlign w:val="center"/>
          </w:tcPr>
          <w:p w14:paraId="1015379A" w14:textId="3C6CC526" w:rsidR="00E80470" w:rsidRPr="0067542D" w:rsidRDefault="00CF72AD"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47014E99" w14:textId="01AACA08" w:rsidR="00E80470" w:rsidRPr="0067542D" w:rsidRDefault="00E80470" w:rsidP="0067542D">
            <w:pPr>
              <w:jc w:val="center"/>
              <w:rPr>
                <w:rFonts w:cstheme="minorHAnsi"/>
                <w:sz w:val="20"/>
                <w:szCs w:val="20"/>
              </w:rPr>
            </w:pPr>
            <w:r w:rsidRPr="0067542D">
              <w:rPr>
                <w:rFonts w:cstheme="minorHAnsi"/>
                <w:sz w:val="20"/>
                <w:szCs w:val="20"/>
              </w:rPr>
              <w:t>USA (5), Peru (1)</w:t>
            </w:r>
          </w:p>
        </w:tc>
        <w:tc>
          <w:tcPr>
            <w:tcW w:w="1139" w:type="dxa"/>
            <w:tcBorders>
              <w:left w:val="nil"/>
              <w:right w:val="nil"/>
            </w:tcBorders>
            <w:vAlign w:val="center"/>
          </w:tcPr>
          <w:p w14:paraId="1831261E" w14:textId="54487938" w:rsidR="00E80470" w:rsidRPr="0067542D" w:rsidRDefault="00E80470" w:rsidP="0067542D">
            <w:pPr>
              <w:jc w:val="center"/>
              <w:rPr>
                <w:rFonts w:cstheme="minorHAnsi"/>
                <w:sz w:val="20"/>
                <w:szCs w:val="20"/>
              </w:rPr>
            </w:pPr>
            <w:r w:rsidRPr="0067542D">
              <w:rPr>
                <w:rFonts w:cstheme="minorHAnsi"/>
                <w:sz w:val="20"/>
                <w:szCs w:val="20"/>
              </w:rPr>
              <w:t>5</w:t>
            </w:r>
            <w:r w:rsidRPr="0067542D">
              <w:rPr>
                <w:rFonts w:cstheme="minorHAnsi"/>
                <w:sz w:val="20"/>
                <w:szCs w:val="20"/>
              </w:rPr>
              <w:br/>
              <w:t>(1 significant)</w:t>
            </w:r>
          </w:p>
        </w:tc>
        <w:tc>
          <w:tcPr>
            <w:tcW w:w="3314" w:type="dxa"/>
            <w:tcBorders>
              <w:left w:val="nil"/>
              <w:right w:val="nil"/>
            </w:tcBorders>
            <w:vAlign w:val="center"/>
          </w:tcPr>
          <w:p w14:paraId="308FFAE8" w14:textId="61DB4DDD" w:rsidR="00E80470" w:rsidRPr="0067542D" w:rsidRDefault="00E80470" w:rsidP="0067542D">
            <w:pPr>
              <w:jc w:val="center"/>
              <w:rPr>
                <w:rFonts w:cstheme="minorHAnsi"/>
                <w:sz w:val="20"/>
                <w:szCs w:val="20"/>
              </w:rPr>
            </w:pPr>
            <w:r w:rsidRPr="0067542D">
              <w:rPr>
                <w:rFonts w:cstheme="minorHAnsi"/>
                <w:sz w:val="20"/>
                <w:szCs w:val="20"/>
              </w:rPr>
              <w:t>Odds ratio for risk of medically indicated preterm birth: 1.54; 95% CI: 1.09, –2.16</w:t>
            </w:r>
          </w:p>
        </w:tc>
        <w:tc>
          <w:tcPr>
            <w:tcW w:w="992" w:type="dxa"/>
            <w:tcBorders>
              <w:left w:val="nil"/>
              <w:right w:val="nil"/>
            </w:tcBorders>
            <w:vAlign w:val="center"/>
          </w:tcPr>
          <w:p w14:paraId="7CB7863A" w14:textId="4F019C24" w:rsidR="00E80470" w:rsidRPr="0067542D" w:rsidRDefault="00E80470" w:rsidP="0067542D">
            <w:pPr>
              <w:jc w:val="center"/>
              <w:rPr>
                <w:rFonts w:cstheme="minorHAnsi"/>
                <w:sz w:val="20"/>
                <w:szCs w:val="20"/>
              </w:rPr>
            </w:pPr>
            <w:r w:rsidRPr="0067542D">
              <w:rPr>
                <w:rFonts w:cstheme="minorHAnsi"/>
                <w:sz w:val="20"/>
                <w:szCs w:val="20"/>
              </w:rPr>
              <w:t>Birth (0 years)</w:t>
            </w:r>
          </w:p>
        </w:tc>
        <w:tc>
          <w:tcPr>
            <w:tcW w:w="2552" w:type="dxa"/>
            <w:tcBorders>
              <w:left w:val="nil"/>
              <w:right w:val="nil"/>
            </w:tcBorders>
            <w:vAlign w:val="center"/>
          </w:tcPr>
          <w:p w14:paraId="6AD84DBA" w14:textId="32C81209" w:rsidR="00E80470" w:rsidRPr="0067542D" w:rsidRDefault="00E80470" w:rsidP="0067542D">
            <w:pPr>
              <w:jc w:val="center"/>
              <w:rPr>
                <w:rFonts w:cstheme="minorHAnsi"/>
                <w:sz w:val="20"/>
                <w:szCs w:val="20"/>
              </w:rPr>
            </w:pPr>
            <w:r w:rsidRPr="0067542D">
              <w:rPr>
                <w:rFonts w:cstheme="minorHAnsi"/>
                <w:sz w:val="20"/>
                <w:szCs w:val="20"/>
              </w:rPr>
              <w:t>Newcastle–Ottawa Scale (NOS)</w:t>
            </w:r>
          </w:p>
        </w:tc>
        <w:tc>
          <w:tcPr>
            <w:tcW w:w="1417" w:type="dxa"/>
            <w:tcBorders>
              <w:left w:val="nil"/>
              <w:right w:val="nil"/>
            </w:tcBorders>
          </w:tcPr>
          <w:p w14:paraId="1CEC6A97" w14:textId="39AAAD4B" w:rsidR="00E80470" w:rsidRPr="0067542D" w:rsidRDefault="0061187A" w:rsidP="00A569FE">
            <w:pPr>
              <w:jc w:val="center"/>
              <w:rPr>
                <w:rFonts w:cstheme="minorHAnsi"/>
                <w:sz w:val="20"/>
                <w:szCs w:val="20"/>
              </w:rPr>
            </w:pPr>
            <w:r>
              <w:rPr>
                <w:rFonts w:cstheme="minorHAnsi"/>
                <w:sz w:val="20"/>
                <w:szCs w:val="20"/>
              </w:rPr>
              <w:t>MOOSE</w:t>
            </w:r>
            <w:r w:rsidR="004811AA">
              <w:rPr>
                <w:rFonts w:cstheme="minorHAnsi"/>
                <w:sz w:val="20"/>
                <w:szCs w:val="20"/>
              </w:rPr>
              <w:t xml:space="preserve"> guidelines </w:t>
            </w:r>
            <w:r w:rsidR="00024B88">
              <w:rPr>
                <w:rFonts w:cstheme="minorHAnsi"/>
                <w:sz w:val="20"/>
                <w:szCs w:val="20"/>
              </w:rPr>
              <w:t>followed</w:t>
            </w:r>
          </w:p>
        </w:tc>
        <w:tc>
          <w:tcPr>
            <w:tcW w:w="1276" w:type="dxa"/>
            <w:tcBorders>
              <w:left w:val="nil"/>
              <w:right w:val="nil"/>
            </w:tcBorders>
            <w:vAlign w:val="center"/>
          </w:tcPr>
          <w:p w14:paraId="27A55EAD" w14:textId="1F83C36A" w:rsidR="00E80470" w:rsidRPr="0067542D" w:rsidRDefault="00E80470" w:rsidP="00A569FE">
            <w:pPr>
              <w:jc w:val="center"/>
              <w:rPr>
                <w:rFonts w:cstheme="minorHAnsi"/>
                <w:sz w:val="20"/>
                <w:szCs w:val="20"/>
              </w:rPr>
            </w:pPr>
            <w:r w:rsidRPr="0067542D">
              <w:rPr>
                <w:rFonts w:cstheme="minorHAnsi"/>
                <w:sz w:val="20"/>
                <w:szCs w:val="20"/>
              </w:rPr>
              <w:t>moderate</w:t>
            </w:r>
          </w:p>
        </w:tc>
      </w:tr>
      <w:tr w:rsidR="00E80470" w:rsidRPr="0067542D" w14:paraId="3CCFD6DE" w14:textId="6C5C33A5" w:rsidTr="0061187A">
        <w:trPr>
          <w:gridAfter w:val="1"/>
          <w:wAfter w:w="30" w:type="dxa"/>
          <w:jc w:val="center"/>
        </w:trPr>
        <w:tc>
          <w:tcPr>
            <w:tcW w:w="1218" w:type="dxa"/>
            <w:tcBorders>
              <w:left w:val="nil"/>
              <w:right w:val="nil"/>
            </w:tcBorders>
            <w:vAlign w:val="center"/>
          </w:tcPr>
          <w:p w14:paraId="72E8E5AC" w14:textId="090FD0EE" w:rsidR="00E80470" w:rsidRPr="0067542D" w:rsidRDefault="00E80470" w:rsidP="0067542D">
            <w:pPr>
              <w:jc w:val="center"/>
              <w:rPr>
                <w:rFonts w:cstheme="minorHAnsi"/>
                <w:sz w:val="20"/>
                <w:szCs w:val="20"/>
              </w:rPr>
            </w:pPr>
            <w:proofErr w:type="spellStart"/>
            <w:r w:rsidRPr="0067542D">
              <w:rPr>
                <w:rFonts w:cstheme="minorHAnsi"/>
                <w:sz w:val="20"/>
                <w:szCs w:val="20"/>
              </w:rPr>
              <w:t>Figueiró</w:t>
            </w:r>
            <w:proofErr w:type="spellEnd"/>
            <w:r w:rsidRPr="0067542D">
              <w:rPr>
                <w:rFonts w:cstheme="minorHAnsi"/>
                <w:sz w:val="20"/>
                <w:szCs w:val="20"/>
              </w:rPr>
              <w:t>-Filho</w:t>
            </w:r>
            <w:r>
              <w:rPr>
                <w:rFonts w:cstheme="minorHAnsi"/>
                <w:sz w:val="20"/>
                <w:szCs w:val="20"/>
              </w:rPr>
              <w:t xml:space="preserve"> et al., 2017</w:t>
            </w:r>
            <w:r w:rsidRPr="00EE74F9">
              <w:rPr>
                <w:rFonts w:cstheme="minorHAnsi"/>
                <w:sz w:val="20"/>
                <w:szCs w:val="20"/>
                <w:vertAlign w:val="superscript"/>
              </w:rPr>
              <w:t>3</w:t>
            </w:r>
            <w:r w:rsidR="009F36BF">
              <w:rPr>
                <w:rFonts w:cstheme="minorHAnsi"/>
                <w:sz w:val="20"/>
                <w:szCs w:val="20"/>
                <w:vertAlign w:val="superscript"/>
              </w:rPr>
              <w:t>7</w:t>
            </w:r>
          </w:p>
        </w:tc>
        <w:tc>
          <w:tcPr>
            <w:tcW w:w="1134" w:type="dxa"/>
            <w:tcBorders>
              <w:left w:val="nil"/>
              <w:right w:val="nil"/>
            </w:tcBorders>
            <w:vAlign w:val="center"/>
          </w:tcPr>
          <w:p w14:paraId="1A7C2B51" w14:textId="33D41EE5" w:rsidR="00E80470" w:rsidRPr="0067542D" w:rsidRDefault="0061187A"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3DA5173C" w14:textId="1902C63F" w:rsidR="00E80470" w:rsidRPr="0067542D" w:rsidRDefault="00E80470" w:rsidP="0067542D">
            <w:pPr>
              <w:jc w:val="center"/>
              <w:rPr>
                <w:rFonts w:cstheme="minorHAnsi"/>
                <w:sz w:val="20"/>
                <w:szCs w:val="20"/>
              </w:rPr>
            </w:pPr>
            <w:r w:rsidRPr="0067542D">
              <w:rPr>
                <w:rFonts w:cstheme="minorHAnsi"/>
                <w:sz w:val="20"/>
                <w:szCs w:val="20"/>
              </w:rPr>
              <w:t>UK (1), Denmark (1), Switzerland (1), Italy (1), Finland (1)</w:t>
            </w:r>
          </w:p>
        </w:tc>
        <w:tc>
          <w:tcPr>
            <w:tcW w:w="1139" w:type="dxa"/>
            <w:tcBorders>
              <w:left w:val="nil"/>
              <w:right w:val="nil"/>
            </w:tcBorders>
            <w:vAlign w:val="center"/>
          </w:tcPr>
          <w:p w14:paraId="017934BD" w14:textId="7B5F37E6"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21E8E545" w14:textId="7190EF23"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49CC61F6" w14:textId="0BCFF988" w:rsidR="00E80470" w:rsidRPr="0067542D" w:rsidRDefault="00E80470" w:rsidP="0067542D">
            <w:pPr>
              <w:jc w:val="center"/>
              <w:rPr>
                <w:rFonts w:cstheme="minorHAnsi"/>
                <w:sz w:val="20"/>
                <w:szCs w:val="20"/>
              </w:rPr>
            </w:pPr>
            <w:r w:rsidRPr="0067542D">
              <w:rPr>
                <w:rFonts w:cstheme="minorHAnsi"/>
                <w:sz w:val="20"/>
                <w:szCs w:val="20"/>
              </w:rPr>
              <w:t>0 to 11.5 years; 17 to 19 years; 25 to 70 years</w:t>
            </w:r>
          </w:p>
        </w:tc>
        <w:tc>
          <w:tcPr>
            <w:tcW w:w="2552" w:type="dxa"/>
            <w:tcBorders>
              <w:left w:val="nil"/>
              <w:right w:val="nil"/>
            </w:tcBorders>
            <w:vAlign w:val="center"/>
          </w:tcPr>
          <w:p w14:paraId="0D054CB8" w14:textId="39383BD0" w:rsidR="00E80470" w:rsidRPr="0067542D" w:rsidRDefault="00E80470" w:rsidP="0067542D">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0B22EE3C" w14:textId="44F3F5C4" w:rsidR="00E80470" w:rsidRPr="0067542D" w:rsidRDefault="0061187A" w:rsidP="0061187A">
            <w:pPr>
              <w:jc w:val="center"/>
              <w:rPr>
                <w:rFonts w:cstheme="minorHAnsi"/>
                <w:sz w:val="20"/>
                <w:szCs w:val="20"/>
              </w:rPr>
            </w:pPr>
            <w:r>
              <w:rPr>
                <w:rFonts w:cstheme="minorHAnsi"/>
                <w:sz w:val="20"/>
                <w:szCs w:val="20"/>
              </w:rPr>
              <w:t>Only use of PRISMA flowchart specified</w:t>
            </w:r>
          </w:p>
        </w:tc>
        <w:tc>
          <w:tcPr>
            <w:tcW w:w="1276" w:type="dxa"/>
            <w:tcBorders>
              <w:left w:val="nil"/>
              <w:right w:val="nil"/>
            </w:tcBorders>
            <w:vAlign w:val="center"/>
          </w:tcPr>
          <w:p w14:paraId="40D7054A" w14:textId="34C1D55C" w:rsidR="00E80470" w:rsidRPr="0067542D" w:rsidRDefault="00E80470" w:rsidP="0067542D">
            <w:pPr>
              <w:jc w:val="center"/>
              <w:rPr>
                <w:rFonts w:cstheme="minorHAnsi"/>
                <w:sz w:val="20"/>
                <w:szCs w:val="20"/>
              </w:rPr>
            </w:pPr>
            <w:r w:rsidRPr="0067542D">
              <w:rPr>
                <w:rFonts w:cstheme="minorHAnsi"/>
                <w:sz w:val="20"/>
                <w:szCs w:val="20"/>
              </w:rPr>
              <w:t>N/A</w:t>
            </w:r>
          </w:p>
        </w:tc>
      </w:tr>
      <w:tr w:rsidR="00E80470" w:rsidRPr="0067542D" w14:paraId="43DBB41B" w14:textId="400A0CAE" w:rsidTr="00E8025B">
        <w:trPr>
          <w:gridAfter w:val="1"/>
          <w:wAfter w:w="30" w:type="dxa"/>
          <w:jc w:val="center"/>
        </w:trPr>
        <w:tc>
          <w:tcPr>
            <w:tcW w:w="1218" w:type="dxa"/>
            <w:tcBorders>
              <w:left w:val="nil"/>
              <w:right w:val="nil"/>
            </w:tcBorders>
            <w:vAlign w:val="center"/>
          </w:tcPr>
          <w:p w14:paraId="462BCB15" w14:textId="1E0BFD85" w:rsidR="00E80470" w:rsidRPr="0067542D" w:rsidRDefault="00E80470" w:rsidP="0067542D">
            <w:pPr>
              <w:jc w:val="center"/>
              <w:rPr>
                <w:rFonts w:cstheme="minorHAnsi"/>
                <w:sz w:val="20"/>
                <w:szCs w:val="20"/>
              </w:rPr>
            </w:pPr>
            <w:r w:rsidRPr="0067542D">
              <w:rPr>
                <w:rFonts w:cstheme="minorHAnsi"/>
                <w:sz w:val="20"/>
                <w:szCs w:val="20"/>
              </w:rPr>
              <w:t>Garcia-Larsen</w:t>
            </w:r>
            <w:r>
              <w:rPr>
                <w:rFonts w:cstheme="minorHAnsi"/>
                <w:sz w:val="20"/>
                <w:szCs w:val="20"/>
              </w:rPr>
              <w:t xml:space="preserve"> et al., 2018</w:t>
            </w:r>
            <w:r w:rsidRPr="00EE74F9">
              <w:rPr>
                <w:rFonts w:cstheme="minorHAnsi"/>
                <w:sz w:val="20"/>
                <w:szCs w:val="20"/>
                <w:vertAlign w:val="superscript"/>
              </w:rPr>
              <w:t>3</w:t>
            </w:r>
            <w:r w:rsidR="009F36BF">
              <w:rPr>
                <w:rFonts w:cstheme="minorHAnsi"/>
                <w:sz w:val="20"/>
                <w:szCs w:val="20"/>
                <w:vertAlign w:val="superscript"/>
              </w:rPr>
              <w:t>8</w:t>
            </w:r>
          </w:p>
        </w:tc>
        <w:tc>
          <w:tcPr>
            <w:tcW w:w="1134" w:type="dxa"/>
            <w:tcBorders>
              <w:left w:val="nil"/>
              <w:right w:val="nil"/>
            </w:tcBorders>
            <w:vAlign w:val="center"/>
          </w:tcPr>
          <w:p w14:paraId="30C85E7C" w14:textId="6BB1F3BB" w:rsidR="00E80470" w:rsidRPr="0067542D" w:rsidRDefault="00E8025B"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30F8BF8E" w14:textId="2B138D9C" w:rsidR="00E80470" w:rsidRPr="0067542D" w:rsidRDefault="00E80470" w:rsidP="0067542D">
            <w:pPr>
              <w:jc w:val="center"/>
              <w:rPr>
                <w:rFonts w:cstheme="minorHAnsi"/>
                <w:sz w:val="20"/>
                <w:szCs w:val="20"/>
              </w:rPr>
            </w:pPr>
            <w:r w:rsidRPr="0067542D">
              <w:rPr>
                <w:rFonts w:cstheme="minorHAnsi"/>
                <w:sz w:val="20"/>
                <w:szCs w:val="20"/>
              </w:rPr>
              <w:t xml:space="preserve">Belarus (2), Finland (6), Australia (6), Sweden (6), Greece (1), Denmark (5), Germany (5), UK (16), Slovenia (1), Denmark (1), Italy (2), Spain (3), Netherlands (1), Taiwan (1), Brazil (2), Canada (1), New Zealand (2), USA (8), Central Europe (1), France (1), Belgium (1), Japan (2), China (1), South Korea (1), Serbia (1), Iraq (1), Czech Republic (1), Norway (1), Luxembourg (1), Romania (1), Lithuania (1), Bulgaria (1), Israel (1), Qatar (1), Iran (1), Switzerland (1),Austria (1), Mexico (1), Taiwan (1), Tasmania (1), Poland (1), Slovakia (1), Guinea-Bissau (1), </w:t>
            </w:r>
            <w:r w:rsidRPr="0067542D">
              <w:rPr>
                <w:rFonts w:cstheme="minorHAnsi"/>
                <w:sz w:val="20"/>
                <w:szCs w:val="20"/>
              </w:rPr>
              <w:lastRenderedPageBreak/>
              <w:t>Nepal (1), Hungary (1), Singapore (1), Philippines (1), Ukraine (1), Thailand (1), India (1), Chile (1), Ethiopia (1), Iceland (1), Turkey (1)</w:t>
            </w:r>
          </w:p>
        </w:tc>
        <w:tc>
          <w:tcPr>
            <w:tcW w:w="1139" w:type="dxa"/>
            <w:tcBorders>
              <w:left w:val="nil"/>
              <w:right w:val="nil"/>
            </w:tcBorders>
            <w:vAlign w:val="center"/>
          </w:tcPr>
          <w:p w14:paraId="51D9657B" w14:textId="0EF07B9A" w:rsidR="00E80470" w:rsidRPr="0067542D" w:rsidRDefault="00E80470" w:rsidP="0067542D">
            <w:pPr>
              <w:jc w:val="center"/>
              <w:rPr>
                <w:rFonts w:cstheme="minorHAnsi"/>
                <w:sz w:val="20"/>
                <w:szCs w:val="20"/>
              </w:rPr>
            </w:pPr>
            <w:r w:rsidRPr="0067542D">
              <w:rPr>
                <w:rFonts w:cstheme="minorHAnsi"/>
                <w:sz w:val="20"/>
                <w:szCs w:val="20"/>
              </w:rPr>
              <w:lastRenderedPageBreak/>
              <w:t>more than 10</w:t>
            </w:r>
            <w:r w:rsidRPr="0067542D">
              <w:rPr>
                <w:rFonts w:cstheme="minorHAnsi"/>
                <w:sz w:val="20"/>
                <w:szCs w:val="20"/>
              </w:rPr>
              <w:br/>
              <w:t>(2 significant)</w:t>
            </w:r>
          </w:p>
        </w:tc>
        <w:tc>
          <w:tcPr>
            <w:tcW w:w="3314" w:type="dxa"/>
            <w:tcBorders>
              <w:left w:val="nil"/>
              <w:right w:val="nil"/>
            </w:tcBorders>
            <w:vAlign w:val="center"/>
          </w:tcPr>
          <w:p w14:paraId="1C16F0AF" w14:textId="6BF863D5" w:rsidR="00E80470" w:rsidRPr="0067542D" w:rsidRDefault="00E80470" w:rsidP="0067542D">
            <w:pPr>
              <w:jc w:val="center"/>
              <w:rPr>
                <w:rFonts w:cstheme="minorHAnsi"/>
                <w:sz w:val="20"/>
                <w:szCs w:val="20"/>
              </w:rPr>
            </w:pPr>
            <w:r w:rsidRPr="0067542D">
              <w:rPr>
                <w:rFonts w:cstheme="minorHAnsi"/>
                <w:sz w:val="20"/>
                <w:szCs w:val="20"/>
              </w:rPr>
              <w:t>Risk ratio for risk of eczema: 0.78; 95% CI: 0.68–0.90,</w:t>
            </w:r>
            <w:r w:rsidRPr="0067542D">
              <w:rPr>
                <w:rFonts w:cstheme="minorHAnsi"/>
                <w:sz w:val="20"/>
                <w:szCs w:val="20"/>
              </w:rPr>
              <w:br/>
              <w:t>Risk ratio for risk of allergic sensitisation to egg: 0.69, 95% CI: 0.53–0.90</w:t>
            </w:r>
          </w:p>
        </w:tc>
        <w:tc>
          <w:tcPr>
            <w:tcW w:w="992" w:type="dxa"/>
            <w:tcBorders>
              <w:left w:val="nil"/>
              <w:right w:val="nil"/>
            </w:tcBorders>
            <w:vAlign w:val="center"/>
          </w:tcPr>
          <w:p w14:paraId="4E9B95FC" w14:textId="44A491D3" w:rsidR="00E80470" w:rsidRPr="0067542D" w:rsidRDefault="00E80470" w:rsidP="0067542D">
            <w:pPr>
              <w:jc w:val="center"/>
              <w:rPr>
                <w:rFonts w:cstheme="minorHAnsi"/>
                <w:sz w:val="20"/>
                <w:szCs w:val="20"/>
              </w:rPr>
            </w:pPr>
            <w:r w:rsidRPr="0067542D">
              <w:rPr>
                <w:rFonts w:cstheme="minorHAnsi"/>
                <w:sz w:val="20"/>
                <w:szCs w:val="20"/>
              </w:rPr>
              <w:t>0 to 18 years</w:t>
            </w:r>
          </w:p>
        </w:tc>
        <w:tc>
          <w:tcPr>
            <w:tcW w:w="2552" w:type="dxa"/>
            <w:tcBorders>
              <w:left w:val="nil"/>
              <w:right w:val="nil"/>
            </w:tcBorders>
            <w:vAlign w:val="center"/>
          </w:tcPr>
          <w:p w14:paraId="496BD513" w14:textId="51005767" w:rsidR="00E80470" w:rsidRPr="0067542D" w:rsidRDefault="00E80470" w:rsidP="0067542D">
            <w:pPr>
              <w:jc w:val="center"/>
              <w:rPr>
                <w:rFonts w:cstheme="minorHAnsi"/>
                <w:sz w:val="20"/>
                <w:szCs w:val="20"/>
              </w:rPr>
            </w:pPr>
            <w:r w:rsidRPr="0067542D">
              <w:rPr>
                <w:rFonts w:cstheme="minorHAnsi"/>
                <w:sz w:val="20"/>
                <w:szCs w:val="20"/>
              </w:rPr>
              <w:t xml:space="preserve">GRADE assessment of </w:t>
            </w:r>
            <w:r>
              <w:rPr>
                <w:rFonts w:cstheme="minorHAnsi"/>
                <w:sz w:val="20"/>
                <w:szCs w:val="20"/>
              </w:rPr>
              <w:t>r</w:t>
            </w:r>
            <w:r w:rsidRPr="0067542D">
              <w:rPr>
                <w:rFonts w:cstheme="minorHAnsi"/>
                <w:sz w:val="20"/>
                <w:szCs w:val="20"/>
              </w:rPr>
              <w:t>isk of bias</w:t>
            </w:r>
            <w:r w:rsidRPr="0067542D">
              <w:rPr>
                <w:rFonts w:cstheme="minorHAnsi"/>
                <w:sz w:val="20"/>
                <w:szCs w:val="20"/>
              </w:rPr>
              <w:br/>
            </w:r>
          </w:p>
        </w:tc>
        <w:tc>
          <w:tcPr>
            <w:tcW w:w="1417" w:type="dxa"/>
            <w:tcBorders>
              <w:left w:val="nil"/>
              <w:right w:val="nil"/>
            </w:tcBorders>
            <w:vAlign w:val="center"/>
          </w:tcPr>
          <w:p w14:paraId="4697C0A0" w14:textId="7F55E8A6" w:rsidR="00E80470" w:rsidRPr="0067542D" w:rsidRDefault="00E8025B" w:rsidP="00E8025B">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41D5D34B" w14:textId="561A3608"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53877040" w14:textId="6611EA0A" w:rsidTr="00A50197">
        <w:trPr>
          <w:gridAfter w:val="1"/>
          <w:wAfter w:w="30" w:type="dxa"/>
          <w:jc w:val="center"/>
        </w:trPr>
        <w:tc>
          <w:tcPr>
            <w:tcW w:w="1218" w:type="dxa"/>
            <w:tcBorders>
              <w:left w:val="nil"/>
              <w:right w:val="nil"/>
            </w:tcBorders>
            <w:vAlign w:val="center"/>
          </w:tcPr>
          <w:p w14:paraId="72A4ECBB" w14:textId="629BF18F" w:rsidR="00E80470" w:rsidRPr="0067542D" w:rsidRDefault="00E80470" w:rsidP="0067542D">
            <w:pPr>
              <w:jc w:val="center"/>
              <w:rPr>
                <w:rFonts w:cstheme="minorHAnsi"/>
                <w:sz w:val="20"/>
                <w:szCs w:val="20"/>
              </w:rPr>
            </w:pPr>
            <w:r w:rsidRPr="0067542D">
              <w:rPr>
                <w:rFonts w:cstheme="minorHAnsi"/>
                <w:sz w:val="20"/>
                <w:szCs w:val="20"/>
              </w:rPr>
              <w:t>Grot</w:t>
            </w:r>
            <w:r>
              <w:rPr>
                <w:rFonts w:cstheme="minorHAnsi"/>
                <w:sz w:val="20"/>
                <w:szCs w:val="20"/>
              </w:rPr>
              <w:t xml:space="preserve"> et al., 2010</w:t>
            </w:r>
            <w:r w:rsidRPr="00EE74F9">
              <w:rPr>
                <w:rFonts w:cstheme="minorHAnsi"/>
                <w:sz w:val="20"/>
                <w:szCs w:val="20"/>
                <w:vertAlign w:val="superscript"/>
              </w:rPr>
              <w:t>3</w:t>
            </w:r>
            <w:r w:rsidR="009F36BF">
              <w:rPr>
                <w:rFonts w:cstheme="minorHAnsi"/>
                <w:sz w:val="20"/>
                <w:szCs w:val="20"/>
                <w:vertAlign w:val="superscript"/>
              </w:rPr>
              <w:t>9</w:t>
            </w:r>
          </w:p>
        </w:tc>
        <w:tc>
          <w:tcPr>
            <w:tcW w:w="1134" w:type="dxa"/>
            <w:tcBorders>
              <w:left w:val="nil"/>
              <w:right w:val="nil"/>
            </w:tcBorders>
            <w:vAlign w:val="center"/>
          </w:tcPr>
          <w:p w14:paraId="7C5ADD7F" w14:textId="24E04426" w:rsidR="00E80470" w:rsidRPr="0067542D" w:rsidRDefault="00E8025B"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69460E15" w14:textId="11DD92F1" w:rsidR="00E80470" w:rsidRPr="0067542D" w:rsidRDefault="00E80470" w:rsidP="0067542D">
            <w:pPr>
              <w:jc w:val="center"/>
              <w:rPr>
                <w:rFonts w:cstheme="minorHAnsi"/>
                <w:sz w:val="20"/>
                <w:szCs w:val="20"/>
              </w:rPr>
            </w:pPr>
            <w:r w:rsidRPr="0067542D">
              <w:rPr>
                <w:rFonts w:cstheme="minorHAnsi"/>
                <w:sz w:val="20"/>
                <w:szCs w:val="20"/>
              </w:rPr>
              <w:t>Sweden (1), Norway (1), Hong Kong (1), USA (16), France (2), Germany (1), UK (1), Brazil (1), Pakistan (1), India (1), Netherlands (1), Denmark(2)</w:t>
            </w:r>
          </w:p>
        </w:tc>
        <w:tc>
          <w:tcPr>
            <w:tcW w:w="1139" w:type="dxa"/>
            <w:tcBorders>
              <w:left w:val="nil"/>
              <w:right w:val="nil"/>
            </w:tcBorders>
            <w:vAlign w:val="center"/>
          </w:tcPr>
          <w:p w14:paraId="3F971C49" w14:textId="3AC27EF7" w:rsidR="00E80470" w:rsidRPr="0067542D" w:rsidRDefault="00E80470" w:rsidP="0067542D">
            <w:pPr>
              <w:jc w:val="center"/>
              <w:rPr>
                <w:rFonts w:cstheme="minorHAnsi"/>
                <w:sz w:val="20"/>
                <w:szCs w:val="20"/>
              </w:rPr>
            </w:pPr>
            <w:r w:rsidRPr="0067542D">
              <w:rPr>
                <w:rFonts w:cstheme="minorHAnsi"/>
                <w:sz w:val="20"/>
                <w:szCs w:val="20"/>
              </w:rPr>
              <w:t>3</w:t>
            </w:r>
          </w:p>
        </w:tc>
        <w:tc>
          <w:tcPr>
            <w:tcW w:w="3314" w:type="dxa"/>
            <w:tcBorders>
              <w:left w:val="nil"/>
              <w:right w:val="nil"/>
            </w:tcBorders>
            <w:vAlign w:val="center"/>
          </w:tcPr>
          <w:p w14:paraId="23250280" w14:textId="7570C910" w:rsidR="00E80470" w:rsidRPr="0067542D" w:rsidRDefault="00E80470" w:rsidP="0067542D">
            <w:pPr>
              <w:jc w:val="center"/>
              <w:rPr>
                <w:rFonts w:cstheme="minorHAnsi"/>
                <w:sz w:val="20"/>
                <w:szCs w:val="20"/>
              </w:rPr>
            </w:pPr>
            <w:r w:rsidRPr="0067542D">
              <w:rPr>
                <w:rFonts w:cstheme="minorHAnsi"/>
                <w:sz w:val="20"/>
                <w:szCs w:val="20"/>
              </w:rPr>
              <w:t>Risk ratio for preterm birth: 1.13; 95% CI: 1.06-1.21</w:t>
            </w:r>
            <w:r w:rsidRPr="0067542D">
              <w:rPr>
                <w:rFonts w:cstheme="minorHAnsi"/>
                <w:sz w:val="20"/>
                <w:szCs w:val="20"/>
              </w:rPr>
              <w:br/>
              <w:t>Risk ratio for low birth weight: 1.18; 95% CI: 1.07-1.30,</w:t>
            </w:r>
            <w:r w:rsidRPr="0067542D">
              <w:rPr>
                <w:rFonts w:cstheme="minorHAnsi"/>
                <w:sz w:val="20"/>
                <w:szCs w:val="20"/>
              </w:rPr>
              <w:br/>
              <w:t>Risk ratio for intrauterine growth restriction: 1.03; 95% CI: 0.99-1.08</w:t>
            </w:r>
          </w:p>
        </w:tc>
        <w:tc>
          <w:tcPr>
            <w:tcW w:w="992" w:type="dxa"/>
            <w:tcBorders>
              <w:left w:val="nil"/>
              <w:right w:val="nil"/>
            </w:tcBorders>
            <w:vAlign w:val="center"/>
          </w:tcPr>
          <w:p w14:paraId="1AEEE966" w14:textId="787B2710" w:rsidR="00E80470" w:rsidRPr="0067542D" w:rsidRDefault="00E80470" w:rsidP="0067542D">
            <w:pPr>
              <w:jc w:val="center"/>
              <w:rPr>
                <w:rFonts w:cstheme="minorHAnsi"/>
                <w:sz w:val="20"/>
                <w:szCs w:val="20"/>
              </w:rPr>
            </w:pPr>
            <w:r w:rsidRPr="0067542D">
              <w:rPr>
                <w:rFonts w:cstheme="minorHAnsi"/>
                <w:sz w:val="20"/>
                <w:szCs w:val="20"/>
              </w:rPr>
              <w:t>Birth (0 years)</w:t>
            </w:r>
          </w:p>
        </w:tc>
        <w:tc>
          <w:tcPr>
            <w:tcW w:w="2552" w:type="dxa"/>
            <w:tcBorders>
              <w:left w:val="nil"/>
              <w:right w:val="nil"/>
            </w:tcBorders>
            <w:vAlign w:val="center"/>
          </w:tcPr>
          <w:p w14:paraId="6F48A7CF" w14:textId="3F70528F" w:rsidR="00E80470" w:rsidRPr="0067542D" w:rsidRDefault="00E80470" w:rsidP="0067542D">
            <w:pPr>
              <w:jc w:val="center"/>
              <w:rPr>
                <w:rFonts w:cstheme="minorHAnsi"/>
                <w:sz w:val="20"/>
                <w:szCs w:val="20"/>
              </w:rPr>
            </w:pPr>
            <w:r w:rsidRPr="0067542D">
              <w:rPr>
                <w:rFonts w:cstheme="minorHAnsi"/>
                <w:sz w:val="20"/>
                <w:szCs w:val="20"/>
              </w:rPr>
              <w:t>modified Downs and Black instrument</w:t>
            </w:r>
          </w:p>
        </w:tc>
        <w:tc>
          <w:tcPr>
            <w:tcW w:w="1417" w:type="dxa"/>
            <w:tcBorders>
              <w:left w:val="nil"/>
              <w:right w:val="nil"/>
            </w:tcBorders>
            <w:vAlign w:val="center"/>
          </w:tcPr>
          <w:p w14:paraId="23CA67EA" w14:textId="673FDBB7" w:rsidR="00E80470" w:rsidRPr="00DD77AA" w:rsidRDefault="004811AA" w:rsidP="00DD77AA">
            <w:pPr>
              <w:jc w:val="center"/>
            </w:pPr>
            <w:r>
              <w:rPr>
                <w:rFonts w:cstheme="minorHAnsi"/>
                <w:sz w:val="20"/>
                <w:szCs w:val="20"/>
              </w:rPr>
              <w:t xml:space="preserve"> QUORUM and MOOSE guidelines </w:t>
            </w:r>
            <w:r w:rsidR="00024B88">
              <w:rPr>
                <w:rFonts w:cstheme="minorHAnsi"/>
                <w:sz w:val="20"/>
                <w:szCs w:val="20"/>
              </w:rPr>
              <w:t>followed</w:t>
            </w:r>
          </w:p>
        </w:tc>
        <w:tc>
          <w:tcPr>
            <w:tcW w:w="1276" w:type="dxa"/>
            <w:tcBorders>
              <w:left w:val="nil"/>
              <w:right w:val="nil"/>
            </w:tcBorders>
            <w:vAlign w:val="center"/>
          </w:tcPr>
          <w:p w14:paraId="5A7CAC3E" w14:textId="46C58D4C" w:rsidR="00E80470" w:rsidRPr="0067542D" w:rsidRDefault="00E80470" w:rsidP="0067542D">
            <w:pPr>
              <w:jc w:val="center"/>
              <w:rPr>
                <w:rFonts w:cstheme="minorHAnsi"/>
                <w:sz w:val="20"/>
                <w:szCs w:val="20"/>
              </w:rPr>
            </w:pPr>
            <w:r w:rsidRPr="0067542D">
              <w:rPr>
                <w:rFonts w:cstheme="minorHAnsi"/>
                <w:sz w:val="20"/>
                <w:szCs w:val="20"/>
              </w:rPr>
              <w:t>high</w:t>
            </w:r>
          </w:p>
        </w:tc>
      </w:tr>
      <w:tr w:rsidR="00E80470" w:rsidRPr="0067542D" w14:paraId="721AA044" w14:textId="07633FD8" w:rsidTr="00A50197">
        <w:trPr>
          <w:gridAfter w:val="1"/>
          <w:wAfter w:w="30" w:type="dxa"/>
          <w:jc w:val="center"/>
        </w:trPr>
        <w:tc>
          <w:tcPr>
            <w:tcW w:w="1218" w:type="dxa"/>
            <w:tcBorders>
              <w:left w:val="nil"/>
              <w:right w:val="nil"/>
            </w:tcBorders>
            <w:vAlign w:val="center"/>
          </w:tcPr>
          <w:p w14:paraId="0EAEBEDD" w14:textId="43D23BC6" w:rsidR="00E80470" w:rsidRPr="0067542D" w:rsidRDefault="00E80470" w:rsidP="0067542D">
            <w:pPr>
              <w:jc w:val="center"/>
              <w:rPr>
                <w:rFonts w:cstheme="minorHAnsi"/>
                <w:sz w:val="20"/>
                <w:szCs w:val="20"/>
              </w:rPr>
            </w:pPr>
            <w:proofErr w:type="spellStart"/>
            <w:r w:rsidRPr="0067542D">
              <w:rPr>
                <w:rFonts w:cstheme="minorHAnsi"/>
                <w:sz w:val="20"/>
                <w:szCs w:val="20"/>
              </w:rPr>
              <w:t>Gruzieva</w:t>
            </w:r>
            <w:proofErr w:type="spellEnd"/>
            <w:r>
              <w:rPr>
                <w:rFonts w:cstheme="minorHAnsi"/>
                <w:sz w:val="20"/>
                <w:szCs w:val="20"/>
              </w:rPr>
              <w:t xml:space="preserve"> et al., 2017</w:t>
            </w:r>
            <w:r w:rsidR="009F36BF">
              <w:rPr>
                <w:rFonts w:cstheme="minorHAnsi"/>
                <w:sz w:val="20"/>
                <w:szCs w:val="20"/>
                <w:vertAlign w:val="superscript"/>
              </w:rPr>
              <w:t>40</w:t>
            </w:r>
          </w:p>
        </w:tc>
        <w:tc>
          <w:tcPr>
            <w:tcW w:w="1134" w:type="dxa"/>
            <w:tcBorders>
              <w:left w:val="nil"/>
              <w:right w:val="nil"/>
            </w:tcBorders>
            <w:vAlign w:val="center"/>
          </w:tcPr>
          <w:p w14:paraId="512B56D6" w14:textId="4AA318FB" w:rsidR="00E80470" w:rsidRPr="0067542D" w:rsidRDefault="00DE5966"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156A8D34" w14:textId="44F048F2" w:rsidR="00E80470" w:rsidRPr="0067542D" w:rsidRDefault="00E80470" w:rsidP="0067542D">
            <w:pPr>
              <w:jc w:val="center"/>
              <w:rPr>
                <w:rFonts w:cstheme="minorHAnsi"/>
                <w:sz w:val="20"/>
                <w:szCs w:val="20"/>
              </w:rPr>
            </w:pPr>
            <w:r w:rsidRPr="0067542D">
              <w:rPr>
                <w:rFonts w:cstheme="minorHAnsi"/>
                <w:sz w:val="20"/>
                <w:szCs w:val="20"/>
              </w:rPr>
              <w:t>Sweden (1), Netherlands (1), France (1), Spain (1), USA (1), Norway (1)</w:t>
            </w:r>
          </w:p>
        </w:tc>
        <w:tc>
          <w:tcPr>
            <w:tcW w:w="1139" w:type="dxa"/>
            <w:tcBorders>
              <w:left w:val="nil"/>
              <w:right w:val="nil"/>
            </w:tcBorders>
            <w:vAlign w:val="center"/>
          </w:tcPr>
          <w:p w14:paraId="33B7AF6D" w14:textId="528D902A"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28D1B088" w14:textId="60331297"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0CE60AF2" w14:textId="279681BB" w:rsidR="00E80470" w:rsidRPr="0067542D" w:rsidRDefault="00E80470" w:rsidP="0067542D">
            <w:pPr>
              <w:jc w:val="center"/>
              <w:rPr>
                <w:rFonts w:cstheme="minorHAnsi"/>
                <w:sz w:val="20"/>
                <w:szCs w:val="20"/>
              </w:rPr>
            </w:pPr>
            <w:r w:rsidRPr="0067542D">
              <w:rPr>
                <w:rFonts w:cstheme="minorHAnsi"/>
                <w:sz w:val="20"/>
                <w:szCs w:val="20"/>
              </w:rPr>
              <w:t>4 to 5 years; 8 years; 16 years</w:t>
            </w:r>
          </w:p>
        </w:tc>
        <w:tc>
          <w:tcPr>
            <w:tcW w:w="2552" w:type="dxa"/>
            <w:tcBorders>
              <w:left w:val="nil"/>
              <w:right w:val="nil"/>
            </w:tcBorders>
            <w:vAlign w:val="center"/>
          </w:tcPr>
          <w:p w14:paraId="1B7C7BCA" w14:textId="015D53E0" w:rsidR="00E80470" w:rsidRPr="0067542D" w:rsidRDefault="00E80470" w:rsidP="0067542D">
            <w:pPr>
              <w:jc w:val="center"/>
              <w:rPr>
                <w:rFonts w:cstheme="minorHAnsi"/>
                <w:sz w:val="20"/>
                <w:szCs w:val="20"/>
              </w:rPr>
            </w:pPr>
            <w:r w:rsidRPr="0067542D">
              <w:rPr>
                <w:rFonts w:cstheme="minorHAnsi"/>
                <w:sz w:val="20"/>
                <w:szCs w:val="20"/>
              </w:rPr>
              <w:t xml:space="preserve">no quality assessment </w:t>
            </w:r>
          </w:p>
        </w:tc>
        <w:tc>
          <w:tcPr>
            <w:tcW w:w="1417" w:type="dxa"/>
            <w:tcBorders>
              <w:left w:val="nil"/>
              <w:right w:val="nil"/>
            </w:tcBorders>
            <w:vAlign w:val="center"/>
          </w:tcPr>
          <w:p w14:paraId="76AF3560" w14:textId="4CB572B3" w:rsidR="00E80470" w:rsidRPr="0067542D" w:rsidRDefault="00DE5966" w:rsidP="00DE5966">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703EA753" w14:textId="2701448A" w:rsidR="00E80470" w:rsidRPr="0067542D" w:rsidRDefault="00E80470" w:rsidP="0067542D">
            <w:pPr>
              <w:jc w:val="center"/>
              <w:rPr>
                <w:rFonts w:cstheme="minorHAnsi"/>
                <w:sz w:val="20"/>
                <w:szCs w:val="20"/>
              </w:rPr>
            </w:pPr>
            <w:r w:rsidRPr="0067542D">
              <w:rPr>
                <w:rFonts w:cstheme="minorHAnsi"/>
                <w:sz w:val="20"/>
                <w:szCs w:val="20"/>
              </w:rPr>
              <w:t>N/A</w:t>
            </w:r>
          </w:p>
        </w:tc>
      </w:tr>
      <w:tr w:rsidR="00E80470" w:rsidRPr="0067542D" w14:paraId="0EFA5F72" w14:textId="3F0CD382" w:rsidTr="00A50197">
        <w:trPr>
          <w:gridAfter w:val="1"/>
          <w:wAfter w:w="30" w:type="dxa"/>
          <w:jc w:val="center"/>
        </w:trPr>
        <w:tc>
          <w:tcPr>
            <w:tcW w:w="1218" w:type="dxa"/>
            <w:tcBorders>
              <w:left w:val="nil"/>
              <w:right w:val="nil"/>
            </w:tcBorders>
            <w:vAlign w:val="center"/>
          </w:tcPr>
          <w:p w14:paraId="72E6E8C4" w14:textId="5A191FC6" w:rsidR="00E80470" w:rsidRPr="0067542D" w:rsidRDefault="00E80470" w:rsidP="0067542D">
            <w:pPr>
              <w:jc w:val="center"/>
              <w:rPr>
                <w:rFonts w:cstheme="minorHAnsi"/>
                <w:sz w:val="20"/>
                <w:szCs w:val="20"/>
              </w:rPr>
            </w:pPr>
            <w:r w:rsidRPr="0067542D">
              <w:rPr>
                <w:rFonts w:cstheme="minorHAnsi"/>
                <w:sz w:val="20"/>
                <w:szCs w:val="20"/>
              </w:rPr>
              <w:t>Guillemette</w:t>
            </w:r>
            <w:r>
              <w:rPr>
                <w:rFonts w:cstheme="minorHAnsi"/>
                <w:sz w:val="20"/>
                <w:szCs w:val="20"/>
              </w:rPr>
              <w:t xml:space="preserve"> et al.</w:t>
            </w:r>
            <w:r w:rsidRPr="0067542D">
              <w:rPr>
                <w:rFonts w:cstheme="minorHAnsi"/>
                <w:sz w:val="20"/>
                <w:szCs w:val="20"/>
              </w:rPr>
              <w:t>, 2018</w:t>
            </w:r>
            <w:r w:rsidR="009F36BF">
              <w:rPr>
                <w:rFonts w:cstheme="minorHAnsi"/>
                <w:sz w:val="20"/>
                <w:szCs w:val="20"/>
                <w:vertAlign w:val="superscript"/>
              </w:rPr>
              <w:t>41</w:t>
            </w:r>
          </w:p>
        </w:tc>
        <w:tc>
          <w:tcPr>
            <w:tcW w:w="1134" w:type="dxa"/>
            <w:tcBorders>
              <w:left w:val="nil"/>
              <w:right w:val="nil"/>
            </w:tcBorders>
            <w:vAlign w:val="center"/>
          </w:tcPr>
          <w:p w14:paraId="0A031D7C" w14:textId="6E023158" w:rsidR="00E80470" w:rsidRPr="0067542D" w:rsidRDefault="00DE5966"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095AB31F" w14:textId="4F070CDB" w:rsidR="00E80470" w:rsidRPr="0067542D" w:rsidRDefault="00E80470" w:rsidP="0067542D">
            <w:pPr>
              <w:jc w:val="center"/>
              <w:rPr>
                <w:rFonts w:cstheme="minorHAnsi"/>
                <w:sz w:val="20"/>
                <w:szCs w:val="20"/>
              </w:rPr>
            </w:pPr>
            <w:r w:rsidRPr="0067542D">
              <w:rPr>
                <w:rFonts w:cstheme="minorHAnsi"/>
                <w:sz w:val="20"/>
                <w:szCs w:val="20"/>
              </w:rPr>
              <w:t>USA (6), Denmark (5), England (2), Canada (1), Australia (1) RCTs: Finland (1), USA (6), Sweden (2), Iran (2), Brazil (7), Spain (7), New Zealand (2), Norway (3), Netherlands (1), Columbia (1), Kosovo (1), UK (1), Australia (1), Ireland (1), Canada (1), Croatia (1), China (1)</w:t>
            </w:r>
          </w:p>
        </w:tc>
        <w:tc>
          <w:tcPr>
            <w:tcW w:w="1139" w:type="dxa"/>
            <w:tcBorders>
              <w:left w:val="nil"/>
              <w:right w:val="nil"/>
            </w:tcBorders>
            <w:vAlign w:val="center"/>
          </w:tcPr>
          <w:p w14:paraId="779668F3" w14:textId="1BE06B35" w:rsidR="00E80470" w:rsidRPr="0067542D" w:rsidRDefault="00E80470" w:rsidP="0067542D">
            <w:pPr>
              <w:jc w:val="center"/>
              <w:rPr>
                <w:rFonts w:cstheme="minorHAnsi"/>
                <w:sz w:val="20"/>
                <w:szCs w:val="20"/>
              </w:rPr>
            </w:pPr>
            <w:r w:rsidRPr="0067542D">
              <w:rPr>
                <w:rFonts w:cstheme="minorHAnsi"/>
                <w:sz w:val="20"/>
                <w:szCs w:val="20"/>
              </w:rPr>
              <w:t>2</w:t>
            </w:r>
          </w:p>
        </w:tc>
        <w:tc>
          <w:tcPr>
            <w:tcW w:w="3314" w:type="dxa"/>
            <w:tcBorders>
              <w:left w:val="nil"/>
              <w:right w:val="nil"/>
            </w:tcBorders>
            <w:vAlign w:val="center"/>
          </w:tcPr>
          <w:p w14:paraId="6045376C" w14:textId="1681323B" w:rsidR="00E80470" w:rsidRPr="0067542D" w:rsidRDefault="00E80470" w:rsidP="0067542D">
            <w:pPr>
              <w:jc w:val="center"/>
              <w:rPr>
                <w:rFonts w:cstheme="minorHAnsi"/>
                <w:sz w:val="20"/>
                <w:szCs w:val="20"/>
              </w:rPr>
            </w:pPr>
            <w:r w:rsidRPr="0067542D">
              <w:rPr>
                <w:rFonts w:cstheme="minorHAnsi"/>
                <w:sz w:val="20"/>
                <w:szCs w:val="20"/>
              </w:rPr>
              <w:t xml:space="preserve">Mean difference of birth weight: - 22.1 g, 95% CI: - 51.5 </w:t>
            </w:r>
            <w:proofErr w:type="spellStart"/>
            <w:r w:rsidRPr="0067542D">
              <w:rPr>
                <w:rFonts w:cstheme="minorHAnsi"/>
                <w:sz w:val="20"/>
                <w:szCs w:val="20"/>
              </w:rPr>
              <w:t>gto</w:t>
            </w:r>
            <w:proofErr w:type="spellEnd"/>
            <w:r w:rsidRPr="0067542D">
              <w:rPr>
                <w:rFonts w:cstheme="minorHAnsi"/>
                <w:sz w:val="20"/>
                <w:szCs w:val="20"/>
              </w:rPr>
              <w:t xml:space="preserve"> 7.3 g</w:t>
            </w:r>
            <w:r w:rsidRPr="0067542D">
              <w:rPr>
                <w:rFonts w:cstheme="minorHAnsi"/>
                <w:sz w:val="20"/>
                <w:szCs w:val="20"/>
              </w:rPr>
              <w:br/>
              <w:t>Risk ratio for large-for-gestational age status: 0.85; 95% CI: 0.51 to 1.44</w:t>
            </w:r>
          </w:p>
        </w:tc>
        <w:tc>
          <w:tcPr>
            <w:tcW w:w="992" w:type="dxa"/>
            <w:tcBorders>
              <w:left w:val="nil"/>
              <w:right w:val="nil"/>
            </w:tcBorders>
            <w:vAlign w:val="center"/>
          </w:tcPr>
          <w:p w14:paraId="015D2B1B" w14:textId="53FBB295" w:rsidR="00E80470" w:rsidRPr="0067542D" w:rsidRDefault="00E80470" w:rsidP="0067542D">
            <w:pPr>
              <w:jc w:val="center"/>
              <w:rPr>
                <w:rFonts w:cstheme="minorHAnsi"/>
                <w:sz w:val="20"/>
                <w:szCs w:val="20"/>
              </w:rPr>
            </w:pPr>
            <w:r w:rsidRPr="0067542D">
              <w:rPr>
                <w:rFonts w:cstheme="minorHAnsi"/>
                <w:sz w:val="20"/>
                <w:szCs w:val="20"/>
              </w:rPr>
              <w:t>Birth to 6 months; 7 years; 15 years</w:t>
            </w:r>
          </w:p>
        </w:tc>
        <w:tc>
          <w:tcPr>
            <w:tcW w:w="2552" w:type="dxa"/>
            <w:tcBorders>
              <w:left w:val="nil"/>
              <w:right w:val="nil"/>
            </w:tcBorders>
            <w:vAlign w:val="center"/>
          </w:tcPr>
          <w:p w14:paraId="1F21E6AF" w14:textId="21E204E9" w:rsidR="00E80470" w:rsidRPr="0067542D" w:rsidRDefault="00E80470" w:rsidP="0067542D">
            <w:pPr>
              <w:jc w:val="center"/>
              <w:rPr>
                <w:rFonts w:cstheme="minorHAnsi"/>
                <w:sz w:val="20"/>
                <w:szCs w:val="20"/>
              </w:rPr>
            </w:pPr>
            <w:r w:rsidRPr="0067542D">
              <w:rPr>
                <w:rFonts w:cstheme="minorHAnsi"/>
                <w:sz w:val="20"/>
                <w:szCs w:val="20"/>
              </w:rPr>
              <w:t>risk of bias assessment using Cochrane tools</w:t>
            </w:r>
          </w:p>
        </w:tc>
        <w:tc>
          <w:tcPr>
            <w:tcW w:w="1417" w:type="dxa"/>
            <w:tcBorders>
              <w:left w:val="nil"/>
              <w:right w:val="nil"/>
            </w:tcBorders>
            <w:vAlign w:val="center"/>
          </w:tcPr>
          <w:p w14:paraId="18441227" w14:textId="4B707184" w:rsidR="00E80470" w:rsidRPr="0067542D" w:rsidRDefault="00DE5966" w:rsidP="00DE5966">
            <w:pPr>
              <w:jc w:val="center"/>
              <w:rPr>
                <w:rFonts w:cstheme="minorHAnsi"/>
                <w:sz w:val="20"/>
                <w:szCs w:val="20"/>
              </w:rPr>
            </w:pPr>
            <w:r>
              <w:rPr>
                <w:rFonts w:cstheme="minorHAnsi"/>
                <w:sz w:val="20"/>
                <w:szCs w:val="20"/>
              </w:rPr>
              <w:t xml:space="preserve">PRISMA guidelines </w:t>
            </w:r>
            <w:r w:rsidR="00AB22EB">
              <w:rPr>
                <w:rFonts w:cstheme="minorHAnsi"/>
                <w:sz w:val="20"/>
                <w:szCs w:val="20"/>
              </w:rPr>
              <w:t>followed</w:t>
            </w:r>
          </w:p>
        </w:tc>
        <w:tc>
          <w:tcPr>
            <w:tcW w:w="1276" w:type="dxa"/>
            <w:tcBorders>
              <w:left w:val="nil"/>
              <w:right w:val="nil"/>
            </w:tcBorders>
            <w:vAlign w:val="center"/>
          </w:tcPr>
          <w:p w14:paraId="6E4B6746" w14:textId="3A9F9C83"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65C545E3" w14:textId="27EBCDDC" w:rsidTr="00A50197">
        <w:trPr>
          <w:gridAfter w:val="1"/>
          <w:wAfter w:w="30" w:type="dxa"/>
          <w:jc w:val="center"/>
        </w:trPr>
        <w:tc>
          <w:tcPr>
            <w:tcW w:w="1218" w:type="dxa"/>
            <w:tcBorders>
              <w:left w:val="nil"/>
              <w:right w:val="nil"/>
            </w:tcBorders>
            <w:vAlign w:val="center"/>
          </w:tcPr>
          <w:p w14:paraId="7DD70D95" w14:textId="048CFFC8" w:rsidR="00E80470" w:rsidRPr="0067542D" w:rsidRDefault="00E80470" w:rsidP="0067542D">
            <w:pPr>
              <w:jc w:val="center"/>
              <w:rPr>
                <w:rFonts w:cstheme="minorHAnsi"/>
                <w:sz w:val="20"/>
                <w:szCs w:val="20"/>
              </w:rPr>
            </w:pPr>
            <w:proofErr w:type="spellStart"/>
            <w:r w:rsidRPr="0067542D">
              <w:rPr>
                <w:rFonts w:cstheme="minorHAnsi"/>
                <w:sz w:val="20"/>
                <w:szCs w:val="20"/>
              </w:rPr>
              <w:t>Gunaratne</w:t>
            </w:r>
            <w:proofErr w:type="spellEnd"/>
            <w:r>
              <w:rPr>
                <w:rFonts w:cstheme="minorHAnsi"/>
                <w:sz w:val="20"/>
                <w:szCs w:val="20"/>
              </w:rPr>
              <w:t xml:space="preserve"> et al., 2015</w:t>
            </w:r>
            <w:r w:rsidR="009F36BF">
              <w:rPr>
                <w:rFonts w:cstheme="minorHAnsi"/>
                <w:sz w:val="20"/>
                <w:szCs w:val="20"/>
                <w:vertAlign w:val="superscript"/>
              </w:rPr>
              <w:t>42</w:t>
            </w:r>
          </w:p>
        </w:tc>
        <w:tc>
          <w:tcPr>
            <w:tcW w:w="1134" w:type="dxa"/>
            <w:tcBorders>
              <w:left w:val="nil"/>
              <w:right w:val="nil"/>
            </w:tcBorders>
            <w:vAlign w:val="center"/>
          </w:tcPr>
          <w:p w14:paraId="6598B865" w14:textId="652BE6D7" w:rsidR="00E80470" w:rsidRPr="0067542D" w:rsidRDefault="00AB22EB"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7A40EE8D" w14:textId="348ECE9A" w:rsidR="00E80470" w:rsidRPr="0067542D" w:rsidRDefault="00E80470" w:rsidP="0067542D">
            <w:pPr>
              <w:jc w:val="center"/>
              <w:rPr>
                <w:rFonts w:cstheme="minorHAnsi"/>
                <w:sz w:val="20"/>
                <w:szCs w:val="20"/>
              </w:rPr>
            </w:pPr>
            <w:r w:rsidRPr="0067542D">
              <w:rPr>
                <w:rFonts w:cstheme="minorHAnsi"/>
                <w:sz w:val="20"/>
                <w:szCs w:val="20"/>
              </w:rPr>
              <w:t>Australia (3), Denmark (2), Sweden (1), Mexico (1), UK (1)</w:t>
            </w:r>
          </w:p>
        </w:tc>
        <w:tc>
          <w:tcPr>
            <w:tcW w:w="1139" w:type="dxa"/>
            <w:tcBorders>
              <w:left w:val="nil"/>
              <w:right w:val="nil"/>
            </w:tcBorders>
            <w:vAlign w:val="center"/>
          </w:tcPr>
          <w:p w14:paraId="280C9926" w14:textId="0B7DA2D4" w:rsidR="00E80470" w:rsidRPr="0067542D" w:rsidRDefault="00E80470" w:rsidP="0067542D">
            <w:pPr>
              <w:jc w:val="center"/>
              <w:rPr>
                <w:rFonts w:cstheme="minorHAnsi"/>
                <w:sz w:val="20"/>
                <w:szCs w:val="20"/>
              </w:rPr>
            </w:pPr>
            <w:r w:rsidRPr="0067542D">
              <w:rPr>
                <w:rFonts w:cstheme="minorHAnsi"/>
                <w:sz w:val="20"/>
                <w:szCs w:val="20"/>
              </w:rPr>
              <w:t>4</w:t>
            </w:r>
          </w:p>
        </w:tc>
        <w:tc>
          <w:tcPr>
            <w:tcW w:w="3314" w:type="dxa"/>
            <w:tcBorders>
              <w:left w:val="nil"/>
              <w:right w:val="nil"/>
            </w:tcBorders>
            <w:vAlign w:val="center"/>
          </w:tcPr>
          <w:p w14:paraId="065C1F73" w14:textId="1B7F2E79" w:rsidR="00E80470" w:rsidRPr="0067542D" w:rsidRDefault="00E80470" w:rsidP="0067542D">
            <w:pPr>
              <w:jc w:val="center"/>
              <w:rPr>
                <w:rFonts w:cstheme="minorHAnsi"/>
                <w:sz w:val="20"/>
                <w:szCs w:val="20"/>
              </w:rPr>
            </w:pPr>
            <w:r w:rsidRPr="0067542D">
              <w:rPr>
                <w:rFonts w:cstheme="minorHAnsi"/>
                <w:sz w:val="20"/>
                <w:szCs w:val="20"/>
              </w:rPr>
              <w:br/>
              <w:t xml:space="preserve">For any allergy (medically diagnosed </w:t>
            </w:r>
            <w:proofErr w:type="spellStart"/>
            <w:r w:rsidRPr="0067542D">
              <w:rPr>
                <w:rFonts w:cstheme="minorHAnsi"/>
                <w:sz w:val="20"/>
                <w:szCs w:val="20"/>
              </w:rPr>
              <w:t>IgE</w:t>
            </w:r>
            <w:proofErr w:type="spellEnd"/>
            <w:r w:rsidRPr="0067542D">
              <w:rPr>
                <w:rFonts w:cstheme="minorHAnsi"/>
                <w:sz w:val="20"/>
                <w:szCs w:val="20"/>
              </w:rPr>
              <w:t xml:space="preserve"> mediated and/or parental report),(LCPUFA supplementation vs none or placebo) either at 12 to 36 months (RR 0.89, 95% CI 0.71 to 1.11; two RCTs, 823 children) or beyond 36 months of age (RR 0.96, 95% CI 0.84 to 1.09; three RCTs, 1765 children)</w:t>
            </w:r>
            <w:r w:rsidRPr="0067542D">
              <w:rPr>
                <w:rFonts w:cstheme="minorHAnsi"/>
                <w:sz w:val="20"/>
                <w:szCs w:val="20"/>
              </w:rPr>
              <w:br/>
            </w:r>
            <w:r w:rsidRPr="0067542D">
              <w:rPr>
                <w:rFonts w:cstheme="minorHAnsi"/>
                <w:sz w:val="20"/>
                <w:szCs w:val="20"/>
              </w:rPr>
              <w:lastRenderedPageBreak/>
              <w:br/>
              <w:t xml:space="preserve">For </w:t>
            </w:r>
            <w:proofErr w:type="spellStart"/>
            <w:r w:rsidRPr="0067542D">
              <w:rPr>
                <w:rFonts w:cstheme="minorHAnsi"/>
                <w:sz w:val="20"/>
                <w:szCs w:val="20"/>
              </w:rPr>
              <w:t>IgE</w:t>
            </w:r>
            <w:proofErr w:type="spellEnd"/>
            <w:r w:rsidRPr="0067542D">
              <w:rPr>
                <w:rFonts w:cstheme="minorHAnsi"/>
                <w:sz w:val="20"/>
                <w:szCs w:val="20"/>
              </w:rPr>
              <w:t xml:space="preserve"> mediated allergies only, N-3 LCPUFA supplementation showed in children aged 12 to 36 months (risk ratio (RR) 0.66, 95% confidence interval (CI) 0.44 to 0.98; two RCTs; 823 children), but not beyond 36 months (RR 0.86, 95% CI 0.61 to 1.20; one RCT, 706 children)</w:t>
            </w:r>
          </w:p>
        </w:tc>
        <w:tc>
          <w:tcPr>
            <w:tcW w:w="992" w:type="dxa"/>
            <w:tcBorders>
              <w:left w:val="nil"/>
              <w:right w:val="nil"/>
            </w:tcBorders>
            <w:vAlign w:val="center"/>
          </w:tcPr>
          <w:p w14:paraId="07F8612E" w14:textId="79FEDB30" w:rsidR="00E80470" w:rsidRPr="0067542D" w:rsidRDefault="00E80470" w:rsidP="0067542D">
            <w:pPr>
              <w:jc w:val="center"/>
              <w:rPr>
                <w:rFonts w:cstheme="minorHAnsi"/>
                <w:sz w:val="20"/>
                <w:szCs w:val="20"/>
              </w:rPr>
            </w:pPr>
            <w:r w:rsidRPr="0067542D">
              <w:rPr>
                <w:rFonts w:cstheme="minorHAnsi"/>
                <w:sz w:val="20"/>
                <w:szCs w:val="20"/>
              </w:rPr>
              <w:lastRenderedPageBreak/>
              <w:t>0 to 17 years</w:t>
            </w:r>
          </w:p>
        </w:tc>
        <w:tc>
          <w:tcPr>
            <w:tcW w:w="2552" w:type="dxa"/>
            <w:tcBorders>
              <w:left w:val="nil"/>
              <w:right w:val="nil"/>
            </w:tcBorders>
            <w:vAlign w:val="center"/>
          </w:tcPr>
          <w:p w14:paraId="56B49AE1" w14:textId="6BA29DA1" w:rsidR="00E80470" w:rsidRPr="0067542D" w:rsidRDefault="00E80470" w:rsidP="0067542D">
            <w:pPr>
              <w:jc w:val="center"/>
              <w:rPr>
                <w:rFonts w:cstheme="minorHAnsi"/>
                <w:sz w:val="20"/>
                <w:szCs w:val="20"/>
              </w:rPr>
            </w:pPr>
            <w:r w:rsidRPr="0067542D">
              <w:rPr>
                <w:rFonts w:cstheme="minorHAnsi"/>
                <w:sz w:val="20"/>
                <w:szCs w:val="20"/>
              </w:rPr>
              <w:t>risk of bias assessment</w:t>
            </w:r>
          </w:p>
        </w:tc>
        <w:tc>
          <w:tcPr>
            <w:tcW w:w="1417" w:type="dxa"/>
            <w:tcBorders>
              <w:left w:val="nil"/>
              <w:right w:val="nil"/>
            </w:tcBorders>
            <w:vAlign w:val="center"/>
          </w:tcPr>
          <w:p w14:paraId="6F683F4A" w14:textId="7DC32F42" w:rsidR="00E80470" w:rsidRPr="0067542D" w:rsidRDefault="000C69CD" w:rsidP="00AB22EB">
            <w:pPr>
              <w:jc w:val="center"/>
              <w:rPr>
                <w:rFonts w:cstheme="minorHAnsi"/>
                <w:sz w:val="20"/>
                <w:szCs w:val="20"/>
              </w:rPr>
            </w:pPr>
            <w:r>
              <w:rPr>
                <w:rFonts w:cstheme="minorHAnsi"/>
                <w:sz w:val="20"/>
                <w:szCs w:val="20"/>
              </w:rPr>
              <w:t>Cochrane Handbook for Systematic Reviews of Interventions followed</w:t>
            </w:r>
          </w:p>
        </w:tc>
        <w:tc>
          <w:tcPr>
            <w:tcW w:w="1276" w:type="dxa"/>
            <w:tcBorders>
              <w:left w:val="nil"/>
              <w:right w:val="nil"/>
            </w:tcBorders>
            <w:vAlign w:val="center"/>
          </w:tcPr>
          <w:p w14:paraId="5EB4C394" w14:textId="06791D5D" w:rsidR="00E80470" w:rsidRPr="0067542D" w:rsidRDefault="00E80470" w:rsidP="0067542D">
            <w:pPr>
              <w:jc w:val="center"/>
              <w:rPr>
                <w:rFonts w:cstheme="minorHAnsi"/>
                <w:sz w:val="20"/>
                <w:szCs w:val="20"/>
              </w:rPr>
            </w:pPr>
            <w:r w:rsidRPr="0067542D">
              <w:rPr>
                <w:rFonts w:cstheme="minorHAnsi"/>
                <w:sz w:val="20"/>
                <w:szCs w:val="20"/>
              </w:rPr>
              <w:t>high</w:t>
            </w:r>
          </w:p>
        </w:tc>
      </w:tr>
      <w:tr w:rsidR="00E80470" w:rsidRPr="0067542D" w14:paraId="1002637D" w14:textId="2566B9A6" w:rsidTr="00A50197">
        <w:trPr>
          <w:gridAfter w:val="1"/>
          <w:wAfter w:w="30" w:type="dxa"/>
          <w:jc w:val="center"/>
        </w:trPr>
        <w:tc>
          <w:tcPr>
            <w:tcW w:w="1218" w:type="dxa"/>
            <w:tcBorders>
              <w:left w:val="nil"/>
              <w:right w:val="nil"/>
            </w:tcBorders>
            <w:vAlign w:val="center"/>
          </w:tcPr>
          <w:p w14:paraId="45D50367" w14:textId="09FE7411" w:rsidR="00E80470" w:rsidRPr="0067542D" w:rsidRDefault="00E80470" w:rsidP="0067542D">
            <w:pPr>
              <w:jc w:val="center"/>
              <w:rPr>
                <w:rFonts w:cstheme="minorHAnsi"/>
                <w:sz w:val="20"/>
                <w:szCs w:val="20"/>
              </w:rPr>
            </w:pPr>
            <w:r w:rsidRPr="0067542D">
              <w:rPr>
                <w:rFonts w:cstheme="minorHAnsi"/>
                <w:sz w:val="20"/>
                <w:szCs w:val="20"/>
              </w:rPr>
              <w:t>Hoang</w:t>
            </w:r>
            <w:r>
              <w:rPr>
                <w:rFonts w:cstheme="minorHAnsi"/>
                <w:sz w:val="20"/>
                <w:szCs w:val="20"/>
              </w:rPr>
              <w:t xml:space="preserve"> et al., 2018</w:t>
            </w:r>
            <w:r w:rsidRPr="00EE74F9">
              <w:rPr>
                <w:rFonts w:cstheme="minorHAnsi"/>
                <w:sz w:val="20"/>
                <w:szCs w:val="20"/>
                <w:vertAlign w:val="superscript"/>
              </w:rPr>
              <w:t>4</w:t>
            </w:r>
            <w:r w:rsidR="009F36BF">
              <w:rPr>
                <w:rFonts w:cstheme="minorHAnsi"/>
                <w:sz w:val="20"/>
                <w:szCs w:val="20"/>
                <w:vertAlign w:val="superscript"/>
              </w:rPr>
              <w:t>3</w:t>
            </w:r>
          </w:p>
        </w:tc>
        <w:tc>
          <w:tcPr>
            <w:tcW w:w="1134" w:type="dxa"/>
            <w:tcBorders>
              <w:left w:val="nil"/>
              <w:right w:val="nil"/>
            </w:tcBorders>
            <w:vAlign w:val="center"/>
          </w:tcPr>
          <w:p w14:paraId="6979CB4F" w14:textId="6043B945" w:rsidR="00E80470" w:rsidRPr="0067542D" w:rsidRDefault="00BE3571"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7C618D5E" w14:textId="2EE6DB5A" w:rsidR="00E80470" w:rsidRPr="0067542D" w:rsidRDefault="00E80470" w:rsidP="0067542D">
            <w:pPr>
              <w:jc w:val="center"/>
              <w:rPr>
                <w:rFonts w:cstheme="minorHAnsi"/>
                <w:sz w:val="20"/>
                <w:szCs w:val="20"/>
              </w:rPr>
            </w:pPr>
            <w:r w:rsidRPr="0067542D">
              <w:rPr>
                <w:rFonts w:cstheme="minorHAnsi"/>
                <w:sz w:val="20"/>
                <w:szCs w:val="20"/>
              </w:rPr>
              <w:t>USA (5), France (1), Scotland (UK) (1),Sweden (1), Czech Republic (1)</w:t>
            </w:r>
          </w:p>
        </w:tc>
        <w:tc>
          <w:tcPr>
            <w:tcW w:w="1139" w:type="dxa"/>
            <w:tcBorders>
              <w:left w:val="nil"/>
              <w:right w:val="nil"/>
            </w:tcBorders>
            <w:vAlign w:val="center"/>
          </w:tcPr>
          <w:p w14:paraId="457953B2" w14:textId="6DDC58EF" w:rsidR="00E80470" w:rsidRPr="0067542D" w:rsidRDefault="00E80470" w:rsidP="0067542D">
            <w:pPr>
              <w:jc w:val="center"/>
              <w:rPr>
                <w:rFonts w:cstheme="minorHAnsi"/>
                <w:sz w:val="20"/>
                <w:szCs w:val="20"/>
              </w:rPr>
            </w:pPr>
            <w:r w:rsidRPr="0067542D">
              <w:rPr>
                <w:rFonts w:cstheme="minorHAnsi"/>
                <w:sz w:val="20"/>
                <w:szCs w:val="20"/>
              </w:rPr>
              <w:t>ranges reported</w:t>
            </w:r>
            <w:r w:rsidRPr="0067542D">
              <w:rPr>
                <w:rFonts w:cstheme="minorHAnsi"/>
                <w:sz w:val="20"/>
                <w:szCs w:val="20"/>
              </w:rPr>
              <w:br/>
              <w:t>(2 significant)</w:t>
            </w:r>
          </w:p>
        </w:tc>
        <w:tc>
          <w:tcPr>
            <w:tcW w:w="3314" w:type="dxa"/>
            <w:tcBorders>
              <w:left w:val="nil"/>
              <w:right w:val="nil"/>
            </w:tcBorders>
            <w:vAlign w:val="center"/>
          </w:tcPr>
          <w:p w14:paraId="5A8CB9F1" w14:textId="27B6E17B" w:rsidR="00E80470" w:rsidRPr="0067542D" w:rsidRDefault="00E80470" w:rsidP="0067542D">
            <w:pPr>
              <w:jc w:val="center"/>
              <w:rPr>
                <w:rFonts w:cstheme="minorHAnsi"/>
                <w:sz w:val="20"/>
                <w:szCs w:val="20"/>
              </w:rPr>
            </w:pPr>
            <w:r w:rsidRPr="0067542D">
              <w:rPr>
                <w:rFonts w:cstheme="minorHAnsi"/>
                <w:sz w:val="20"/>
                <w:szCs w:val="20"/>
              </w:rPr>
              <w:t>Risk ratio range for birth defects (excluding neural tube defect): 1.4–1.8</w:t>
            </w:r>
            <w:r w:rsidRPr="0067542D">
              <w:rPr>
                <w:rFonts w:cstheme="minorHAnsi"/>
                <w:sz w:val="20"/>
                <w:szCs w:val="20"/>
              </w:rPr>
              <w:br/>
              <w:t>Odds Ratio ranges for risk of neural tube defects: 1.2; 95% CI: 0.7–2.0</w:t>
            </w:r>
          </w:p>
        </w:tc>
        <w:tc>
          <w:tcPr>
            <w:tcW w:w="992" w:type="dxa"/>
            <w:tcBorders>
              <w:left w:val="nil"/>
              <w:right w:val="nil"/>
            </w:tcBorders>
            <w:vAlign w:val="center"/>
          </w:tcPr>
          <w:p w14:paraId="4448AE02" w14:textId="3127D205" w:rsidR="00E80470" w:rsidRPr="0067542D" w:rsidRDefault="00E80470" w:rsidP="0067542D">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34579356" w14:textId="14C66863" w:rsidR="00E80470" w:rsidRPr="0067542D" w:rsidRDefault="00E80470" w:rsidP="0067542D">
            <w:pPr>
              <w:jc w:val="center"/>
              <w:rPr>
                <w:rFonts w:cstheme="minorHAnsi"/>
                <w:sz w:val="20"/>
                <w:szCs w:val="20"/>
              </w:rPr>
            </w:pPr>
            <w:r w:rsidRPr="0067542D">
              <w:rPr>
                <w:rFonts w:cstheme="minorHAnsi"/>
                <w:sz w:val="20"/>
                <w:szCs w:val="20"/>
              </w:rPr>
              <w:t>modified version of the Newcastle–Ottawa Scale (NOS)</w:t>
            </w:r>
            <w:r w:rsidRPr="0067542D">
              <w:rPr>
                <w:rFonts w:cstheme="minorHAnsi"/>
                <w:sz w:val="20"/>
                <w:szCs w:val="20"/>
              </w:rPr>
              <w:br/>
            </w:r>
            <w:r>
              <w:rPr>
                <w:rFonts w:cstheme="minorHAnsi"/>
                <w:sz w:val="20"/>
                <w:szCs w:val="20"/>
              </w:rPr>
              <w:t xml:space="preserve">(ranged from </w:t>
            </w:r>
            <w:r w:rsidRPr="0067542D">
              <w:rPr>
                <w:rFonts w:cstheme="minorHAnsi"/>
                <w:sz w:val="20"/>
                <w:szCs w:val="20"/>
              </w:rPr>
              <w:t>2-6</w:t>
            </w:r>
            <w:r>
              <w:rPr>
                <w:rFonts w:cstheme="minorHAnsi"/>
                <w:sz w:val="20"/>
                <w:szCs w:val="20"/>
              </w:rPr>
              <w:t xml:space="preserve"> rating)</w:t>
            </w:r>
          </w:p>
        </w:tc>
        <w:tc>
          <w:tcPr>
            <w:tcW w:w="1417" w:type="dxa"/>
            <w:tcBorders>
              <w:left w:val="nil"/>
              <w:right w:val="nil"/>
            </w:tcBorders>
            <w:vAlign w:val="center"/>
          </w:tcPr>
          <w:p w14:paraId="7626D4B4" w14:textId="0F9D7902" w:rsidR="00E80470" w:rsidRPr="0067542D" w:rsidRDefault="00BE3571" w:rsidP="00BE3571">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334868C8" w14:textId="0D50F72B" w:rsidR="00E80470" w:rsidRPr="0067542D" w:rsidRDefault="00E80470" w:rsidP="00A569FE">
            <w:pPr>
              <w:jc w:val="center"/>
              <w:rPr>
                <w:rFonts w:cstheme="minorHAnsi"/>
                <w:sz w:val="20"/>
                <w:szCs w:val="20"/>
              </w:rPr>
            </w:pPr>
            <w:r w:rsidRPr="0067542D">
              <w:rPr>
                <w:rFonts w:cstheme="minorHAnsi"/>
                <w:sz w:val="20"/>
                <w:szCs w:val="20"/>
              </w:rPr>
              <w:t>low</w:t>
            </w:r>
          </w:p>
        </w:tc>
      </w:tr>
      <w:tr w:rsidR="00E80470" w:rsidRPr="0067542D" w14:paraId="42E9F908" w14:textId="499FB2A5" w:rsidTr="00A50197">
        <w:trPr>
          <w:gridAfter w:val="1"/>
          <w:wAfter w:w="30" w:type="dxa"/>
          <w:jc w:val="center"/>
        </w:trPr>
        <w:tc>
          <w:tcPr>
            <w:tcW w:w="1218" w:type="dxa"/>
            <w:tcBorders>
              <w:left w:val="nil"/>
              <w:right w:val="nil"/>
            </w:tcBorders>
            <w:vAlign w:val="center"/>
          </w:tcPr>
          <w:p w14:paraId="43833ACC" w14:textId="547B86CD" w:rsidR="00E80470" w:rsidRPr="0067542D" w:rsidRDefault="00E80470" w:rsidP="0067542D">
            <w:pPr>
              <w:jc w:val="center"/>
              <w:rPr>
                <w:rFonts w:cstheme="minorHAnsi"/>
                <w:sz w:val="20"/>
                <w:szCs w:val="20"/>
              </w:rPr>
            </w:pPr>
            <w:r w:rsidRPr="0067542D">
              <w:rPr>
                <w:rFonts w:cstheme="minorHAnsi"/>
                <w:sz w:val="20"/>
                <w:szCs w:val="20"/>
              </w:rPr>
              <w:t>Jiang</w:t>
            </w:r>
            <w:r>
              <w:rPr>
                <w:rFonts w:cstheme="minorHAnsi"/>
                <w:sz w:val="20"/>
                <w:szCs w:val="20"/>
              </w:rPr>
              <w:t xml:space="preserve"> et al., 2016</w:t>
            </w:r>
            <w:r w:rsidRPr="00EE74F9">
              <w:rPr>
                <w:rFonts w:cstheme="minorHAnsi"/>
                <w:sz w:val="20"/>
                <w:szCs w:val="20"/>
                <w:vertAlign w:val="superscript"/>
              </w:rPr>
              <w:t>4</w:t>
            </w:r>
            <w:r w:rsidR="009F36BF">
              <w:rPr>
                <w:rFonts w:cstheme="minorHAnsi"/>
                <w:sz w:val="20"/>
                <w:szCs w:val="20"/>
                <w:vertAlign w:val="superscript"/>
              </w:rPr>
              <w:t>4</w:t>
            </w:r>
          </w:p>
        </w:tc>
        <w:tc>
          <w:tcPr>
            <w:tcW w:w="1134" w:type="dxa"/>
            <w:tcBorders>
              <w:left w:val="nil"/>
              <w:right w:val="nil"/>
            </w:tcBorders>
            <w:vAlign w:val="center"/>
          </w:tcPr>
          <w:p w14:paraId="4EF224B5" w14:textId="21276CE0" w:rsidR="00E80470" w:rsidRPr="0067542D" w:rsidRDefault="00BE3571" w:rsidP="0067542D">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1526CB4A" w14:textId="007977B6" w:rsidR="00E80470" w:rsidRPr="0067542D" w:rsidRDefault="00E80470" w:rsidP="0067542D">
            <w:pPr>
              <w:jc w:val="center"/>
              <w:rPr>
                <w:rFonts w:cstheme="minorHAnsi"/>
                <w:sz w:val="20"/>
                <w:szCs w:val="20"/>
              </w:rPr>
            </w:pPr>
            <w:r w:rsidRPr="0067542D">
              <w:rPr>
                <w:rFonts w:cstheme="minorHAnsi"/>
                <w:sz w:val="20"/>
                <w:szCs w:val="20"/>
              </w:rPr>
              <w:t>Australia (2), Denmark (4), Sweden (2), Canada (1), India (1), Netherlands (1), USA (2), China (1), Taiwan (1)</w:t>
            </w:r>
          </w:p>
        </w:tc>
        <w:tc>
          <w:tcPr>
            <w:tcW w:w="1139" w:type="dxa"/>
            <w:tcBorders>
              <w:left w:val="nil"/>
              <w:right w:val="nil"/>
            </w:tcBorders>
            <w:vAlign w:val="center"/>
          </w:tcPr>
          <w:p w14:paraId="0C519307" w14:textId="394CB253" w:rsidR="00E80470" w:rsidRPr="0067542D" w:rsidRDefault="00E80470" w:rsidP="0067542D">
            <w:pPr>
              <w:jc w:val="center"/>
              <w:rPr>
                <w:rFonts w:cstheme="minorHAnsi"/>
                <w:sz w:val="20"/>
                <w:szCs w:val="20"/>
              </w:rPr>
            </w:pPr>
            <w:r w:rsidRPr="0067542D">
              <w:rPr>
                <w:rFonts w:cstheme="minorHAnsi"/>
                <w:sz w:val="20"/>
                <w:szCs w:val="20"/>
              </w:rPr>
              <w:t>1</w:t>
            </w:r>
          </w:p>
        </w:tc>
        <w:tc>
          <w:tcPr>
            <w:tcW w:w="3314" w:type="dxa"/>
            <w:tcBorders>
              <w:left w:val="nil"/>
              <w:right w:val="nil"/>
            </w:tcBorders>
            <w:vAlign w:val="center"/>
          </w:tcPr>
          <w:p w14:paraId="30822F69" w14:textId="1F1AEE22" w:rsidR="00E80470" w:rsidRPr="0067542D" w:rsidRDefault="00E80470" w:rsidP="0067542D">
            <w:pPr>
              <w:jc w:val="center"/>
              <w:rPr>
                <w:rFonts w:cstheme="minorHAnsi"/>
                <w:sz w:val="20"/>
                <w:szCs w:val="20"/>
              </w:rPr>
            </w:pPr>
            <w:r w:rsidRPr="0067542D">
              <w:rPr>
                <w:rFonts w:cstheme="minorHAnsi"/>
                <w:sz w:val="20"/>
                <w:szCs w:val="20"/>
              </w:rPr>
              <w:t>Odds ratio = 1.13, 95% confidence interval (CI): 1.03–1.23 [risk of autism spectrum disorders (ASD)]</w:t>
            </w:r>
          </w:p>
        </w:tc>
        <w:tc>
          <w:tcPr>
            <w:tcW w:w="992" w:type="dxa"/>
            <w:tcBorders>
              <w:left w:val="nil"/>
              <w:right w:val="nil"/>
            </w:tcBorders>
            <w:vAlign w:val="center"/>
          </w:tcPr>
          <w:p w14:paraId="775D348D" w14:textId="1E5BC30D" w:rsidR="00E80470" w:rsidRPr="0067542D" w:rsidRDefault="00E80470" w:rsidP="0067542D">
            <w:pPr>
              <w:jc w:val="center"/>
              <w:rPr>
                <w:rFonts w:cstheme="minorHAnsi"/>
                <w:sz w:val="20"/>
                <w:szCs w:val="20"/>
              </w:rPr>
            </w:pPr>
            <w:r>
              <w:rPr>
                <w:rFonts w:cstheme="minorHAnsi"/>
                <w:sz w:val="20"/>
                <w:szCs w:val="20"/>
              </w:rPr>
              <w:t>0 to 14 years</w:t>
            </w:r>
          </w:p>
        </w:tc>
        <w:tc>
          <w:tcPr>
            <w:tcW w:w="2552" w:type="dxa"/>
            <w:tcBorders>
              <w:left w:val="nil"/>
              <w:right w:val="nil"/>
            </w:tcBorders>
            <w:vAlign w:val="center"/>
          </w:tcPr>
          <w:p w14:paraId="2F5CF25C" w14:textId="63947C9D" w:rsidR="00E80470" w:rsidRPr="0067542D" w:rsidRDefault="00E80470" w:rsidP="00A569FE">
            <w:pPr>
              <w:jc w:val="center"/>
              <w:rPr>
                <w:rFonts w:cstheme="minorHAnsi"/>
                <w:sz w:val="20"/>
                <w:szCs w:val="20"/>
              </w:rPr>
            </w:pPr>
            <w:r w:rsidRPr="0067542D">
              <w:rPr>
                <w:rFonts w:cstheme="minorHAnsi"/>
                <w:sz w:val="20"/>
                <w:szCs w:val="20"/>
              </w:rPr>
              <w:t>Newcastle–Ottawa Scale (NOS)</w:t>
            </w:r>
            <w:r w:rsidRPr="0067542D">
              <w:rPr>
                <w:rFonts w:cstheme="minorHAnsi"/>
                <w:sz w:val="20"/>
                <w:szCs w:val="20"/>
              </w:rPr>
              <w:br/>
            </w:r>
            <w:r>
              <w:rPr>
                <w:rFonts w:cstheme="minorHAnsi"/>
                <w:sz w:val="20"/>
                <w:szCs w:val="20"/>
              </w:rPr>
              <w:t xml:space="preserve">range: </w:t>
            </w:r>
            <w:r w:rsidRPr="0067542D">
              <w:rPr>
                <w:rFonts w:cstheme="minorHAnsi"/>
                <w:sz w:val="20"/>
                <w:szCs w:val="20"/>
              </w:rPr>
              <w:t>3-9</w:t>
            </w:r>
          </w:p>
        </w:tc>
        <w:tc>
          <w:tcPr>
            <w:tcW w:w="1417" w:type="dxa"/>
            <w:tcBorders>
              <w:left w:val="nil"/>
              <w:right w:val="nil"/>
            </w:tcBorders>
            <w:vAlign w:val="center"/>
          </w:tcPr>
          <w:p w14:paraId="03A51647" w14:textId="0B30F9B6" w:rsidR="00E80470" w:rsidRPr="0067542D" w:rsidRDefault="00BE3571" w:rsidP="00BE3571">
            <w:pPr>
              <w:jc w:val="center"/>
              <w:rPr>
                <w:rFonts w:cstheme="minorHAnsi"/>
                <w:sz w:val="20"/>
                <w:szCs w:val="20"/>
              </w:rPr>
            </w:pPr>
            <w:r>
              <w:rPr>
                <w:rFonts w:cstheme="minorHAnsi"/>
                <w:sz w:val="20"/>
                <w:szCs w:val="20"/>
              </w:rPr>
              <w:t xml:space="preserve">MOOSE guidelines </w:t>
            </w:r>
            <w:r w:rsidR="00024B88">
              <w:rPr>
                <w:rFonts w:cstheme="minorHAnsi"/>
                <w:sz w:val="20"/>
                <w:szCs w:val="20"/>
              </w:rPr>
              <w:t xml:space="preserve">followed </w:t>
            </w:r>
          </w:p>
        </w:tc>
        <w:tc>
          <w:tcPr>
            <w:tcW w:w="1276" w:type="dxa"/>
            <w:tcBorders>
              <w:left w:val="nil"/>
              <w:right w:val="nil"/>
            </w:tcBorders>
            <w:vAlign w:val="center"/>
          </w:tcPr>
          <w:p w14:paraId="4DB5FD68" w14:textId="4ABB0469" w:rsidR="00E80470" w:rsidRPr="0067542D" w:rsidRDefault="00E80470" w:rsidP="00A569FE">
            <w:pPr>
              <w:jc w:val="center"/>
              <w:rPr>
                <w:rFonts w:cstheme="minorHAnsi"/>
                <w:sz w:val="20"/>
                <w:szCs w:val="20"/>
              </w:rPr>
            </w:pPr>
            <w:r w:rsidRPr="0067542D">
              <w:rPr>
                <w:rFonts w:cstheme="minorHAnsi"/>
                <w:sz w:val="20"/>
                <w:szCs w:val="20"/>
              </w:rPr>
              <w:t>moderate</w:t>
            </w:r>
          </w:p>
        </w:tc>
      </w:tr>
      <w:tr w:rsidR="00E80470" w:rsidRPr="0067542D" w14:paraId="50978044" w14:textId="0C8D090F" w:rsidTr="00A50197">
        <w:trPr>
          <w:gridAfter w:val="1"/>
          <w:wAfter w:w="30" w:type="dxa"/>
          <w:jc w:val="center"/>
        </w:trPr>
        <w:tc>
          <w:tcPr>
            <w:tcW w:w="1218" w:type="dxa"/>
            <w:tcBorders>
              <w:left w:val="nil"/>
              <w:right w:val="nil"/>
            </w:tcBorders>
            <w:vAlign w:val="center"/>
          </w:tcPr>
          <w:p w14:paraId="1F5FD19C" w14:textId="5ABE35F5" w:rsidR="00E80470" w:rsidRPr="0067542D" w:rsidRDefault="00E80470" w:rsidP="0067542D">
            <w:pPr>
              <w:jc w:val="center"/>
              <w:rPr>
                <w:rFonts w:cstheme="minorHAnsi"/>
                <w:sz w:val="20"/>
                <w:szCs w:val="20"/>
              </w:rPr>
            </w:pPr>
            <w:r w:rsidRPr="0067542D">
              <w:rPr>
                <w:rFonts w:cstheme="minorHAnsi"/>
                <w:sz w:val="20"/>
                <w:szCs w:val="20"/>
              </w:rPr>
              <w:t>Joubert</w:t>
            </w:r>
            <w:r>
              <w:rPr>
                <w:rFonts w:cstheme="minorHAnsi"/>
                <w:sz w:val="20"/>
                <w:szCs w:val="20"/>
              </w:rPr>
              <w:t xml:space="preserve"> et al., 2016</w:t>
            </w:r>
            <w:r w:rsidRPr="00EE74F9">
              <w:rPr>
                <w:rFonts w:cstheme="minorHAnsi"/>
                <w:sz w:val="20"/>
                <w:szCs w:val="20"/>
                <w:vertAlign w:val="superscript"/>
              </w:rPr>
              <w:t>4</w:t>
            </w:r>
            <w:r w:rsidR="009F36BF">
              <w:rPr>
                <w:rFonts w:cstheme="minorHAnsi"/>
                <w:sz w:val="20"/>
                <w:szCs w:val="20"/>
                <w:vertAlign w:val="superscript"/>
              </w:rPr>
              <w:t>5</w:t>
            </w:r>
          </w:p>
        </w:tc>
        <w:tc>
          <w:tcPr>
            <w:tcW w:w="1134" w:type="dxa"/>
            <w:tcBorders>
              <w:left w:val="nil"/>
              <w:right w:val="nil"/>
            </w:tcBorders>
            <w:vAlign w:val="center"/>
          </w:tcPr>
          <w:p w14:paraId="05EC6ADD" w14:textId="00889AEE" w:rsidR="00E80470" w:rsidRPr="0067542D" w:rsidRDefault="00BE3571"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237C8026" w14:textId="3A77184F" w:rsidR="00E80470" w:rsidRPr="0067542D" w:rsidRDefault="00E80470" w:rsidP="0067542D">
            <w:pPr>
              <w:jc w:val="center"/>
              <w:rPr>
                <w:rFonts w:cstheme="minorHAnsi"/>
                <w:sz w:val="20"/>
                <w:szCs w:val="20"/>
              </w:rPr>
            </w:pPr>
            <w:r w:rsidRPr="0067542D">
              <w:rPr>
                <w:rFonts w:cstheme="minorHAnsi"/>
                <w:sz w:val="20"/>
                <w:szCs w:val="20"/>
              </w:rPr>
              <w:t>Netherlands (1), Norway (1)</w:t>
            </w:r>
          </w:p>
        </w:tc>
        <w:tc>
          <w:tcPr>
            <w:tcW w:w="1139" w:type="dxa"/>
            <w:tcBorders>
              <w:left w:val="nil"/>
              <w:right w:val="nil"/>
            </w:tcBorders>
            <w:vAlign w:val="center"/>
          </w:tcPr>
          <w:p w14:paraId="7A4CEA5F" w14:textId="4E61EA66"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73C84408" w14:textId="225D14E2"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0771039D" w14:textId="412BB134" w:rsidR="00E80470" w:rsidRPr="0067542D" w:rsidRDefault="00E80470" w:rsidP="0067542D">
            <w:pPr>
              <w:jc w:val="center"/>
              <w:rPr>
                <w:rFonts w:cstheme="minorHAnsi"/>
                <w:sz w:val="20"/>
                <w:szCs w:val="20"/>
              </w:rPr>
            </w:pPr>
            <w:r w:rsidRPr="0067542D">
              <w:rPr>
                <w:rFonts w:cstheme="minorHAnsi"/>
                <w:sz w:val="20"/>
                <w:szCs w:val="20"/>
              </w:rPr>
              <w:t>Birth (0 years); 4 to 8 years</w:t>
            </w:r>
          </w:p>
        </w:tc>
        <w:tc>
          <w:tcPr>
            <w:tcW w:w="2552" w:type="dxa"/>
            <w:tcBorders>
              <w:left w:val="nil"/>
              <w:right w:val="nil"/>
            </w:tcBorders>
            <w:vAlign w:val="center"/>
          </w:tcPr>
          <w:p w14:paraId="4152BAC6" w14:textId="41C5AFC1" w:rsidR="00E80470" w:rsidRPr="0067542D" w:rsidRDefault="00E80470" w:rsidP="0067542D">
            <w:pPr>
              <w:jc w:val="center"/>
              <w:rPr>
                <w:rFonts w:cstheme="minorHAnsi"/>
                <w:sz w:val="20"/>
                <w:szCs w:val="20"/>
              </w:rPr>
            </w:pPr>
            <w:r w:rsidRPr="0067542D">
              <w:rPr>
                <w:rFonts w:cstheme="minorHAnsi"/>
                <w:sz w:val="20"/>
                <w:szCs w:val="20"/>
              </w:rPr>
              <w:t xml:space="preserve">no quality assessment </w:t>
            </w:r>
          </w:p>
        </w:tc>
        <w:tc>
          <w:tcPr>
            <w:tcW w:w="1417" w:type="dxa"/>
            <w:tcBorders>
              <w:left w:val="nil"/>
              <w:right w:val="nil"/>
            </w:tcBorders>
            <w:vAlign w:val="center"/>
          </w:tcPr>
          <w:p w14:paraId="0EE845CE" w14:textId="31B61A2D" w:rsidR="00E80470" w:rsidRPr="0067542D" w:rsidRDefault="00BE3571" w:rsidP="00BE3571">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15A45F3A" w14:textId="6F544502" w:rsidR="00E80470" w:rsidRPr="0067542D" w:rsidRDefault="00E80470" w:rsidP="0067542D">
            <w:pPr>
              <w:jc w:val="center"/>
              <w:rPr>
                <w:rFonts w:cstheme="minorHAnsi"/>
                <w:sz w:val="20"/>
                <w:szCs w:val="20"/>
              </w:rPr>
            </w:pPr>
            <w:r w:rsidRPr="0067542D">
              <w:rPr>
                <w:rFonts w:cstheme="minorHAnsi"/>
                <w:sz w:val="20"/>
                <w:szCs w:val="20"/>
              </w:rPr>
              <w:t>N/A</w:t>
            </w:r>
          </w:p>
        </w:tc>
      </w:tr>
      <w:tr w:rsidR="00E80470" w:rsidRPr="0067542D" w14:paraId="54B1E5C0" w14:textId="591F0E71" w:rsidTr="00A50197">
        <w:trPr>
          <w:gridAfter w:val="1"/>
          <w:wAfter w:w="30" w:type="dxa"/>
          <w:jc w:val="center"/>
        </w:trPr>
        <w:tc>
          <w:tcPr>
            <w:tcW w:w="1218" w:type="dxa"/>
            <w:tcBorders>
              <w:left w:val="nil"/>
              <w:right w:val="nil"/>
            </w:tcBorders>
            <w:vAlign w:val="center"/>
          </w:tcPr>
          <w:p w14:paraId="5FF98153" w14:textId="1E2DAC8D" w:rsidR="00E80470" w:rsidRPr="0067542D" w:rsidRDefault="00E80470" w:rsidP="0067542D">
            <w:pPr>
              <w:jc w:val="center"/>
              <w:rPr>
                <w:rFonts w:cstheme="minorHAnsi"/>
                <w:sz w:val="20"/>
                <w:szCs w:val="20"/>
              </w:rPr>
            </w:pPr>
            <w:r w:rsidRPr="0067542D">
              <w:rPr>
                <w:rFonts w:cstheme="minorHAnsi"/>
                <w:sz w:val="20"/>
                <w:szCs w:val="20"/>
              </w:rPr>
              <w:t>Joubert</w:t>
            </w:r>
            <w:r>
              <w:rPr>
                <w:rFonts w:cstheme="minorHAnsi"/>
                <w:sz w:val="20"/>
                <w:szCs w:val="20"/>
              </w:rPr>
              <w:t xml:space="preserve"> et al.</w:t>
            </w:r>
            <w:r w:rsidRPr="0067542D">
              <w:rPr>
                <w:rFonts w:cstheme="minorHAnsi"/>
                <w:sz w:val="20"/>
                <w:szCs w:val="20"/>
              </w:rPr>
              <w:t xml:space="preserve">, </w:t>
            </w:r>
            <w:r>
              <w:rPr>
                <w:rFonts w:cstheme="minorHAnsi"/>
                <w:sz w:val="20"/>
                <w:szCs w:val="20"/>
              </w:rPr>
              <w:t>2016</w:t>
            </w:r>
            <w:r w:rsidRPr="00EE74F9">
              <w:rPr>
                <w:rFonts w:cstheme="minorHAnsi"/>
                <w:sz w:val="20"/>
                <w:szCs w:val="20"/>
                <w:vertAlign w:val="superscript"/>
              </w:rPr>
              <w:t>4</w:t>
            </w:r>
            <w:r w:rsidR="009F36BF">
              <w:rPr>
                <w:rFonts w:cstheme="minorHAnsi"/>
                <w:sz w:val="20"/>
                <w:szCs w:val="20"/>
                <w:vertAlign w:val="superscript"/>
              </w:rPr>
              <w:t>6</w:t>
            </w:r>
          </w:p>
        </w:tc>
        <w:tc>
          <w:tcPr>
            <w:tcW w:w="1134" w:type="dxa"/>
            <w:tcBorders>
              <w:left w:val="nil"/>
              <w:right w:val="nil"/>
            </w:tcBorders>
            <w:vAlign w:val="center"/>
          </w:tcPr>
          <w:p w14:paraId="111D55D7" w14:textId="13AC4FDD" w:rsidR="00E80470" w:rsidRPr="0067542D" w:rsidRDefault="00BE3571"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05470E53" w14:textId="49DB7DCF" w:rsidR="00E80470" w:rsidRPr="0067542D" w:rsidRDefault="00E80470" w:rsidP="0067542D">
            <w:pPr>
              <w:jc w:val="center"/>
              <w:rPr>
                <w:rFonts w:cstheme="minorHAnsi"/>
                <w:sz w:val="20"/>
                <w:szCs w:val="20"/>
              </w:rPr>
            </w:pPr>
            <w:r w:rsidRPr="0067542D">
              <w:rPr>
                <w:rFonts w:cstheme="minorHAnsi"/>
                <w:sz w:val="20"/>
                <w:szCs w:val="20"/>
              </w:rPr>
              <w:t>Not Available</w:t>
            </w:r>
          </w:p>
        </w:tc>
        <w:tc>
          <w:tcPr>
            <w:tcW w:w="1139" w:type="dxa"/>
            <w:tcBorders>
              <w:left w:val="nil"/>
              <w:right w:val="nil"/>
            </w:tcBorders>
            <w:vAlign w:val="center"/>
          </w:tcPr>
          <w:p w14:paraId="11FD3BE2" w14:textId="1D6A3980"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3AEEFA46" w14:textId="67F6D666"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2472150C" w14:textId="6B2B6752" w:rsidR="00E80470" w:rsidRPr="0067542D" w:rsidRDefault="00E80470" w:rsidP="0067542D">
            <w:pPr>
              <w:jc w:val="center"/>
              <w:rPr>
                <w:rFonts w:cstheme="minorHAnsi"/>
                <w:sz w:val="20"/>
                <w:szCs w:val="20"/>
              </w:rPr>
            </w:pPr>
            <w:r>
              <w:rPr>
                <w:rFonts w:cstheme="minorHAnsi"/>
                <w:sz w:val="20"/>
                <w:szCs w:val="20"/>
              </w:rPr>
              <w:t>0 to 4 years</w:t>
            </w:r>
          </w:p>
        </w:tc>
        <w:tc>
          <w:tcPr>
            <w:tcW w:w="2552" w:type="dxa"/>
            <w:tcBorders>
              <w:left w:val="nil"/>
              <w:right w:val="nil"/>
            </w:tcBorders>
            <w:vAlign w:val="center"/>
          </w:tcPr>
          <w:p w14:paraId="6EABDAB3" w14:textId="697A2F94" w:rsidR="00E80470" w:rsidRPr="0067542D" w:rsidRDefault="00E80470" w:rsidP="0067542D">
            <w:pPr>
              <w:jc w:val="center"/>
              <w:rPr>
                <w:rFonts w:cstheme="minorHAnsi"/>
                <w:sz w:val="20"/>
                <w:szCs w:val="20"/>
              </w:rPr>
            </w:pPr>
            <w:r w:rsidRPr="0067542D">
              <w:rPr>
                <w:rFonts w:cstheme="minorHAnsi"/>
                <w:sz w:val="20"/>
                <w:szCs w:val="20"/>
              </w:rPr>
              <w:t xml:space="preserve">no quality assessment </w:t>
            </w:r>
          </w:p>
        </w:tc>
        <w:tc>
          <w:tcPr>
            <w:tcW w:w="1417" w:type="dxa"/>
            <w:tcBorders>
              <w:left w:val="nil"/>
              <w:right w:val="nil"/>
            </w:tcBorders>
            <w:vAlign w:val="center"/>
          </w:tcPr>
          <w:p w14:paraId="1DA2B1D2" w14:textId="028A6909" w:rsidR="00E80470" w:rsidRPr="0067542D" w:rsidRDefault="00BE3571" w:rsidP="00BE3571">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479E409B" w14:textId="7FCAAED9" w:rsidR="00E80470" w:rsidRPr="0067542D" w:rsidRDefault="00E80470" w:rsidP="0067542D">
            <w:pPr>
              <w:jc w:val="center"/>
              <w:rPr>
                <w:rFonts w:cstheme="minorHAnsi"/>
                <w:sz w:val="20"/>
                <w:szCs w:val="20"/>
              </w:rPr>
            </w:pPr>
            <w:r w:rsidRPr="0067542D">
              <w:rPr>
                <w:rFonts w:cstheme="minorHAnsi"/>
                <w:sz w:val="20"/>
                <w:szCs w:val="20"/>
              </w:rPr>
              <w:t>N/A</w:t>
            </w:r>
          </w:p>
        </w:tc>
      </w:tr>
      <w:tr w:rsidR="00E80470" w:rsidRPr="0067542D" w14:paraId="331AE2FF" w14:textId="39B91EE1" w:rsidTr="00A50197">
        <w:trPr>
          <w:gridAfter w:val="1"/>
          <w:wAfter w:w="30" w:type="dxa"/>
          <w:jc w:val="center"/>
        </w:trPr>
        <w:tc>
          <w:tcPr>
            <w:tcW w:w="1218" w:type="dxa"/>
            <w:tcBorders>
              <w:left w:val="nil"/>
              <w:right w:val="nil"/>
            </w:tcBorders>
            <w:vAlign w:val="center"/>
          </w:tcPr>
          <w:p w14:paraId="0041BC03" w14:textId="2DCF5162" w:rsidR="00E80470" w:rsidRPr="0067542D" w:rsidRDefault="00E80470" w:rsidP="0067542D">
            <w:pPr>
              <w:jc w:val="center"/>
              <w:rPr>
                <w:rFonts w:cstheme="minorHAnsi"/>
                <w:sz w:val="20"/>
                <w:szCs w:val="20"/>
              </w:rPr>
            </w:pPr>
            <w:r w:rsidRPr="0067542D">
              <w:rPr>
                <w:rFonts w:cstheme="minorHAnsi"/>
                <w:sz w:val="20"/>
                <w:szCs w:val="20"/>
              </w:rPr>
              <w:t>Kingston</w:t>
            </w:r>
            <w:r>
              <w:rPr>
                <w:rFonts w:cstheme="minorHAnsi"/>
                <w:sz w:val="20"/>
                <w:szCs w:val="20"/>
              </w:rPr>
              <w:t xml:space="preserve"> et al., 2012</w:t>
            </w:r>
            <w:r w:rsidRPr="00EE74F9">
              <w:rPr>
                <w:rFonts w:cstheme="minorHAnsi"/>
                <w:sz w:val="20"/>
                <w:szCs w:val="20"/>
                <w:vertAlign w:val="superscript"/>
              </w:rPr>
              <w:t>4</w:t>
            </w:r>
            <w:r w:rsidR="009F36BF">
              <w:rPr>
                <w:rFonts w:cstheme="minorHAnsi"/>
                <w:sz w:val="20"/>
                <w:szCs w:val="20"/>
                <w:vertAlign w:val="superscript"/>
              </w:rPr>
              <w:t>7</w:t>
            </w:r>
          </w:p>
        </w:tc>
        <w:tc>
          <w:tcPr>
            <w:tcW w:w="1134" w:type="dxa"/>
            <w:tcBorders>
              <w:left w:val="nil"/>
              <w:right w:val="nil"/>
            </w:tcBorders>
            <w:vAlign w:val="center"/>
          </w:tcPr>
          <w:p w14:paraId="281F41CD" w14:textId="54809BFD" w:rsidR="00E80470" w:rsidRPr="0067542D" w:rsidRDefault="00BE3571" w:rsidP="0067542D">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5ED3FA6E" w14:textId="2D72CC95" w:rsidR="00E80470" w:rsidRPr="0067542D" w:rsidRDefault="00E80470" w:rsidP="0067542D">
            <w:pPr>
              <w:jc w:val="center"/>
              <w:rPr>
                <w:rFonts w:cstheme="minorHAnsi"/>
                <w:sz w:val="20"/>
                <w:szCs w:val="20"/>
              </w:rPr>
            </w:pPr>
            <w:r w:rsidRPr="0067542D">
              <w:rPr>
                <w:rFonts w:cstheme="minorHAnsi"/>
                <w:sz w:val="20"/>
                <w:szCs w:val="20"/>
              </w:rPr>
              <w:t>New Zealand (1), Finland (1), Netherlands (8), US (4), Australia (4), Sweden (1), Israel (1), Spain (1), UK (2)</w:t>
            </w:r>
          </w:p>
        </w:tc>
        <w:tc>
          <w:tcPr>
            <w:tcW w:w="1139" w:type="dxa"/>
            <w:tcBorders>
              <w:left w:val="nil"/>
              <w:right w:val="nil"/>
            </w:tcBorders>
            <w:vAlign w:val="center"/>
          </w:tcPr>
          <w:p w14:paraId="053B34B1" w14:textId="0F2CB34D" w:rsidR="00E80470" w:rsidRPr="0067542D" w:rsidRDefault="00E80470" w:rsidP="0067542D">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4B611EE6" w14:textId="038BFF05" w:rsidR="00E80470" w:rsidRPr="0067542D" w:rsidRDefault="00E80470" w:rsidP="0067542D">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48AA0D7B" w14:textId="31455118" w:rsidR="00E80470" w:rsidRPr="0067542D" w:rsidRDefault="00E80470" w:rsidP="0067542D">
            <w:pPr>
              <w:jc w:val="center"/>
              <w:rPr>
                <w:rFonts w:cstheme="minorHAnsi"/>
                <w:sz w:val="20"/>
                <w:szCs w:val="20"/>
              </w:rPr>
            </w:pPr>
            <w:r>
              <w:rPr>
                <w:rFonts w:cstheme="minorHAnsi"/>
                <w:sz w:val="20"/>
                <w:szCs w:val="20"/>
              </w:rPr>
              <w:t>0 to 1 years</w:t>
            </w:r>
          </w:p>
        </w:tc>
        <w:tc>
          <w:tcPr>
            <w:tcW w:w="2552" w:type="dxa"/>
            <w:tcBorders>
              <w:left w:val="nil"/>
              <w:right w:val="nil"/>
            </w:tcBorders>
            <w:vAlign w:val="center"/>
          </w:tcPr>
          <w:p w14:paraId="49839F6D" w14:textId="28A55352" w:rsidR="00E80470" w:rsidRPr="0067542D" w:rsidRDefault="00E80470" w:rsidP="0067542D">
            <w:pPr>
              <w:jc w:val="center"/>
              <w:rPr>
                <w:rFonts w:cstheme="minorHAnsi"/>
                <w:sz w:val="20"/>
                <w:szCs w:val="20"/>
              </w:rPr>
            </w:pPr>
            <w:r w:rsidRPr="0067542D">
              <w:rPr>
                <w:rFonts w:cstheme="minorHAnsi"/>
                <w:sz w:val="20"/>
                <w:szCs w:val="20"/>
              </w:rPr>
              <w:t>modified version of the critical appraisal form for observational studies developed by the Scottish Intercollegiate Guideline Network (http://www.sign.ac.uk/methodology/checklists.html) was used</w:t>
            </w:r>
          </w:p>
        </w:tc>
        <w:tc>
          <w:tcPr>
            <w:tcW w:w="1417" w:type="dxa"/>
            <w:tcBorders>
              <w:left w:val="nil"/>
              <w:right w:val="nil"/>
            </w:tcBorders>
            <w:vAlign w:val="center"/>
          </w:tcPr>
          <w:p w14:paraId="7B912B63" w14:textId="2CFD5CEB" w:rsidR="00E80470" w:rsidRPr="0067542D" w:rsidRDefault="00BC0F23" w:rsidP="00BC0F23">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3ED3FB87" w14:textId="058C89DA" w:rsidR="00E80470" w:rsidRPr="0067542D" w:rsidRDefault="00E80470" w:rsidP="0067542D">
            <w:pPr>
              <w:jc w:val="center"/>
              <w:rPr>
                <w:rFonts w:cstheme="minorHAnsi"/>
                <w:sz w:val="20"/>
                <w:szCs w:val="20"/>
              </w:rPr>
            </w:pPr>
            <w:r w:rsidRPr="0067542D">
              <w:rPr>
                <w:rFonts w:cstheme="minorHAnsi"/>
                <w:sz w:val="20"/>
                <w:szCs w:val="20"/>
              </w:rPr>
              <w:t>moderate</w:t>
            </w:r>
          </w:p>
        </w:tc>
      </w:tr>
      <w:tr w:rsidR="00E80470" w:rsidRPr="0067542D" w14:paraId="5162C08C" w14:textId="43F57BBB" w:rsidTr="00A50197">
        <w:trPr>
          <w:gridAfter w:val="1"/>
          <w:wAfter w:w="30" w:type="dxa"/>
          <w:jc w:val="center"/>
        </w:trPr>
        <w:tc>
          <w:tcPr>
            <w:tcW w:w="1218" w:type="dxa"/>
            <w:tcBorders>
              <w:left w:val="nil"/>
              <w:right w:val="nil"/>
            </w:tcBorders>
            <w:vAlign w:val="center"/>
          </w:tcPr>
          <w:p w14:paraId="0A0DE77D" w14:textId="29FDED4F" w:rsidR="00E80470" w:rsidRPr="0067542D" w:rsidRDefault="00E80470" w:rsidP="0067542D">
            <w:pPr>
              <w:jc w:val="center"/>
              <w:rPr>
                <w:rFonts w:cstheme="minorHAnsi"/>
                <w:sz w:val="20"/>
                <w:szCs w:val="20"/>
              </w:rPr>
            </w:pPr>
            <w:proofErr w:type="spellStart"/>
            <w:r w:rsidRPr="0067542D">
              <w:rPr>
                <w:rFonts w:cstheme="minorHAnsi"/>
                <w:sz w:val="20"/>
                <w:szCs w:val="20"/>
              </w:rPr>
              <w:t>Klimentopoulou</w:t>
            </w:r>
            <w:proofErr w:type="spellEnd"/>
            <w:r>
              <w:rPr>
                <w:rFonts w:cstheme="minorHAnsi"/>
                <w:sz w:val="20"/>
                <w:szCs w:val="20"/>
              </w:rPr>
              <w:t xml:space="preserve"> et al., 2012</w:t>
            </w:r>
            <w:r w:rsidRPr="00EE74F9">
              <w:rPr>
                <w:rFonts w:cstheme="minorHAnsi"/>
                <w:sz w:val="20"/>
                <w:szCs w:val="20"/>
                <w:vertAlign w:val="superscript"/>
              </w:rPr>
              <w:t>4</w:t>
            </w:r>
            <w:r w:rsidR="009F36BF">
              <w:rPr>
                <w:rFonts w:cstheme="minorHAnsi"/>
                <w:sz w:val="20"/>
                <w:szCs w:val="20"/>
                <w:vertAlign w:val="superscript"/>
              </w:rPr>
              <w:t>8</w:t>
            </w:r>
          </w:p>
        </w:tc>
        <w:tc>
          <w:tcPr>
            <w:tcW w:w="1134" w:type="dxa"/>
            <w:tcBorders>
              <w:left w:val="nil"/>
              <w:right w:val="nil"/>
            </w:tcBorders>
            <w:vAlign w:val="center"/>
          </w:tcPr>
          <w:p w14:paraId="040EA284" w14:textId="64ED21EC" w:rsidR="00E80470" w:rsidRPr="0067542D" w:rsidRDefault="00BC0F23" w:rsidP="0067542D">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2303F863" w14:textId="522C2EDC" w:rsidR="00E80470" w:rsidRPr="0067542D" w:rsidRDefault="00E80470" w:rsidP="0067542D">
            <w:pPr>
              <w:jc w:val="center"/>
              <w:rPr>
                <w:rFonts w:cstheme="minorHAnsi"/>
                <w:sz w:val="20"/>
                <w:szCs w:val="20"/>
              </w:rPr>
            </w:pPr>
            <w:r w:rsidRPr="0067542D">
              <w:rPr>
                <w:rFonts w:cstheme="minorHAnsi"/>
                <w:sz w:val="20"/>
                <w:szCs w:val="20"/>
              </w:rPr>
              <w:t>USA (1), Italy (1), Canada (1), France (1), Sweden (1), UK (1), Greece (1), Australia (1), Netherlands (1)</w:t>
            </w:r>
          </w:p>
        </w:tc>
        <w:tc>
          <w:tcPr>
            <w:tcW w:w="1139" w:type="dxa"/>
            <w:tcBorders>
              <w:left w:val="nil"/>
              <w:right w:val="nil"/>
            </w:tcBorders>
            <w:vAlign w:val="center"/>
          </w:tcPr>
          <w:p w14:paraId="6A5CB140" w14:textId="40E7559B" w:rsidR="00E80470" w:rsidRPr="0067542D" w:rsidRDefault="00E80470" w:rsidP="0067542D">
            <w:pPr>
              <w:jc w:val="center"/>
              <w:rPr>
                <w:rFonts w:cstheme="minorHAnsi"/>
                <w:sz w:val="20"/>
                <w:szCs w:val="20"/>
              </w:rPr>
            </w:pPr>
            <w:r w:rsidRPr="0067542D">
              <w:rPr>
                <w:rFonts w:cstheme="minorHAnsi"/>
                <w:sz w:val="20"/>
                <w:szCs w:val="20"/>
              </w:rPr>
              <w:t>2</w:t>
            </w:r>
          </w:p>
        </w:tc>
        <w:tc>
          <w:tcPr>
            <w:tcW w:w="3314" w:type="dxa"/>
            <w:tcBorders>
              <w:left w:val="nil"/>
              <w:right w:val="nil"/>
            </w:tcBorders>
            <w:vAlign w:val="center"/>
          </w:tcPr>
          <w:p w14:paraId="0108C270" w14:textId="18F5DB77" w:rsidR="00E80470" w:rsidRPr="0067542D" w:rsidRDefault="00E80470" w:rsidP="0067542D">
            <w:pPr>
              <w:jc w:val="center"/>
              <w:rPr>
                <w:rFonts w:cstheme="minorHAnsi"/>
                <w:sz w:val="20"/>
                <w:szCs w:val="20"/>
              </w:rPr>
            </w:pPr>
            <w:r w:rsidRPr="0067542D">
              <w:rPr>
                <w:rFonts w:cstheme="minorHAnsi"/>
                <w:sz w:val="20"/>
                <w:szCs w:val="20"/>
              </w:rPr>
              <w:t xml:space="preserve">Odds ratio for risk of </w:t>
            </w:r>
            <w:proofErr w:type="spellStart"/>
            <w:r w:rsidRPr="0067542D">
              <w:rPr>
                <w:rFonts w:cstheme="minorHAnsi"/>
                <w:sz w:val="20"/>
                <w:szCs w:val="20"/>
              </w:rPr>
              <w:t>childhhod</w:t>
            </w:r>
            <w:proofErr w:type="spellEnd"/>
            <w:r w:rsidRPr="0067542D">
              <w:rPr>
                <w:rFonts w:cstheme="minorHAnsi"/>
                <w:sz w:val="20"/>
                <w:szCs w:val="20"/>
              </w:rPr>
              <w:t xml:space="preserve"> acute lymphatic leukemia: 1.03; 95% CI: 0.95–1.1,</w:t>
            </w:r>
            <w:r w:rsidRPr="0067542D">
              <w:rPr>
                <w:rFonts w:cstheme="minorHAnsi"/>
                <w:sz w:val="20"/>
                <w:szCs w:val="20"/>
              </w:rPr>
              <w:br/>
              <w:t>Odds ratio for risk of acute myelocytic leukemia: 0.99; 95% CI: 0.90–1.09</w:t>
            </w:r>
          </w:p>
        </w:tc>
        <w:tc>
          <w:tcPr>
            <w:tcW w:w="992" w:type="dxa"/>
            <w:tcBorders>
              <w:left w:val="nil"/>
              <w:right w:val="nil"/>
            </w:tcBorders>
            <w:vAlign w:val="center"/>
          </w:tcPr>
          <w:p w14:paraId="5C25C597" w14:textId="4439FFF7" w:rsidR="00E80470" w:rsidRPr="0067542D" w:rsidRDefault="00E80470" w:rsidP="0067542D">
            <w:pPr>
              <w:jc w:val="center"/>
              <w:rPr>
                <w:rFonts w:cstheme="minorHAnsi"/>
                <w:sz w:val="20"/>
                <w:szCs w:val="20"/>
              </w:rPr>
            </w:pPr>
            <w:r w:rsidRPr="0067542D">
              <w:rPr>
                <w:rFonts w:cstheme="minorHAnsi"/>
                <w:sz w:val="20"/>
                <w:szCs w:val="20"/>
              </w:rPr>
              <w:t>0 to 20 years</w:t>
            </w:r>
          </w:p>
        </w:tc>
        <w:tc>
          <w:tcPr>
            <w:tcW w:w="2552" w:type="dxa"/>
            <w:tcBorders>
              <w:left w:val="nil"/>
              <w:right w:val="nil"/>
            </w:tcBorders>
            <w:vAlign w:val="center"/>
          </w:tcPr>
          <w:p w14:paraId="500A9D3F" w14:textId="3B243DE7" w:rsidR="00E80470" w:rsidRPr="0067542D" w:rsidRDefault="00E80470" w:rsidP="0067542D">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59C825BC" w14:textId="48039DDE" w:rsidR="00E80470" w:rsidRPr="0067542D" w:rsidRDefault="00BC0F23" w:rsidP="00BC0F23">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301A2146" w14:textId="0B3A61D7" w:rsidR="00E80470" w:rsidRPr="0067542D" w:rsidRDefault="00E80470" w:rsidP="0067542D">
            <w:pPr>
              <w:jc w:val="center"/>
              <w:rPr>
                <w:rFonts w:cstheme="minorHAnsi"/>
                <w:sz w:val="20"/>
                <w:szCs w:val="20"/>
              </w:rPr>
            </w:pPr>
            <w:r w:rsidRPr="0067542D">
              <w:rPr>
                <w:rFonts w:cstheme="minorHAnsi"/>
                <w:sz w:val="20"/>
                <w:szCs w:val="20"/>
              </w:rPr>
              <w:t>N/A</w:t>
            </w:r>
          </w:p>
        </w:tc>
      </w:tr>
      <w:tr w:rsidR="00792D53" w:rsidRPr="0067542D" w14:paraId="37C3BD99" w14:textId="67060F76" w:rsidTr="00A50197">
        <w:trPr>
          <w:gridAfter w:val="1"/>
          <w:wAfter w:w="30" w:type="dxa"/>
          <w:jc w:val="center"/>
        </w:trPr>
        <w:tc>
          <w:tcPr>
            <w:tcW w:w="1218" w:type="dxa"/>
            <w:tcBorders>
              <w:left w:val="nil"/>
              <w:right w:val="nil"/>
            </w:tcBorders>
            <w:vAlign w:val="center"/>
          </w:tcPr>
          <w:p w14:paraId="4E020B98" w14:textId="7C9C727B" w:rsidR="00792D53" w:rsidRPr="0067542D" w:rsidRDefault="00792D53" w:rsidP="00792D53">
            <w:pPr>
              <w:jc w:val="center"/>
              <w:rPr>
                <w:rFonts w:cstheme="minorHAnsi"/>
                <w:sz w:val="20"/>
                <w:szCs w:val="20"/>
              </w:rPr>
            </w:pPr>
            <w:r w:rsidRPr="0067542D">
              <w:rPr>
                <w:rFonts w:cstheme="minorHAnsi"/>
                <w:sz w:val="20"/>
                <w:szCs w:val="20"/>
              </w:rPr>
              <w:lastRenderedPageBreak/>
              <w:t>Krishna</w:t>
            </w:r>
            <w:r>
              <w:rPr>
                <w:rFonts w:cstheme="minorHAnsi"/>
                <w:sz w:val="20"/>
                <w:szCs w:val="20"/>
              </w:rPr>
              <w:t xml:space="preserve"> et al., 2019</w:t>
            </w:r>
            <w:r w:rsidRPr="00EE74F9">
              <w:rPr>
                <w:rFonts w:cstheme="minorHAnsi"/>
                <w:sz w:val="20"/>
                <w:szCs w:val="20"/>
                <w:vertAlign w:val="superscript"/>
              </w:rPr>
              <w:t>4</w:t>
            </w:r>
            <w:r w:rsidR="009F36BF">
              <w:rPr>
                <w:rFonts w:cstheme="minorHAnsi"/>
                <w:sz w:val="20"/>
                <w:szCs w:val="20"/>
                <w:vertAlign w:val="superscript"/>
              </w:rPr>
              <w:t>9</w:t>
            </w:r>
          </w:p>
        </w:tc>
        <w:tc>
          <w:tcPr>
            <w:tcW w:w="1134" w:type="dxa"/>
            <w:tcBorders>
              <w:left w:val="nil"/>
              <w:right w:val="nil"/>
            </w:tcBorders>
            <w:vAlign w:val="center"/>
          </w:tcPr>
          <w:p w14:paraId="2126C6F3" w14:textId="783B3731" w:rsidR="00792D53" w:rsidRPr="0067542D" w:rsidRDefault="00792D53"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386F27CF" w14:textId="407D4758" w:rsidR="00792D53" w:rsidRPr="0067542D" w:rsidRDefault="00792D53" w:rsidP="00792D53">
            <w:pPr>
              <w:jc w:val="center"/>
              <w:rPr>
                <w:rFonts w:cstheme="minorHAnsi"/>
                <w:sz w:val="20"/>
                <w:szCs w:val="20"/>
              </w:rPr>
            </w:pPr>
            <w:r w:rsidRPr="0067542D">
              <w:rPr>
                <w:rFonts w:cstheme="minorHAnsi"/>
                <w:sz w:val="20"/>
                <w:szCs w:val="20"/>
              </w:rPr>
              <w:t>UK (3), Finland (2), USA (2), Norway (1), China (1), Netherlands (1), Iceland (1)</w:t>
            </w:r>
          </w:p>
        </w:tc>
        <w:tc>
          <w:tcPr>
            <w:tcW w:w="1139" w:type="dxa"/>
            <w:tcBorders>
              <w:left w:val="nil"/>
              <w:right w:val="nil"/>
            </w:tcBorders>
            <w:vAlign w:val="center"/>
          </w:tcPr>
          <w:p w14:paraId="1B5713C8" w14:textId="05CC03D6"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769EA27D" w14:textId="2CC30EE0"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49B6F83B" w14:textId="4B44E27B" w:rsidR="00792D53" w:rsidRPr="0067542D" w:rsidRDefault="00792D53" w:rsidP="00792D53">
            <w:pPr>
              <w:jc w:val="center"/>
              <w:rPr>
                <w:rFonts w:cstheme="minorHAnsi"/>
                <w:sz w:val="20"/>
                <w:szCs w:val="20"/>
              </w:rPr>
            </w:pPr>
            <w:r>
              <w:rPr>
                <w:rFonts w:cstheme="minorHAnsi"/>
                <w:sz w:val="20"/>
                <w:szCs w:val="20"/>
              </w:rPr>
              <w:t>50 to 89 years</w:t>
            </w:r>
          </w:p>
        </w:tc>
        <w:tc>
          <w:tcPr>
            <w:tcW w:w="2552" w:type="dxa"/>
            <w:tcBorders>
              <w:left w:val="nil"/>
              <w:right w:val="nil"/>
            </w:tcBorders>
            <w:vAlign w:val="center"/>
          </w:tcPr>
          <w:p w14:paraId="12F1B2F1" w14:textId="41170EBD" w:rsidR="00792D53" w:rsidRPr="0067542D" w:rsidRDefault="00792D53" w:rsidP="00792D53">
            <w:pPr>
              <w:jc w:val="center"/>
              <w:rPr>
                <w:rFonts w:cstheme="minorHAnsi"/>
                <w:sz w:val="20"/>
                <w:szCs w:val="20"/>
              </w:rPr>
            </w:pPr>
            <w:r w:rsidRPr="0067542D">
              <w:rPr>
                <w:rFonts w:cstheme="minorHAnsi"/>
                <w:sz w:val="20"/>
                <w:szCs w:val="20"/>
              </w:rPr>
              <w:t>Strengthening the Reporting of O</w:t>
            </w:r>
            <w:r>
              <w:rPr>
                <w:rFonts w:cstheme="minorHAnsi"/>
                <w:sz w:val="20"/>
                <w:szCs w:val="20"/>
              </w:rPr>
              <w:t>b</w:t>
            </w:r>
            <w:r w:rsidRPr="0067542D">
              <w:rPr>
                <w:rFonts w:cstheme="minorHAnsi"/>
                <w:sz w:val="20"/>
                <w:szCs w:val="20"/>
              </w:rPr>
              <w:t xml:space="preserve">servational Studies in Epidemiology (STROBE) checklist </w:t>
            </w:r>
          </w:p>
        </w:tc>
        <w:tc>
          <w:tcPr>
            <w:tcW w:w="1417" w:type="dxa"/>
            <w:tcBorders>
              <w:left w:val="nil"/>
              <w:right w:val="nil"/>
            </w:tcBorders>
            <w:vAlign w:val="center"/>
          </w:tcPr>
          <w:p w14:paraId="6BA9B304" w14:textId="6327AF96" w:rsidR="00792D53" w:rsidRPr="0067542D" w:rsidRDefault="00792D53" w:rsidP="00792D53">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0B5DC4B5" w14:textId="6E5C72B6" w:rsidR="00792D53" w:rsidRPr="0067542D" w:rsidRDefault="00792D53" w:rsidP="00792D53">
            <w:pPr>
              <w:jc w:val="center"/>
              <w:rPr>
                <w:rFonts w:cstheme="minorHAnsi"/>
                <w:sz w:val="20"/>
                <w:szCs w:val="20"/>
              </w:rPr>
            </w:pPr>
            <w:r w:rsidRPr="0067542D">
              <w:rPr>
                <w:rFonts w:cstheme="minorHAnsi"/>
                <w:sz w:val="20"/>
                <w:szCs w:val="20"/>
              </w:rPr>
              <w:t>high</w:t>
            </w:r>
          </w:p>
        </w:tc>
      </w:tr>
      <w:tr w:rsidR="00792D53" w:rsidRPr="0067542D" w14:paraId="6BBCF115" w14:textId="0E6EBBF6" w:rsidTr="00A50197">
        <w:trPr>
          <w:gridAfter w:val="1"/>
          <w:wAfter w:w="30" w:type="dxa"/>
          <w:jc w:val="center"/>
        </w:trPr>
        <w:tc>
          <w:tcPr>
            <w:tcW w:w="1218" w:type="dxa"/>
            <w:tcBorders>
              <w:left w:val="nil"/>
              <w:right w:val="nil"/>
            </w:tcBorders>
            <w:vAlign w:val="center"/>
          </w:tcPr>
          <w:p w14:paraId="0C78E31F" w14:textId="486976D2" w:rsidR="00792D53" w:rsidRPr="0067542D" w:rsidRDefault="00792D53" w:rsidP="00792D53">
            <w:pPr>
              <w:jc w:val="center"/>
              <w:rPr>
                <w:rFonts w:cstheme="minorHAnsi"/>
                <w:sz w:val="20"/>
                <w:szCs w:val="20"/>
              </w:rPr>
            </w:pPr>
            <w:r w:rsidRPr="0067542D">
              <w:rPr>
                <w:rFonts w:cstheme="minorHAnsi"/>
                <w:sz w:val="20"/>
                <w:szCs w:val="20"/>
              </w:rPr>
              <w:t>Lean</w:t>
            </w:r>
            <w:r>
              <w:rPr>
                <w:rFonts w:cstheme="minorHAnsi"/>
                <w:sz w:val="20"/>
                <w:szCs w:val="20"/>
              </w:rPr>
              <w:t xml:space="preserve"> et al., 2017</w:t>
            </w:r>
            <w:r w:rsidR="009F36BF">
              <w:rPr>
                <w:rFonts w:cstheme="minorHAnsi"/>
                <w:sz w:val="20"/>
                <w:szCs w:val="20"/>
                <w:vertAlign w:val="superscript"/>
              </w:rPr>
              <w:t>50</w:t>
            </w:r>
          </w:p>
        </w:tc>
        <w:tc>
          <w:tcPr>
            <w:tcW w:w="1134" w:type="dxa"/>
            <w:tcBorders>
              <w:left w:val="nil"/>
              <w:right w:val="nil"/>
            </w:tcBorders>
            <w:vAlign w:val="center"/>
          </w:tcPr>
          <w:p w14:paraId="28FCF0A1" w14:textId="12C1588D" w:rsidR="00792D53" w:rsidRPr="0067542D" w:rsidRDefault="00792D53" w:rsidP="00792D53">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69A2E75E" w14:textId="46A2B13B" w:rsidR="00792D53" w:rsidRPr="0067542D" w:rsidRDefault="00792D53" w:rsidP="00792D53">
            <w:pPr>
              <w:jc w:val="center"/>
              <w:rPr>
                <w:rFonts w:cstheme="minorHAnsi"/>
                <w:sz w:val="20"/>
                <w:szCs w:val="20"/>
              </w:rPr>
            </w:pPr>
            <w:r w:rsidRPr="0067542D">
              <w:rPr>
                <w:rFonts w:cstheme="minorHAnsi"/>
                <w:sz w:val="20"/>
                <w:szCs w:val="20"/>
              </w:rPr>
              <w:t>Not Available</w:t>
            </w:r>
          </w:p>
        </w:tc>
        <w:tc>
          <w:tcPr>
            <w:tcW w:w="1139" w:type="dxa"/>
            <w:tcBorders>
              <w:left w:val="nil"/>
              <w:right w:val="nil"/>
            </w:tcBorders>
            <w:vAlign w:val="center"/>
          </w:tcPr>
          <w:p w14:paraId="2992E6D4" w14:textId="7EBBEB20" w:rsidR="00792D53" w:rsidRPr="0067542D" w:rsidRDefault="00792D53" w:rsidP="00792D53">
            <w:pPr>
              <w:jc w:val="center"/>
              <w:rPr>
                <w:rFonts w:cstheme="minorHAnsi"/>
                <w:sz w:val="20"/>
                <w:szCs w:val="20"/>
              </w:rPr>
            </w:pPr>
            <w:r w:rsidRPr="0067542D">
              <w:rPr>
                <w:rFonts w:cstheme="minorHAnsi"/>
                <w:sz w:val="20"/>
                <w:szCs w:val="20"/>
              </w:rPr>
              <w:t>2</w:t>
            </w:r>
          </w:p>
        </w:tc>
        <w:tc>
          <w:tcPr>
            <w:tcW w:w="3314" w:type="dxa"/>
            <w:tcBorders>
              <w:left w:val="nil"/>
              <w:right w:val="nil"/>
            </w:tcBorders>
            <w:vAlign w:val="center"/>
          </w:tcPr>
          <w:p w14:paraId="03AE1927" w14:textId="702480FA" w:rsidR="00792D53" w:rsidRPr="0067542D" w:rsidRDefault="00792D53" w:rsidP="00792D53">
            <w:pPr>
              <w:jc w:val="center"/>
              <w:rPr>
                <w:rFonts w:cstheme="minorHAnsi"/>
                <w:sz w:val="20"/>
                <w:szCs w:val="20"/>
              </w:rPr>
            </w:pPr>
            <w:r w:rsidRPr="0067542D">
              <w:rPr>
                <w:rFonts w:cstheme="minorHAnsi"/>
                <w:sz w:val="20"/>
                <w:szCs w:val="20"/>
              </w:rPr>
              <w:t>Odds ratio for risk of still birth: 1.75; 95%CI: 1.62 - 1.89,</w:t>
            </w:r>
            <w:r w:rsidRPr="0067542D">
              <w:rPr>
                <w:rFonts w:cstheme="minorHAnsi"/>
                <w:sz w:val="20"/>
                <w:szCs w:val="20"/>
              </w:rPr>
              <w:br/>
              <w:t>Odds ratio for risk of fetal growth restriction: 1.23; 95%CI: 1.01–1.52</w:t>
            </w:r>
          </w:p>
        </w:tc>
        <w:tc>
          <w:tcPr>
            <w:tcW w:w="992" w:type="dxa"/>
            <w:tcBorders>
              <w:left w:val="nil"/>
              <w:right w:val="nil"/>
            </w:tcBorders>
            <w:vAlign w:val="center"/>
          </w:tcPr>
          <w:p w14:paraId="44C1AA94" w14:textId="001D8C0A" w:rsidR="00792D53" w:rsidRPr="0067542D" w:rsidRDefault="00792D53" w:rsidP="00792D53">
            <w:pPr>
              <w:jc w:val="center"/>
              <w:rPr>
                <w:rFonts w:cstheme="minorHAnsi"/>
                <w:sz w:val="20"/>
                <w:szCs w:val="20"/>
              </w:rPr>
            </w:pPr>
            <w:r w:rsidRPr="0067542D">
              <w:rPr>
                <w:rFonts w:cstheme="minorHAnsi"/>
                <w:sz w:val="20"/>
                <w:szCs w:val="20"/>
              </w:rPr>
              <w:t>Birth (0 years)</w:t>
            </w:r>
          </w:p>
        </w:tc>
        <w:tc>
          <w:tcPr>
            <w:tcW w:w="2552" w:type="dxa"/>
            <w:tcBorders>
              <w:left w:val="nil"/>
              <w:right w:val="nil"/>
            </w:tcBorders>
            <w:vAlign w:val="center"/>
          </w:tcPr>
          <w:p w14:paraId="5C5A068C" w14:textId="5815CAFB" w:rsidR="00792D53" w:rsidRPr="0067542D" w:rsidRDefault="00792D53" w:rsidP="00792D53">
            <w:pPr>
              <w:jc w:val="center"/>
              <w:rPr>
                <w:rFonts w:cstheme="minorHAnsi"/>
                <w:sz w:val="20"/>
                <w:szCs w:val="20"/>
              </w:rPr>
            </w:pPr>
            <w:r w:rsidRPr="0067542D">
              <w:rPr>
                <w:rFonts w:cstheme="minorHAnsi"/>
                <w:sz w:val="20"/>
                <w:szCs w:val="20"/>
              </w:rPr>
              <w:t>assessed the quality of studies in eight specific domains that were relevant to the studies in question developed from Sanderson et al.</w:t>
            </w:r>
          </w:p>
        </w:tc>
        <w:tc>
          <w:tcPr>
            <w:tcW w:w="1417" w:type="dxa"/>
            <w:tcBorders>
              <w:left w:val="nil"/>
              <w:right w:val="nil"/>
            </w:tcBorders>
            <w:vAlign w:val="center"/>
          </w:tcPr>
          <w:p w14:paraId="4E544B44" w14:textId="08C52CA9" w:rsidR="00792D53" w:rsidRDefault="00B723F3" w:rsidP="00B723F3">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54B9CE8D" w14:textId="684586E1" w:rsidR="00792D53" w:rsidRPr="0067542D" w:rsidRDefault="00792D53" w:rsidP="00792D53">
            <w:pPr>
              <w:jc w:val="center"/>
              <w:rPr>
                <w:rFonts w:cstheme="minorHAnsi"/>
                <w:sz w:val="20"/>
                <w:szCs w:val="20"/>
              </w:rPr>
            </w:pPr>
            <w:r>
              <w:rPr>
                <w:rFonts w:cstheme="minorHAnsi"/>
                <w:sz w:val="20"/>
                <w:szCs w:val="20"/>
              </w:rPr>
              <w:t>high</w:t>
            </w:r>
          </w:p>
        </w:tc>
      </w:tr>
      <w:tr w:rsidR="00792D53" w:rsidRPr="0067542D" w14:paraId="1D7A6DEA" w14:textId="6FCDE750" w:rsidTr="00A50197">
        <w:trPr>
          <w:gridAfter w:val="1"/>
          <w:wAfter w:w="30" w:type="dxa"/>
          <w:jc w:val="center"/>
        </w:trPr>
        <w:tc>
          <w:tcPr>
            <w:tcW w:w="1218" w:type="dxa"/>
            <w:tcBorders>
              <w:left w:val="nil"/>
              <w:right w:val="nil"/>
            </w:tcBorders>
            <w:vAlign w:val="center"/>
          </w:tcPr>
          <w:p w14:paraId="5E3A2861" w14:textId="14A224D3" w:rsidR="00792D53" w:rsidRPr="0067542D" w:rsidRDefault="00792D53" w:rsidP="00792D53">
            <w:pPr>
              <w:jc w:val="center"/>
              <w:rPr>
                <w:rFonts w:cstheme="minorHAnsi"/>
                <w:sz w:val="20"/>
                <w:szCs w:val="20"/>
              </w:rPr>
            </w:pPr>
            <w:r w:rsidRPr="0067542D">
              <w:rPr>
                <w:rFonts w:cstheme="minorHAnsi"/>
                <w:sz w:val="20"/>
                <w:szCs w:val="20"/>
              </w:rPr>
              <w:t>Lee</w:t>
            </w:r>
            <w:r>
              <w:rPr>
                <w:rFonts w:cstheme="minorHAnsi"/>
                <w:sz w:val="20"/>
                <w:szCs w:val="20"/>
              </w:rPr>
              <w:t xml:space="preserve"> et al., 2018</w:t>
            </w:r>
            <w:r w:rsidR="009F36BF">
              <w:rPr>
                <w:rFonts w:cstheme="minorHAnsi"/>
                <w:sz w:val="20"/>
                <w:szCs w:val="20"/>
                <w:vertAlign w:val="superscript"/>
              </w:rPr>
              <w:t>51</w:t>
            </w:r>
          </w:p>
        </w:tc>
        <w:tc>
          <w:tcPr>
            <w:tcW w:w="1134" w:type="dxa"/>
            <w:tcBorders>
              <w:left w:val="nil"/>
              <w:right w:val="nil"/>
            </w:tcBorders>
            <w:vAlign w:val="center"/>
          </w:tcPr>
          <w:p w14:paraId="6FCBB16D" w14:textId="1E6ED58B" w:rsidR="00792D53" w:rsidRPr="0067542D" w:rsidRDefault="009B3BB9"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4A1C7676" w14:textId="0AA82623" w:rsidR="00792D53" w:rsidRPr="0067542D" w:rsidRDefault="00792D53" w:rsidP="00792D53">
            <w:pPr>
              <w:jc w:val="center"/>
              <w:rPr>
                <w:rFonts w:cstheme="minorHAnsi"/>
                <w:sz w:val="20"/>
                <w:szCs w:val="20"/>
              </w:rPr>
            </w:pPr>
            <w:r w:rsidRPr="0067542D">
              <w:rPr>
                <w:rFonts w:cstheme="minorHAnsi"/>
                <w:sz w:val="20"/>
                <w:szCs w:val="20"/>
              </w:rPr>
              <w:t>Bangladesh (1), Nepal (1), China (1), Netherlands (1), Canada (1), Egypt (1)</w:t>
            </w:r>
          </w:p>
        </w:tc>
        <w:tc>
          <w:tcPr>
            <w:tcW w:w="1139" w:type="dxa"/>
            <w:tcBorders>
              <w:left w:val="nil"/>
              <w:right w:val="nil"/>
            </w:tcBorders>
            <w:vAlign w:val="center"/>
          </w:tcPr>
          <w:p w14:paraId="40F9601D" w14:textId="0A382849"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39E90ACF" w14:textId="32D59045"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743D134A" w14:textId="0891FEEE" w:rsidR="00792D53" w:rsidRPr="0067542D" w:rsidRDefault="00792D53" w:rsidP="00792D53">
            <w:pPr>
              <w:jc w:val="center"/>
              <w:rPr>
                <w:rFonts w:cstheme="minorHAnsi"/>
                <w:sz w:val="20"/>
                <w:szCs w:val="20"/>
              </w:rPr>
            </w:pPr>
            <w:r w:rsidRPr="0067542D">
              <w:rPr>
                <w:rFonts w:cstheme="minorHAnsi"/>
                <w:sz w:val="20"/>
                <w:szCs w:val="20"/>
              </w:rPr>
              <w:t>3 days to 50 years</w:t>
            </w:r>
          </w:p>
        </w:tc>
        <w:tc>
          <w:tcPr>
            <w:tcW w:w="2552" w:type="dxa"/>
            <w:tcBorders>
              <w:left w:val="nil"/>
              <w:right w:val="nil"/>
            </w:tcBorders>
            <w:vAlign w:val="center"/>
          </w:tcPr>
          <w:p w14:paraId="6E45C75D" w14:textId="0DA076A8" w:rsidR="00792D53" w:rsidRPr="0067542D" w:rsidRDefault="00792D53" w:rsidP="00792D53">
            <w:pPr>
              <w:jc w:val="center"/>
              <w:rPr>
                <w:rFonts w:cstheme="minorHAnsi"/>
                <w:sz w:val="20"/>
                <w:szCs w:val="20"/>
              </w:rPr>
            </w:pPr>
            <w:r w:rsidRPr="0067542D">
              <w:rPr>
                <w:rFonts w:cstheme="minorHAnsi"/>
                <w:sz w:val="20"/>
                <w:szCs w:val="20"/>
              </w:rPr>
              <w:t xml:space="preserve">American Dietetic Association (ADA) Quality Criteria Checklist </w:t>
            </w:r>
          </w:p>
        </w:tc>
        <w:tc>
          <w:tcPr>
            <w:tcW w:w="1417" w:type="dxa"/>
            <w:tcBorders>
              <w:left w:val="nil"/>
              <w:right w:val="nil"/>
            </w:tcBorders>
            <w:vAlign w:val="center"/>
          </w:tcPr>
          <w:p w14:paraId="0F3F4306" w14:textId="61F1BD89" w:rsidR="00792D53" w:rsidRPr="0067542D" w:rsidRDefault="009B3BB9"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6619F2FE" w14:textId="12D84E44" w:rsidR="00792D53" w:rsidRPr="0067542D" w:rsidRDefault="00792D53" w:rsidP="00792D53">
            <w:pPr>
              <w:jc w:val="center"/>
              <w:rPr>
                <w:rFonts w:cstheme="minorHAnsi"/>
                <w:sz w:val="20"/>
                <w:szCs w:val="20"/>
              </w:rPr>
            </w:pPr>
            <w:r w:rsidRPr="0067542D">
              <w:rPr>
                <w:rFonts w:cstheme="minorHAnsi"/>
                <w:sz w:val="20"/>
                <w:szCs w:val="20"/>
              </w:rPr>
              <w:t>high</w:t>
            </w:r>
          </w:p>
        </w:tc>
      </w:tr>
      <w:tr w:rsidR="00792D53" w:rsidRPr="0067542D" w14:paraId="4777CA92" w14:textId="4C789B43" w:rsidTr="00A50197">
        <w:trPr>
          <w:gridAfter w:val="1"/>
          <w:wAfter w:w="30" w:type="dxa"/>
          <w:jc w:val="center"/>
        </w:trPr>
        <w:tc>
          <w:tcPr>
            <w:tcW w:w="1218" w:type="dxa"/>
            <w:tcBorders>
              <w:left w:val="nil"/>
              <w:right w:val="nil"/>
            </w:tcBorders>
            <w:vAlign w:val="center"/>
          </w:tcPr>
          <w:p w14:paraId="6F56743B" w14:textId="1B28E1CF" w:rsidR="00792D53" w:rsidRPr="0067542D" w:rsidRDefault="00792D53" w:rsidP="00792D53">
            <w:pPr>
              <w:jc w:val="center"/>
              <w:rPr>
                <w:rFonts w:cstheme="minorHAnsi"/>
                <w:sz w:val="20"/>
                <w:szCs w:val="20"/>
              </w:rPr>
            </w:pPr>
            <w:proofErr w:type="spellStart"/>
            <w:r w:rsidRPr="00615168">
              <w:rPr>
                <w:rFonts w:cstheme="minorHAnsi"/>
                <w:sz w:val="20"/>
                <w:szCs w:val="20"/>
              </w:rPr>
              <w:t>Leventakou</w:t>
            </w:r>
            <w:proofErr w:type="spellEnd"/>
            <w:r w:rsidRPr="00602765">
              <w:rPr>
                <w:rFonts w:cstheme="minorHAnsi"/>
                <w:sz w:val="20"/>
                <w:szCs w:val="20"/>
              </w:rPr>
              <w:t xml:space="preserve"> et al., 2014</w:t>
            </w:r>
            <w:r w:rsidR="009F36BF" w:rsidRPr="00615168">
              <w:rPr>
                <w:rFonts w:cstheme="minorHAnsi"/>
                <w:sz w:val="20"/>
                <w:szCs w:val="20"/>
                <w:vertAlign w:val="superscript"/>
              </w:rPr>
              <w:t>52</w:t>
            </w:r>
          </w:p>
        </w:tc>
        <w:tc>
          <w:tcPr>
            <w:tcW w:w="1134" w:type="dxa"/>
            <w:tcBorders>
              <w:left w:val="nil"/>
              <w:right w:val="nil"/>
            </w:tcBorders>
            <w:vAlign w:val="center"/>
          </w:tcPr>
          <w:p w14:paraId="071223F7" w14:textId="1D02F171" w:rsidR="00792D53" w:rsidRPr="0067542D" w:rsidRDefault="009B3BB9"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7A864DC1" w14:textId="7462A2F2" w:rsidR="00792D53" w:rsidRPr="0067542D" w:rsidRDefault="00792D53" w:rsidP="00792D53">
            <w:pPr>
              <w:jc w:val="center"/>
              <w:rPr>
                <w:rFonts w:cstheme="minorHAnsi"/>
                <w:sz w:val="20"/>
                <w:szCs w:val="20"/>
              </w:rPr>
            </w:pPr>
            <w:r w:rsidRPr="0067542D">
              <w:rPr>
                <w:rFonts w:cstheme="minorHAnsi"/>
                <w:sz w:val="20"/>
                <w:szCs w:val="20"/>
              </w:rPr>
              <w:t>Netherlands (5), Denmark (1), France (2), Belgium (1), Italy (2), Portugal (1), Norway (2), Spain (1), Ireland (1), Poland (1), Greece (1), UK (1)</w:t>
            </w:r>
          </w:p>
        </w:tc>
        <w:tc>
          <w:tcPr>
            <w:tcW w:w="1139" w:type="dxa"/>
            <w:tcBorders>
              <w:left w:val="nil"/>
              <w:right w:val="nil"/>
            </w:tcBorders>
            <w:vAlign w:val="center"/>
          </w:tcPr>
          <w:p w14:paraId="0D61E0C0" w14:textId="276E1D29" w:rsidR="00792D53" w:rsidRPr="0067542D" w:rsidRDefault="00792D53" w:rsidP="00792D53">
            <w:pPr>
              <w:jc w:val="center"/>
              <w:rPr>
                <w:rFonts w:cstheme="minorHAnsi"/>
                <w:sz w:val="20"/>
                <w:szCs w:val="20"/>
              </w:rPr>
            </w:pPr>
            <w:r w:rsidRPr="0067542D">
              <w:rPr>
                <w:rFonts w:cstheme="minorHAnsi"/>
                <w:sz w:val="20"/>
                <w:szCs w:val="20"/>
              </w:rPr>
              <w:t>4</w:t>
            </w:r>
          </w:p>
        </w:tc>
        <w:tc>
          <w:tcPr>
            <w:tcW w:w="3314" w:type="dxa"/>
            <w:tcBorders>
              <w:left w:val="nil"/>
              <w:right w:val="nil"/>
            </w:tcBorders>
            <w:vAlign w:val="center"/>
          </w:tcPr>
          <w:p w14:paraId="7EF7CE22" w14:textId="213A314C" w:rsidR="00792D53" w:rsidRPr="0067542D" w:rsidRDefault="00792D53" w:rsidP="00792D53">
            <w:pPr>
              <w:jc w:val="center"/>
              <w:rPr>
                <w:rFonts w:cstheme="minorHAnsi"/>
                <w:sz w:val="20"/>
                <w:szCs w:val="20"/>
              </w:rPr>
            </w:pPr>
            <w:r w:rsidRPr="0067542D">
              <w:rPr>
                <w:rFonts w:cstheme="minorHAnsi"/>
                <w:sz w:val="20"/>
                <w:szCs w:val="20"/>
              </w:rPr>
              <w:t>Beta for birth weight related to fish consumption &gt;1 but &lt;3 times/</w:t>
            </w:r>
            <w:proofErr w:type="spellStart"/>
            <w:r w:rsidRPr="0067542D">
              <w:rPr>
                <w:rFonts w:cstheme="minorHAnsi"/>
                <w:sz w:val="20"/>
                <w:szCs w:val="20"/>
              </w:rPr>
              <w:t>wk</w:t>
            </w:r>
            <w:proofErr w:type="spellEnd"/>
            <w:r w:rsidRPr="0067542D">
              <w:rPr>
                <w:rFonts w:cstheme="minorHAnsi"/>
                <w:sz w:val="20"/>
                <w:szCs w:val="20"/>
              </w:rPr>
              <w:t xml:space="preserve">: 8.9 g; 95% CI: 3.3, 14.6 g </w:t>
            </w:r>
            <w:r w:rsidRPr="0067542D">
              <w:rPr>
                <w:rFonts w:cstheme="minorHAnsi"/>
                <w:sz w:val="20"/>
                <w:szCs w:val="20"/>
              </w:rPr>
              <w:br/>
              <w:t>Beta for Birth Weight related to fish consumption ≥3 times/</w:t>
            </w:r>
            <w:proofErr w:type="spellStart"/>
            <w:r w:rsidRPr="0067542D">
              <w:rPr>
                <w:rFonts w:cstheme="minorHAnsi"/>
                <w:sz w:val="20"/>
                <w:szCs w:val="20"/>
              </w:rPr>
              <w:t>wk</w:t>
            </w:r>
            <w:proofErr w:type="spellEnd"/>
            <w:r w:rsidRPr="0067542D">
              <w:rPr>
                <w:rFonts w:cstheme="minorHAnsi"/>
                <w:sz w:val="20"/>
                <w:szCs w:val="20"/>
              </w:rPr>
              <w:t>: 15.2 g; 95% CI: 8.9, 21.5 g,</w:t>
            </w:r>
            <w:r w:rsidRPr="0067542D">
              <w:rPr>
                <w:rFonts w:cstheme="minorHAnsi"/>
                <w:sz w:val="20"/>
                <w:szCs w:val="20"/>
              </w:rPr>
              <w:br/>
              <w:t>Risk ratio for preterm birth related to fish intake &gt;1 but &lt;3 times/</w:t>
            </w:r>
            <w:proofErr w:type="spellStart"/>
            <w:r w:rsidRPr="0067542D">
              <w:rPr>
                <w:rFonts w:cstheme="minorHAnsi"/>
                <w:sz w:val="20"/>
                <w:szCs w:val="20"/>
              </w:rPr>
              <w:t>wk</w:t>
            </w:r>
            <w:proofErr w:type="spellEnd"/>
            <w:r w:rsidRPr="0067542D">
              <w:rPr>
                <w:rFonts w:cstheme="minorHAnsi"/>
                <w:sz w:val="20"/>
                <w:szCs w:val="20"/>
              </w:rPr>
              <w:t>: 0.87; 95% CI: 0.82, 0.92,</w:t>
            </w:r>
            <w:r w:rsidRPr="0067542D">
              <w:rPr>
                <w:rFonts w:cstheme="minorHAnsi"/>
                <w:sz w:val="20"/>
                <w:szCs w:val="20"/>
              </w:rPr>
              <w:br/>
              <w:t>Risk ratio for preterm birth related to fish intake ≥3 times/</w:t>
            </w:r>
            <w:proofErr w:type="spellStart"/>
            <w:r w:rsidRPr="0067542D">
              <w:rPr>
                <w:rFonts w:cstheme="minorHAnsi"/>
                <w:sz w:val="20"/>
                <w:szCs w:val="20"/>
              </w:rPr>
              <w:t>wk</w:t>
            </w:r>
            <w:proofErr w:type="spellEnd"/>
            <w:r w:rsidRPr="0067542D">
              <w:rPr>
                <w:rFonts w:cstheme="minorHAnsi"/>
                <w:sz w:val="20"/>
                <w:szCs w:val="20"/>
              </w:rPr>
              <w:t>: 0.89; 95% CI: 0.84, 0.96</w:t>
            </w:r>
          </w:p>
        </w:tc>
        <w:tc>
          <w:tcPr>
            <w:tcW w:w="992" w:type="dxa"/>
            <w:tcBorders>
              <w:left w:val="nil"/>
              <w:right w:val="nil"/>
            </w:tcBorders>
            <w:vAlign w:val="center"/>
          </w:tcPr>
          <w:p w14:paraId="755EB5BE" w14:textId="217A7D60" w:rsidR="00792D53" w:rsidRPr="0067542D" w:rsidRDefault="00792D53" w:rsidP="00792D53">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007B23AA" w14:textId="5B7016B4" w:rsidR="00792D53" w:rsidRPr="0067542D" w:rsidRDefault="00792D53" w:rsidP="00792D53">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1F340017" w14:textId="191EC2F7" w:rsidR="00792D53" w:rsidRPr="0067542D" w:rsidRDefault="009B3BB9" w:rsidP="009B3BB9">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4D6F2B77" w14:textId="08FAF920" w:rsidR="00792D53" w:rsidRPr="0067542D" w:rsidRDefault="00792D53" w:rsidP="00792D53">
            <w:pPr>
              <w:jc w:val="center"/>
              <w:rPr>
                <w:rFonts w:cstheme="minorHAnsi"/>
                <w:sz w:val="20"/>
                <w:szCs w:val="20"/>
              </w:rPr>
            </w:pPr>
            <w:r w:rsidRPr="0067542D">
              <w:rPr>
                <w:rFonts w:cstheme="minorHAnsi"/>
                <w:sz w:val="20"/>
                <w:szCs w:val="20"/>
              </w:rPr>
              <w:t>N/A</w:t>
            </w:r>
          </w:p>
        </w:tc>
      </w:tr>
      <w:tr w:rsidR="00792D53" w:rsidRPr="0067542D" w14:paraId="02B46C36" w14:textId="13239476" w:rsidTr="00A50197">
        <w:trPr>
          <w:gridAfter w:val="1"/>
          <w:wAfter w:w="30" w:type="dxa"/>
          <w:jc w:val="center"/>
        </w:trPr>
        <w:tc>
          <w:tcPr>
            <w:tcW w:w="1218" w:type="dxa"/>
            <w:tcBorders>
              <w:left w:val="nil"/>
              <w:right w:val="nil"/>
            </w:tcBorders>
            <w:vAlign w:val="center"/>
          </w:tcPr>
          <w:p w14:paraId="6FF76F93" w14:textId="6087B8F5" w:rsidR="00792D53" w:rsidRPr="0067542D" w:rsidRDefault="00792D53" w:rsidP="00792D53">
            <w:pPr>
              <w:jc w:val="center"/>
              <w:rPr>
                <w:rFonts w:cstheme="minorHAnsi"/>
                <w:sz w:val="20"/>
                <w:szCs w:val="20"/>
              </w:rPr>
            </w:pPr>
            <w:r w:rsidRPr="0067542D">
              <w:rPr>
                <w:rFonts w:cstheme="minorHAnsi"/>
                <w:sz w:val="20"/>
                <w:szCs w:val="20"/>
              </w:rPr>
              <w:t>Lucas-Thompson</w:t>
            </w:r>
            <w:r>
              <w:rPr>
                <w:rFonts w:cstheme="minorHAnsi"/>
                <w:sz w:val="20"/>
                <w:szCs w:val="20"/>
              </w:rPr>
              <w:t xml:space="preserve"> et al., 2010</w:t>
            </w:r>
            <w:r w:rsidRPr="00EE74F9">
              <w:rPr>
                <w:rFonts w:cstheme="minorHAnsi"/>
                <w:sz w:val="20"/>
                <w:szCs w:val="20"/>
                <w:vertAlign w:val="superscript"/>
              </w:rPr>
              <w:t>5</w:t>
            </w:r>
            <w:r w:rsidR="009F36BF">
              <w:rPr>
                <w:rFonts w:cstheme="minorHAnsi"/>
                <w:sz w:val="20"/>
                <w:szCs w:val="20"/>
                <w:vertAlign w:val="superscript"/>
              </w:rPr>
              <w:t>3</w:t>
            </w:r>
          </w:p>
        </w:tc>
        <w:tc>
          <w:tcPr>
            <w:tcW w:w="1134" w:type="dxa"/>
            <w:tcBorders>
              <w:left w:val="nil"/>
              <w:right w:val="nil"/>
            </w:tcBorders>
            <w:vAlign w:val="center"/>
          </w:tcPr>
          <w:p w14:paraId="6B237BC5" w14:textId="14F53B85" w:rsidR="00792D53" w:rsidRPr="0067542D" w:rsidRDefault="00E05068"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0E971B49" w14:textId="136C62A5" w:rsidR="00792D53" w:rsidRPr="0067542D" w:rsidRDefault="00792D53" w:rsidP="00792D53">
            <w:pPr>
              <w:jc w:val="center"/>
              <w:rPr>
                <w:rFonts w:cstheme="minorHAnsi"/>
                <w:sz w:val="20"/>
                <w:szCs w:val="20"/>
              </w:rPr>
            </w:pPr>
            <w:r w:rsidRPr="0067542D">
              <w:rPr>
                <w:rFonts w:cstheme="minorHAnsi"/>
                <w:sz w:val="20"/>
                <w:szCs w:val="20"/>
              </w:rPr>
              <w:t>USA</w:t>
            </w:r>
          </w:p>
        </w:tc>
        <w:tc>
          <w:tcPr>
            <w:tcW w:w="1139" w:type="dxa"/>
            <w:tcBorders>
              <w:left w:val="nil"/>
              <w:right w:val="nil"/>
            </w:tcBorders>
            <w:vAlign w:val="center"/>
          </w:tcPr>
          <w:p w14:paraId="55FE8428" w14:textId="466180EA" w:rsidR="00792D53" w:rsidRPr="0067542D" w:rsidRDefault="00792D53" w:rsidP="00792D53">
            <w:pPr>
              <w:jc w:val="center"/>
              <w:rPr>
                <w:rFonts w:cstheme="minorHAnsi"/>
                <w:sz w:val="20"/>
                <w:szCs w:val="20"/>
              </w:rPr>
            </w:pPr>
            <w:r w:rsidRPr="0067542D">
              <w:rPr>
                <w:rFonts w:cstheme="minorHAnsi"/>
                <w:sz w:val="20"/>
                <w:szCs w:val="20"/>
              </w:rPr>
              <w:t>2</w:t>
            </w:r>
          </w:p>
        </w:tc>
        <w:tc>
          <w:tcPr>
            <w:tcW w:w="3314" w:type="dxa"/>
            <w:tcBorders>
              <w:left w:val="nil"/>
              <w:right w:val="nil"/>
            </w:tcBorders>
            <w:vAlign w:val="center"/>
          </w:tcPr>
          <w:p w14:paraId="2020CBB3" w14:textId="69B70A92" w:rsidR="00792D53" w:rsidRPr="0067542D" w:rsidRDefault="00792D53" w:rsidP="00792D53">
            <w:pPr>
              <w:jc w:val="center"/>
              <w:rPr>
                <w:rFonts w:cstheme="minorHAnsi"/>
                <w:sz w:val="20"/>
                <w:szCs w:val="20"/>
              </w:rPr>
            </w:pPr>
            <w:r w:rsidRPr="0067542D">
              <w:rPr>
                <w:rFonts w:cstheme="minorHAnsi"/>
                <w:sz w:val="20"/>
                <w:szCs w:val="20"/>
              </w:rPr>
              <w:t>r for achievement outcomes: 0.001; 95% CI: -0.011, 0.013</w:t>
            </w:r>
            <w:r w:rsidRPr="0067542D">
              <w:rPr>
                <w:rFonts w:cstheme="minorHAnsi"/>
                <w:sz w:val="20"/>
                <w:szCs w:val="20"/>
              </w:rPr>
              <w:br/>
              <w:t>r for behavioural outcomes: -0.005; 95% CI: -0.20, 0.011</w:t>
            </w:r>
          </w:p>
        </w:tc>
        <w:tc>
          <w:tcPr>
            <w:tcW w:w="992" w:type="dxa"/>
            <w:tcBorders>
              <w:left w:val="nil"/>
              <w:right w:val="nil"/>
            </w:tcBorders>
            <w:vAlign w:val="center"/>
          </w:tcPr>
          <w:p w14:paraId="3BDE6D73" w14:textId="63ED92C7" w:rsidR="00792D53" w:rsidRPr="0067542D" w:rsidRDefault="00792D53" w:rsidP="00792D53">
            <w:pPr>
              <w:jc w:val="center"/>
              <w:rPr>
                <w:rFonts w:cstheme="minorHAnsi"/>
                <w:sz w:val="20"/>
                <w:szCs w:val="20"/>
              </w:rPr>
            </w:pPr>
            <w:r w:rsidRPr="0067542D">
              <w:rPr>
                <w:rFonts w:cstheme="minorHAnsi"/>
                <w:sz w:val="20"/>
                <w:szCs w:val="20"/>
              </w:rPr>
              <w:t>0 to 18 years</w:t>
            </w:r>
          </w:p>
        </w:tc>
        <w:tc>
          <w:tcPr>
            <w:tcW w:w="2552" w:type="dxa"/>
            <w:tcBorders>
              <w:left w:val="nil"/>
              <w:right w:val="nil"/>
            </w:tcBorders>
            <w:vAlign w:val="center"/>
          </w:tcPr>
          <w:p w14:paraId="09FF39C6" w14:textId="597029D0" w:rsidR="00792D53" w:rsidRPr="0067542D" w:rsidRDefault="00792D53" w:rsidP="00792D53">
            <w:pPr>
              <w:jc w:val="center"/>
              <w:rPr>
                <w:rFonts w:cstheme="minorHAnsi"/>
                <w:sz w:val="20"/>
                <w:szCs w:val="20"/>
              </w:rPr>
            </w:pPr>
            <w:r w:rsidRPr="0067542D">
              <w:rPr>
                <w:rFonts w:cstheme="minorHAnsi"/>
                <w:sz w:val="20"/>
                <w:szCs w:val="20"/>
              </w:rPr>
              <w:t>performed quality assessment but did not report</w:t>
            </w:r>
          </w:p>
        </w:tc>
        <w:tc>
          <w:tcPr>
            <w:tcW w:w="1417" w:type="dxa"/>
            <w:tcBorders>
              <w:left w:val="nil"/>
              <w:right w:val="nil"/>
            </w:tcBorders>
            <w:vAlign w:val="center"/>
          </w:tcPr>
          <w:p w14:paraId="3E3E95CB" w14:textId="0890A71E" w:rsidR="00792D53" w:rsidRPr="0067542D" w:rsidRDefault="00E42E57" w:rsidP="00E42E57">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5F199FA1" w14:textId="28F4466D" w:rsidR="00792D53" w:rsidRPr="0067542D" w:rsidRDefault="00792D53" w:rsidP="00792D53">
            <w:pPr>
              <w:jc w:val="center"/>
              <w:rPr>
                <w:rFonts w:cstheme="minorHAnsi"/>
                <w:sz w:val="20"/>
                <w:szCs w:val="20"/>
              </w:rPr>
            </w:pPr>
            <w:r w:rsidRPr="0067542D">
              <w:rPr>
                <w:rFonts w:cstheme="minorHAnsi"/>
                <w:sz w:val="20"/>
                <w:szCs w:val="20"/>
              </w:rPr>
              <w:t>N/A</w:t>
            </w:r>
          </w:p>
        </w:tc>
      </w:tr>
      <w:tr w:rsidR="00792D53" w:rsidRPr="0067542D" w14:paraId="7BAFF1F5" w14:textId="3232C97E" w:rsidTr="00A50197">
        <w:trPr>
          <w:gridAfter w:val="1"/>
          <w:wAfter w:w="30" w:type="dxa"/>
          <w:jc w:val="center"/>
        </w:trPr>
        <w:tc>
          <w:tcPr>
            <w:tcW w:w="1218" w:type="dxa"/>
            <w:tcBorders>
              <w:left w:val="nil"/>
              <w:right w:val="nil"/>
            </w:tcBorders>
            <w:vAlign w:val="center"/>
          </w:tcPr>
          <w:p w14:paraId="1E2197FA" w14:textId="5EA52467" w:rsidR="00792D53" w:rsidRPr="0067542D" w:rsidRDefault="00792D53" w:rsidP="00792D53">
            <w:pPr>
              <w:jc w:val="center"/>
              <w:rPr>
                <w:rFonts w:cstheme="minorHAnsi"/>
                <w:sz w:val="20"/>
                <w:szCs w:val="20"/>
              </w:rPr>
            </w:pPr>
            <w:r w:rsidRPr="0067542D">
              <w:rPr>
                <w:rFonts w:cstheme="minorHAnsi"/>
                <w:sz w:val="20"/>
                <w:szCs w:val="20"/>
              </w:rPr>
              <w:t>Ludwig-Walz</w:t>
            </w:r>
            <w:r>
              <w:rPr>
                <w:rFonts w:cstheme="minorHAnsi"/>
                <w:sz w:val="20"/>
                <w:szCs w:val="20"/>
              </w:rPr>
              <w:t xml:space="preserve"> et al., 2018</w:t>
            </w:r>
            <w:r w:rsidRPr="00EE74F9">
              <w:rPr>
                <w:rFonts w:cstheme="minorHAnsi"/>
                <w:sz w:val="20"/>
                <w:szCs w:val="20"/>
                <w:vertAlign w:val="superscript"/>
              </w:rPr>
              <w:t>5</w:t>
            </w:r>
            <w:r w:rsidR="009F36BF">
              <w:rPr>
                <w:rFonts w:cstheme="minorHAnsi"/>
                <w:sz w:val="20"/>
                <w:szCs w:val="20"/>
                <w:vertAlign w:val="superscript"/>
              </w:rPr>
              <w:t>4</w:t>
            </w:r>
          </w:p>
        </w:tc>
        <w:tc>
          <w:tcPr>
            <w:tcW w:w="1134" w:type="dxa"/>
            <w:tcBorders>
              <w:left w:val="nil"/>
              <w:right w:val="nil"/>
            </w:tcBorders>
            <w:vAlign w:val="center"/>
          </w:tcPr>
          <w:p w14:paraId="5B4AE63F" w14:textId="1EF90B06" w:rsidR="00792D53" w:rsidRPr="0067542D" w:rsidRDefault="00E05068"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0E760E9E" w14:textId="4B501BE4" w:rsidR="00792D53" w:rsidRPr="0067542D" w:rsidRDefault="00792D53" w:rsidP="00792D53">
            <w:pPr>
              <w:jc w:val="center"/>
              <w:rPr>
                <w:rFonts w:cstheme="minorHAnsi"/>
                <w:sz w:val="20"/>
                <w:szCs w:val="20"/>
              </w:rPr>
            </w:pPr>
            <w:r w:rsidRPr="0067542D">
              <w:rPr>
                <w:rFonts w:cstheme="minorHAnsi"/>
                <w:sz w:val="20"/>
                <w:szCs w:val="20"/>
              </w:rPr>
              <w:t>Greece (1), New Zealand (1), USA (5), UK (2), Netherlands (2), Australia (2), Israel (2), Canada (1)</w:t>
            </w:r>
          </w:p>
        </w:tc>
        <w:tc>
          <w:tcPr>
            <w:tcW w:w="1139" w:type="dxa"/>
            <w:tcBorders>
              <w:left w:val="nil"/>
              <w:right w:val="nil"/>
            </w:tcBorders>
            <w:vAlign w:val="center"/>
          </w:tcPr>
          <w:p w14:paraId="621B8389" w14:textId="259B74BD"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54920B31" w14:textId="2E1D7169"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5D96803E" w14:textId="73288A70" w:rsidR="00792D53" w:rsidRPr="0067542D" w:rsidRDefault="00792D53" w:rsidP="00792D53">
            <w:pPr>
              <w:jc w:val="center"/>
              <w:rPr>
                <w:rFonts w:cstheme="minorHAnsi"/>
                <w:sz w:val="20"/>
                <w:szCs w:val="20"/>
              </w:rPr>
            </w:pPr>
            <w:r>
              <w:rPr>
                <w:rFonts w:cstheme="minorHAnsi"/>
                <w:sz w:val="20"/>
                <w:szCs w:val="20"/>
              </w:rPr>
              <w:t>0 to 32 years</w:t>
            </w:r>
          </w:p>
        </w:tc>
        <w:tc>
          <w:tcPr>
            <w:tcW w:w="2552" w:type="dxa"/>
            <w:tcBorders>
              <w:left w:val="nil"/>
              <w:right w:val="nil"/>
            </w:tcBorders>
            <w:vAlign w:val="center"/>
          </w:tcPr>
          <w:p w14:paraId="12684C22" w14:textId="1542A731" w:rsidR="00792D53" w:rsidRPr="0067542D" w:rsidRDefault="00792D53" w:rsidP="00792D53">
            <w:pPr>
              <w:jc w:val="center"/>
              <w:rPr>
                <w:rFonts w:cstheme="minorHAnsi"/>
                <w:sz w:val="20"/>
                <w:szCs w:val="20"/>
              </w:rPr>
            </w:pPr>
            <w:r w:rsidRPr="0067542D">
              <w:rPr>
                <w:rFonts w:cstheme="minorHAnsi"/>
                <w:sz w:val="20"/>
                <w:szCs w:val="20"/>
              </w:rPr>
              <w:t>WCRF criteria for grading evidence</w:t>
            </w:r>
          </w:p>
        </w:tc>
        <w:tc>
          <w:tcPr>
            <w:tcW w:w="1417" w:type="dxa"/>
            <w:tcBorders>
              <w:left w:val="nil"/>
              <w:right w:val="nil"/>
            </w:tcBorders>
            <w:vAlign w:val="center"/>
          </w:tcPr>
          <w:p w14:paraId="25BBA8F7" w14:textId="746139CB" w:rsidR="00792D53" w:rsidRPr="0067542D" w:rsidRDefault="00602765" w:rsidP="00E05068">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71C2A8EF" w14:textId="0205708E" w:rsidR="00792D53" w:rsidRPr="0067542D" w:rsidRDefault="00792D53" w:rsidP="00792D53">
            <w:pPr>
              <w:jc w:val="center"/>
              <w:rPr>
                <w:rFonts w:cstheme="minorHAnsi"/>
                <w:sz w:val="20"/>
                <w:szCs w:val="20"/>
              </w:rPr>
            </w:pPr>
            <w:r w:rsidRPr="0067542D">
              <w:rPr>
                <w:rFonts w:cstheme="minorHAnsi"/>
                <w:sz w:val="20"/>
                <w:szCs w:val="20"/>
              </w:rPr>
              <w:t>low</w:t>
            </w:r>
          </w:p>
        </w:tc>
      </w:tr>
      <w:tr w:rsidR="00792D53" w:rsidRPr="0067542D" w14:paraId="37CC3217" w14:textId="06AA2724" w:rsidTr="00A50197">
        <w:trPr>
          <w:gridAfter w:val="1"/>
          <w:wAfter w:w="30" w:type="dxa"/>
          <w:jc w:val="center"/>
        </w:trPr>
        <w:tc>
          <w:tcPr>
            <w:tcW w:w="1218" w:type="dxa"/>
            <w:tcBorders>
              <w:left w:val="nil"/>
              <w:right w:val="nil"/>
            </w:tcBorders>
            <w:vAlign w:val="center"/>
          </w:tcPr>
          <w:p w14:paraId="20AE7137" w14:textId="19B74A88" w:rsidR="00792D53" w:rsidRPr="0067542D" w:rsidRDefault="00792D53" w:rsidP="00792D53">
            <w:pPr>
              <w:jc w:val="center"/>
              <w:rPr>
                <w:rFonts w:cstheme="minorHAnsi"/>
                <w:sz w:val="20"/>
                <w:szCs w:val="20"/>
              </w:rPr>
            </w:pPr>
            <w:r w:rsidRPr="0067542D">
              <w:rPr>
                <w:rFonts w:cstheme="minorHAnsi"/>
                <w:sz w:val="20"/>
                <w:szCs w:val="20"/>
              </w:rPr>
              <w:t>McNamara</w:t>
            </w:r>
            <w:r>
              <w:rPr>
                <w:rFonts w:cstheme="minorHAnsi"/>
                <w:sz w:val="20"/>
                <w:szCs w:val="20"/>
              </w:rPr>
              <w:t xml:space="preserve"> et al., 2012</w:t>
            </w:r>
            <w:r w:rsidRPr="00EE74F9">
              <w:rPr>
                <w:rFonts w:cstheme="minorHAnsi"/>
                <w:sz w:val="20"/>
                <w:szCs w:val="20"/>
                <w:vertAlign w:val="superscript"/>
              </w:rPr>
              <w:t>5</w:t>
            </w:r>
            <w:r w:rsidR="009F36BF">
              <w:rPr>
                <w:rFonts w:cstheme="minorHAnsi"/>
                <w:sz w:val="20"/>
                <w:szCs w:val="20"/>
                <w:vertAlign w:val="superscript"/>
              </w:rPr>
              <w:t>5</w:t>
            </w:r>
          </w:p>
        </w:tc>
        <w:tc>
          <w:tcPr>
            <w:tcW w:w="1134" w:type="dxa"/>
            <w:tcBorders>
              <w:left w:val="nil"/>
              <w:right w:val="nil"/>
            </w:tcBorders>
            <w:vAlign w:val="center"/>
          </w:tcPr>
          <w:p w14:paraId="59A59205" w14:textId="5328B760" w:rsidR="00792D53" w:rsidRPr="0067542D" w:rsidRDefault="00E42E57"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53C3280C" w14:textId="636FF8B8" w:rsidR="00792D53" w:rsidRPr="0067542D" w:rsidRDefault="00792D53" w:rsidP="00792D53">
            <w:pPr>
              <w:jc w:val="center"/>
              <w:rPr>
                <w:rFonts w:cstheme="minorHAnsi"/>
                <w:sz w:val="20"/>
                <w:szCs w:val="20"/>
              </w:rPr>
            </w:pPr>
            <w:r w:rsidRPr="0067542D">
              <w:rPr>
                <w:rFonts w:cstheme="minorHAnsi"/>
                <w:sz w:val="20"/>
                <w:szCs w:val="20"/>
              </w:rPr>
              <w:t>Australia (1), Canada (1), USA (1), New Zealand (1)</w:t>
            </w:r>
          </w:p>
        </w:tc>
        <w:tc>
          <w:tcPr>
            <w:tcW w:w="1139" w:type="dxa"/>
            <w:tcBorders>
              <w:left w:val="nil"/>
              <w:right w:val="nil"/>
            </w:tcBorders>
            <w:vAlign w:val="center"/>
          </w:tcPr>
          <w:p w14:paraId="00E43C4A" w14:textId="57DA476F"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4EE993E3" w14:textId="3A9491FA"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02CDEC2F" w14:textId="2C24CBDA" w:rsidR="00792D53" w:rsidRPr="0067542D" w:rsidRDefault="00792D53" w:rsidP="00792D53">
            <w:pPr>
              <w:jc w:val="center"/>
              <w:rPr>
                <w:rFonts w:cstheme="minorHAnsi"/>
                <w:sz w:val="20"/>
                <w:szCs w:val="20"/>
              </w:rPr>
            </w:pPr>
            <w:r w:rsidRPr="0067542D">
              <w:rPr>
                <w:rFonts w:cstheme="minorHAnsi"/>
                <w:sz w:val="20"/>
                <w:szCs w:val="20"/>
              </w:rPr>
              <w:t>0 to 77 years</w:t>
            </w:r>
          </w:p>
        </w:tc>
        <w:tc>
          <w:tcPr>
            <w:tcW w:w="2552" w:type="dxa"/>
            <w:tcBorders>
              <w:left w:val="nil"/>
              <w:right w:val="nil"/>
            </w:tcBorders>
            <w:vAlign w:val="center"/>
          </w:tcPr>
          <w:p w14:paraId="3B6201A9" w14:textId="69907FC0" w:rsidR="00792D53" w:rsidRPr="0067542D" w:rsidRDefault="00792D53" w:rsidP="00792D53">
            <w:pPr>
              <w:jc w:val="center"/>
              <w:rPr>
                <w:rFonts w:cstheme="minorHAnsi"/>
                <w:sz w:val="20"/>
                <w:szCs w:val="20"/>
              </w:rPr>
            </w:pPr>
            <w:r w:rsidRPr="0067542D">
              <w:rPr>
                <w:rFonts w:cstheme="minorHAnsi"/>
                <w:sz w:val="20"/>
                <w:szCs w:val="20"/>
              </w:rPr>
              <w:t>Quality of studies was independently assessed by two reviewers using a risk of bias assessment tool</w:t>
            </w:r>
          </w:p>
        </w:tc>
        <w:tc>
          <w:tcPr>
            <w:tcW w:w="1417" w:type="dxa"/>
            <w:tcBorders>
              <w:left w:val="nil"/>
              <w:right w:val="nil"/>
            </w:tcBorders>
            <w:vAlign w:val="center"/>
          </w:tcPr>
          <w:p w14:paraId="64B52E80" w14:textId="463A5BCF" w:rsidR="00792D53" w:rsidRPr="0067542D" w:rsidRDefault="00E42E57"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30EA80FF" w14:textId="2B4DDA1C" w:rsidR="00792D53" w:rsidRPr="0067542D" w:rsidRDefault="00792D53" w:rsidP="00792D53">
            <w:pPr>
              <w:jc w:val="center"/>
              <w:rPr>
                <w:rFonts w:cstheme="minorHAnsi"/>
                <w:sz w:val="20"/>
                <w:szCs w:val="20"/>
              </w:rPr>
            </w:pPr>
            <w:r w:rsidRPr="0067542D">
              <w:rPr>
                <w:rFonts w:cstheme="minorHAnsi"/>
                <w:sz w:val="20"/>
                <w:szCs w:val="20"/>
              </w:rPr>
              <w:t>low</w:t>
            </w:r>
          </w:p>
        </w:tc>
      </w:tr>
      <w:tr w:rsidR="00792D53" w:rsidRPr="0067542D" w14:paraId="3D974169" w14:textId="11162DE0" w:rsidTr="00A50197">
        <w:trPr>
          <w:gridAfter w:val="1"/>
          <w:wAfter w:w="30" w:type="dxa"/>
          <w:jc w:val="center"/>
        </w:trPr>
        <w:tc>
          <w:tcPr>
            <w:tcW w:w="1218" w:type="dxa"/>
            <w:tcBorders>
              <w:left w:val="nil"/>
              <w:right w:val="nil"/>
            </w:tcBorders>
            <w:vAlign w:val="center"/>
          </w:tcPr>
          <w:p w14:paraId="217C2732" w14:textId="652D3E3E" w:rsidR="00792D53" w:rsidRPr="0067542D" w:rsidRDefault="00792D53" w:rsidP="00792D53">
            <w:pPr>
              <w:jc w:val="center"/>
              <w:rPr>
                <w:rFonts w:cstheme="minorHAnsi"/>
                <w:sz w:val="20"/>
                <w:szCs w:val="20"/>
              </w:rPr>
            </w:pPr>
            <w:r w:rsidRPr="0067542D">
              <w:rPr>
                <w:rFonts w:cstheme="minorHAnsi"/>
                <w:sz w:val="20"/>
                <w:szCs w:val="20"/>
              </w:rPr>
              <w:lastRenderedPageBreak/>
              <w:t>Mech</w:t>
            </w:r>
            <w:r>
              <w:rPr>
                <w:rFonts w:cstheme="minorHAnsi"/>
                <w:sz w:val="20"/>
                <w:szCs w:val="20"/>
              </w:rPr>
              <w:t xml:space="preserve"> et al., 2016</w:t>
            </w:r>
            <w:r w:rsidRPr="00EE74F9">
              <w:rPr>
                <w:rFonts w:cstheme="minorHAnsi"/>
                <w:sz w:val="20"/>
                <w:szCs w:val="20"/>
                <w:vertAlign w:val="superscript"/>
              </w:rPr>
              <w:t>5</w:t>
            </w:r>
            <w:r w:rsidR="009F36BF">
              <w:rPr>
                <w:rFonts w:cstheme="minorHAnsi"/>
                <w:sz w:val="20"/>
                <w:szCs w:val="20"/>
                <w:vertAlign w:val="superscript"/>
              </w:rPr>
              <w:t>6</w:t>
            </w:r>
          </w:p>
        </w:tc>
        <w:tc>
          <w:tcPr>
            <w:tcW w:w="1134" w:type="dxa"/>
            <w:tcBorders>
              <w:left w:val="nil"/>
              <w:right w:val="nil"/>
            </w:tcBorders>
            <w:vAlign w:val="center"/>
          </w:tcPr>
          <w:p w14:paraId="02458DD1" w14:textId="5C0FC1AE" w:rsidR="00792D53" w:rsidRPr="0067542D" w:rsidRDefault="00E42E57"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01090316" w14:textId="4ADC7E49" w:rsidR="00792D53" w:rsidRPr="0067542D" w:rsidRDefault="00792D53" w:rsidP="00792D53">
            <w:pPr>
              <w:jc w:val="center"/>
              <w:rPr>
                <w:rFonts w:cstheme="minorHAnsi"/>
                <w:sz w:val="20"/>
                <w:szCs w:val="20"/>
              </w:rPr>
            </w:pPr>
            <w:r w:rsidRPr="0067542D">
              <w:rPr>
                <w:rFonts w:cstheme="minorHAnsi"/>
                <w:sz w:val="20"/>
                <w:szCs w:val="20"/>
              </w:rPr>
              <w:t>Not Available</w:t>
            </w:r>
          </w:p>
        </w:tc>
        <w:tc>
          <w:tcPr>
            <w:tcW w:w="1139" w:type="dxa"/>
            <w:tcBorders>
              <w:left w:val="nil"/>
              <w:right w:val="nil"/>
            </w:tcBorders>
            <w:vAlign w:val="center"/>
          </w:tcPr>
          <w:p w14:paraId="51C8089B" w14:textId="6BF33FD1"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01FF0332" w14:textId="70B0EC93"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051D42A7" w14:textId="296DB370" w:rsidR="00792D53" w:rsidRPr="0067542D" w:rsidRDefault="00792D53" w:rsidP="00792D53">
            <w:pPr>
              <w:jc w:val="center"/>
              <w:rPr>
                <w:rFonts w:cstheme="minorHAnsi"/>
                <w:sz w:val="20"/>
                <w:szCs w:val="20"/>
              </w:rPr>
            </w:pPr>
            <w:r>
              <w:rPr>
                <w:rFonts w:cstheme="minorHAnsi"/>
                <w:sz w:val="20"/>
                <w:szCs w:val="20"/>
              </w:rPr>
              <w:t>9 months to 15 years</w:t>
            </w:r>
          </w:p>
        </w:tc>
        <w:tc>
          <w:tcPr>
            <w:tcW w:w="2552" w:type="dxa"/>
            <w:tcBorders>
              <w:left w:val="nil"/>
              <w:right w:val="nil"/>
            </w:tcBorders>
            <w:vAlign w:val="center"/>
          </w:tcPr>
          <w:p w14:paraId="5AEAA1A2" w14:textId="4AD3C183" w:rsidR="00792D53" w:rsidRPr="0067542D" w:rsidRDefault="00792D53" w:rsidP="00792D53">
            <w:pPr>
              <w:jc w:val="center"/>
              <w:rPr>
                <w:rFonts w:cstheme="minorHAnsi"/>
                <w:sz w:val="20"/>
                <w:szCs w:val="20"/>
              </w:rPr>
            </w:pPr>
            <w:r w:rsidRPr="0067542D">
              <w:rPr>
                <w:rFonts w:cstheme="minorHAnsi"/>
                <w:sz w:val="20"/>
                <w:szCs w:val="20"/>
              </w:rPr>
              <w:t>A scoring system adapted from the review of Cohen et al. (Cohen et al. 2013) was used</w:t>
            </w:r>
          </w:p>
        </w:tc>
        <w:tc>
          <w:tcPr>
            <w:tcW w:w="1417" w:type="dxa"/>
            <w:tcBorders>
              <w:left w:val="nil"/>
              <w:right w:val="nil"/>
            </w:tcBorders>
            <w:vAlign w:val="center"/>
          </w:tcPr>
          <w:p w14:paraId="5F37D4DC" w14:textId="69265B94" w:rsidR="00792D53" w:rsidRPr="0067542D" w:rsidRDefault="00E42E57"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4E92ABAD" w14:textId="15C5C589" w:rsidR="00792D53" w:rsidRPr="0067542D" w:rsidRDefault="00792D53" w:rsidP="00792D53">
            <w:pPr>
              <w:jc w:val="center"/>
              <w:rPr>
                <w:rFonts w:cstheme="minorHAnsi"/>
                <w:sz w:val="20"/>
                <w:szCs w:val="20"/>
              </w:rPr>
            </w:pPr>
            <w:r w:rsidRPr="0067542D">
              <w:rPr>
                <w:rFonts w:cstheme="minorHAnsi"/>
                <w:sz w:val="20"/>
                <w:szCs w:val="20"/>
              </w:rPr>
              <w:t>moderate</w:t>
            </w:r>
          </w:p>
        </w:tc>
      </w:tr>
      <w:tr w:rsidR="00792D53" w:rsidRPr="0067542D" w14:paraId="49B1690B" w14:textId="3917BEF1" w:rsidTr="00A50197">
        <w:trPr>
          <w:gridAfter w:val="1"/>
          <w:wAfter w:w="30" w:type="dxa"/>
          <w:jc w:val="center"/>
        </w:trPr>
        <w:tc>
          <w:tcPr>
            <w:tcW w:w="1218" w:type="dxa"/>
            <w:tcBorders>
              <w:left w:val="nil"/>
              <w:right w:val="nil"/>
            </w:tcBorders>
            <w:vAlign w:val="center"/>
          </w:tcPr>
          <w:p w14:paraId="7936A65D" w14:textId="623706B8" w:rsidR="00792D53" w:rsidRPr="0067542D" w:rsidRDefault="00792D53" w:rsidP="00792D53">
            <w:pPr>
              <w:jc w:val="center"/>
              <w:rPr>
                <w:rFonts w:cstheme="minorHAnsi"/>
                <w:sz w:val="20"/>
                <w:szCs w:val="20"/>
              </w:rPr>
            </w:pPr>
            <w:r w:rsidRPr="0067542D">
              <w:rPr>
                <w:rFonts w:cstheme="minorHAnsi"/>
                <w:sz w:val="20"/>
                <w:szCs w:val="20"/>
              </w:rPr>
              <w:t>Melody</w:t>
            </w:r>
            <w:r>
              <w:rPr>
                <w:rFonts w:cstheme="minorHAnsi"/>
                <w:sz w:val="20"/>
                <w:szCs w:val="20"/>
              </w:rPr>
              <w:t xml:space="preserve"> et al., 2019</w:t>
            </w:r>
            <w:r w:rsidRPr="00EE74F9">
              <w:rPr>
                <w:rFonts w:cstheme="minorHAnsi"/>
                <w:sz w:val="20"/>
                <w:szCs w:val="20"/>
                <w:vertAlign w:val="superscript"/>
              </w:rPr>
              <w:t>5</w:t>
            </w:r>
            <w:r w:rsidR="009F36BF">
              <w:rPr>
                <w:rFonts w:cstheme="minorHAnsi"/>
                <w:sz w:val="20"/>
                <w:szCs w:val="20"/>
                <w:vertAlign w:val="superscript"/>
              </w:rPr>
              <w:t>7</w:t>
            </w:r>
          </w:p>
        </w:tc>
        <w:tc>
          <w:tcPr>
            <w:tcW w:w="1134" w:type="dxa"/>
            <w:tcBorders>
              <w:left w:val="nil"/>
              <w:right w:val="nil"/>
            </w:tcBorders>
            <w:vAlign w:val="center"/>
          </w:tcPr>
          <w:p w14:paraId="5A0DCA40" w14:textId="638607F3" w:rsidR="00792D53" w:rsidRPr="0067542D" w:rsidRDefault="00E42E57"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4E318F98" w14:textId="415E4F1C" w:rsidR="00792D53" w:rsidRPr="0067542D" w:rsidRDefault="00792D53" w:rsidP="00792D53">
            <w:pPr>
              <w:jc w:val="center"/>
              <w:rPr>
                <w:rFonts w:cstheme="minorHAnsi"/>
                <w:sz w:val="20"/>
                <w:szCs w:val="20"/>
              </w:rPr>
            </w:pPr>
            <w:r w:rsidRPr="0067542D">
              <w:rPr>
                <w:rFonts w:cstheme="minorHAnsi"/>
                <w:sz w:val="20"/>
                <w:szCs w:val="20"/>
              </w:rPr>
              <w:t>Brazil, USA, Uruguay, Indonesia, Australia, China</w:t>
            </w:r>
          </w:p>
        </w:tc>
        <w:tc>
          <w:tcPr>
            <w:tcW w:w="1139" w:type="dxa"/>
            <w:tcBorders>
              <w:left w:val="nil"/>
              <w:right w:val="nil"/>
            </w:tcBorders>
            <w:vAlign w:val="center"/>
          </w:tcPr>
          <w:p w14:paraId="5E5E8DB0" w14:textId="6DE4349A"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6C6E801D" w14:textId="4E70AB8D"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35B836A9" w14:textId="1AAD4682" w:rsidR="00792D53" w:rsidRPr="0067542D" w:rsidRDefault="00792D53" w:rsidP="00792D53">
            <w:pPr>
              <w:jc w:val="center"/>
              <w:rPr>
                <w:rFonts w:cstheme="minorHAnsi"/>
                <w:sz w:val="20"/>
                <w:szCs w:val="20"/>
              </w:rPr>
            </w:pPr>
            <w:r w:rsidRPr="0067542D">
              <w:rPr>
                <w:rFonts w:cstheme="minorHAnsi"/>
                <w:sz w:val="20"/>
                <w:szCs w:val="20"/>
              </w:rPr>
              <w:t>Birth (0 years)</w:t>
            </w:r>
          </w:p>
        </w:tc>
        <w:tc>
          <w:tcPr>
            <w:tcW w:w="2552" w:type="dxa"/>
            <w:tcBorders>
              <w:left w:val="nil"/>
              <w:right w:val="nil"/>
            </w:tcBorders>
            <w:vAlign w:val="center"/>
          </w:tcPr>
          <w:p w14:paraId="3626AF50" w14:textId="77777777" w:rsidR="00792D53" w:rsidRDefault="00792D53" w:rsidP="00792D53">
            <w:pPr>
              <w:jc w:val="center"/>
              <w:rPr>
                <w:rFonts w:cstheme="minorHAnsi"/>
                <w:sz w:val="20"/>
                <w:szCs w:val="20"/>
              </w:rPr>
            </w:pPr>
            <w:r w:rsidRPr="0067542D">
              <w:rPr>
                <w:rFonts w:cstheme="minorHAnsi"/>
                <w:sz w:val="20"/>
                <w:szCs w:val="20"/>
              </w:rPr>
              <w:t>Newcastle–Ottawa Scale (NOS)</w:t>
            </w:r>
          </w:p>
          <w:p w14:paraId="36DDA56D" w14:textId="3CE9C2B3" w:rsidR="00792D53" w:rsidRPr="0067542D" w:rsidRDefault="00792D53" w:rsidP="00792D53">
            <w:pPr>
              <w:jc w:val="center"/>
              <w:rPr>
                <w:rFonts w:cstheme="minorHAnsi"/>
                <w:sz w:val="20"/>
                <w:szCs w:val="20"/>
              </w:rPr>
            </w:pPr>
            <w:r>
              <w:rPr>
                <w:rFonts w:cstheme="minorHAnsi"/>
                <w:sz w:val="20"/>
                <w:szCs w:val="20"/>
              </w:rPr>
              <w:t>Range: 5-8</w:t>
            </w:r>
          </w:p>
        </w:tc>
        <w:tc>
          <w:tcPr>
            <w:tcW w:w="1417" w:type="dxa"/>
            <w:tcBorders>
              <w:left w:val="nil"/>
              <w:right w:val="nil"/>
            </w:tcBorders>
            <w:vAlign w:val="center"/>
          </w:tcPr>
          <w:p w14:paraId="7210FEC3" w14:textId="45F83123" w:rsidR="00792D53" w:rsidRPr="0067542D" w:rsidRDefault="00E42E57"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7715B594" w14:textId="7BEDEFAF" w:rsidR="00792D53" w:rsidRPr="0067542D" w:rsidRDefault="00792D53" w:rsidP="00792D53">
            <w:pPr>
              <w:jc w:val="center"/>
              <w:rPr>
                <w:rFonts w:cstheme="minorHAnsi"/>
                <w:sz w:val="20"/>
                <w:szCs w:val="20"/>
              </w:rPr>
            </w:pPr>
            <w:r w:rsidRPr="0067542D">
              <w:rPr>
                <w:rFonts w:cstheme="minorHAnsi"/>
                <w:sz w:val="20"/>
                <w:szCs w:val="20"/>
              </w:rPr>
              <w:t>moderate</w:t>
            </w:r>
          </w:p>
        </w:tc>
      </w:tr>
      <w:tr w:rsidR="00792D53" w:rsidRPr="0067542D" w14:paraId="0DABFA36" w14:textId="5B7CEDE4" w:rsidTr="00A50197">
        <w:trPr>
          <w:gridAfter w:val="1"/>
          <w:wAfter w:w="30" w:type="dxa"/>
          <w:jc w:val="center"/>
        </w:trPr>
        <w:tc>
          <w:tcPr>
            <w:tcW w:w="1218" w:type="dxa"/>
            <w:tcBorders>
              <w:left w:val="nil"/>
              <w:right w:val="nil"/>
            </w:tcBorders>
            <w:vAlign w:val="center"/>
          </w:tcPr>
          <w:p w14:paraId="207DA4A8" w14:textId="59E06A1B" w:rsidR="00792D53" w:rsidRPr="0067542D" w:rsidRDefault="00792D53" w:rsidP="00792D53">
            <w:pPr>
              <w:jc w:val="center"/>
              <w:rPr>
                <w:rFonts w:cstheme="minorHAnsi"/>
                <w:sz w:val="20"/>
                <w:szCs w:val="20"/>
              </w:rPr>
            </w:pPr>
            <w:r w:rsidRPr="0067542D">
              <w:rPr>
                <w:rFonts w:cstheme="minorHAnsi"/>
                <w:sz w:val="20"/>
                <w:szCs w:val="20"/>
              </w:rPr>
              <w:t>Miller</w:t>
            </w:r>
            <w:r>
              <w:rPr>
                <w:rFonts w:cstheme="minorHAnsi"/>
                <w:sz w:val="20"/>
                <w:szCs w:val="20"/>
              </w:rPr>
              <w:t xml:space="preserve"> et al., 2018</w:t>
            </w:r>
            <w:r w:rsidRPr="00EE74F9">
              <w:rPr>
                <w:rFonts w:cstheme="minorHAnsi"/>
                <w:sz w:val="20"/>
                <w:szCs w:val="20"/>
                <w:vertAlign w:val="superscript"/>
              </w:rPr>
              <w:t>5</w:t>
            </w:r>
            <w:r w:rsidR="009F36BF">
              <w:rPr>
                <w:rFonts w:cstheme="minorHAnsi"/>
                <w:sz w:val="20"/>
                <w:szCs w:val="20"/>
                <w:vertAlign w:val="superscript"/>
              </w:rPr>
              <w:t>8</w:t>
            </w:r>
          </w:p>
        </w:tc>
        <w:tc>
          <w:tcPr>
            <w:tcW w:w="1134" w:type="dxa"/>
            <w:tcBorders>
              <w:left w:val="nil"/>
              <w:right w:val="nil"/>
            </w:tcBorders>
            <w:vAlign w:val="center"/>
          </w:tcPr>
          <w:p w14:paraId="5AF0890F" w14:textId="27EBEA04" w:rsidR="00792D53" w:rsidRPr="0067542D" w:rsidRDefault="00AF4F6E" w:rsidP="00792D53">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383E2C81" w14:textId="1BE36709" w:rsidR="00792D53" w:rsidRPr="0067542D" w:rsidRDefault="00792D53" w:rsidP="00792D53">
            <w:pPr>
              <w:jc w:val="center"/>
              <w:rPr>
                <w:rFonts w:cstheme="minorHAnsi"/>
                <w:sz w:val="20"/>
                <w:szCs w:val="20"/>
              </w:rPr>
            </w:pPr>
            <w:r w:rsidRPr="0067542D">
              <w:rPr>
                <w:rFonts w:cstheme="minorHAnsi"/>
                <w:sz w:val="20"/>
                <w:szCs w:val="20"/>
              </w:rPr>
              <w:t>Not Available</w:t>
            </w:r>
          </w:p>
        </w:tc>
        <w:tc>
          <w:tcPr>
            <w:tcW w:w="1139" w:type="dxa"/>
            <w:tcBorders>
              <w:left w:val="nil"/>
              <w:right w:val="nil"/>
            </w:tcBorders>
            <w:vAlign w:val="center"/>
          </w:tcPr>
          <w:p w14:paraId="443E113A" w14:textId="66C2E590" w:rsidR="00792D53" w:rsidRPr="0067542D" w:rsidRDefault="00792D53" w:rsidP="00792D53">
            <w:pPr>
              <w:jc w:val="center"/>
              <w:rPr>
                <w:rFonts w:cstheme="minorHAnsi"/>
                <w:sz w:val="20"/>
                <w:szCs w:val="20"/>
              </w:rPr>
            </w:pPr>
            <w:r w:rsidRPr="0067542D">
              <w:rPr>
                <w:rFonts w:cstheme="minorHAnsi"/>
                <w:sz w:val="20"/>
                <w:szCs w:val="20"/>
              </w:rPr>
              <w:t>more than 10</w:t>
            </w:r>
          </w:p>
        </w:tc>
        <w:tc>
          <w:tcPr>
            <w:tcW w:w="3314" w:type="dxa"/>
            <w:tcBorders>
              <w:left w:val="nil"/>
              <w:right w:val="nil"/>
            </w:tcBorders>
            <w:vAlign w:val="center"/>
          </w:tcPr>
          <w:p w14:paraId="1C27B909" w14:textId="53722CA5"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7DC22C2C" w14:textId="0476BAAD" w:rsidR="00792D53" w:rsidRPr="0067542D" w:rsidRDefault="00792D53" w:rsidP="00792D53">
            <w:pPr>
              <w:jc w:val="center"/>
              <w:rPr>
                <w:rFonts w:cstheme="minorHAnsi"/>
                <w:sz w:val="20"/>
                <w:szCs w:val="20"/>
              </w:rPr>
            </w:pPr>
            <w:r w:rsidRPr="0067542D">
              <w:rPr>
                <w:rFonts w:cstheme="minorHAnsi"/>
                <w:sz w:val="20"/>
                <w:szCs w:val="20"/>
              </w:rPr>
              <w:t>0 to 4 years</w:t>
            </w:r>
          </w:p>
        </w:tc>
        <w:tc>
          <w:tcPr>
            <w:tcW w:w="2552" w:type="dxa"/>
            <w:tcBorders>
              <w:left w:val="nil"/>
              <w:right w:val="nil"/>
            </w:tcBorders>
            <w:vAlign w:val="center"/>
          </w:tcPr>
          <w:p w14:paraId="1C2A331F" w14:textId="44778A07" w:rsidR="00792D53" w:rsidRPr="0067542D" w:rsidRDefault="00792D53" w:rsidP="00792D53">
            <w:pPr>
              <w:jc w:val="center"/>
              <w:rPr>
                <w:rFonts w:cstheme="minorHAnsi"/>
                <w:sz w:val="20"/>
                <w:szCs w:val="20"/>
              </w:rPr>
            </w:pPr>
            <w:r w:rsidRPr="0067542D">
              <w:rPr>
                <w:rFonts w:cstheme="minorHAnsi"/>
                <w:sz w:val="20"/>
                <w:szCs w:val="20"/>
              </w:rPr>
              <w:t>Grade system</w:t>
            </w:r>
          </w:p>
        </w:tc>
        <w:tc>
          <w:tcPr>
            <w:tcW w:w="1417" w:type="dxa"/>
            <w:tcBorders>
              <w:left w:val="nil"/>
              <w:right w:val="nil"/>
            </w:tcBorders>
            <w:vAlign w:val="center"/>
          </w:tcPr>
          <w:p w14:paraId="59B026A4" w14:textId="2768DE78" w:rsidR="00792D53" w:rsidRDefault="007E3E52" w:rsidP="00FA1F75">
            <w:pPr>
              <w:jc w:val="center"/>
              <w:rPr>
                <w:rFonts w:cstheme="minorHAnsi"/>
                <w:sz w:val="20"/>
                <w:szCs w:val="20"/>
              </w:rPr>
            </w:pPr>
            <w:r>
              <w:rPr>
                <w:rFonts w:cstheme="minorHAnsi"/>
                <w:sz w:val="20"/>
                <w:szCs w:val="20"/>
              </w:rPr>
              <w:t>Only use of PRISMA flowchart specified</w:t>
            </w:r>
          </w:p>
        </w:tc>
        <w:tc>
          <w:tcPr>
            <w:tcW w:w="1276" w:type="dxa"/>
            <w:tcBorders>
              <w:left w:val="nil"/>
              <w:right w:val="nil"/>
            </w:tcBorders>
            <w:vAlign w:val="center"/>
          </w:tcPr>
          <w:p w14:paraId="1D258E32" w14:textId="110A7827" w:rsidR="00792D53" w:rsidRPr="0067542D" w:rsidRDefault="00792D53" w:rsidP="00792D53">
            <w:pPr>
              <w:jc w:val="center"/>
              <w:rPr>
                <w:rFonts w:cstheme="minorHAnsi"/>
                <w:sz w:val="20"/>
                <w:szCs w:val="20"/>
              </w:rPr>
            </w:pPr>
            <w:r>
              <w:rPr>
                <w:rFonts w:cstheme="minorHAnsi"/>
                <w:sz w:val="20"/>
                <w:szCs w:val="20"/>
              </w:rPr>
              <w:t>low</w:t>
            </w:r>
          </w:p>
        </w:tc>
      </w:tr>
      <w:tr w:rsidR="00792D53" w:rsidRPr="0067542D" w14:paraId="1AD590B4" w14:textId="58E4DAAA" w:rsidTr="00A50197">
        <w:trPr>
          <w:gridAfter w:val="1"/>
          <w:wAfter w:w="30" w:type="dxa"/>
          <w:jc w:val="center"/>
        </w:trPr>
        <w:tc>
          <w:tcPr>
            <w:tcW w:w="1218" w:type="dxa"/>
            <w:tcBorders>
              <w:left w:val="nil"/>
              <w:right w:val="nil"/>
            </w:tcBorders>
            <w:vAlign w:val="center"/>
          </w:tcPr>
          <w:p w14:paraId="0D575728" w14:textId="02B75405" w:rsidR="00792D53" w:rsidRPr="0067542D" w:rsidRDefault="00792D53" w:rsidP="00792D53">
            <w:pPr>
              <w:jc w:val="center"/>
              <w:rPr>
                <w:rFonts w:cstheme="minorHAnsi"/>
                <w:sz w:val="20"/>
                <w:szCs w:val="20"/>
              </w:rPr>
            </w:pPr>
            <w:r w:rsidRPr="0067542D">
              <w:rPr>
                <w:rFonts w:cstheme="minorHAnsi"/>
                <w:sz w:val="20"/>
                <w:szCs w:val="20"/>
              </w:rPr>
              <w:t>Molina Lima</w:t>
            </w:r>
            <w:r>
              <w:rPr>
                <w:rFonts w:cstheme="minorHAnsi"/>
                <w:sz w:val="20"/>
                <w:szCs w:val="20"/>
              </w:rPr>
              <w:t xml:space="preserve"> et al.</w:t>
            </w:r>
            <w:r w:rsidRPr="0067542D">
              <w:rPr>
                <w:rFonts w:cstheme="minorHAnsi"/>
                <w:sz w:val="20"/>
                <w:szCs w:val="20"/>
              </w:rPr>
              <w:t xml:space="preserve">, </w:t>
            </w:r>
            <w:r>
              <w:rPr>
                <w:rFonts w:cstheme="minorHAnsi"/>
                <w:sz w:val="20"/>
                <w:szCs w:val="20"/>
              </w:rPr>
              <w:t>2018</w:t>
            </w:r>
            <w:r w:rsidRPr="00EE74F9">
              <w:rPr>
                <w:rFonts w:cstheme="minorHAnsi"/>
                <w:sz w:val="20"/>
                <w:szCs w:val="20"/>
                <w:vertAlign w:val="superscript"/>
              </w:rPr>
              <w:t>5</w:t>
            </w:r>
            <w:r w:rsidR="009F36BF">
              <w:rPr>
                <w:rFonts w:cstheme="minorHAnsi"/>
                <w:sz w:val="20"/>
                <w:szCs w:val="20"/>
                <w:vertAlign w:val="superscript"/>
              </w:rPr>
              <w:t>9</w:t>
            </w:r>
          </w:p>
        </w:tc>
        <w:tc>
          <w:tcPr>
            <w:tcW w:w="1134" w:type="dxa"/>
            <w:tcBorders>
              <w:left w:val="nil"/>
              <w:right w:val="nil"/>
            </w:tcBorders>
            <w:vAlign w:val="center"/>
          </w:tcPr>
          <w:p w14:paraId="655010AE" w14:textId="207D7525" w:rsidR="00792D53" w:rsidRPr="0067542D" w:rsidRDefault="007E3E52" w:rsidP="00792D53">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13714A27" w14:textId="164D4983" w:rsidR="00792D53" w:rsidRPr="0067542D" w:rsidRDefault="00792D53" w:rsidP="00792D53">
            <w:pPr>
              <w:jc w:val="center"/>
              <w:rPr>
                <w:rFonts w:cstheme="minorHAnsi"/>
                <w:sz w:val="20"/>
                <w:szCs w:val="20"/>
              </w:rPr>
            </w:pPr>
            <w:r w:rsidRPr="0067542D">
              <w:rPr>
                <w:rFonts w:cstheme="minorHAnsi"/>
                <w:sz w:val="20"/>
                <w:szCs w:val="20"/>
              </w:rPr>
              <w:t>Congo (1), Australia (2), Taiwan (1), Denmark (2), USA (n=2)</w:t>
            </w:r>
          </w:p>
        </w:tc>
        <w:tc>
          <w:tcPr>
            <w:tcW w:w="1139" w:type="dxa"/>
            <w:tcBorders>
              <w:left w:val="nil"/>
              <w:right w:val="nil"/>
            </w:tcBorders>
            <w:vAlign w:val="center"/>
          </w:tcPr>
          <w:p w14:paraId="7C36834B" w14:textId="5DEDBB9F" w:rsidR="00792D53" w:rsidRPr="0067542D" w:rsidRDefault="00792D53" w:rsidP="00792D53">
            <w:pPr>
              <w:jc w:val="center"/>
              <w:rPr>
                <w:rFonts w:cstheme="minorHAnsi"/>
                <w:sz w:val="20"/>
                <w:szCs w:val="20"/>
              </w:rPr>
            </w:pPr>
            <w:r w:rsidRPr="0067542D">
              <w:rPr>
                <w:rFonts w:cstheme="minorHAnsi"/>
                <w:sz w:val="20"/>
                <w:szCs w:val="20"/>
              </w:rPr>
              <w:t>5</w:t>
            </w:r>
            <w:r w:rsidRPr="0067542D">
              <w:rPr>
                <w:rFonts w:cstheme="minorHAnsi"/>
                <w:sz w:val="20"/>
                <w:szCs w:val="20"/>
              </w:rPr>
              <w:br/>
              <w:t>(2 primary)</w:t>
            </w:r>
          </w:p>
        </w:tc>
        <w:tc>
          <w:tcPr>
            <w:tcW w:w="3314" w:type="dxa"/>
            <w:tcBorders>
              <w:left w:val="nil"/>
              <w:right w:val="nil"/>
            </w:tcBorders>
            <w:vAlign w:val="center"/>
          </w:tcPr>
          <w:p w14:paraId="5257DF3D" w14:textId="20FCF7CB" w:rsidR="00792D53" w:rsidRPr="0067542D" w:rsidRDefault="00792D53" w:rsidP="00792D53">
            <w:pPr>
              <w:jc w:val="center"/>
              <w:rPr>
                <w:rFonts w:cstheme="minorHAnsi"/>
                <w:sz w:val="20"/>
                <w:szCs w:val="20"/>
              </w:rPr>
            </w:pPr>
            <w:r w:rsidRPr="0067542D">
              <w:rPr>
                <w:rFonts w:cstheme="minorHAnsi"/>
                <w:sz w:val="20"/>
                <w:szCs w:val="20"/>
              </w:rPr>
              <w:t>Odds ratio for birth weight: 1.68; 95%CI: 1.19, 2.38,</w:t>
            </w:r>
            <w:r w:rsidRPr="0067542D">
              <w:rPr>
                <w:rFonts w:cstheme="minorHAnsi"/>
                <w:sz w:val="20"/>
                <w:szCs w:val="20"/>
              </w:rPr>
              <w:br/>
              <w:t>Odds ratio for preterm birth: 1.42; 95% CI: 1.05, 1.92</w:t>
            </w:r>
          </w:p>
        </w:tc>
        <w:tc>
          <w:tcPr>
            <w:tcW w:w="992" w:type="dxa"/>
            <w:tcBorders>
              <w:left w:val="nil"/>
              <w:right w:val="nil"/>
            </w:tcBorders>
            <w:vAlign w:val="center"/>
          </w:tcPr>
          <w:p w14:paraId="1D0EB24C" w14:textId="59E44355" w:rsidR="00792D53" w:rsidRPr="0067542D" w:rsidRDefault="00792D53" w:rsidP="00792D53">
            <w:pPr>
              <w:jc w:val="center"/>
              <w:rPr>
                <w:rFonts w:cstheme="minorHAnsi"/>
                <w:sz w:val="20"/>
                <w:szCs w:val="20"/>
              </w:rPr>
            </w:pPr>
            <w:r w:rsidRPr="0067542D">
              <w:rPr>
                <w:rFonts w:cstheme="minorHAnsi"/>
                <w:sz w:val="20"/>
                <w:szCs w:val="20"/>
              </w:rPr>
              <w:t>0 to 4 years; 10 years; 13 years</w:t>
            </w:r>
          </w:p>
        </w:tc>
        <w:tc>
          <w:tcPr>
            <w:tcW w:w="2552" w:type="dxa"/>
            <w:tcBorders>
              <w:left w:val="nil"/>
              <w:right w:val="nil"/>
            </w:tcBorders>
            <w:vAlign w:val="center"/>
          </w:tcPr>
          <w:p w14:paraId="552CA8E2" w14:textId="77431232" w:rsidR="00792D53" w:rsidRPr="0067542D" w:rsidRDefault="00792D53" w:rsidP="00792D53">
            <w:pPr>
              <w:jc w:val="center"/>
              <w:rPr>
                <w:rFonts w:cstheme="minorHAnsi"/>
                <w:sz w:val="20"/>
                <w:szCs w:val="20"/>
              </w:rPr>
            </w:pPr>
            <w:r w:rsidRPr="0067542D">
              <w:rPr>
                <w:rFonts w:cstheme="minorHAnsi"/>
                <w:sz w:val="20"/>
                <w:szCs w:val="20"/>
              </w:rPr>
              <w:t>For cohort studies, reviewers independently assessed risk of bias with a modified version of the Newcastle–Ottawa Scale (NOS)</w:t>
            </w:r>
          </w:p>
        </w:tc>
        <w:tc>
          <w:tcPr>
            <w:tcW w:w="1417" w:type="dxa"/>
            <w:tcBorders>
              <w:left w:val="nil"/>
              <w:right w:val="nil"/>
            </w:tcBorders>
            <w:vAlign w:val="center"/>
          </w:tcPr>
          <w:p w14:paraId="578CE60D" w14:textId="3F9F71B1" w:rsidR="00792D53" w:rsidRPr="0067542D" w:rsidRDefault="007E3E52"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57DAC0EF" w14:textId="55C73D70" w:rsidR="00792D53" w:rsidRPr="0067542D" w:rsidRDefault="00792D53" w:rsidP="00792D53">
            <w:pPr>
              <w:jc w:val="center"/>
              <w:rPr>
                <w:rFonts w:cstheme="minorHAnsi"/>
                <w:sz w:val="20"/>
                <w:szCs w:val="20"/>
              </w:rPr>
            </w:pPr>
            <w:r w:rsidRPr="0067542D">
              <w:rPr>
                <w:rFonts w:cstheme="minorHAnsi"/>
                <w:sz w:val="20"/>
                <w:szCs w:val="20"/>
              </w:rPr>
              <w:t>high</w:t>
            </w:r>
          </w:p>
        </w:tc>
      </w:tr>
      <w:tr w:rsidR="00792D53" w:rsidRPr="0067542D" w14:paraId="15750EC4" w14:textId="0E53B825" w:rsidTr="00A50197">
        <w:trPr>
          <w:gridAfter w:val="1"/>
          <w:wAfter w:w="30" w:type="dxa"/>
          <w:jc w:val="center"/>
        </w:trPr>
        <w:tc>
          <w:tcPr>
            <w:tcW w:w="1218" w:type="dxa"/>
            <w:tcBorders>
              <w:left w:val="nil"/>
              <w:right w:val="nil"/>
            </w:tcBorders>
            <w:vAlign w:val="center"/>
          </w:tcPr>
          <w:p w14:paraId="03AA0C19" w14:textId="068DF5FD" w:rsidR="00792D53" w:rsidRPr="0067542D" w:rsidRDefault="00792D53" w:rsidP="00792D53">
            <w:pPr>
              <w:jc w:val="center"/>
              <w:rPr>
                <w:rFonts w:cstheme="minorHAnsi"/>
                <w:sz w:val="20"/>
                <w:szCs w:val="20"/>
              </w:rPr>
            </w:pPr>
            <w:r w:rsidRPr="0067542D">
              <w:rPr>
                <w:rFonts w:cstheme="minorHAnsi"/>
                <w:sz w:val="20"/>
                <w:szCs w:val="20"/>
              </w:rPr>
              <w:t>Oh</w:t>
            </w:r>
            <w:r>
              <w:rPr>
                <w:rFonts w:cstheme="minorHAnsi"/>
                <w:sz w:val="20"/>
                <w:szCs w:val="20"/>
              </w:rPr>
              <w:t xml:space="preserve"> et al., 2018</w:t>
            </w:r>
            <w:r w:rsidR="009F36BF">
              <w:rPr>
                <w:rFonts w:cstheme="minorHAnsi"/>
                <w:sz w:val="20"/>
                <w:szCs w:val="20"/>
                <w:vertAlign w:val="superscript"/>
              </w:rPr>
              <w:t>60</w:t>
            </w:r>
          </w:p>
        </w:tc>
        <w:tc>
          <w:tcPr>
            <w:tcW w:w="1134" w:type="dxa"/>
            <w:tcBorders>
              <w:left w:val="nil"/>
              <w:right w:val="nil"/>
            </w:tcBorders>
            <w:vAlign w:val="center"/>
          </w:tcPr>
          <w:p w14:paraId="33B6F2FC" w14:textId="0803D02E" w:rsidR="00792D53" w:rsidRPr="0067542D" w:rsidRDefault="00404321" w:rsidP="00792D53">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40BD51BE" w14:textId="4A337908" w:rsidR="00792D53" w:rsidRPr="0067542D" w:rsidRDefault="00792D53" w:rsidP="00792D53">
            <w:pPr>
              <w:jc w:val="center"/>
              <w:rPr>
                <w:rFonts w:cstheme="minorHAnsi"/>
                <w:sz w:val="20"/>
                <w:szCs w:val="20"/>
              </w:rPr>
            </w:pPr>
            <w:r w:rsidRPr="0067542D">
              <w:rPr>
                <w:rFonts w:cstheme="minorHAnsi"/>
                <w:sz w:val="20"/>
                <w:szCs w:val="20"/>
              </w:rPr>
              <w:t>UK (12), USA (19), Australia (1), Canada (3), Germany (1), Puerto Rico (1)</w:t>
            </w:r>
          </w:p>
        </w:tc>
        <w:tc>
          <w:tcPr>
            <w:tcW w:w="1139" w:type="dxa"/>
            <w:tcBorders>
              <w:left w:val="nil"/>
              <w:right w:val="nil"/>
            </w:tcBorders>
            <w:vAlign w:val="center"/>
          </w:tcPr>
          <w:p w14:paraId="39F5B6DF" w14:textId="0443BBB3"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2275627A" w14:textId="2DCF6852"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69400A95" w14:textId="24F7EE78" w:rsidR="00792D53" w:rsidRPr="0067542D" w:rsidRDefault="00792D53" w:rsidP="00792D53">
            <w:pPr>
              <w:jc w:val="center"/>
              <w:rPr>
                <w:rFonts w:cstheme="minorHAnsi"/>
                <w:sz w:val="20"/>
                <w:szCs w:val="20"/>
              </w:rPr>
            </w:pPr>
            <w:r w:rsidRPr="0067542D">
              <w:rPr>
                <w:rFonts w:cstheme="minorHAnsi"/>
                <w:sz w:val="20"/>
                <w:szCs w:val="20"/>
              </w:rPr>
              <w:t>0 to 53 years</w:t>
            </w:r>
          </w:p>
        </w:tc>
        <w:tc>
          <w:tcPr>
            <w:tcW w:w="2552" w:type="dxa"/>
            <w:tcBorders>
              <w:left w:val="nil"/>
              <w:right w:val="nil"/>
            </w:tcBorders>
            <w:vAlign w:val="center"/>
          </w:tcPr>
          <w:p w14:paraId="1C037FDC" w14:textId="7E7D3F48" w:rsidR="00792D53" w:rsidRPr="0067542D" w:rsidRDefault="00792D53" w:rsidP="00792D53">
            <w:pPr>
              <w:jc w:val="center"/>
              <w:rPr>
                <w:rFonts w:cstheme="minorHAnsi"/>
                <w:sz w:val="20"/>
                <w:szCs w:val="20"/>
              </w:rPr>
            </w:pPr>
            <w:r w:rsidRPr="0067542D">
              <w:rPr>
                <w:rFonts w:cstheme="minorHAnsi"/>
                <w:sz w:val="20"/>
                <w:szCs w:val="20"/>
              </w:rPr>
              <w:t>risk of bias assessment</w:t>
            </w:r>
          </w:p>
        </w:tc>
        <w:tc>
          <w:tcPr>
            <w:tcW w:w="1417" w:type="dxa"/>
            <w:tcBorders>
              <w:left w:val="nil"/>
              <w:right w:val="nil"/>
            </w:tcBorders>
            <w:vAlign w:val="center"/>
          </w:tcPr>
          <w:p w14:paraId="7FBA7229" w14:textId="09A914E9" w:rsidR="00792D53" w:rsidRPr="0067542D" w:rsidRDefault="00404321"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58E2E8D8" w14:textId="53625DEF" w:rsidR="00792D53" w:rsidRPr="0067542D" w:rsidRDefault="00792D53" w:rsidP="00792D53">
            <w:pPr>
              <w:jc w:val="center"/>
              <w:rPr>
                <w:rFonts w:cstheme="minorHAnsi"/>
                <w:sz w:val="20"/>
                <w:szCs w:val="20"/>
              </w:rPr>
            </w:pPr>
            <w:r w:rsidRPr="0067542D">
              <w:rPr>
                <w:rFonts w:cstheme="minorHAnsi"/>
                <w:sz w:val="20"/>
                <w:szCs w:val="20"/>
              </w:rPr>
              <w:t>moderate</w:t>
            </w:r>
          </w:p>
        </w:tc>
      </w:tr>
      <w:tr w:rsidR="00792D53" w:rsidRPr="0067542D" w14:paraId="62EA36EB" w14:textId="7FB44337" w:rsidTr="00A50197">
        <w:trPr>
          <w:gridAfter w:val="1"/>
          <w:wAfter w:w="30" w:type="dxa"/>
          <w:jc w:val="center"/>
        </w:trPr>
        <w:tc>
          <w:tcPr>
            <w:tcW w:w="1218" w:type="dxa"/>
            <w:tcBorders>
              <w:left w:val="nil"/>
              <w:right w:val="nil"/>
            </w:tcBorders>
            <w:vAlign w:val="center"/>
          </w:tcPr>
          <w:p w14:paraId="253561C6" w14:textId="5A86D3DE" w:rsidR="00792D53" w:rsidRPr="0067542D" w:rsidRDefault="00792D53" w:rsidP="00792D53">
            <w:pPr>
              <w:jc w:val="center"/>
              <w:rPr>
                <w:rFonts w:cstheme="minorHAnsi"/>
                <w:sz w:val="20"/>
                <w:szCs w:val="20"/>
              </w:rPr>
            </w:pPr>
            <w:r w:rsidRPr="0067542D">
              <w:rPr>
                <w:rFonts w:cstheme="minorHAnsi"/>
                <w:sz w:val="20"/>
                <w:szCs w:val="20"/>
              </w:rPr>
              <w:t>Pastorino</w:t>
            </w:r>
            <w:r>
              <w:rPr>
                <w:rFonts w:cstheme="minorHAnsi"/>
                <w:sz w:val="20"/>
                <w:szCs w:val="20"/>
              </w:rPr>
              <w:t xml:space="preserve"> et al., 2019</w:t>
            </w:r>
            <w:r w:rsidR="009F36BF">
              <w:rPr>
                <w:rFonts w:cstheme="minorHAnsi"/>
                <w:sz w:val="20"/>
                <w:szCs w:val="20"/>
                <w:vertAlign w:val="superscript"/>
              </w:rPr>
              <w:t>61</w:t>
            </w:r>
          </w:p>
        </w:tc>
        <w:tc>
          <w:tcPr>
            <w:tcW w:w="1134" w:type="dxa"/>
            <w:tcBorders>
              <w:left w:val="nil"/>
              <w:right w:val="nil"/>
            </w:tcBorders>
            <w:vAlign w:val="center"/>
          </w:tcPr>
          <w:p w14:paraId="39207261" w14:textId="15562FFB" w:rsidR="00792D53" w:rsidRPr="0067542D" w:rsidRDefault="00404321"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46A77F56" w14:textId="0C94878A" w:rsidR="00792D53" w:rsidRPr="0067542D" w:rsidRDefault="00792D53" w:rsidP="00792D53">
            <w:pPr>
              <w:jc w:val="center"/>
              <w:rPr>
                <w:rFonts w:cstheme="minorHAnsi"/>
                <w:sz w:val="20"/>
                <w:szCs w:val="20"/>
              </w:rPr>
            </w:pPr>
            <w:r w:rsidRPr="0067542D">
              <w:rPr>
                <w:rFonts w:cstheme="minorHAnsi"/>
                <w:sz w:val="20"/>
                <w:szCs w:val="20"/>
              </w:rPr>
              <w:t>UK (2), Netherlands (2), Denmark (1), USA (1), Poland (1), Ireland (1)</w:t>
            </w:r>
          </w:p>
        </w:tc>
        <w:tc>
          <w:tcPr>
            <w:tcW w:w="1139" w:type="dxa"/>
            <w:tcBorders>
              <w:left w:val="nil"/>
              <w:right w:val="nil"/>
            </w:tcBorders>
            <w:vAlign w:val="center"/>
          </w:tcPr>
          <w:p w14:paraId="22CCD478" w14:textId="35847BF3" w:rsidR="00792D53" w:rsidRPr="0067542D" w:rsidRDefault="00792D53" w:rsidP="00792D53">
            <w:pPr>
              <w:jc w:val="center"/>
              <w:rPr>
                <w:rFonts w:cstheme="minorHAnsi"/>
                <w:sz w:val="20"/>
                <w:szCs w:val="20"/>
              </w:rPr>
            </w:pPr>
            <w:r w:rsidRPr="0067542D">
              <w:rPr>
                <w:rFonts w:cstheme="minorHAnsi"/>
                <w:sz w:val="20"/>
                <w:szCs w:val="20"/>
              </w:rPr>
              <w:t>10</w:t>
            </w:r>
            <w:r w:rsidRPr="0067542D">
              <w:rPr>
                <w:rFonts w:cstheme="minorHAnsi"/>
                <w:sz w:val="20"/>
                <w:szCs w:val="20"/>
              </w:rPr>
              <w:br/>
              <w:t>(4 significant)</w:t>
            </w:r>
          </w:p>
        </w:tc>
        <w:tc>
          <w:tcPr>
            <w:tcW w:w="3314" w:type="dxa"/>
            <w:tcBorders>
              <w:left w:val="nil"/>
              <w:right w:val="nil"/>
            </w:tcBorders>
            <w:vAlign w:val="center"/>
          </w:tcPr>
          <w:p w14:paraId="26FFCB59" w14:textId="50CA06B5" w:rsidR="00792D53" w:rsidRPr="0067542D" w:rsidRDefault="00792D53" w:rsidP="00792D53">
            <w:pPr>
              <w:jc w:val="center"/>
              <w:rPr>
                <w:rFonts w:cstheme="minorHAnsi"/>
                <w:sz w:val="20"/>
                <w:szCs w:val="20"/>
              </w:rPr>
            </w:pPr>
            <w:r w:rsidRPr="0067542D">
              <w:rPr>
                <w:rFonts w:cstheme="minorHAnsi"/>
                <w:sz w:val="20"/>
                <w:szCs w:val="20"/>
              </w:rPr>
              <w:t>Risk ratio for birth weight: −6.43; 95% CI: −9.12, −3.74),</w:t>
            </w:r>
            <w:r w:rsidRPr="0067542D">
              <w:rPr>
                <w:rFonts w:cstheme="minorHAnsi"/>
                <w:sz w:val="20"/>
                <w:szCs w:val="20"/>
              </w:rPr>
              <w:br/>
              <w:t xml:space="preserve">Risk ratio for </w:t>
            </w:r>
            <w:proofErr w:type="spellStart"/>
            <w:r w:rsidRPr="0067542D">
              <w:rPr>
                <w:rFonts w:cstheme="minorHAnsi"/>
                <w:sz w:val="20"/>
                <w:szCs w:val="20"/>
              </w:rPr>
              <w:t>macrosmia</w:t>
            </w:r>
            <w:proofErr w:type="spellEnd"/>
            <w:r w:rsidRPr="0067542D">
              <w:rPr>
                <w:rFonts w:cstheme="minorHAnsi"/>
                <w:sz w:val="20"/>
                <w:szCs w:val="20"/>
              </w:rPr>
              <w:t>: 0.96; 95% CI: 0.94, 0.98,</w:t>
            </w:r>
            <w:r w:rsidRPr="0067542D">
              <w:rPr>
                <w:rFonts w:cstheme="minorHAnsi"/>
                <w:sz w:val="20"/>
                <w:szCs w:val="20"/>
              </w:rPr>
              <w:br/>
              <w:t>Risk ratio for large for gestational age birth: 0.97; 95% CI: 0.96, 0.98,</w:t>
            </w:r>
            <w:r w:rsidRPr="0067542D">
              <w:rPr>
                <w:rFonts w:cstheme="minorHAnsi"/>
                <w:sz w:val="20"/>
                <w:szCs w:val="20"/>
              </w:rPr>
              <w:br/>
              <w:t>Beta for ponderal index birth: −0.02; 95% CI: −0.03, 0.00</w:t>
            </w:r>
          </w:p>
        </w:tc>
        <w:tc>
          <w:tcPr>
            <w:tcW w:w="992" w:type="dxa"/>
            <w:tcBorders>
              <w:left w:val="nil"/>
              <w:right w:val="nil"/>
            </w:tcBorders>
            <w:vAlign w:val="center"/>
          </w:tcPr>
          <w:p w14:paraId="41587495" w14:textId="7089ABC6" w:rsidR="00792D53" w:rsidRPr="0067542D" w:rsidRDefault="00792D53" w:rsidP="00792D53">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1ACFC01A" w14:textId="3E2D27A1" w:rsidR="00792D53" w:rsidRPr="0067542D" w:rsidRDefault="00792D53" w:rsidP="00792D53">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46F399B0" w14:textId="6DB5340E" w:rsidR="00792D53" w:rsidRPr="0067542D" w:rsidRDefault="00404321"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797D4CA5" w14:textId="2EBA9504" w:rsidR="00792D53" w:rsidRPr="0067542D" w:rsidRDefault="00792D53" w:rsidP="00792D53">
            <w:pPr>
              <w:jc w:val="center"/>
              <w:rPr>
                <w:rFonts w:cstheme="minorHAnsi"/>
                <w:sz w:val="20"/>
                <w:szCs w:val="20"/>
              </w:rPr>
            </w:pPr>
            <w:r w:rsidRPr="0067542D">
              <w:rPr>
                <w:rFonts w:cstheme="minorHAnsi"/>
                <w:sz w:val="20"/>
                <w:szCs w:val="20"/>
              </w:rPr>
              <w:t>N/A</w:t>
            </w:r>
          </w:p>
        </w:tc>
      </w:tr>
      <w:tr w:rsidR="00792D53" w:rsidRPr="0067542D" w14:paraId="498D5361" w14:textId="71550E81" w:rsidTr="00A50197">
        <w:trPr>
          <w:gridAfter w:val="1"/>
          <w:wAfter w:w="30" w:type="dxa"/>
          <w:jc w:val="center"/>
        </w:trPr>
        <w:tc>
          <w:tcPr>
            <w:tcW w:w="1218" w:type="dxa"/>
            <w:tcBorders>
              <w:left w:val="nil"/>
              <w:right w:val="nil"/>
            </w:tcBorders>
            <w:vAlign w:val="center"/>
          </w:tcPr>
          <w:p w14:paraId="30CA7D33" w14:textId="2683F924" w:rsidR="00792D53" w:rsidRPr="0067542D" w:rsidRDefault="00792D53" w:rsidP="00792D53">
            <w:pPr>
              <w:jc w:val="center"/>
              <w:rPr>
                <w:rFonts w:cstheme="minorHAnsi"/>
                <w:sz w:val="20"/>
                <w:szCs w:val="20"/>
              </w:rPr>
            </w:pPr>
            <w:r w:rsidRPr="0067542D">
              <w:rPr>
                <w:rFonts w:cstheme="minorHAnsi"/>
                <w:sz w:val="20"/>
                <w:szCs w:val="20"/>
              </w:rPr>
              <w:t>Pearson</w:t>
            </w:r>
            <w:r>
              <w:rPr>
                <w:rFonts w:cstheme="minorHAnsi"/>
                <w:sz w:val="20"/>
                <w:szCs w:val="20"/>
              </w:rPr>
              <w:t xml:space="preserve"> et al., 2015</w:t>
            </w:r>
            <w:r w:rsidR="009F36BF">
              <w:rPr>
                <w:rFonts w:cstheme="minorHAnsi"/>
                <w:sz w:val="20"/>
                <w:szCs w:val="20"/>
                <w:vertAlign w:val="superscript"/>
              </w:rPr>
              <w:t>62</w:t>
            </w:r>
          </w:p>
        </w:tc>
        <w:tc>
          <w:tcPr>
            <w:tcW w:w="1134" w:type="dxa"/>
            <w:tcBorders>
              <w:left w:val="nil"/>
              <w:right w:val="nil"/>
            </w:tcBorders>
            <w:vAlign w:val="center"/>
          </w:tcPr>
          <w:p w14:paraId="600AD8F0" w14:textId="267B7DA9" w:rsidR="00792D53" w:rsidRPr="0067542D" w:rsidRDefault="00404321"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0A35AD77" w14:textId="2CD0C463" w:rsidR="00792D53" w:rsidRPr="0067542D" w:rsidRDefault="00792D53" w:rsidP="00792D53">
            <w:pPr>
              <w:jc w:val="center"/>
              <w:rPr>
                <w:rFonts w:cstheme="minorHAnsi"/>
                <w:sz w:val="20"/>
                <w:szCs w:val="20"/>
              </w:rPr>
            </w:pPr>
            <w:r w:rsidRPr="0067542D">
              <w:rPr>
                <w:rFonts w:cstheme="minorHAnsi"/>
                <w:sz w:val="20"/>
                <w:szCs w:val="20"/>
              </w:rPr>
              <w:t xml:space="preserve">Canada (2),USA (14), Netherlands (1), South Africa (1), </w:t>
            </w:r>
            <w:proofErr w:type="spellStart"/>
            <w:r w:rsidRPr="0067542D">
              <w:rPr>
                <w:rFonts w:cstheme="minorHAnsi"/>
                <w:sz w:val="20"/>
                <w:szCs w:val="20"/>
              </w:rPr>
              <w:t>Austrailia</w:t>
            </w:r>
            <w:proofErr w:type="spellEnd"/>
            <w:r w:rsidRPr="0067542D">
              <w:rPr>
                <w:rFonts w:cstheme="minorHAnsi"/>
                <w:sz w:val="20"/>
                <w:szCs w:val="20"/>
              </w:rPr>
              <w:t xml:space="preserve"> (1)</w:t>
            </w:r>
          </w:p>
        </w:tc>
        <w:tc>
          <w:tcPr>
            <w:tcW w:w="1139" w:type="dxa"/>
            <w:tcBorders>
              <w:left w:val="nil"/>
              <w:right w:val="nil"/>
            </w:tcBorders>
            <w:vAlign w:val="center"/>
          </w:tcPr>
          <w:p w14:paraId="484C6634" w14:textId="3693DC6A" w:rsidR="00792D53" w:rsidRPr="0067542D" w:rsidRDefault="00792D53" w:rsidP="00792D53">
            <w:pPr>
              <w:jc w:val="center"/>
              <w:rPr>
                <w:rFonts w:cstheme="minorHAnsi"/>
                <w:sz w:val="20"/>
                <w:szCs w:val="20"/>
              </w:rPr>
            </w:pPr>
            <w:r w:rsidRPr="0067542D">
              <w:rPr>
                <w:rFonts w:cstheme="minorHAnsi"/>
                <w:sz w:val="20"/>
                <w:szCs w:val="20"/>
              </w:rPr>
              <w:t>1</w:t>
            </w:r>
          </w:p>
        </w:tc>
        <w:tc>
          <w:tcPr>
            <w:tcW w:w="3314" w:type="dxa"/>
            <w:tcBorders>
              <w:left w:val="nil"/>
              <w:right w:val="nil"/>
            </w:tcBorders>
            <w:vAlign w:val="center"/>
          </w:tcPr>
          <w:p w14:paraId="35F9A6AB" w14:textId="5EC8A945" w:rsidR="00792D53" w:rsidRPr="0067542D" w:rsidRDefault="00792D53" w:rsidP="00792D53">
            <w:pPr>
              <w:jc w:val="center"/>
              <w:rPr>
                <w:rFonts w:cstheme="minorHAnsi"/>
                <w:sz w:val="20"/>
                <w:szCs w:val="20"/>
              </w:rPr>
            </w:pPr>
            <w:r w:rsidRPr="0067542D">
              <w:rPr>
                <w:rFonts w:cstheme="minorHAnsi"/>
                <w:sz w:val="20"/>
                <w:szCs w:val="20"/>
              </w:rPr>
              <w:t>Standard difference in means for relationship between programming variables (maternal prenatal stress, alcohol or drug use or cigarette smoking and child cortisol secretion: d = 0.36; CI = 0.211, 0.510</w:t>
            </w:r>
          </w:p>
        </w:tc>
        <w:tc>
          <w:tcPr>
            <w:tcW w:w="992" w:type="dxa"/>
            <w:tcBorders>
              <w:left w:val="nil"/>
              <w:right w:val="nil"/>
            </w:tcBorders>
            <w:vAlign w:val="center"/>
          </w:tcPr>
          <w:p w14:paraId="3612584D" w14:textId="6C8FADD5" w:rsidR="00792D53" w:rsidRPr="0067542D" w:rsidRDefault="00792D53" w:rsidP="00792D53">
            <w:pPr>
              <w:jc w:val="center"/>
              <w:rPr>
                <w:rFonts w:cstheme="minorHAnsi"/>
                <w:sz w:val="20"/>
                <w:szCs w:val="20"/>
              </w:rPr>
            </w:pPr>
            <w:r>
              <w:rPr>
                <w:rFonts w:cstheme="minorHAnsi"/>
                <w:sz w:val="20"/>
                <w:szCs w:val="20"/>
              </w:rPr>
              <w:t>&lt;1 month to 1.5 years</w:t>
            </w:r>
          </w:p>
        </w:tc>
        <w:tc>
          <w:tcPr>
            <w:tcW w:w="2552" w:type="dxa"/>
            <w:tcBorders>
              <w:left w:val="nil"/>
              <w:right w:val="nil"/>
            </w:tcBorders>
            <w:vAlign w:val="center"/>
          </w:tcPr>
          <w:p w14:paraId="1814BFD6" w14:textId="655627CC" w:rsidR="00792D53" w:rsidRPr="0067542D" w:rsidRDefault="00792D53" w:rsidP="00792D53">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7E5222E3" w14:textId="0E3DC98F" w:rsidR="00792D53" w:rsidRPr="0067542D" w:rsidRDefault="00286A10"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78D2609B" w14:textId="0A5BC99C" w:rsidR="00792D53" w:rsidRPr="0067542D" w:rsidRDefault="00792D53" w:rsidP="00792D53">
            <w:pPr>
              <w:jc w:val="center"/>
              <w:rPr>
                <w:rFonts w:cstheme="minorHAnsi"/>
                <w:sz w:val="20"/>
                <w:szCs w:val="20"/>
              </w:rPr>
            </w:pPr>
            <w:r w:rsidRPr="0067542D">
              <w:rPr>
                <w:rFonts w:cstheme="minorHAnsi"/>
                <w:sz w:val="20"/>
                <w:szCs w:val="20"/>
              </w:rPr>
              <w:t>N/A</w:t>
            </w:r>
          </w:p>
        </w:tc>
      </w:tr>
      <w:tr w:rsidR="00792D53" w:rsidRPr="0067542D" w14:paraId="268844A0" w14:textId="790EF993" w:rsidTr="00A50197">
        <w:trPr>
          <w:gridAfter w:val="1"/>
          <w:wAfter w:w="30" w:type="dxa"/>
          <w:jc w:val="center"/>
        </w:trPr>
        <w:tc>
          <w:tcPr>
            <w:tcW w:w="1218" w:type="dxa"/>
            <w:tcBorders>
              <w:left w:val="nil"/>
              <w:right w:val="nil"/>
            </w:tcBorders>
            <w:vAlign w:val="center"/>
          </w:tcPr>
          <w:p w14:paraId="2AF390C0" w14:textId="0B712E0E" w:rsidR="00792D53" w:rsidRPr="0067542D" w:rsidRDefault="00792D53" w:rsidP="00792D53">
            <w:pPr>
              <w:jc w:val="center"/>
              <w:rPr>
                <w:rFonts w:cstheme="minorHAnsi"/>
                <w:sz w:val="20"/>
                <w:szCs w:val="20"/>
              </w:rPr>
            </w:pPr>
            <w:r w:rsidRPr="0067542D">
              <w:rPr>
                <w:rFonts w:cstheme="minorHAnsi"/>
                <w:sz w:val="20"/>
                <w:szCs w:val="20"/>
              </w:rPr>
              <w:t>Roth</w:t>
            </w:r>
            <w:r>
              <w:rPr>
                <w:rFonts w:cstheme="minorHAnsi"/>
                <w:sz w:val="20"/>
                <w:szCs w:val="20"/>
              </w:rPr>
              <w:t xml:space="preserve"> et al., 2017</w:t>
            </w:r>
            <w:r w:rsidRPr="00EE74F9">
              <w:rPr>
                <w:rFonts w:cstheme="minorHAnsi"/>
                <w:sz w:val="20"/>
                <w:szCs w:val="20"/>
                <w:vertAlign w:val="superscript"/>
              </w:rPr>
              <w:t>6</w:t>
            </w:r>
            <w:r w:rsidR="009F36BF">
              <w:rPr>
                <w:rFonts w:cstheme="minorHAnsi"/>
                <w:sz w:val="20"/>
                <w:szCs w:val="20"/>
                <w:vertAlign w:val="superscript"/>
              </w:rPr>
              <w:t>3</w:t>
            </w:r>
          </w:p>
        </w:tc>
        <w:tc>
          <w:tcPr>
            <w:tcW w:w="1134" w:type="dxa"/>
            <w:tcBorders>
              <w:left w:val="nil"/>
              <w:right w:val="nil"/>
            </w:tcBorders>
            <w:vAlign w:val="center"/>
          </w:tcPr>
          <w:p w14:paraId="4F608578" w14:textId="6A908F30" w:rsidR="00792D53" w:rsidRPr="0067542D" w:rsidRDefault="00286A10" w:rsidP="00792D53">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1D0A17D6" w14:textId="1B315A43" w:rsidR="00792D53" w:rsidRPr="0067542D" w:rsidRDefault="00792D53" w:rsidP="00792D53">
            <w:pPr>
              <w:jc w:val="center"/>
              <w:rPr>
                <w:rFonts w:cstheme="minorHAnsi"/>
                <w:sz w:val="20"/>
                <w:szCs w:val="20"/>
              </w:rPr>
            </w:pPr>
            <w:r w:rsidRPr="0067542D">
              <w:rPr>
                <w:rFonts w:cstheme="minorHAnsi"/>
                <w:sz w:val="20"/>
                <w:szCs w:val="20"/>
              </w:rPr>
              <w:t xml:space="preserve">UK (3), France (2), India (5), US (4), Iran (18), Bangladesh (1), UAE (1), Pakistan (2), Australia (2), New Zealand (1), Turkey (1), </w:t>
            </w:r>
            <w:r w:rsidRPr="0067542D">
              <w:rPr>
                <w:rFonts w:cstheme="minorHAnsi"/>
                <w:sz w:val="20"/>
                <w:szCs w:val="20"/>
              </w:rPr>
              <w:lastRenderedPageBreak/>
              <w:t>Canada (1), Denmark (1), China (1)</w:t>
            </w:r>
          </w:p>
        </w:tc>
        <w:tc>
          <w:tcPr>
            <w:tcW w:w="1139" w:type="dxa"/>
            <w:tcBorders>
              <w:left w:val="nil"/>
              <w:right w:val="nil"/>
            </w:tcBorders>
            <w:vAlign w:val="center"/>
          </w:tcPr>
          <w:p w14:paraId="27413DF7" w14:textId="617B9EC1" w:rsidR="00792D53" w:rsidRPr="0067542D" w:rsidRDefault="00792D53" w:rsidP="00792D53">
            <w:pPr>
              <w:jc w:val="center"/>
              <w:rPr>
                <w:rFonts w:cstheme="minorHAnsi"/>
                <w:sz w:val="20"/>
                <w:szCs w:val="20"/>
              </w:rPr>
            </w:pPr>
            <w:r w:rsidRPr="0067542D">
              <w:rPr>
                <w:rFonts w:cstheme="minorHAnsi"/>
                <w:sz w:val="20"/>
                <w:szCs w:val="20"/>
              </w:rPr>
              <w:lastRenderedPageBreak/>
              <w:t>more than 10</w:t>
            </w:r>
            <w:r w:rsidRPr="0067542D">
              <w:rPr>
                <w:rFonts w:cstheme="minorHAnsi"/>
                <w:sz w:val="20"/>
                <w:szCs w:val="20"/>
              </w:rPr>
              <w:br/>
              <w:t>(3 significant)</w:t>
            </w:r>
          </w:p>
        </w:tc>
        <w:tc>
          <w:tcPr>
            <w:tcW w:w="3314" w:type="dxa"/>
            <w:tcBorders>
              <w:left w:val="nil"/>
              <w:right w:val="nil"/>
            </w:tcBorders>
            <w:vAlign w:val="center"/>
          </w:tcPr>
          <w:p w14:paraId="0CF302AD" w14:textId="7FE8632E" w:rsidR="00792D53" w:rsidRPr="0067542D" w:rsidRDefault="00792D53" w:rsidP="00792D53">
            <w:pPr>
              <w:jc w:val="center"/>
              <w:rPr>
                <w:rFonts w:cstheme="minorHAnsi"/>
                <w:sz w:val="20"/>
                <w:szCs w:val="20"/>
              </w:rPr>
            </w:pPr>
            <w:r w:rsidRPr="0067542D">
              <w:rPr>
                <w:rFonts w:cstheme="minorHAnsi"/>
                <w:sz w:val="20"/>
                <w:szCs w:val="20"/>
              </w:rPr>
              <w:t>Weighted mean difference: 58.33; 95% CI: 18.88, 97.78,</w:t>
            </w:r>
            <w:r w:rsidRPr="0067542D">
              <w:rPr>
                <w:rFonts w:cstheme="minorHAnsi"/>
                <w:sz w:val="20"/>
                <w:szCs w:val="20"/>
              </w:rPr>
              <w:br/>
              <w:t>Risk ratio for small for gestational age: 0.60; 95% CI: 0.40, 0.90,</w:t>
            </w:r>
            <w:r w:rsidRPr="0067542D">
              <w:rPr>
                <w:rFonts w:cstheme="minorHAnsi"/>
                <w:sz w:val="20"/>
                <w:szCs w:val="20"/>
              </w:rPr>
              <w:br/>
              <w:t>Risk ratio for asthma/wheeze at 3 years: 0.81; 95% CI: 0.67, 0.98</w:t>
            </w:r>
          </w:p>
        </w:tc>
        <w:tc>
          <w:tcPr>
            <w:tcW w:w="992" w:type="dxa"/>
            <w:tcBorders>
              <w:left w:val="nil"/>
              <w:right w:val="nil"/>
            </w:tcBorders>
            <w:vAlign w:val="center"/>
          </w:tcPr>
          <w:p w14:paraId="471EFD31" w14:textId="472923DA" w:rsidR="00792D53" w:rsidRPr="0067542D" w:rsidRDefault="00792D53" w:rsidP="00792D53">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5A903641" w14:textId="7E8A8BD5" w:rsidR="00792D53" w:rsidRPr="0067542D" w:rsidRDefault="00792D53" w:rsidP="00792D53">
            <w:pPr>
              <w:jc w:val="center"/>
              <w:rPr>
                <w:rFonts w:cstheme="minorHAnsi"/>
                <w:sz w:val="20"/>
                <w:szCs w:val="20"/>
              </w:rPr>
            </w:pPr>
            <w:r w:rsidRPr="0067542D">
              <w:rPr>
                <w:rFonts w:cstheme="minorHAnsi"/>
                <w:sz w:val="20"/>
                <w:szCs w:val="20"/>
              </w:rPr>
              <w:t>Two reviewers used the Cochrane Collaboration tool for assessing risk of bias to independently assign quality scores to the trials.</w:t>
            </w:r>
          </w:p>
        </w:tc>
        <w:tc>
          <w:tcPr>
            <w:tcW w:w="1417" w:type="dxa"/>
            <w:tcBorders>
              <w:left w:val="nil"/>
              <w:right w:val="nil"/>
            </w:tcBorders>
            <w:vAlign w:val="center"/>
          </w:tcPr>
          <w:p w14:paraId="21F71F80" w14:textId="3EE8189C" w:rsidR="00792D53" w:rsidRPr="0067542D" w:rsidRDefault="00286A10"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0AE421E9" w14:textId="301147AA" w:rsidR="00792D53" w:rsidRPr="0067542D" w:rsidRDefault="00792D53" w:rsidP="00792D53">
            <w:pPr>
              <w:jc w:val="center"/>
              <w:rPr>
                <w:rFonts w:cstheme="minorHAnsi"/>
                <w:sz w:val="20"/>
                <w:szCs w:val="20"/>
              </w:rPr>
            </w:pPr>
            <w:r w:rsidRPr="0067542D">
              <w:rPr>
                <w:rFonts w:cstheme="minorHAnsi"/>
                <w:sz w:val="20"/>
                <w:szCs w:val="20"/>
              </w:rPr>
              <w:t>low</w:t>
            </w:r>
          </w:p>
        </w:tc>
      </w:tr>
      <w:tr w:rsidR="00792D53" w:rsidRPr="0067542D" w14:paraId="35BB6882" w14:textId="0C05320E" w:rsidTr="00A50197">
        <w:trPr>
          <w:gridAfter w:val="1"/>
          <w:wAfter w:w="30" w:type="dxa"/>
          <w:jc w:val="center"/>
        </w:trPr>
        <w:tc>
          <w:tcPr>
            <w:tcW w:w="1218" w:type="dxa"/>
            <w:tcBorders>
              <w:left w:val="nil"/>
              <w:right w:val="nil"/>
            </w:tcBorders>
            <w:vAlign w:val="center"/>
          </w:tcPr>
          <w:p w14:paraId="2D3C8FCB" w14:textId="68E40FB1" w:rsidR="00792D53" w:rsidRPr="0067542D" w:rsidRDefault="00792D53" w:rsidP="00792D53">
            <w:pPr>
              <w:jc w:val="center"/>
              <w:rPr>
                <w:rFonts w:cstheme="minorHAnsi"/>
                <w:sz w:val="20"/>
                <w:szCs w:val="20"/>
              </w:rPr>
            </w:pPr>
            <w:r w:rsidRPr="0067542D">
              <w:rPr>
                <w:rFonts w:cstheme="minorHAnsi"/>
                <w:sz w:val="20"/>
                <w:szCs w:val="20"/>
              </w:rPr>
              <w:t>Ruiz</w:t>
            </w:r>
            <w:r>
              <w:rPr>
                <w:rFonts w:cstheme="minorHAnsi"/>
                <w:sz w:val="20"/>
                <w:szCs w:val="20"/>
              </w:rPr>
              <w:t xml:space="preserve"> et al., 2015</w:t>
            </w:r>
            <w:r w:rsidRPr="00EE74F9">
              <w:rPr>
                <w:rFonts w:cstheme="minorHAnsi"/>
                <w:sz w:val="20"/>
                <w:szCs w:val="20"/>
                <w:vertAlign w:val="superscript"/>
              </w:rPr>
              <w:t>6</w:t>
            </w:r>
            <w:r w:rsidR="009F36BF">
              <w:rPr>
                <w:rFonts w:cstheme="minorHAnsi"/>
                <w:sz w:val="20"/>
                <w:szCs w:val="20"/>
                <w:vertAlign w:val="superscript"/>
              </w:rPr>
              <w:t>4</w:t>
            </w:r>
          </w:p>
        </w:tc>
        <w:tc>
          <w:tcPr>
            <w:tcW w:w="1134" w:type="dxa"/>
            <w:tcBorders>
              <w:left w:val="nil"/>
              <w:right w:val="nil"/>
            </w:tcBorders>
            <w:vAlign w:val="center"/>
          </w:tcPr>
          <w:p w14:paraId="5A862F5F" w14:textId="46D219A0" w:rsidR="00792D53" w:rsidRPr="0067542D" w:rsidRDefault="00AC14C5"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4F94F70C" w14:textId="44ED3139" w:rsidR="00792D53" w:rsidRPr="0067542D" w:rsidRDefault="00792D53" w:rsidP="00792D53">
            <w:pPr>
              <w:jc w:val="center"/>
              <w:rPr>
                <w:rFonts w:cstheme="minorHAnsi"/>
                <w:sz w:val="20"/>
                <w:szCs w:val="20"/>
              </w:rPr>
            </w:pPr>
            <w:r w:rsidRPr="0067542D">
              <w:rPr>
                <w:rFonts w:cstheme="minorHAnsi"/>
                <w:sz w:val="20"/>
                <w:szCs w:val="20"/>
              </w:rPr>
              <w:t>France, Netherlands, UK, Czech Republic, Ukraine, Finland, Norway, Sweden, Greece, Italy, Portugal, Spain</w:t>
            </w:r>
          </w:p>
        </w:tc>
        <w:tc>
          <w:tcPr>
            <w:tcW w:w="1139" w:type="dxa"/>
            <w:tcBorders>
              <w:left w:val="nil"/>
              <w:right w:val="nil"/>
            </w:tcBorders>
            <w:vAlign w:val="center"/>
          </w:tcPr>
          <w:p w14:paraId="20D6549D" w14:textId="5E86408E" w:rsidR="00792D53" w:rsidRPr="0067542D" w:rsidRDefault="00792D53" w:rsidP="00792D53">
            <w:pPr>
              <w:jc w:val="center"/>
              <w:rPr>
                <w:rFonts w:cstheme="minorHAnsi"/>
                <w:sz w:val="20"/>
                <w:szCs w:val="20"/>
              </w:rPr>
            </w:pPr>
            <w:r w:rsidRPr="0067542D">
              <w:rPr>
                <w:rFonts w:cstheme="minorHAnsi"/>
                <w:sz w:val="20"/>
                <w:szCs w:val="20"/>
              </w:rPr>
              <w:t>2</w:t>
            </w:r>
          </w:p>
        </w:tc>
        <w:tc>
          <w:tcPr>
            <w:tcW w:w="3314" w:type="dxa"/>
            <w:tcBorders>
              <w:left w:val="nil"/>
              <w:right w:val="nil"/>
            </w:tcBorders>
            <w:vAlign w:val="center"/>
          </w:tcPr>
          <w:p w14:paraId="5978C8ED" w14:textId="0D8EBA1E" w:rsidR="00792D53" w:rsidRPr="0067542D" w:rsidRDefault="00792D53" w:rsidP="00792D53">
            <w:pPr>
              <w:jc w:val="center"/>
              <w:rPr>
                <w:rFonts w:cstheme="minorHAnsi"/>
                <w:sz w:val="20"/>
                <w:szCs w:val="20"/>
              </w:rPr>
            </w:pPr>
            <w:r w:rsidRPr="0067542D">
              <w:rPr>
                <w:rFonts w:cstheme="minorHAnsi"/>
                <w:sz w:val="20"/>
                <w:szCs w:val="20"/>
              </w:rPr>
              <w:t>Relative index of inequality for preterm birth: 1.48; 95%CI: 1.29, 1.69</w:t>
            </w:r>
            <w:r w:rsidRPr="0067542D">
              <w:rPr>
                <w:rFonts w:cstheme="minorHAnsi"/>
                <w:sz w:val="20"/>
                <w:szCs w:val="20"/>
              </w:rPr>
              <w:br/>
              <w:t>Relative index of inequality for small for gestational age birth: 1.55; 95%CI: 1.28, 1.87</w:t>
            </w:r>
          </w:p>
        </w:tc>
        <w:tc>
          <w:tcPr>
            <w:tcW w:w="992" w:type="dxa"/>
            <w:tcBorders>
              <w:left w:val="nil"/>
              <w:right w:val="nil"/>
            </w:tcBorders>
            <w:vAlign w:val="center"/>
          </w:tcPr>
          <w:p w14:paraId="4D415788" w14:textId="10514C12" w:rsidR="00792D53" w:rsidRPr="0067542D" w:rsidRDefault="00792D53" w:rsidP="00792D53">
            <w:pPr>
              <w:jc w:val="center"/>
              <w:rPr>
                <w:rFonts w:cstheme="minorHAnsi"/>
                <w:sz w:val="20"/>
                <w:szCs w:val="20"/>
              </w:rPr>
            </w:pPr>
            <w:r>
              <w:rPr>
                <w:rFonts w:cstheme="minorHAnsi"/>
                <w:sz w:val="20"/>
                <w:szCs w:val="20"/>
              </w:rPr>
              <w:t>Birth ( 0 years)</w:t>
            </w:r>
          </w:p>
        </w:tc>
        <w:tc>
          <w:tcPr>
            <w:tcW w:w="2552" w:type="dxa"/>
            <w:tcBorders>
              <w:left w:val="nil"/>
              <w:right w:val="nil"/>
            </w:tcBorders>
            <w:vAlign w:val="center"/>
          </w:tcPr>
          <w:p w14:paraId="2CFA509A" w14:textId="6417ECED" w:rsidR="00792D53" w:rsidRPr="0067542D" w:rsidRDefault="00792D53" w:rsidP="00792D53">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6EE67EB0" w14:textId="2363E552" w:rsidR="00792D53" w:rsidRPr="0067542D" w:rsidRDefault="00AC14C5"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5EC7D857" w14:textId="208023B4" w:rsidR="00792D53" w:rsidRPr="0067542D" w:rsidRDefault="00792D53" w:rsidP="00792D53">
            <w:pPr>
              <w:jc w:val="center"/>
              <w:rPr>
                <w:rFonts w:cstheme="minorHAnsi"/>
                <w:sz w:val="20"/>
                <w:szCs w:val="20"/>
              </w:rPr>
            </w:pPr>
            <w:r w:rsidRPr="0067542D">
              <w:rPr>
                <w:rFonts w:cstheme="minorHAnsi"/>
                <w:sz w:val="20"/>
                <w:szCs w:val="20"/>
              </w:rPr>
              <w:t>N/A</w:t>
            </w:r>
          </w:p>
        </w:tc>
      </w:tr>
      <w:tr w:rsidR="00792D53" w:rsidRPr="0067542D" w14:paraId="6CC8C53E" w14:textId="37864FF1" w:rsidTr="00A50197">
        <w:trPr>
          <w:gridAfter w:val="1"/>
          <w:wAfter w:w="30" w:type="dxa"/>
          <w:jc w:val="center"/>
        </w:trPr>
        <w:tc>
          <w:tcPr>
            <w:tcW w:w="1218" w:type="dxa"/>
            <w:tcBorders>
              <w:left w:val="nil"/>
              <w:right w:val="nil"/>
            </w:tcBorders>
            <w:vAlign w:val="center"/>
          </w:tcPr>
          <w:p w14:paraId="3AEF0E1A" w14:textId="230443CD" w:rsidR="00792D53" w:rsidRPr="0067542D" w:rsidRDefault="00792D53" w:rsidP="00792D53">
            <w:pPr>
              <w:jc w:val="center"/>
              <w:rPr>
                <w:rFonts w:cstheme="minorHAnsi"/>
                <w:sz w:val="20"/>
                <w:szCs w:val="20"/>
              </w:rPr>
            </w:pPr>
            <w:r w:rsidRPr="0067542D">
              <w:rPr>
                <w:rFonts w:cstheme="minorHAnsi"/>
                <w:sz w:val="20"/>
                <w:szCs w:val="20"/>
              </w:rPr>
              <w:t>Santamaria</w:t>
            </w:r>
            <w:r>
              <w:rPr>
                <w:rFonts w:cstheme="minorHAnsi"/>
                <w:sz w:val="20"/>
                <w:szCs w:val="20"/>
              </w:rPr>
              <w:t xml:space="preserve"> et al., 2018</w:t>
            </w:r>
            <w:r w:rsidRPr="00EE74F9">
              <w:rPr>
                <w:rFonts w:cstheme="minorHAnsi"/>
                <w:sz w:val="20"/>
                <w:szCs w:val="20"/>
                <w:vertAlign w:val="superscript"/>
              </w:rPr>
              <w:t>6</w:t>
            </w:r>
            <w:r w:rsidR="009F36BF">
              <w:rPr>
                <w:rFonts w:cstheme="minorHAnsi"/>
                <w:sz w:val="20"/>
                <w:szCs w:val="20"/>
                <w:vertAlign w:val="superscript"/>
              </w:rPr>
              <w:t>5</w:t>
            </w:r>
          </w:p>
        </w:tc>
        <w:tc>
          <w:tcPr>
            <w:tcW w:w="1134" w:type="dxa"/>
            <w:tcBorders>
              <w:left w:val="nil"/>
              <w:right w:val="nil"/>
            </w:tcBorders>
            <w:vAlign w:val="center"/>
          </w:tcPr>
          <w:p w14:paraId="313FD0F8" w14:textId="052DEC44" w:rsidR="00792D53" w:rsidRPr="0067542D" w:rsidRDefault="00AC14C5" w:rsidP="00792D53">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20DFCB15" w14:textId="68D43D48" w:rsidR="00792D53" w:rsidRPr="0067542D" w:rsidRDefault="00792D53" w:rsidP="00792D53">
            <w:pPr>
              <w:jc w:val="center"/>
              <w:rPr>
                <w:rFonts w:cstheme="minorHAnsi"/>
                <w:sz w:val="20"/>
                <w:szCs w:val="20"/>
              </w:rPr>
            </w:pPr>
            <w:r w:rsidRPr="0067542D">
              <w:rPr>
                <w:rFonts w:cstheme="minorHAnsi"/>
                <w:sz w:val="20"/>
                <w:szCs w:val="20"/>
              </w:rPr>
              <w:t>Turkey (1), USA (6), Australia (4), New Zealand (1), China (3), South Korea (1), Denmark (1), Spain(2), India (1), Netherlands (1), Brazil (1), Canada (2), Singapore (1), Germany (1), Finland (1), UK(2), Norway (1)</w:t>
            </w:r>
          </w:p>
        </w:tc>
        <w:tc>
          <w:tcPr>
            <w:tcW w:w="1139" w:type="dxa"/>
            <w:tcBorders>
              <w:left w:val="nil"/>
              <w:right w:val="nil"/>
            </w:tcBorders>
            <w:vAlign w:val="center"/>
          </w:tcPr>
          <w:p w14:paraId="447EACEF" w14:textId="5F677DBF" w:rsidR="00792D53" w:rsidRPr="0067542D" w:rsidRDefault="00792D53" w:rsidP="00792D53">
            <w:pPr>
              <w:jc w:val="center"/>
              <w:rPr>
                <w:rFonts w:cstheme="minorHAnsi"/>
                <w:sz w:val="20"/>
                <w:szCs w:val="20"/>
              </w:rPr>
            </w:pPr>
            <w:r w:rsidRPr="0067542D">
              <w:rPr>
                <w:rFonts w:cstheme="minorHAnsi"/>
                <w:sz w:val="20"/>
                <w:szCs w:val="20"/>
              </w:rPr>
              <w:t>7</w:t>
            </w:r>
            <w:r w:rsidRPr="0067542D">
              <w:rPr>
                <w:rFonts w:cstheme="minorHAnsi"/>
                <w:sz w:val="20"/>
                <w:szCs w:val="20"/>
              </w:rPr>
              <w:br/>
              <w:t>(3 significant)</w:t>
            </w:r>
          </w:p>
        </w:tc>
        <w:tc>
          <w:tcPr>
            <w:tcW w:w="3314" w:type="dxa"/>
            <w:tcBorders>
              <w:left w:val="nil"/>
              <w:right w:val="nil"/>
            </w:tcBorders>
            <w:vAlign w:val="center"/>
          </w:tcPr>
          <w:p w14:paraId="4ABD3187" w14:textId="3FEB5BE6" w:rsidR="00792D53" w:rsidRPr="0067542D" w:rsidRDefault="00792D53" w:rsidP="00792D53">
            <w:pPr>
              <w:jc w:val="center"/>
              <w:rPr>
                <w:rFonts w:cstheme="minorHAnsi"/>
                <w:sz w:val="20"/>
                <w:szCs w:val="20"/>
              </w:rPr>
            </w:pPr>
            <w:r w:rsidRPr="0067542D">
              <w:rPr>
                <w:rFonts w:cstheme="minorHAnsi"/>
                <w:sz w:val="20"/>
                <w:szCs w:val="20"/>
              </w:rPr>
              <w:t>Mean difference for birth weight: -100.69; 95%CI: -162.25, -39.13</w:t>
            </w:r>
            <w:r w:rsidRPr="0067542D">
              <w:rPr>
                <w:rFonts w:cstheme="minorHAnsi"/>
                <w:sz w:val="20"/>
                <w:szCs w:val="20"/>
              </w:rPr>
              <w:br/>
              <w:t>Odds Ratio for small for gestational age: 1.55; 95%CI: 1.16, 2.07</w:t>
            </w:r>
            <w:r w:rsidRPr="0067542D">
              <w:rPr>
                <w:rFonts w:cstheme="minorHAnsi"/>
                <w:sz w:val="20"/>
                <w:szCs w:val="20"/>
              </w:rPr>
              <w:br/>
              <w:t>Mean Difference for infant weight at 9 months: 119.75; 95%CI: 32.97, 206.52</w:t>
            </w:r>
          </w:p>
        </w:tc>
        <w:tc>
          <w:tcPr>
            <w:tcW w:w="992" w:type="dxa"/>
            <w:tcBorders>
              <w:left w:val="nil"/>
              <w:right w:val="nil"/>
            </w:tcBorders>
            <w:vAlign w:val="center"/>
          </w:tcPr>
          <w:p w14:paraId="4A9B647F" w14:textId="47E07B2B" w:rsidR="00792D53" w:rsidRPr="0067542D" w:rsidRDefault="00792D53" w:rsidP="00792D53">
            <w:pPr>
              <w:jc w:val="center"/>
              <w:rPr>
                <w:rFonts w:cstheme="minorHAnsi"/>
                <w:sz w:val="20"/>
                <w:szCs w:val="20"/>
              </w:rPr>
            </w:pPr>
            <w:r>
              <w:rPr>
                <w:rFonts w:cstheme="minorHAnsi"/>
                <w:sz w:val="20"/>
                <w:szCs w:val="20"/>
              </w:rPr>
              <w:t>0 to 9 years</w:t>
            </w:r>
          </w:p>
        </w:tc>
        <w:tc>
          <w:tcPr>
            <w:tcW w:w="2552" w:type="dxa"/>
            <w:tcBorders>
              <w:left w:val="nil"/>
              <w:right w:val="nil"/>
            </w:tcBorders>
            <w:vAlign w:val="center"/>
          </w:tcPr>
          <w:p w14:paraId="197A9FA5" w14:textId="008B7554" w:rsidR="00792D53" w:rsidRPr="0067542D" w:rsidRDefault="00792D53" w:rsidP="00792D53">
            <w:pPr>
              <w:jc w:val="center"/>
              <w:rPr>
                <w:rFonts w:cstheme="minorHAnsi"/>
                <w:sz w:val="20"/>
                <w:szCs w:val="20"/>
              </w:rPr>
            </w:pPr>
            <w:r w:rsidRPr="0067542D">
              <w:rPr>
                <w:rFonts w:cstheme="minorHAnsi"/>
                <w:sz w:val="20"/>
                <w:szCs w:val="20"/>
              </w:rPr>
              <w:t>Newcastle–Ottawa Scale (NOS)</w:t>
            </w:r>
          </w:p>
        </w:tc>
        <w:tc>
          <w:tcPr>
            <w:tcW w:w="1417" w:type="dxa"/>
            <w:tcBorders>
              <w:left w:val="nil"/>
              <w:right w:val="nil"/>
            </w:tcBorders>
            <w:vAlign w:val="center"/>
          </w:tcPr>
          <w:p w14:paraId="0F8DF10A" w14:textId="48008142" w:rsidR="00792D53" w:rsidRPr="0067542D" w:rsidRDefault="005511F4" w:rsidP="00FA1F75">
            <w:pPr>
              <w:jc w:val="center"/>
              <w:rPr>
                <w:rFonts w:cstheme="minorHAnsi"/>
                <w:sz w:val="20"/>
                <w:szCs w:val="20"/>
              </w:rPr>
            </w:pPr>
            <w:r>
              <w:rPr>
                <w:rFonts w:cstheme="minorHAnsi"/>
                <w:sz w:val="20"/>
                <w:szCs w:val="20"/>
              </w:rPr>
              <w:t xml:space="preserve">MOOSE guidelines </w:t>
            </w:r>
            <w:r w:rsidR="00024B88">
              <w:rPr>
                <w:rFonts w:cstheme="minorHAnsi"/>
                <w:sz w:val="20"/>
                <w:szCs w:val="20"/>
              </w:rPr>
              <w:t>followed</w:t>
            </w:r>
          </w:p>
        </w:tc>
        <w:tc>
          <w:tcPr>
            <w:tcW w:w="1276" w:type="dxa"/>
            <w:tcBorders>
              <w:left w:val="nil"/>
              <w:right w:val="nil"/>
            </w:tcBorders>
            <w:vAlign w:val="center"/>
          </w:tcPr>
          <w:p w14:paraId="466B3A52" w14:textId="1B971F06" w:rsidR="00792D53" w:rsidRPr="0067542D" w:rsidRDefault="00792D53" w:rsidP="00792D53">
            <w:pPr>
              <w:jc w:val="center"/>
              <w:rPr>
                <w:rFonts w:cstheme="minorHAnsi"/>
                <w:sz w:val="20"/>
                <w:szCs w:val="20"/>
              </w:rPr>
            </w:pPr>
            <w:r w:rsidRPr="0067542D">
              <w:rPr>
                <w:rFonts w:cstheme="minorHAnsi"/>
                <w:sz w:val="20"/>
                <w:szCs w:val="20"/>
              </w:rPr>
              <w:t>high</w:t>
            </w:r>
          </w:p>
        </w:tc>
      </w:tr>
      <w:tr w:rsidR="00792D53" w:rsidRPr="0067542D" w14:paraId="28530D39" w14:textId="6E881BD7" w:rsidTr="00A50197">
        <w:trPr>
          <w:gridAfter w:val="1"/>
          <w:wAfter w:w="30" w:type="dxa"/>
          <w:jc w:val="center"/>
        </w:trPr>
        <w:tc>
          <w:tcPr>
            <w:tcW w:w="1218" w:type="dxa"/>
            <w:tcBorders>
              <w:left w:val="nil"/>
              <w:right w:val="nil"/>
            </w:tcBorders>
            <w:vAlign w:val="center"/>
          </w:tcPr>
          <w:p w14:paraId="0AB1963A" w14:textId="1CBC945E" w:rsidR="00792D53" w:rsidRPr="0067542D" w:rsidRDefault="00792D53" w:rsidP="00792D53">
            <w:pPr>
              <w:jc w:val="center"/>
              <w:rPr>
                <w:rFonts w:cstheme="minorHAnsi"/>
                <w:sz w:val="20"/>
                <w:szCs w:val="20"/>
              </w:rPr>
            </w:pPr>
            <w:r w:rsidRPr="0067542D">
              <w:rPr>
                <w:rFonts w:cstheme="minorHAnsi"/>
                <w:sz w:val="20"/>
                <w:szCs w:val="20"/>
              </w:rPr>
              <w:t>Sharp</w:t>
            </w:r>
            <w:r>
              <w:rPr>
                <w:rFonts w:cstheme="minorHAnsi"/>
                <w:sz w:val="20"/>
                <w:szCs w:val="20"/>
              </w:rPr>
              <w:t xml:space="preserve"> et al., 2017</w:t>
            </w:r>
            <w:r w:rsidRPr="00EE74F9">
              <w:rPr>
                <w:rFonts w:cstheme="minorHAnsi"/>
                <w:sz w:val="20"/>
                <w:szCs w:val="20"/>
                <w:vertAlign w:val="superscript"/>
              </w:rPr>
              <w:t>6</w:t>
            </w:r>
            <w:r w:rsidR="009F36BF">
              <w:rPr>
                <w:rFonts w:cstheme="minorHAnsi"/>
                <w:sz w:val="20"/>
                <w:szCs w:val="20"/>
                <w:vertAlign w:val="superscript"/>
              </w:rPr>
              <w:t>6</w:t>
            </w:r>
          </w:p>
        </w:tc>
        <w:tc>
          <w:tcPr>
            <w:tcW w:w="1134" w:type="dxa"/>
            <w:tcBorders>
              <w:left w:val="nil"/>
              <w:right w:val="nil"/>
            </w:tcBorders>
            <w:vAlign w:val="center"/>
          </w:tcPr>
          <w:p w14:paraId="5D19B04B" w14:textId="4DCD97B6" w:rsidR="00792D53" w:rsidRPr="0067542D" w:rsidRDefault="005511F4"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0CE5A443" w14:textId="78407D74" w:rsidR="00792D53" w:rsidRPr="0067542D" w:rsidRDefault="00792D53" w:rsidP="00792D53">
            <w:pPr>
              <w:jc w:val="center"/>
              <w:rPr>
                <w:rFonts w:cstheme="minorHAnsi"/>
                <w:sz w:val="20"/>
                <w:szCs w:val="20"/>
              </w:rPr>
            </w:pPr>
            <w:r w:rsidRPr="0067542D">
              <w:rPr>
                <w:rFonts w:cstheme="minorHAnsi"/>
                <w:sz w:val="20"/>
                <w:szCs w:val="20"/>
              </w:rPr>
              <w:t xml:space="preserve">UK (ALSPAC), USA (CBC cohorts 1 and 2, </w:t>
            </w:r>
            <w:proofErr w:type="spellStart"/>
            <w:r w:rsidRPr="0067542D">
              <w:rPr>
                <w:rFonts w:cstheme="minorHAnsi"/>
                <w:sz w:val="20"/>
                <w:szCs w:val="20"/>
              </w:rPr>
              <w:t>chamacos</w:t>
            </w:r>
            <w:proofErr w:type="spellEnd"/>
            <w:r w:rsidRPr="0067542D">
              <w:rPr>
                <w:rFonts w:cstheme="minorHAnsi"/>
                <w:sz w:val="20"/>
                <w:szCs w:val="20"/>
              </w:rPr>
              <w:t>, EARLI, NEST, NHBCS, RICHS, VIVA), Denmark (</w:t>
            </w:r>
            <w:proofErr w:type="spellStart"/>
            <w:r w:rsidRPr="0067542D">
              <w:rPr>
                <w:rFonts w:cstheme="minorHAnsi"/>
                <w:sz w:val="20"/>
                <w:szCs w:val="20"/>
              </w:rPr>
              <w:t>goya</w:t>
            </w:r>
            <w:proofErr w:type="spellEnd"/>
            <w:r w:rsidRPr="0067542D">
              <w:rPr>
                <w:rFonts w:cstheme="minorHAnsi"/>
                <w:sz w:val="20"/>
                <w:szCs w:val="20"/>
              </w:rPr>
              <w:t xml:space="preserve">), Netherlands (Gecko, </w:t>
            </w:r>
            <w:proofErr w:type="spellStart"/>
            <w:r w:rsidRPr="0067542D">
              <w:rPr>
                <w:rFonts w:cstheme="minorHAnsi"/>
                <w:sz w:val="20"/>
                <w:szCs w:val="20"/>
              </w:rPr>
              <w:t>genr</w:t>
            </w:r>
            <w:proofErr w:type="spellEnd"/>
            <w:r w:rsidRPr="0067542D">
              <w:rPr>
                <w:rFonts w:cstheme="minorHAnsi"/>
                <w:sz w:val="20"/>
                <w:szCs w:val="20"/>
              </w:rPr>
              <w:t xml:space="preserve">, </w:t>
            </w:r>
            <w:proofErr w:type="spellStart"/>
            <w:r w:rsidRPr="0067542D">
              <w:rPr>
                <w:rFonts w:cstheme="minorHAnsi"/>
                <w:sz w:val="20"/>
                <w:szCs w:val="20"/>
              </w:rPr>
              <w:t>piama</w:t>
            </w:r>
            <w:proofErr w:type="spellEnd"/>
            <w:r w:rsidRPr="0067542D">
              <w:rPr>
                <w:rFonts w:cstheme="minorHAnsi"/>
                <w:sz w:val="20"/>
                <w:szCs w:val="20"/>
              </w:rPr>
              <w:t>), Canada (</w:t>
            </w:r>
            <w:proofErr w:type="spellStart"/>
            <w:r w:rsidRPr="0067542D">
              <w:rPr>
                <w:rFonts w:cstheme="minorHAnsi"/>
                <w:sz w:val="20"/>
                <w:szCs w:val="20"/>
              </w:rPr>
              <w:t>genR</w:t>
            </w:r>
            <w:proofErr w:type="spellEnd"/>
            <w:r w:rsidRPr="0067542D">
              <w:rPr>
                <w:rFonts w:cstheme="minorHAnsi"/>
                <w:sz w:val="20"/>
                <w:szCs w:val="20"/>
              </w:rPr>
              <w:t xml:space="preserve"> 3G), UK (IOW f1, IOW f2), Spain and France (</w:t>
            </w:r>
            <w:proofErr w:type="spellStart"/>
            <w:r w:rsidRPr="0067542D">
              <w:rPr>
                <w:rFonts w:cstheme="minorHAnsi"/>
                <w:sz w:val="20"/>
                <w:szCs w:val="20"/>
              </w:rPr>
              <w:t>Medall</w:t>
            </w:r>
            <w:proofErr w:type="spellEnd"/>
            <w:r w:rsidRPr="0067542D">
              <w:rPr>
                <w:rFonts w:cstheme="minorHAnsi"/>
                <w:sz w:val="20"/>
                <w:szCs w:val="20"/>
              </w:rPr>
              <w:t>), Norway (</w:t>
            </w:r>
            <w:proofErr w:type="spellStart"/>
            <w:r w:rsidRPr="0067542D">
              <w:rPr>
                <w:rFonts w:cstheme="minorHAnsi"/>
                <w:sz w:val="20"/>
                <w:szCs w:val="20"/>
              </w:rPr>
              <w:t>moba</w:t>
            </w:r>
            <w:proofErr w:type="spellEnd"/>
            <w:r w:rsidRPr="0067542D">
              <w:rPr>
                <w:rFonts w:cstheme="minorHAnsi"/>
                <w:sz w:val="20"/>
                <w:szCs w:val="20"/>
              </w:rPr>
              <w:t xml:space="preserve"> 1, </w:t>
            </w:r>
            <w:proofErr w:type="spellStart"/>
            <w:r w:rsidRPr="0067542D">
              <w:rPr>
                <w:rFonts w:cstheme="minorHAnsi"/>
                <w:sz w:val="20"/>
                <w:szCs w:val="20"/>
              </w:rPr>
              <w:t>moba</w:t>
            </w:r>
            <w:proofErr w:type="spellEnd"/>
            <w:r w:rsidRPr="0067542D">
              <w:rPr>
                <w:rFonts w:cstheme="minorHAnsi"/>
                <w:sz w:val="20"/>
                <w:szCs w:val="20"/>
              </w:rPr>
              <w:t xml:space="preserve"> 2, </w:t>
            </w:r>
            <w:proofErr w:type="spellStart"/>
            <w:r w:rsidRPr="0067542D">
              <w:rPr>
                <w:rFonts w:cstheme="minorHAnsi"/>
                <w:sz w:val="20"/>
                <w:szCs w:val="20"/>
              </w:rPr>
              <w:t>moba</w:t>
            </w:r>
            <w:proofErr w:type="spellEnd"/>
            <w:r w:rsidRPr="0067542D">
              <w:rPr>
                <w:rFonts w:cstheme="minorHAnsi"/>
                <w:sz w:val="20"/>
                <w:szCs w:val="20"/>
              </w:rPr>
              <w:t xml:space="preserve"> 3), Finland (</w:t>
            </w:r>
            <w:proofErr w:type="spellStart"/>
            <w:r w:rsidRPr="0067542D">
              <w:rPr>
                <w:rFonts w:cstheme="minorHAnsi"/>
                <w:sz w:val="20"/>
                <w:szCs w:val="20"/>
              </w:rPr>
              <w:t>nfbc</w:t>
            </w:r>
            <w:proofErr w:type="spellEnd"/>
            <w:r w:rsidRPr="0067542D">
              <w:rPr>
                <w:rFonts w:cstheme="minorHAnsi"/>
                <w:sz w:val="20"/>
                <w:szCs w:val="20"/>
              </w:rPr>
              <w:t>), Australia (</w:t>
            </w:r>
            <w:proofErr w:type="spellStart"/>
            <w:r w:rsidRPr="0067542D">
              <w:rPr>
                <w:rFonts w:cstheme="minorHAnsi"/>
                <w:sz w:val="20"/>
                <w:szCs w:val="20"/>
              </w:rPr>
              <w:t>raine</w:t>
            </w:r>
            <w:proofErr w:type="spellEnd"/>
            <w:r w:rsidRPr="0067542D">
              <w:rPr>
                <w:rFonts w:cstheme="minorHAnsi"/>
                <w:sz w:val="20"/>
                <w:szCs w:val="20"/>
              </w:rPr>
              <w:t>), Sweden (</w:t>
            </w:r>
            <w:proofErr w:type="spellStart"/>
            <w:r w:rsidRPr="0067542D">
              <w:rPr>
                <w:rFonts w:cstheme="minorHAnsi"/>
                <w:sz w:val="20"/>
                <w:szCs w:val="20"/>
              </w:rPr>
              <w:t>Bamse</w:t>
            </w:r>
            <w:proofErr w:type="spellEnd"/>
            <w:r w:rsidRPr="0067542D">
              <w:rPr>
                <w:rFonts w:cstheme="minorHAnsi"/>
                <w:sz w:val="20"/>
                <w:szCs w:val="20"/>
              </w:rPr>
              <w:t>)</w:t>
            </w:r>
          </w:p>
        </w:tc>
        <w:tc>
          <w:tcPr>
            <w:tcW w:w="1139" w:type="dxa"/>
            <w:tcBorders>
              <w:left w:val="nil"/>
              <w:right w:val="nil"/>
            </w:tcBorders>
            <w:vAlign w:val="center"/>
          </w:tcPr>
          <w:p w14:paraId="60DB65D2" w14:textId="204FF363" w:rsidR="00792D53" w:rsidRPr="0067542D" w:rsidRDefault="00792D53" w:rsidP="00792D53">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5BDE0E11" w14:textId="48594659"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3E3BC2D2" w14:textId="76BB6EAF" w:rsidR="00792D53" w:rsidRPr="0067542D" w:rsidRDefault="00792D53" w:rsidP="00792D53">
            <w:pPr>
              <w:jc w:val="center"/>
              <w:rPr>
                <w:rFonts w:cstheme="minorHAnsi"/>
                <w:sz w:val="20"/>
                <w:szCs w:val="20"/>
              </w:rPr>
            </w:pPr>
            <w:r>
              <w:rPr>
                <w:rFonts w:cstheme="minorHAnsi"/>
                <w:sz w:val="20"/>
                <w:szCs w:val="20"/>
              </w:rPr>
              <w:t>Birth (0 years); 15 to 18 years</w:t>
            </w:r>
          </w:p>
        </w:tc>
        <w:tc>
          <w:tcPr>
            <w:tcW w:w="2552" w:type="dxa"/>
            <w:tcBorders>
              <w:left w:val="nil"/>
              <w:right w:val="nil"/>
            </w:tcBorders>
            <w:vAlign w:val="center"/>
          </w:tcPr>
          <w:p w14:paraId="2F25CF33" w14:textId="1B17C3C4" w:rsidR="00792D53" w:rsidRPr="0067542D" w:rsidRDefault="00792D53" w:rsidP="00792D53">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5C47570A" w14:textId="46529A09" w:rsidR="00792D53" w:rsidRPr="0067542D" w:rsidRDefault="005511F4"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15ADD0ED" w14:textId="5364C787" w:rsidR="00792D53" w:rsidRPr="0067542D" w:rsidRDefault="00792D53" w:rsidP="00792D53">
            <w:pPr>
              <w:jc w:val="center"/>
              <w:rPr>
                <w:rFonts w:cstheme="minorHAnsi"/>
                <w:sz w:val="20"/>
                <w:szCs w:val="20"/>
              </w:rPr>
            </w:pPr>
            <w:r w:rsidRPr="0067542D">
              <w:rPr>
                <w:rFonts w:cstheme="minorHAnsi"/>
                <w:sz w:val="20"/>
                <w:szCs w:val="20"/>
              </w:rPr>
              <w:t>N/A</w:t>
            </w:r>
          </w:p>
        </w:tc>
      </w:tr>
      <w:tr w:rsidR="00792D53" w:rsidRPr="0067542D" w14:paraId="67D3DEEC" w14:textId="17357AF8" w:rsidTr="00A50197">
        <w:trPr>
          <w:gridAfter w:val="1"/>
          <w:wAfter w:w="30" w:type="dxa"/>
          <w:jc w:val="center"/>
        </w:trPr>
        <w:tc>
          <w:tcPr>
            <w:tcW w:w="1218" w:type="dxa"/>
            <w:tcBorders>
              <w:left w:val="nil"/>
              <w:right w:val="nil"/>
            </w:tcBorders>
            <w:vAlign w:val="center"/>
          </w:tcPr>
          <w:p w14:paraId="68461071" w14:textId="20C90151" w:rsidR="00792D53" w:rsidRPr="0067542D" w:rsidRDefault="00792D53" w:rsidP="00792D53">
            <w:pPr>
              <w:jc w:val="center"/>
              <w:rPr>
                <w:rFonts w:cstheme="minorHAnsi"/>
                <w:sz w:val="20"/>
                <w:szCs w:val="20"/>
              </w:rPr>
            </w:pPr>
            <w:r w:rsidRPr="0067542D">
              <w:rPr>
                <w:rFonts w:cstheme="minorHAnsi"/>
                <w:sz w:val="20"/>
                <w:szCs w:val="20"/>
              </w:rPr>
              <w:t>Smith</w:t>
            </w:r>
            <w:r>
              <w:rPr>
                <w:rFonts w:cstheme="minorHAnsi"/>
                <w:sz w:val="20"/>
                <w:szCs w:val="20"/>
              </w:rPr>
              <w:t xml:space="preserve"> et al., 2017</w:t>
            </w:r>
            <w:r w:rsidRPr="00EE74F9">
              <w:rPr>
                <w:rFonts w:cstheme="minorHAnsi"/>
                <w:sz w:val="20"/>
                <w:szCs w:val="20"/>
                <w:vertAlign w:val="superscript"/>
              </w:rPr>
              <w:t>6</w:t>
            </w:r>
            <w:r w:rsidR="009F36BF">
              <w:rPr>
                <w:rFonts w:cstheme="minorHAnsi"/>
                <w:sz w:val="20"/>
                <w:szCs w:val="20"/>
                <w:vertAlign w:val="superscript"/>
              </w:rPr>
              <w:t>7</w:t>
            </w:r>
          </w:p>
        </w:tc>
        <w:tc>
          <w:tcPr>
            <w:tcW w:w="1134" w:type="dxa"/>
            <w:tcBorders>
              <w:left w:val="nil"/>
              <w:right w:val="nil"/>
            </w:tcBorders>
            <w:vAlign w:val="center"/>
          </w:tcPr>
          <w:p w14:paraId="67979A2D" w14:textId="634204FF" w:rsidR="00792D53" w:rsidRPr="0067542D" w:rsidRDefault="005511F4" w:rsidP="00792D53">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6B07430A" w14:textId="3D8D0F7A" w:rsidR="00792D53" w:rsidRPr="0067542D" w:rsidRDefault="00792D53" w:rsidP="00792D53">
            <w:pPr>
              <w:jc w:val="center"/>
              <w:rPr>
                <w:rFonts w:cstheme="minorHAnsi"/>
                <w:sz w:val="20"/>
                <w:szCs w:val="20"/>
              </w:rPr>
            </w:pPr>
            <w:r w:rsidRPr="0067542D">
              <w:rPr>
                <w:rFonts w:cstheme="minorHAnsi"/>
                <w:sz w:val="20"/>
                <w:szCs w:val="20"/>
              </w:rPr>
              <w:t xml:space="preserve">Tanzania (2), Nepal (2), Mexico (1), Zimbabwe (1), </w:t>
            </w:r>
            <w:proofErr w:type="spellStart"/>
            <w:r w:rsidRPr="0067542D">
              <w:rPr>
                <w:rFonts w:cstheme="minorHAnsi"/>
                <w:sz w:val="20"/>
                <w:szCs w:val="20"/>
              </w:rPr>
              <w:t>Ginuea</w:t>
            </w:r>
            <w:proofErr w:type="spellEnd"/>
            <w:r w:rsidRPr="0067542D">
              <w:rPr>
                <w:rFonts w:cstheme="minorHAnsi"/>
                <w:sz w:val="20"/>
                <w:szCs w:val="20"/>
              </w:rPr>
              <w:t>-Bissau (1), India (1), Niger (1). Indonesia (1), China (1), Burkina Faso (1), Pakistan (1), Bangladesh (2), Malawi (1), Ghana (1)</w:t>
            </w:r>
          </w:p>
        </w:tc>
        <w:tc>
          <w:tcPr>
            <w:tcW w:w="1139" w:type="dxa"/>
            <w:tcBorders>
              <w:left w:val="nil"/>
              <w:right w:val="nil"/>
            </w:tcBorders>
            <w:vAlign w:val="center"/>
          </w:tcPr>
          <w:p w14:paraId="10A3C322" w14:textId="3638DF21" w:rsidR="00792D53" w:rsidRPr="0067542D" w:rsidRDefault="00792D53" w:rsidP="00792D53">
            <w:pPr>
              <w:jc w:val="center"/>
              <w:rPr>
                <w:rFonts w:cstheme="minorHAnsi"/>
                <w:sz w:val="20"/>
                <w:szCs w:val="20"/>
              </w:rPr>
            </w:pPr>
            <w:r w:rsidRPr="0067542D">
              <w:rPr>
                <w:rFonts w:cstheme="minorHAnsi"/>
                <w:sz w:val="20"/>
                <w:szCs w:val="20"/>
              </w:rPr>
              <w:t>8</w:t>
            </w:r>
          </w:p>
        </w:tc>
        <w:tc>
          <w:tcPr>
            <w:tcW w:w="3314" w:type="dxa"/>
            <w:tcBorders>
              <w:left w:val="nil"/>
              <w:right w:val="nil"/>
            </w:tcBorders>
            <w:vAlign w:val="center"/>
          </w:tcPr>
          <w:p w14:paraId="7581A36C" w14:textId="23ECA464" w:rsidR="00792D53" w:rsidRPr="0067542D" w:rsidRDefault="00792D53" w:rsidP="00792D53">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6033389A" w14:textId="63BA6E3F" w:rsidR="00792D53" w:rsidRPr="0067542D" w:rsidRDefault="00792D53" w:rsidP="00792D53">
            <w:pPr>
              <w:jc w:val="center"/>
              <w:rPr>
                <w:rFonts w:cstheme="minorHAnsi"/>
                <w:sz w:val="20"/>
                <w:szCs w:val="20"/>
              </w:rPr>
            </w:pPr>
            <w:r>
              <w:rPr>
                <w:rFonts w:cstheme="minorHAnsi"/>
                <w:sz w:val="20"/>
                <w:szCs w:val="20"/>
              </w:rPr>
              <w:t>Birth to 6 months</w:t>
            </w:r>
          </w:p>
        </w:tc>
        <w:tc>
          <w:tcPr>
            <w:tcW w:w="2552" w:type="dxa"/>
            <w:tcBorders>
              <w:left w:val="nil"/>
              <w:right w:val="nil"/>
            </w:tcBorders>
            <w:vAlign w:val="center"/>
          </w:tcPr>
          <w:p w14:paraId="5AEE7E64" w14:textId="0E23CB0D" w:rsidR="00792D53" w:rsidRPr="0067542D" w:rsidRDefault="00792D53" w:rsidP="00792D53">
            <w:pPr>
              <w:jc w:val="center"/>
              <w:rPr>
                <w:rFonts w:cstheme="minorHAnsi"/>
                <w:sz w:val="20"/>
                <w:szCs w:val="20"/>
              </w:rPr>
            </w:pPr>
            <w:r w:rsidRPr="0067542D">
              <w:rPr>
                <w:rFonts w:cstheme="minorHAnsi"/>
                <w:sz w:val="20"/>
                <w:szCs w:val="20"/>
              </w:rPr>
              <w:t>assessed study quality using the Child Health Epidemiology Reference Group standards</w:t>
            </w:r>
          </w:p>
        </w:tc>
        <w:tc>
          <w:tcPr>
            <w:tcW w:w="1417" w:type="dxa"/>
            <w:tcBorders>
              <w:left w:val="nil"/>
              <w:right w:val="nil"/>
            </w:tcBorders>
            <w:vAlign w:val="center"/>
          </w:tcPr>
          <w:p w14:paraId="1AD1E039" w14:textId="53493500" w:rsidR="00792D53" w:rsidRPr="0067542D" w:rsidRDefault="007854B3"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280F4B1B" w14:textId="37E30209" w:rsidR="00792D53" w:rsidRPr="0067542D" w:rsidRDefault="00792D53" w:rsidP="00792D53">
            <w:pPr>
              <w:jc w:val="center"/>
              <w:rPr>
                <w:rFonts w:cstheme="minorHAnsi"/>
                <w:sz w:val="20"/>
                <w:szCs w:val="20"/>
              </w:rPr>
            </w:pPr>
            <w:r w:rsidRPr="0067542D">
              <w:rPr>
                <w:rFonts w:cstheme="minorHAnsi"/>
                <w:sz w:val="20"/>
                <w:szCs w:val="20"/>
              </w:rPr>
              <w:t>moderate</w:t>
            </w:r>
          </w:p>
        </w:tc>
      </w:tr>
      <w:tr w:rsidR="00C91E3A" w:rsidRPr="0067542D" w14:paraId="62F18729" w14:textId="1DC93DF4" w:rsidTr="00A50197">
        <w:trPr>
          <w:gridAfter w:val="1"/>
          <w:wAfter w:w="30" w:type="dxa"/>
          <w:jc w:val="center"/>
        </w:trPr>
        <w:tc>
          <w:tcPr>
            <w:tcW w:w="1218" w:type="dxa"/>
            <w:tcBorders>
              <w:left w:val="nil"/>
              <w:right w:val="nil"/>
            </w:tcBorders>
            <w:vAlign w:val="center"/>
          </w:tcPr>
          <w:p w14:paraId="3E813891" w14:textId="2C2921FB" w:rsidR="00C91E3A" w:rsidRPr="0067542D" w:rsidRDefault="00C91E3A" w:rsidP="00C91E3A">
            <w:pPr>
              <w:jc w:val="center"/>
              <w:rPr>
                <w:rFonts w:cstheme="minorHAnsi"/>
                <w:sz w:val="20"/>
                <w:szCs w:val="20"/>
              </w:rPr>
            </w:pPr>
            <w:r w:rsidRPr="0067542D">
              <w:rPr>
                <w:rFonts w:cstheme="minorHAnsi"/>
                <w:sz w:val="20"/>
                <w:szCs w:val="20"/>
              </w:rPr>
              <w:lastRenderedPageBreak/>
              <w:t>Sweeney</w:t>
            </w:r>
            <w:r>
              <w:rPr>
                <w:rFonts w:cstheme="minorHAnsi"/>
                <w:sz w:val="20"/>
                <w:szCs w:val="20"/>
              </w:rPr>
              <w:t xml:space="preserve"> et al., 2016</w:t>
            </w:r>
            <w:r w:rsidRPr="00EE74F9">
              <w:rPr>
                <w:rFonts w:cstheme="minorHAnsi"/>
                <w:sz w:val="20"/>
                <w:szCs w:val="20"/>
                <w:vertAlign w:val="superscript"/>
              </w:rPr>
              <w:t>6</w:t>
            </w:r>
            <w:r w:rsidR="009F36BF">
              <w:rPr>
                <w:rFonts w:cstheme="minorHAnsi"/>
                <w:sz w:val="20"/>
                <w:szCs w:val="20"/>
                <w:vertAlign w:val="superscript"/>
              </w:rPr>
              <w:t>8</w:t>
            </w:r>
          </w:p>
        </w:tc>
        <w:tc>
          <w:tcPr>
            <w:tcW w:w="1134" w:type="dxa"/>
            <w:tcBorders>
              <w:left w:val="nil"/>
              <w:right w:val="nil"/>
            </w:tcBorders>
            <w:vAlign w:val="center"/>
          </w:tcPr>
          <w:p w14:paraId="07FCA5BE" w14:textId="76C68958" w:rsidR="00C91E3A" w:rsidRPr="0067542D" w:rsidRDefault="00C91E3A" w:rsidP="00C91E3A">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5B022F49" w14:textId="3E02AEE7" w:rsidR="00C91E3A" w:rsidRPr="0067542D" w:rsidRDefault="00C91E3A" w:rsidP="00C91E3A">
            <w:pPr>
              <w:jc w:val="center"/>
              <w:rPr>
                <w:rFonts w:cstheme="minorHAnsi"/>
                <w:sz w:val="20"/>
                <w:szCs w:val="20"/>
              </w:rPr>
            </w:pPr>
            <w:r w:rsidRPr="0067542D">
              <w:rPr>
                <w:rFonts w:cstheme="minorHAnsi"/>
                <w:sz w:val="20"/>
                <w:szCs w:val="20"/>
              </w:rPr>
              <w:t>Netherlands (3), UK (11), Australia, USA (7)</w:t>
            </w:r>
          </w:p>
        </w:tc>
        <w:tc>
          <w:tcPr>
            <w:tcW w:w="1139" w:type="dxa"/>
            <w:tcBorders>
              <w:left w:val="nil"/>
              <w:right w:val="nil"/>
            </w:tcBorders>
            <w:vAlign w:val="center"/>
          </w:tcPr>
          <w:p w14:paraId="7DDCF93A" w14:textId="3ED4B760" w:rsidR="00C91E3A" w:rsidRPr="0067542D" w:rsidRDefault="00C91E3A" w:rsidP="00C91E3A">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215233FD" w14:textId="486B64EC" w:rsidR="00C91E3A" w:rsidRPr="0067542D" w:rsidRDefault="00C91E3A" w:rsidP="00C91E3A">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662BB991" w14:textId="56843C39" w:rsidR="00C91E3A" w:rsidRPr="0067542D" w:rsidRDefault="00C91E3A" w:rsidP="00C91E3A">
            <w:pPr>
              <w:jc w:val="center"/>
              <w:rPr>
                <w:rFonts w:cstheme="minorHAnsi"/>
                <w:sz w:val="20"/>
                <w:szCs w:val="20"/>
              </w:rPr>
            </w:pPr>
            <w:r w:rsidRPr="0067542D">
              <w:rPr>
                <w:rFonts w:cstheme="minorHAnsi"/>
                <w:sz w:val="20"/>
                <w:szCs w:val="20"/>
              </w:rPr>
              <w:t>2 months to 21 years</w:t>
            </w:r>
          </w:p>
        </w:tc>
        <w:tc>
          <w:tcPr>
            <w:tcW w:w="2552" w:type="dxa"/>
            <w:tcBorders>
              <w:left w:val="nil"/>
              <w:right w:val="nil"/>
            </w:tcBorders>
            <w:vAlign w:val="center"/>
          </w:tcPr>
          <w:p w14:paraId="0FDEF36F" w14:textId="0E1101F0" w:rsidR="00C91E3A" w:rsidRPr="0067542D" w:rsidRDefault="00C91E3A" w:rsidP="00C91E3A">
            <w:pPr>
              <w:jc w:val="center"/>
              <w:rPr>
                <w:rFonts w:cstheme="minorHAnsi"/>
                <w:sz w:val="20"/>
                <w:szCs w:val="20"/>
              </w:rPr>
            </w:pPr>
            <w:r w:rsidRPr="0067542D">
              <w:rPr>
                <w:rFonts w:cstheme="minorHAnsi"/>
                <w:sz w:val="20"/>
                <w:szCs w:val="20"/>
              </w:rPr>
              <w:t>Quality assessment was conducted with an adapted version of the Agency for Healthcare Research and Quality (AHRQ) methodology checklist</w:t>
            </w:r>
          </w:p>
        </w:tc>
        <w:tc>
          <w:tcPr>
            <w:tcW w:w="1417" w:type="dxa"/>
            <w:tcBorders>
              <w:left w:val="nil"/>
              <w:right w:val="nil"/>
            </w:tcBorders>
            <w:vAlign w:val="center"/>
          </w:tcPr>
          <w:p w14:paraId="3D4A3EAA" w14:textId="2273CEF8" w:rsidR="00C91E3A" w:rsidRPr="0067542D" w:rsidRDefault="00C91E3A"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367AD3DB" w14:textId="0093B318" w:rsidR="00C91E3A" w:rsidRPr="0067542D" w:rsidRDefault="00C91E3A" w:rsidP="00C91E3A">
            <w:pPr>
              <w:jc w:val="center"/>
              <w:rPr>
                <w:rFonts w:cstheme="minorHAnsi"/>
                <w:sz w:val="20"/>
                <w:szCs w:val="20"/>
              </w:rPr>
            </w:pPr>
            <w:r w:rsidRPr="0067542D">
              <w:rPr>
                <w:rFonts w:cstheme="minorHAnsi"/>
                <w:sz w:val="20"/>
                <w:szCs w:val="20"/>
              </w:rPr>
              <w:t>moderate</w:t>
            </w:r>
          </w:p>
        </w:tc>
      </w:tr>
      <w:tr w:rsidR="00C91E3A" w:rsidRPr="0067542D" w14:paraId="4D24630A" w14:textId="473DC55C" w:rsidTr="00A50197">
        <w:trPr>
          <w:gridAfter w:val="1"/>
          <w:wAfter w:w="30" w:type="dxa"/>
          <w:jc w:val="center"/>
        </w:trPr>
        <w:tc>
          <w:tcPr>
            <w:tcW w:w="1218" w:type="dxa"/>
            <w:tcBorders>
              <w:left w:val="nil"/>
              <w:right w:val="nil"/>
            </w:tcBorders>
            <w:vAlign w:val="center"/>
          </w:tcPr>
          <w:p w14:paraId="342196A7" w14:textId="0C692C20" w:rsidR="00C91E3A" w:rsidRPr="0067542D" w:rsidRDefault="00C91E3A" w:rsidP="00C91E3A">
            <w:pPr>
              <w:jc w:val="center"/>
              <w:rPr>
                <w:rFonts w:cstheme="minorHAnsi"/>
                <w:sz w:val="20"/>
                <w:szCs w:val="20"/>
              </w:rPr>
            </w:pPr>
            <w:r w:rsidRPr="0067542D">
              <w:rPr>
                <w:rFonts w:cstheme="minorHAnsi"/>
                <w:sz w:val="20"/>
                <w:szCs w:val="20"/>
              </w:rPr>
              <w:t>Taylor</w:t>
            </w:r>
            <w:r>
              <w:rPr>
                <w:rFonts w:cstheme="minorHAnsi"/>
                <w:sz w:val="20"/>
                <w:szCs w:val="20"/>
              </w:rPr>
              <w:t xml:space="preserve"> et al., 2017</w:t>
            </w:r>
            <w:r w:rsidRPr="00EE74F9">
              <w:rPr>
                <w:rFonts w:cstheme="minorHAnsi"/>
                <w:sz w:val="20"/>
                <w:szCs w:val="20"/>
                <w:vertAlign w:val="superscript"/>
              </w:rPr>
              <w:t>6</w:t>
            </w:r>
            <w:r w:rsidR="009F36BF">
              <w:rPr>
                <w:rFonts w:cstheme="minorHAnsi"/>
                <w:sz w:val="20"/>
                <w:szCs w:val="20"/>
                <w:vertAlign w:val="superscript"/>
              </w:rPr>
              <w:t>9</w:t>
            </w:r>
          </w:p>
        </w:tc>
        <w:tc>
          <w:tcPr>
            <w:tcW w:w="1134" w:type="dxa"/>
            <w:tcBorders>
              <w:left w:val="nil"/>
              <w:right w:val="nil"/>
            </w:tcBorders>
            <w:vAlign w:val="center"/>
          </w:tcPr>
          <w:p w14:paraId="7DD0F1E4" w14:textId="398FE596" w:rsidR="00C91E3A" w:rsidRPr="0067542D" w:rsidRDefault="00C91E3A" w:rsidP="00C91E3A">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39202B57" w14:textId="026F2AFE" w:rsidR="00C91E3A" w:rsidRPr="0067542D" w:rsidRDefault="00C91E3A" w:rsidP="00C91E3A">
            <w:pPr>
              <w:jc w:val="center"/>
              <w:rPr>
                <w:rFonts w:cstheme="minorHAnsi"/>
                <w:sz w:val="20"/>
                <w:szCs w:val="20"/>
              </w:rPr>
            </w:pPr>
            <w:r w:rsidRPr="0067542D">
              <w:rPr>
                <w:rFonts w:cstheme="minorHAnsi"/>
                <w:sz w:val="20"/>
                <w:szCs w:val="20"/>
              </w:rPr>
              <w:t xml:space="preserve">Germany(2), Spain (3), Hungary (1), Nepal (1), </w:t>
            </w:r>
            <w:proofErr w:type="spellStart"/>
            <w:r w:rsidRPr="0067542D">
              <w:rPr>
                <w:rFonts w:cstheme="minorHAnsi"/>
                <w:sz w:val="20"/>
                <w:szCs w:val="20"/>
              </w:rPr>
              <w:t>Bangadesh</w:t>
            </w:r>
            <w:proofErr w:type="spellEnd"/>
            <w:r w:rsidRPr="0067542D">
              <w:rPr>
                <w:rFonts w:cstheme="minorHAnsi"/>
                <w:sz w:val="20"/>
                <w:szCs w:val="20"/>
              </w:rPr>
              <w:t xml:space="preserve"> (4), Taiwan (1), Indonesia (2), Colombia (2), Tanzania (1), India (1), US (3), Peru (1), Australia (5), China (2), Vietnam (1), Norway (3), Canada (1), Mexico (1), Netherlands (1)</w:t>
            </w:r>
          </w:p>
        </w:tc>
        <w:tc>
          <w:tcPr>
            <w:tcW w:w="1139" w:type="dxa"/>
            <w:tcBorders>
              <w:left w:val="nil"/>
              <w:right w:val="nil"/>
            </w:tcBorders>
            <w:vAlign w:val="center"/>
          </w:tcPr>
          <w:p w14:paraId="222B8D9C" w14:textId="018BB52C" w:rsidR="00C91E3A" w:rsidRPr="0067542D" w:rsidRDefault="00C91E3A" w:rsidP="00C91E3A">
            <w:pPr>
              <w:jc w:val="center"/>
              <w:rPr>
                <w:rFonts w:cstheme="minorHAnsi"/>
                <w:sz w:val="20"/>
                <w:szCs w:val="20"/>
              </w:rPr>
            </w:pPr>
            <w:r w:rsidRPr="0067542D">
              <w:rPr>
                <w:rFonts w:cstheme="minorHAnsi"/>
                <w:sz w:val="20"/>
                <w:szCs w:val="20"/>
              </w:rPr>
              <w:t>9</w:t>
            </w:r>
            <w:r w:rsidRPr="0067542D">
              <w:rPr>
                <w:rFonts w:cstheme="minorHAnsi"/>
                <w:sz w:val="20"/>
                <w:szCs w:val="20"/>
              </w:rPr>
              <w:br/>
              <w:t>(1 significant)</w:t>
            </w:r>
          </w:p>
        </w:tc>
        <w:tc>
          <w:tcPr>
            <w:tcW w:w="3314" w:type="dxa"/>
            <w:tcBorders>
              <w:left w:val="nil"/>
              <w:right w:val="nil"/>
            </w:tcBorders>
            <w:vAlign w:val="center"/>
          </w:tcPr>
          <w:p w14:paraId="7BE46DD0" w14:textId="198A55E6" w:rsidR="00C91E3A" w:rsidRPr="0067542D" w:rsidRDefault="00C91E3A" w:rsidP="00C91E3A">
            <w:pPr>
              <w:jc w:val="center"/>
              <w:rPr>
                <w:rFonts w:cstheme="minorHAnsi"/>
                <w:sz w:val="20"/>
                <w:szCs w:val="20"/>
              </w:rPr>
            </w:pPr>
            <w:r w:rsidRPr="0067542D">
              <w:rPr>
                <w:rFonts w:cstheme="minorHAnsi"/>
                <w:sz w:val="20"/>
                <w:szCs w:val="20"/>
              </w:rPr>
              <w:t>Standard mean difference for crystallized intelligence associated with long chain polyunsaturated fatty acid supplementation: 0.25; 95% CI: -0.04; 0.53</w:t>
            </w:r>
          </w:p>
        </w:tc>
        <w:tc>
          <w:tcPr>
            <w:tcW w:w="992" w:type="dxa"/>
            <w:tcBorders>
              <w:left w:val="nil"/>
              <w:right w:val="nil"/>
            </w:tcBorders>
            <w:vAlign w:val="center"/>
          </w:tcPr>
          <w:p w14:paraId="46508630" w14:textId="1ADE5F75" w:rsidR="00C91E3A" w:rsidRPr="0067542D" w:rsidRDefault="00C91E3A" w:rsidP="00C91E3A">
            <w:pPr>
              <w:jc w:val="center"/>
              <w:rPr>
                <w:rFonts w:cstheme="minorHAnsi"/>
                <w:sz w:val="20"/>
                <w:szCs w:val="20"/>
              </w:rPr>
            </w:pPr>
            <w:r>
              <w:rPr>
                <w:rFonts w:cstheme="minorHAnsi"/>
                <w:sz w:val="20"/>
                <w:szCs w:val="20"/>
              </w:rPr>
              <w:t>15 days to 9 years</w:t>
            </w:r>
          </w:p>
        </w:tc>
        <w:tc>
          <w:tcPr>
            <w:tcW w:w="2552" w:type="dxa"/>
            <w:tcBorders>
              <w:left w:val="nil"/>
              <w:right w:val="nil"/>
            </w:tcBorders>
            <w:vAlign w:val="center"/>
          </w:tcPr>
          <w:p w14:paraId="2E57D9F4" w14:textId="518F5A27" w:rsidR="00C91E3A" w:rsidRPr="0067542D" w:rsidRDefault="00C91E3A" w:rsidP="00C91E3A">
            <w:pPr>
              <w:jc w:val="center"/>
              <w:rPr>
                <w:rFonts w:cstheme="minorHAnsi"/>
                <w:sz w:val="20"/>
                <w:szCs w:val="20"/>
              </w:rPr>
            </w:pPr>
            <w:r w:rsidRPr="0067542D">
              <w:rPr>
                <w:rFonts w:cstheme="minorHAnsi"/>
                <w:sz w:val="20"/>
                <w:szCs w:val="20"/>
              </w:rPr>
              <w:t>assessed study eligibility and quality using the American Dietetic Association quality criteria checklist for primary research</w:t>
            </w:r>
          </w:p>
        </w:tc>
        <w:tc>
          <w:tcPr>
            <w:tcW w:w="1417" w:type="dxa"/>
            <w:tcBorders>
              <w:left w:val="nil"/>
              <w:right w:val="nil"/>
            </w:tcBorders>
            <w:vAlign w:val="center"/>
          </w:tcPr>
          <w:p w14:paraId="598C7E8D" w14:textId="1F9933F3" w:rsidR="00C91E3A" w:rsidRPr="0067542D" w:rsidRDefault="00C91E3A"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1A38C57E" w14:textId="6452DA45" w:rsidR="00C91E3A" w:rsidRPr="0067542D" w:rsidRDefault="00C91E3A" w:rsidP="00C91E3A">
            <w:pPr>
              <w:jc w:val="center"/>
              <w:rPr>
                <w:rFonts w:cstheme="minorHAnsi"/>
                <w:sz w:val="20"/>
                <w:szCs w:val="20"/>
              </w:rPr>
            </w:pPr>
            <w:r w:rsidRPr="0067542D">
              <w:rPr>
                <w:rFonts w:cstheme="minorHAnsi"/>
                <w:sz w:val="20"/>
                <w:szCs w:val="20"/>
              </w:rPr>
              <w:t>high</w:t>
            </w:r>
          </w:p>
        </w:tc>
      </w:tr>
      <w:tr w:rsidR="00C91E3A" w:rsidRPr="0067542D" w14:paraId="54063D93" w14:textId="6C6285F5" w:rsidTr="00A50197">
        <w:trPr>
          <w:jc w:val="center"/>
        </w:trPr>
        <w:tc>
          <w:tcPr>
            <w:tcW w:w="1218" w:type="dxa"/>
            <w:tcBorders>
              <w:left w:val="nil"/>
              <w:right w:val="nil"/>
            </w:tcBorders>
            <w:vAlign w:val="center"/>
          </w:tcPr>
          <w:p w14:paraId="3BD1656E" w14:textId="5C351F32" w:rsidR="00C91E3A" w:rsidRPr="0067542D" w:rsidRDefault="00C91E3A" w:rsidP="00C91E3A">
            <w:pPr>
              <w:jc w:val="center"/>
              <w:rPr>
                <w:rFonts w:cstheme="minorHAnsi"/>
                <w:sz w:val="20"/>
                <w:szCs w:val="20"/>
              </w:rPr>
            </w:pPr>
            <w:proofErr w:type="spellStart"/>
            <w:r w:rsidRPr="0067542D">
              <w:rPr>
                <w:rFonts w:cstheme="minorHAnsi"/>
                <w:sz w:val="20"/>
                <w:szCs w:val="20"/>
              </w:rPr>
              <w:t>Thomopoulos</w:t>
            </w:r>
            <w:proofErr w:type="spellEnd"/>
            <w:r>
              <w:rPr>
                <w:rFonts w:cstheme="minorHAnsi"/>
                <w:sz w:val="20"/>
                <w:szCs w:val="20"/>
              </w:rPr>
              <w:t xml:space="preserve"> et al., 2015</w:t>
            </w:r>
            <w:r w:rsidR="009F36BF">
              <w:rPr>
                <w:rFonts w:cstheme="minorHAnsi"/>
                <w:sz w:val="20"/>
                <w:szCs w:val="20"/>
                <w:vertAlign w:val="superscript"/>
              </w:rPr>
              <w:t>70</w:t>
            </w:r>
          </w:p>
        </w:tc>
        <w:tc>
          <w:tcPr>
            <w:tcW w:w="1134" w:type="dxa"/>
            <w:tcBorders>
              <w:left w:val="nil"/>
              <w:right w:val="nil"/>
            </w:tcBorders>
            <w:vAlign w:val="center"/>
          </w:tcPr>
          <w:p w14:paraId="538D4A9A" w14:textId="606785A1" w:rsidR="00C91E3A" w:rsidRPr="0067542D" w:rsidRDefault="00130348" w:rsidP="00C91E3A">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37E81994" w14:textId="53DCAAB2" w:rsidR="00C91E3A" w:rsidRPr="0067542D" w:rsidRDefault="00C91E3A" w:rsidP="00C91E3A">
            <w:pPr>
              <w:jc w:val="center"/>
              <w:rPr>
                <w:rFonts w:cstheme="minorHAnsi"/>
                <w:sz w:val="20"/>
                <w:szCs w:val="20"/>
              </w:rPr>
            </w:pPr>
            <w:r w:rsidRPr="0067542D">
              <w:rPr>
                <w:rFonts w:cstheme="minorHAnsi"/>
                <w:sz w:val="20"/>
                <w:szCs w:val="20"/>
              </w:rPr>
              <w:t>USA (3), France (5), Australia (1), Greece (3)</w:t>
            </w:r>
          </w:p>
        </w:tc>
        <w:tc>
          <w:tcPr>
            <w:tcW w:w="1139" w:type="dxa"/>
            <w:tcBorders>
              <w:left w:val="nil"/>
              <w:right w:val="nil"/>
            </w:tcBorders>
            <w:vAlign w:val="center"/>
          </w:tcPr>
          <w:p w14:paraId="5E2A0A9F" w14:textId="67B1FD8C" w:rsidR="00C91E3A" w:rsidRPr="0067542D" w:rsidRDefault="00C91E3A" w:rsidP="00C91E3A">
            <w:pPr>
              <w:jc w:val="center"/>
              <w:rPr>
                <w:rFonts w:cstheme="minorHAnsi"/>
                <w:sz w:val="20"/>
                <w:szCs w:val="20"/>
              </w:rPr>
            </w:pPr>
            <w:r w:rsidRPr="0067542D">
              <w:rPr>
                <w:rFonts w:cstheme="minorHAnsi"/>
                <w:sz w:val="20"/>
                <w:szCs w:val="20"/>
              </w:rPr>
              <w:t>4</w:t>
            </w:r>
          </w:p>
        </w:tc>
        <w:tc>
          <w:tcPr>
            <w:tcW w:w="3314" w:type="dxa"/>
            <w:tcBorders>
              <w:left w:val="nil"/>
              <w:right w:val="nil"/>
            </w:tcBorders>
            <w:vAlign w:val="center"/>
          </w:tcPr>
          <w:p w14:paraId="0DE65706" w14:textId="788D0D26" w:rsidR="00C91E3A" w:rsidRPr="0067542D" w:rsidRDefault="00C91E3A" w:rsidP="00C91E3A">
            <w:pPr>
              <w:jc w:val="center"/>
              <w:rPr>
                <w:rFonts w:cstheme="minorHAnsi"/>
                <w:sz w:val="20"/>
                <w:szCs w:val="20"/>
              </w:rPr>
            </w:pPr>
            <w:r w:rsidRPr="0067542D">
              <w:rPr>
                <w:rFonts w:cstheme="minorHAnsi"/>
                <w:sz w:val="20"/>
                <w:szCs w:val="20"/>
              </w:rPr>
              <w:t>Odds ratio associated with maternal coffee consumption = 1.14; 95% CI: 0.095, 1.37,</w:t>
            </w:r>
            <w:r w:rsidRPr="0067542D">
              <w:rPr>
                <w:rFonts w:cstheme="minorHAnsi"/>
                <w:sz w:val="20"/>
                <w:szCs w:val="20"/>
              </w:rPr>
              <w:br/>
              <w:t>Odds ratio associated with maternal tea consumption = 0.91; 95% CI: 0.82, 1.01,</w:t>
            </w:r>
            <w:r w:rsidRPr="0067542D">
              <w:rPr>
                <w:rFonts w:cstheme="minorHAnsi"/>
                <w:sz w:val="20"/>
                <w:szCs w:val="20"/>
              </w:rPr>
              <w:br/>
              <w:t>Odds ratio associated with maternal cola consumption = 1.25; 95% CI: 1.06, 1.48,</w:t>
            </w:r>
            <w:r w:rsidRPr="0067542D">
              <w:rPr>
                <w:rFonts w:cstheme="minorHAnsi"/>
                <w:sz w:val="20"/>
                <w:szCs w:val="20"/>
              </w:rPr>
              <w:br/>
              <w:t>Odds ratio associated with childhood cola consumption = 1.49; 95% CI: 0.90, 2.47</w:t>
            </w:r>
          </w:p>
        </w:tc>
        <w:tc>
          <w:tcPr>
            <w:tcW w:w="992" w:type="dxa"/>
            <w:tcBorders>
              <w:left w:val="nil"/>
              <w:right w:val="nil"/>
            </w:tcBorders>
            <w:vAlign w:val="center"/>
          </w:tcPr>
          <w:p w14:paraId="538EB1F6" w14:textId="2A072D40" w:rsidR="00C91E3A" w:rsidRPr="0067542D" w:rsidRDefault="00C91E3A" w:rsidP="00C91E3A">
            <w:pPr>
              <w:jc w:val="center"/>
              <w:rPr>
                <w:rFonts w:cstheme="minorHAnsi"/>
                <w:sz w:val="20"/>
                <w:szCs w:val="20"/>
              </w:rPr>
            </w:pPr>
            <w:r w:rsidRPr="0067542D">
              <w:rPr>
                <w:rFonts w:cstheme="minorHAnsi"/>
                <w:sz w:val="20"/>
                <w:szCs w:val="20"/>
              </w:rPr>
              <w:t>0 to 14 years</w:t>
            </w:r>
          </w:p>
        </w:tc>
        <w:tc>
          <w:tcPr>
            <w:tcW w:w="2552" w:type="dxa"/>
            <w:tcBorders>
              <w:left w:val="nil"/>
              <w:right w:val="nil"/>
            </w:tcBorders>
            <w:vAlign w:val="center"/>
          </w:tcPr>
          <w:p w14:paraId="7484BFCE" w14:textId="455D6165" w:rsidR="00C91E3A" w:rsidRPr="0067542D" w:rsidRDefault="00C91E3A" w:rsidP="00223872">
            <w:pPr>
              <w:jc w:val="center"/>
              <w:rPr>
                <w:rFonts w:cstheme="minorHAnsi"/>
                <w:sz w:val="20"/>
                <w:szCs w:val="20"/>
              </w:rPr>
            </w:pPr>
            <w:r w:rsidRPr="0067542D">
              <w:rPr>
                <w:rFonts w:cstheme="minorHAnsi"/>
                <w:sz w:val="20"/>
                <w:szCs w:val="20"/>
              </w:rPr>
              <w:t>The quality of the included studies was evaluated using the nine-item Newcastle-Ottawa Quality scale</w:t>
            </w:r>
            <w:r w:rsidRPr="0067542D">
              <w:rPr>
                <w:rFonts w:cstheme="minorHAnsi"/>
                <w:sz w:val="20"/>
                <w:szCs w:val="20"/>
              </w:rPr>
              <w:br/>
            </w:r>
            <w:r>
              <w:rPr>
                <w:rFonts w:cstheme="minorHAnsi"/>
                <w:sz w:val="20"/>
                <w:szCs w:val="20"/>
              </w:rPr>
              <w:t xml:space="preserve">range: </w:t>
            </w:r>
            <w:r w:rsidRPr="0067542D">
              <w:rPr>
                <w:rFonts w:cstheme="minorHAnsi"/>
                <w:sz w:val="20"/>
                <w:szCs w:val="20"/>
              </w:rPr>
              <w:t>6-8</w:t>
            </w:r>
          </w:p>
        </w:tc>
        <w:tc>
          <w:tcPr>
            <w:tcW w:w="1417" w:type="dxa"/>
            <w:tcBorders>
              <w:left w:val="nil"/>
              <w:right w:val="nil"/>
            </w:tcBorders>
            <w:vAlign w:val="center"/>
          </w:tcPr>
          <w:p w14:paraId="10AA1EB0" w14:textId="58A6CDB8" w:rsidR="00C91E3A" w:rsidRPr="0067542D" w:rsidRDefault="00130348" w:rsidP="00130348">
            <w:pPr>
              <w:jc w:val="center"/>
              <w:rPr>
                <w:rFonts w:cstheme="minorHAnsi"/>
                <w:sz w:val="20"/>
                <w:szCs w:val="20"/>
              </w:rPr>
            </w:pPr>
            <w:r>
              <w:rPr>
                <w:rFonts w:cstheme="minorHAnsi"/>
                <w:sz w:val="20"/>
                <w:szCs w:val="20"/>
              </w:rPr>
              <w:t>PRISMA guidelines followed</w:t>
            </w:r>
          </w:p>
        </w:tc>
        <w:tc>
          <w:tcPr>
            <w:tcW w:w="1276" w:type="dxa"/>
            <w:gridSpan w:val="2"/>
            <w:tcBorders>
              <w:left w:val="nil"/>
              <w:right w:val="nil"/>
            </w:tcBorders>
            <w:vAlign w:val="center"/>
          </w:tcPr>
          <w:p w14:paraId="244E1DAF" w14:textId="7DDFE03A" w:rsidR="00C91E3A" w:rsidRPr="0067542D" w:rsidRDefault="00C91E3A" w:rsidP="00C91E3A">
            <w:pPr>
              <w:jc w:val="center"/>
              <w:rPr>
                <w:rFonts w:cstheme="minorHAnsi"/>
                <w:sz w:val="20"/>
                <w:szCs w:val="20"/>
              </w:rPr>
            </w:pPr>
            <w:r w:rsidRPr="0067542D">
              <w:rPr>
                <w:rFonts w:cstheme="minorHAnsi"/>
                <w:sz w:val="20"/>
                <w:szCs w:val="20"/>
              </w:rPr>
              <w:t>moderate</w:t>
            </w:r>
          </w:p>
        </w:tc>
      </w:tr>
      <w:tr w:rsidR="00C91E3A" w:rsidRPr="0067542D" w14:paraId="4CF489E0" w14:textId="6D722FA7" w:rsidTr="00A50197">
        <w:trPr>
          <w:gridAfter w:val="1"/>
          <w:wAfter w:w="30" w:type="dxa"/>
          <w:jc w:val="center"/>
        </w:trPr>
        <w:tc>
          <w:tcPr>
            <w:tcW w:w="1218" w:type="dxa"/>
            <w:tcBorders>
              <w:left w:val="nil"/>
              <w:right w:val="nil"/>
            </w:tcBorders>
            <w:vAlign w:val="center"/>
          </w:tcPr>
          <w:p w14:paraId="60CCC1CB" w14:textId="41C3C1C3" w:rsidR="00C91E3A" w:rsidRPr="0067542D" w:rsidRDefault="00C91E3A" w:rsidP="00C91E3A">
            <w:pPr>
              <w:jc w:val="center"/>
              <w:rPr>
                <w:rFonts w:cstheme="minorHAnsi"/>
                <w:sz w:val="20"/>
                <w:szCs w:val="20"/>
              </w:rPr>
            </w:pPr>
            <w:r w:rsidRPr="0067542D">
              <w:rPr>
                <w:rFonts w:cstheme="minorHAnsi"/>
                <w:sz w:val="20"/>
                <w:szCs w:val="20"/>
              </w:rPr>
              <w:t>Tsuji</w:t>
            </w:r>
            <w:r>
              <w:rPr>
                <w:rFonts w:cstheme="minorHAnsi"/>
                <w:sz w:val="20"/>
                <w:szCs w:val="20"/>
              </w:rPr>
              <w:t xml:space="preserve"> et al., 2015</w:t>
            </w:r>
            <w:r w:rsidR="009F36BF">
              <w:rPr>
                <w:rFonts w:cstheme="minorHAnsi"/>
                <w:sz w:val="20"/>
                <w:szCs w:val="20"/>
                <w:vertAlign w:val="superscript"/>
              </w:rPr>
              <w:t>71</w:t>
            </w:r>
          </w:p>
        </w:tc>
        <w:tc>
          <w:tcPr>
            <w:tcW w:w="1134" w:type="dxa"/>
            <w:tcBorders>
              <w:left w:val="nil"/>
              <w:right w:val="nil"/>
            </w:tcBorders>
            <w:vAlign w:val="center"/>
          </w:tcPr>
          <w:p w14:paraId="6B3C4C18" w14:textId="7E7E5F08" w:rsidR="00C91E3A" w:rsidRPr="0067542D" w:rsidRDefault="00C91E3A" w:rsidP="00C91E3A">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1430F9F0" w14:textId="6E73CAE9" w:rsidR="00C91E3A" w:rsidRPr="0067542D" w:rsidRDefault="00C91E3A" w:rsidP="00C91E3A">
            <w:pPr>
              <w:jc w:val="center"/>
              <w:rPr>
                <w:rFonts w:cstheme="minorHAnsi"/>
                <w:sz w:val="20"/>
                <w:szCs w:val="20"/>
              </w:rPr>
            </w:pPr>
            <w:r w:rsidRPr="0067542D">
              <w:rPr>
                <w:rFonts w:cstheme="minorHAnsi"/>
                <w:sz w:val="20"/>
                <w:szCs w:val="20"/>
              </w:rPr>
              <w:t>Bangladesh (11), USA (4), Mexico (3), Spain (2), Nepal (3), Taiwan (1)</w:t>
            </w:r>
          </w:p>
        </w:tc>
        <w:tc>
          <w:tcPr>
            <w:tcW w:w="1139" w:type="dxa"/>
            <w:tcBorders>
              <w:left w:val="nil"/>
              <w:right w:val="nil"/>
            </w:tcBorders>
            <w:vAlign w:val="center"/>
          </w:tcPr>
          <w:p w14:paraId="35F12941" w14:textId="3258D647" w:rsidR="00C91E3A" w:rsidRPr="0067542D" w:rsidRDefault="00C91E3A" w:rsidP="00C91E3A">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7FC87DDF" w14:textId="49CAF83F" w:rsidR="00C91E3A" w:rsidRPr="0067542D" w:rsidRDefault="00C91E3A" w:rsidP="00C91E3A">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7BE5C3F2" w14:textId="40FFCB10" w:rsidR="00C91E3A" w:rsidRPr="0067542D" w:rsidRDefault="00C91E3A" w:rsidP="00C91E3A">
            <w:pPr>
              <w:jc w:val="center"/>
              <w:rPr>
                <w:rFonts w:cstheme="minorHAnsi"/>
                <w:sz w:val="20"/>
                <w:szCs w:val="20"/>
              </w:rPr>
            </w:pPr>
            <w:r>
              <w:rPr>
                <w:rFonts w:cstheme="minorHAnsi"/>
                <w:sz w:val="20"/>
                <w:szCs w:val="20"/>
              </w:rPr>
              <w:t>Birth to 16 years</w:t>
            </w:r>
          </w:p>
        </w:tc>
        <w:tc>
          <w:tcPr>
            <w:tcW w:w="2552" w:type="dxa"/>
            <w:tcBorders>
              <w:left w:val="nil"/>
              <w:right w:val="nil"/>
            </w:tcBorders>
            <w:vAlign w:val="center"/>
          </w:tcPr>
          <w:p w14:paraId="792D6435" w14:textId="1D18F6B7" w:rsidR="00C91E3A" w:rsidRPr="0067542D" w:rsidRDefault="00C91E3A" w:rsidP="00C91E3A">
            <w:pPr>
              <w:jc w:val="center"/>
              <w:rPr>
                <w:rFonts w:cstheme="minorHAnsi"/>
                <w:sz w:val="20"/>
                <w:szCs w:val="20"/>
              </w:rPr>
            </w:pPr>
            <w:r w:rsidRPr="0067542D">
              <w:rPr>
                <w:rFonts w:cstheme="minorHAnsi"/>
                <w:sz w:val="20"/>
                <w:szCs w:val="20"/>
              </w:rPr>
              <w:t>studies evaluated, based on professional judgment</w:t>
            </w:r>
            <w:r w:rsidRPr="0067542D">
              <w:rPr>
                <w:rFonts w:cstheme="minorHAnsi"/>
                <w:sz w:val="20"/>
                <w:szCs w:val="20"/>
              </w:rPr>
              <w:br/>
            </w:r>
          </w:p>
        </w:tc>
        <w:tc>
          <w:tcPr>
            <w:tcW w:w="1417" w:type="dxa"/>
            <w:tcBorders>
              <w:left w:val="nil"/>
              <w:right w:val="nil"/>
            </w:tcBorders>
            <w:vAlign w:val="center"/>
          </w:tcPr>
          <w:p w14:paraId="56989501" w14:textId="0D94298C" w:rsidR="00C91E3A" w:rsidRPr="0067542D" w:rsidRDefault="00C91E3A"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389B1D97" w14:textId="6968051A" w:rsidR="00C91E3A" w:rsidRPr="0067542D" w:rsidRDefault="00C91E3A" w:rsidP="00C91E3A">
            <w:pPr>
              <w:jc w:val="center"/>
              <w:rPr>
                <w:rFonts w:cstheme="minorHAnsi"/>
                <w:sz w:val="20"/>
                <w:szCs w:val="20"/>
              </w:rPr>
            </w:pPr>
            <w:r w:rsidRPr="0067542D">
              <w:rPr>
                <w:rFonts w:cstheme="minorHAnsi"/>
                <w:sz w:val="20"/>
                <w:szCs w:val="20"/>
              </w:rPr>
              <w:t>moderate</w:t>
            </w:r>
          </w:p>
        </w:tc>
      </w:tr>
      <w:tr w:rsidR="00C91E3A" w:rsidRPr="0067542D" w14:paraId="34CEA80D" w14:textId="6972EF60" w:rsidTr="00A50197">
        <w:trPr>
          <w:gridAfter w:val="1"/>
          <w:wAfter w:w="30" w:type="dxa"/>
          <w:jc w:val="center"/>
        </w:trPr>
        <w:tc>
          <w:tcPr>
            <w:tcW w:w="1218" w:type="dxa"/>
            <w:tcBorders>
              <w:left w:val="nil"/>
              <w:right w:val="nil"/>
            </w:tcBorders>
            <w:vAlign w:val="center"/>
          </w:tcPr>
          <w:p w14:paraId="1C07B55F" w14:textId="0F695F88" w:rsidR="00C91E3A" w:rsidRPr="0067542D" w:rsidRDefault="00C91E3A" w:rsidP="00C91E3A">
            <w:pPr>
              <w:jc w:val="center"/>
              <w:rPr>
                <w:rFonts w:cstheme="minorHAnsi"/>
                <w:sz w:val="20"/>
                <w:szCs w:val="20"/>
              </w:rPr>
            </w:pPr>
            <w:r w:rsidRPr="0067542D">
              <w:rPr>
                <w:rFonts w:cstheme="minorHAnsi"/>
                <w:sz w:val="20"/>
                <w:szCs w:val="20"/>
              </w:rPr>
              <w:t>Veena</w:t>
            </w:r>
            <w:r>
              <w:rPr>
                <w:rFonts w:cstheme="minorHAnsi"/>
                <w:sz w:val="20"/>
                <w:szCs w:val="20"/>
              </w:rPr>
              <w:t xml:space="preserve"> et al., 2016</w:t>
            </w:r>
            <w:r w:rsidR="009F36BF">
              <w:rPr>
                <w:rFonts w:cstheme="minorHAnsi"/>
                <w:sz w:val="20"/>
                <w:szCs w:val="20"/>
                <w:vertAlign w:val="superscript"/>
              </w:rPr>
              <w:t>72</w:t>
            </w:r>
          </w:p>
        </w:tc>
        <w:tc>
          <w:tcPr>
            <w:tcW w:w="1134" w:type="dxa"/>
            <w:tcBorders>
              <w:left w:val="nil"/>
              <w:right w:val="nil"/>
            </w:tcBorders>
            <w:vAlign w:val="center"/>
          </w:tcPr>
          <w:p w14:paraId="5112D54A" w14:textId="5110A52D" w:rsidR="00C91E3A" w:rsidRPr="0067542D" w:rsidRDefault="00BE0A63" w:rsidP="00C91E3A">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321240D9" w14:textId="034033E0" w:rsidR="00C91E3A" w:rsidRPr="0067542D" w:rsidRDefault="00C91E3A" w:rsidP="00C91E3A">
            <w:pPr>
              <w:jc w:val="center"/>
              <w:rPr>
                <w:rFonts w:cstheme="minorHAnsi"/>
                <w:sz w:val="20"/>
                <w:szCs w:val="20"/>
              </w:rPr>
            </w:pPr>
            <w:r w:rsidRPr="0067542D">
              <w:rPr>
                <w:rFonts w:cstheme="minorHAnsi"/>
                <w:sz w:val="20"/>
                <w:szCs w:val="20"/>
              </w:rPr>
              <w:t xml:space="preserve">USA (12),Finland (2), UK (7), Netherlands (1), Greece (1), Australia (2), Spain (4), Canada (3), USA (1), India (4), Africa (1), Mexico (2), Norway, (1) Germany (1), Hungary (1), </w:t>
            </w:r>
            <w:r w:rsidRPr="0067542D">
              <w:rPr>
                <w:rFonts w:cstheme="minorHAnsi"/>
                <w:sz w:val="20"/>
                <w:szCs w:val="20"/>
              </w:rPr>
              <w:lastRenderedPageBreak/>
              <w:t>Republic of Seychelles (1), Vietnam (1), China (1), Gambia (1)</w:t>
            </w:r>
          </w:p>
        </w:tc>
        <w:tc>
          <w:tcPr>
            <w:tcW w:w="1139" w:type="dxa"/>
            <w:tcBorders>
              <w:left w:val="nil"/>
              <w:right w:val="nil"/>
            </w:tcBorders>
            <w:vAlign w:val="center"/>
          </w:tcPr>
          <w:p w14:paraId="014EA186" w14:textId="15212EBF" w:rsidR="00C91E3A" w:rsidRPr="0067542D" w:rsidRDefault="00C91E3A" w:rsidP="00C91E3A">
            <w:pPr>
              <w:jc w:val="center"/>
              <w:rPr>
                <w:rFonts w:cstheme="minorHAnsi"/>
                <w:sz w:val="20"/>
                <w:szCs w:val="20"/>
              </w:rPr>
            </w:pPr>
            <w:r w:rsidRPr="0067542D">
              <w:rPr>
                <w:rFonts w:cstheme="minorHAnsi"/>
                <w:sz w:val="20"/>
                <w:szCs w:val="20"/>
              </w:rPr>
              <w:lastRenderedPageBreak/>
              <w:t>0</w:t>
            </w:r>
          </w:p>
        </w:tc>
        <w:tc>
          <w:tcPr>
            <w:tcW w:w="3314" w:type="dxa"/>
            <w:tcBorders>
              <w:left w:val="nil"/>
              <w:right w:val="nil"/>
            </w:tcBorders>
            <w:vAlign w:val="center"/>
          </w:tcPr>
          <w:p w14:paraId="4097393E" w14:textId="0AA264FA" w:rsidR="00C91E3A" w:rsidRPr="0067542D" w:rsidRDefault="00C91E3A" w:rsidP="00C91E3A">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1DC4A822" w14:textId="705FC238" w:rsidR="00C91E3A" w:rsidRPr="0067542D" w:rsidRDefault="00C91E3A" w:rsidP="00C91E3A">
            <w:pPr>
              <w:jc w:val="center"/>
              <w:rPr>
                <w:rFonts w:cstheme="minorHAnsi"/>
                <w:sz w:val="20"/>
                <w:szCs w:val="20"/>
              </w:rPr>
            </w:pPr>
            <w:r w:rsidRPr="0067542D">
              <w:rPr>
                <w:rFonts w:cstheme="minorHAnsi"/>
                <w:sz w:val="20"/>
                <w:szCs w:val="20"/>
              </w:rPr>
              <w:t>1 month to 22 years</w:t>
            </w:r>
          </w:p>
        </w:tc>
        <w:tc>
          <w:tcPr>
            <w:tcW w:w="2552" w:type="dxa"/>
            <w:tcBorders>
              <w:left w:val="nil"/>
              <w:right w:val="nil"/>
            </w:tcBorders>
            <w:vAlign w:val="center"/>
          </w:tcPr>
          <w:p w14:paraId="4FC998E7" w14:textId="76C9218C" w:rsidR="00C91E3A" w:rsidRPr="0067542D" w:rsidRDefault="00C91E3A" w:rsidP="00C91E3A">
            <w:pPr>
              <w:jc w:val="center"/>
              <w:rPr>
                <w:rFonts w:cstheme="minorHAnsi"/>
                <w:sz w:val="20"/>
                <w:szCs w:val="20"/>
              </w:rPr>
            </w:pPr>
            <w:r w:rsidRPr="0067542D">
              <w:rPr>
                <w:rFonts w:cstheme="minorHAnsi"/>
                <w:sz w:val="20"/>
                <w:szCs w:val="20"/>
              </w:rPr>
              <w:t>Quality assessment and risk of bias was assessed using a standardized form consisting of 22 criteria</w:t>
            </w:r>
            <w:r w:rsidRPr="0067542D">
              <w:rPr>
                <w:rFonts w:cstheme="minorHAnsi"/>
                <w:sz w:val="20"/>
                <w:szCs w:val="20"/>
              </w:rPr>
              <w:br/>
            </w:r>
          </w:p>
        </w:tc>
        <w:tc>
          <w:tcPr>
            <w:tcW w:w="1417" w:type="dxa"/>
            <w:tcBorders>
              <w:left w:val="nil"/>
              <w:right w:val="nil"/>
            </w:tcBorders>
            <w:vAlign w:val="center"/>
          </w:tcPr>
          <w:p w14:paraId="2CEECA4E" w14:textId="65ED7FE7" w:rsidR="00C91E3A" w:rsidRPr="0067542D" w:rsidRDefault="00E14AFB"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1C72D15B" w14:textId="36992A0B" w:rsidR="00C91E3A" w:rsidRPr="0067542D" w:rsidRDefault="00C91E3A" w:rsidP="00C91E3A">
            <w:pPr>
              <w:jc w:val="center"/>
              <w:rPr>
                <w:rFonts w:cstheme="minorHAnsi"/>
                <w:sz w:val="20"/>
                <w:szCs w:val="20"/>
              </w:rPr>
            </w:pPr>
            <w:r w:rsidRPr="0067542D">
              <w:rPr>
                <w:rFonts w:cstheme="minorHAnsi"/>
                <w:sz w:val="20"/>
                <w:szCs w:val="20"/>
              </w:rPr>
              <w:t>moderate</w:t>
            </w:r>
          </w:p>
        </w:tc>
      </w:tr>
      <w:tr w:rsidR="00C91E3A" w:rsidRPr="0067542D" w14:paraId="1B579475" w14:textId="776EBC96" w:rsidTr="00A50197">
        <w:trPr>
          <w:gridAfter w:val="1"/>
          <w:wAfter w:w="30" w:type="dxa"/>
          <w:jc w:val="center"/>
        </w:trPr>
        <w:tc>
          <w:tcPr>
            <w:tcW w:w="1218" w:type="dxa"/>
            <w:tcBorders>
              <w:left w:val="nil"/>
              <w:right w:val="nil"/>
            </w:tcBorders>
            <w:vAlign w:val="center"/>
          </w:tcPr>
          <w:p w14:paraId="2F74E72A" w14:textId="4EA2DC4E" w:rsidR="00C91E3A" w:rsidRPr="0067542D" w:rsidRDefault="00C91E3A" w:rsidP="00C91E3A">
            <w:pPr>
              <w:jc w:val="center"/>
              <w:rPr>
                <w:rFonts w:cstheme="minorHAnsi"/>
                <w:sz w:val="20"/>
                <w:szCs w:val="20"/>
              </w:rPr>
            </w:pPr>
            <w:r w:rsidRPr="0067542D">
              <w:rPr>
                <w:rFonts w:cstheme="minorHAnsi"/>
                <w:sz w:val="20"/>
                <w:szCs w:val="20"/>
              </w:rPr>
              <w:t>Wang</w:t>
            </w:r>
            <w:r>
              <w:rPr>
                <w:rFonts w:cstheme="minorHAnsi"/>
                <w:sz w:val="20"/>
                <w:szCs w:val="20"/>
              </w:rPr>
              <w:t xml:space="preserve"> et al., 2017</w:t>
            </w:r>
            <w:r w:rsidRPr="00EE74F9">
              <w:rPr>
                <w:rFonts w:cstheme="minorHAnsi"/>
                <w:sz w:val="20"/>
                <w:szCs w:val="20"/>
                <w:vertAlign w:val="superscript"/>
              </w:rPr>
              <w:t>7</w:t>
            </w:r>
            <w:r w:rsidR="009F36BF">
              <w:rPr>
                <w:rFonts w:cstheme="minorHAnsi"/>
                <w:sz w:val="20"/>
                <w:szCs w:val="20"/>
                <w:vertAlign w:val="superscript"/>
              </w:rPr>
              <w:t>3</w:t>
            </w:r>
          </w:p>
        </w:tc>
        <w:tc>
          <w:tcPr>
            <w:tcW w:w="1134" w:type="dxa"/>
            <w:tcBorders>
              <w:left w:val="nil"/>
              <w:right w:val="nil"/>
            </w:tcBorders>
            <w:vAlign w:val="center"/>
          </w:tcPr>
          <w:p w14:paraId="7E64C243" w14:textId="069D7F26" w:rsidR="00C91E3A" w:rsidRPr="0067542D" w:rsidRDefault="000D10DB" w:rsidP="00C91E3A">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2E03585E" w14:textId="5A8D6B93" w:rsidR="00C91E3A" w:rsidRPr="0067542D" w:rsidRDefault="00C91E3A" w:rsidP="00C91E3A">
            <w:pPr>
              <w:jc w:val="center"/>
              <w:rPr>
                <w:rFonts w:cstheme="minorHAnsi"/>
                <w:sz w:val="20"/>
                <w:szCs w:val="20"/>
              </w:rPr>
            </w:pPr>
            <w:r w:rsidRPr="0067542D">
              <w:rPr>
                <w:rFonts w:cstheme="minorHAnsi"/>
                <w:sz w:val="20"/>
                <w:szCs w:val="20"/>
              </w:rPr>
              <w:t>Tunisia (1), Sweden (2), China (1), Australia (3), Canada (2), USA (6), Turkey (1), Spain (1)</w:t>
            </w:r>
          </w:p>
        </w:tc>
        <w:tc>
          <w:tcPr>
            <w:tcW w:w="1139" w:type="dxa"/>
            <w:tcBorders>
              <w:left w:val="nil"/>
              <w:right w:val="nil"/>
            </w:tcBorders>
            <w:vAlign w:val="center"/>
          </w:tcPr>
          <w:p w14:paraId="5161C884" w14:textId="350B1DC5" w:rsidR="00C91E3A" w:rsidRPr="0067542D" w:rsidRDefault="00C91E3A" w:rsidP="00C91E3A">
            <w:pPr>
              <w:jc w:val="center"/>
              <w:rPr>
                <w:rFonts w:cstheme="minorHAnsi"/>
                <w:sz w:val="20"/>
                <w:szCs w:val="20"/>
              </w:rPr>
            </w:pPr>
            <w:r w:rsidRPr="0067542D">
              <w:rPr>
                <w:rFonts w:cstheme="minorHAnsi"/>
                <w:sz w:val="20"/>
                <w:szCs w:val="20"/>
              </w:rPr>
              <w:t>more than 10</w:t>
            </w:r>
          </w:p>
        </w:tc>
        <w:tc>
          <w:tcPr>
            <w:tcW w:w="3314" w:type="dxa"/>
            <w:tcBorders>
              <w:left w:val="nil"/>
              <w:right w:val="nil"/>
            </w:tcBorders>
            <w:vAlign w:val="center"/>
          </w:tcPr>
          <w:p w14:paraId="2F565CE6" w14:textId="1308875E" w:rsidR="00C91E3A" w:rsidRPr="0067542D" w:rsidRDefault="00C91E3A" w:rsidP="00C91E3A">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12A7D662" w14:textId="65D229F3" w:rsidR="00C91E3A" w:rsidRPr="0067542D" w:rsidRDefault="00C91E3A" w:rsidP="00C91E3A">
            <w:pPr>
              <w:jc w:val="center"/>
              <w:rPr>
                <w:rFonts w:cstheme="minorHAnsi"/>
                <w:sz w:val="20"/>
                <w:szCs w:val="20"/>
              </w:rPr>
            </w:pPr>
            <w:r>
              <w:rPr>
                <w:rFonts w:cstheme="minorHAnsi"/>
                <w:sz w:val="20"/>
                <w:szCs w:val="20"/>
              </w:rPr>
              <w:t>0 to 20 years</w:t>
            </w:r>
          </w:p>
        </w:tc>
        <w:tc>
          <w:tcPr>
            <w:tcW w:w="2552" w:type="dxa"/>
            <w:tcBorders>
              <w:left w:val="nil"/>
              <w:right w:val="nil"/>
            </w:tcBorders>
            <w:vAlign w:val="center"/>
          </w:tcPr>
          <w:p w14:paraId="6D32ED60" w14:textId="4F2E7C24" w:rsidR="00C91E3A" w:rsidRPr="0067542D" w:rsidRDefault="00C91E3A" w:rsidP="00C91E3A">
            <w:pPr>
              <w:jc w:val="center"/>
              <w:rPr>
                <w:rFonts w:cstheme="minorHAnsi"/>
                <w:sz w:val="20"/>
                <w:szCs w:val="20"/>
              </w:rPr>
            </w:pPr>
            <w:r w:rsidRPr="0067542D">
              <w:rPr>
                <w:rFonts w:cstheme="minorHAnsi"/>
                <w:sz w:val="20"/>
                <w:szCs w:val="20"/>
              </w:rPr>
              <w:t>modified Newcastle–Ottawa scale to assess the quality of observational studies</w:t>
            </w:r>
            <w:r w:rsidRPr="0067542D">
              <w:rPr>
                <w:rFonts w:cstheme="minorHAnsi"/>
                <w:sz w:val="20"/>
                <w:szCs w:val="20"/>
              </w:rPr>
              <w:br/>
            </w:r>
            <w:r>
              <w:rPr>
                <w:rFonts w:cstheme="minorHAnsi"/>
                <w:sz w:val="20"/>
                <w:szCs w:val="20"/>
              </w:rPr>
              <w:t xml:space="preserve">range: </w:t>
            </w:r>
            <w:r w:rsidRPr="0067542D">
              <w:rPr>
                <w:rFonts w:cstheme="minorHAnsi"/>
                <w:sz w:val="20"/>
                <w:szCs w:val="20"/>
              </w:rPr>
              <w:t>7-9</w:t>
            </w:r>
            <w:r w:rsidRPr="0067542D">
              <w:rPr>
                <w:rFonts w:cstheme="minorHAnsi"/>
                <w:sz w:val="20"/>
                <w:szCs w:val="20"/>
              </w:rPr>
              <w:br/>
            </w:r>
          </w:p>
        </w:tc>
        <w:tc>
          <w:tcPr>
            <w:tcW w:w="1417" w:type="dxa"/>
            <w:tcBorders>
              <w:left w:val="nil"/>
              <w:right w:val="nil"/>
            </w:tcBorders>
            <w:vAlign w:val="center"/>
          </w:tcPr>
          <w:p w14:paraId="5C24798A" w14:textId="60793B00" w:rsidR="00C91E3A" w:rsidRPr="0067542D" w:rsidRDefault="000D10DB"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4BD82845" w14:textId="5FD3D1CC" w:rsidR="00C91E3A" w:rsidRPr="0067542D" w:rsidRDefault="00C91E3A" w:rsidP="00C91E3A">
            <w:pPr>
              <w:jc w:val="center"/>
              <w:rPr>
                <w:rFonts w:cstheme="minorHAnsi"/>
                <w:sz w:val="20"/>
                <w:szCs w:val="20"/>
              </w:rPr>
            </w:pPr>
            <w:r w:rsidRPr="0067542D">
              <w:rPr>
                <w:rFonts w:cstheme="minorHAnsi"/>
                <w:sz w:val="20"/>
                <w:szCs w:val="20"/>
              </w:rPr>
              <w:t>high</w:t>
            </w:r>
          </w:p>
        </w:tc>
      </w:tr>
      <w:tr w:rsidR="00C91E3A" w:rsidRPr="0067542D" w14:paraId="1513A4DD" w14:textId="0560325D" w:rsidTr="00A50197">
        <w:trPr>
          <w:gridAfter w:val="1"/>
          <w:wAfter w:w="30" w:type="dxa"/>
          <w:jc w:val="center"/>
        </w:trPr>
        <w:tc>
          <w:tcPr>
            <w:tcW w:w="1218" w:type="dxa"/>
            <w:tcBorders>
              <w:left w:val="nil"/>
              <w:right w:val="nil"/>
            </w:tcBorders>
            <w:vAlign w:val="center"/>
          </w:tcPr>
          <w:p w14:paraId="009ABFF1" w14:textId="4256E347" w:rsidR="00C91E3A" w:rsidRPr="0067542D" w:rsidRDefault="00C91E3A" w:rsidP="00C91E3A">
            <w:pPr>
              <w:jc w:val="center"/>
              <w:rPr>
                <w:rFonts w:cstheme="minorHAnsi"/>
                <w:sz w:val="20"/>
                <w:szCs w:val="20"/>
              </w:rPr>
            </w:pPr>
            <w:r w:rsidRPr="0067542D">
              <w:rPr>
                <w:rFonts w:cstheme="minorHAnsi"/>
                <w:sz w:val="20"/>
                <w:szCs w:val="20"/>
              </w:rPr>
              <w:t>Wei</w:t>
            </w:r>
            <w:r>
              <w:rPr>
                <w:rFonts w:cstheme="minorHAnsi"/>
                <w:sz w:val="20"/>
                <w:szCs w:val="20"/>
              </w:rPr>
              <w:t xml:space="preserve"> et al., 2016</w:t>
            </w:r>
            <w:r w:rsidRPr="00EE74F9">
              <w:rPr>
                <w:rFonts w:cstheme="minorHAnsi"/>
                <w:sz w:val="20"/>
                <w:szCs w:val="20"/>
                <w:vertAlign w:val="superscript"/>
              </w:rPr>
              <w:t>7</w:t>
            </w:r>
            <w:r w:rsidR="009F36BF">
              <w:rPr>
                <w:rFonts w:cstheme="minorHAnsi"/>
                <w:sz w:val="20"/>
                <w:szCs w:val="20"/>
                <w:vertAlign w:val="superscript"/>
              </w:rPr>
              <w:t>4</w:t>
            </w:r>
          </w:p>
        </w:tc>
        <w:tc>
          <w:tcPr>
            <w:tcW w:w="1134" w:type="dxa"/>
            <w:tcBorders>
              <w:left w:val="nil"/>
              <w:right w:val="nil"/>
            </w:tcBorders>
            <w:vAlign w:val="center"/>
          </w:tcPr>
          <w:p w14:paraId="3A8C6EAD" w14:textId="63239970" w:rsidR="00C91E3A" w:rsidRPr="0067542D" w:rsidRDefault="000D10DB" w:rsidP="00C91E3A">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751BF929" w14:textId="7A7D78B3" w:rsidR="00C91E3A" w:rsidRPr="0067542D" w:rsidRDefault="00C91E3A" w:rsidP="00C91E3A">
            <w:pPr>
              <w:jc w:val="center"/>
              <w:rPr>
                <w:rFonts w:cstheme="minorHAnsi"/>
                <w:sz w:val="20"/>
                <w:szCs w:val="20"/>
              </w:rPr>
            </w:pPr>
            <w:r w:rsidRPr="0067542D">
              <w:rPr>
                <w:rFonts w:cstheme="minorHAnsi"/>
                <w:sz w:val="20"/>
                <w:szCs w:val="20"/>
              </w:rPr>
              <w:t>France (2), New Zealand (2), UK (2), Finland (2), Australia (2), Germany (1)</w:t>
            </w:r>
          </w:p>
        </w:tc>
        <w:tc>
          <w:tcPr>
            <w:tcW w:w="1139" w:type="dxa"/>
            <w:tcBorders>
              <w:left w:val="nil"/>
              <w:right w:val="nil"/>
            </w:tcBorders>
            <w:vAlign w:val="center"/>
          </w:tcPr>
          <w:p w14:paraId="4D32912E" w14:textId="0681D3E1" w:rsidR="00C91E3A" w:rsidRPr="0067542D" w:rsidRDefault="00C91E3A" w:rsidP="00C91E3A">
            <w:pPr>
              <w:jc w:val="center"/>
              <w:rPr>
                <w:rFonts w:cstheme="minorHAnsi"/>
                <w:sz w:val="20"/>
                <w:szCs w:val="20"/>
              </w:rPr>
            </w:pPr>
            <w:r w:rsidRPr="0067542D">
              <w:rPr>
                <w:rFonts w:cstheme="minorHAnsi"/>
                <w:sz w:val="20"/>
                <w:szCs w:val="20"/>
              </w:rPr>
              <w:t>3</w:t>
            </w:r>
          </w:p>
        </w:tc>
        <w:tc>
          <w:tcPr>
            <w:tcW w:w="3314" w:type="dxa"/>
            <w:tcBorders>
              <w:left w:val="nil"/>
              <w:right w:val="nil"/>
            </w:tcBorders>
            <w:vAlign w:val="center"/>
          </w:tcPr>
          <w:p w14:paraId="27F87225" w14:textId="3A5EA685" w:rsidR="00C91E3A" w:rsidRPr="0067542D" w:rsidRDefault="00C91E3A" w:rsidP="00C91E3A">
            <w:pPr>
              <w:jc w:val="center"/>
              <w:rPr>
                <w:rFonts w:cstheme="minorHAnsi"/>
                <w:sz w:val="20"/>
                <w:szCs w:val="20"/>
              </w:rPr>
            </w:pPr>
            <w:r w:rsidRPr="0067542D">
              <w:rPr>
                <w:rFonts w:cstheme="minorHAnsi"/>
                <w:sz w:val="20"/>
                <w:szCs w:val="20"/>
              </w:rPr>
              <w:t>Odds ratio for childhood asthma = 0.98; 95% CI: 0.94,1.02,</w:t>
            </w:r>
            <w:r w:rsidRPr="0067542D">
              <w:rPr>
                <w:rFonts w:cstheme="minorHAnsi"/>
                <w:sz w:val="20"/>
                <w:szCs w:val="20"/>
              </w:rPr>
              <w:br/>
              <w:t>Odds ratio for childhood wheeze = 1.00; 95% CI: 0.98, 1.01,</w:t>
            </w:r>
            <w:r w:rsidRPr="0067542D">
              <w:rPr>
                <w:rFonts w:cstheme="minorHAnsi"/>
                <w:sz w:val="20"/>
                <w:szCs w:val="20"/>
              </w:rPr>
              <w:br/>
              <w:t>Odds ratio for childhood eczema = 0.90; 95% CI: 0.83, 0.98</w:t>
            </w:r>
          </w:p>
        </w:tc>
        <w:tc>
          <w:tcPr>
            <w:tcW w:w="992" w:type="dxa"/>
            <w:tcBorders>
              <w:left w:val="nil"/>
              <w:right w:val="nil"/>
            </w:tcBorders>
            <w:vAlign w:val="center"/>
          </w:tcPr>
          <w:p w14:paraId="06AF7DF7" w14:textId="6913FFBD" w:rsidR="00C91E3A" w:rsidRPr="0067542D" w:rsidRDefault="00C91E3A" w:rsidP="00C91E3A">
            <w:pPr>
              <w:jc w:val="center"/>
              <w:rPr>
                <w:rFonts w:cstheme="minorHAnsi"/>
                <w:sz w:val="20"/>
                <w:szCs w:val="20"/>
              </w:rPr>
            </w:pPr>
            <w:r>
              <w:rPr>
                <w:rFonts w:cstheme="minorHAnsi"/>
                <w:sz w:val="20"/>
                <w:szCs w:val="20"/>
              </w:rPr>
              <w:t>1 to 6 years</w:t>
            </w:r>
          </w:p>
        </w:tc>
        <w:tc>
          <w:tcPr>
            <w:tcW w:w="2552" w:type="dxa"/>
            <w:tcBorders>
              <w:left w:val="nil"/>
              <w:right w:val="nil"/>
            </w:tcBorders>
            <w:vAlign w:val="center"/>
          </w:tcPr>
          <w:p w14:paraId="29966BE2" w14:textId="3CB2410A" w:rsidR="00C91E3A" w:rsidRPr="0067542D" w:rsidRDefault="00C91E3A" w:rsidP="00C91E3A">
            <w:pPr>
              <w:jc w:val="center"/>
              <w:rPr>
                <w:rFonts w:cstheme="minorHAnsi"/>
                <w:sz w:val="20"/>
                <w:szCs w:val="20"/>
              </w:rPr>
            </w:pPr>
            <w:r w:rsidRPr="0067542D">
              <w:rPr>
                <w:rFonts w:cstheme="minorHAnsi"/>
                <w:sz w:val="20"/>
                <w:szCs w:val="20"/>
              </w:rPr>
              <w:t>Newcastle–Ottawa Scale (NOS)</w:t>
            </w:r>
            <w:r w:rsidRPr="0067542D">
              <w:rPr>
                <w:rFonts w:cstheme="minorHAnsi"/>
                <w:sz w:val="20"/>
                <w:szCs w:val="20"/>
              </w:rPr>
              <w:br/>
            </w:r>
          </w:p>
        </w:tc>
        <w:tc>
          <w:tcPr>
            <w:tcW w:w="1417" w:type="dxa"/>
            <w:tcBorders>
              <w:left w:val="nil"/>
              <w:right w:val="nil"/>
            </w:tcBorders>
            <w:vAlign w:val="center"/>
          </w:tcPr>
          <w:p w14:paraId="01FCB91C" w14:textId="5C9A7158" w:rsidR="00C91E3A" w:rsidRPr="0067542D" w:rsidRDefault="00654822"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15800F34" w14:textId="7E579BB0" w:rsidR="00C91E3A" w:rsidRPr="0067542D" w:rsidRDefault="00C91E3A" w:rsidP="00C91E3A">
            <w:pPr>
              <w:jc w:val="center"/>
              <w:rPr>
                <w:rFonts w:cstheme="minorHAnsi"/>
                <w:sz w:val="20"/>
                <w:szCs w:val="20"/>
              </w:rPr>
            </w:pPr>
            <w:r w:rsidRPr="0067542D">
              <w:rPr>
                <w:rFonts w:cstheme="minorHAnsi"/>
                <w:sz w:val="20"/>
                <w:szCs w:val="20"/>
              </w:rPr>
              <w:t>high</w:t>
            </w:r>
          </w:p>
        </w:tc>
      </w:tr>
      <w:tr w:rsidR="00C91E3A" w:rsidRPr="0067542D" w14:paraId="15B9BB74" w14:textId="740E0D82" w:rsidTr="00A50197">
        <w:trPr>
          <w:gridAfter w:val="1"/>
          <w:wAfter w:w="30" w:type="dxa"/>
          <w:jc w:val="center"/>
        </w:trPr>
        <w:tc>
          <w:tcPr>
            <w:tcW w:w="1218" w:type="dxa"/>
            <w:tcBorders>
              <w:left w:val="nil"/>
              <w:right w:val="nil"/>
            </w:tcBorders>
            <w:vAlign w:val="center"/>
          </w:tcPr>
          <w:p w14:paraId="31E847CC" w14:textId="412FBCD7" w:rsidR="00C91E3A" w:rsidRPr="0067542D" w:rsidRDefault="00C91E3A" w:rsidP="00C91E3A">
            <w:pPr>
              <w:jc w:val="center"/>
              <w:rPr>
                <w:rFonts w:cstheme="minorHAnsi"/>
                <w:sz w:val="20"/>
                <w:szCs w:val="20"/>
              </w:rPr>
            </w:pPr>
            <w:r w:rsidRPr="0067542D">
              <w:rPr>
                <w:rFonts w:cstheme="minorHAnsi"/>
                <w:sz w:val="20"/>
                <w:szCs w:val="20"/>
              </w:rPr>
              <w:t>Xuan</w:t>
            </w:r>
            <w:r>
              <w:rPr>
                <w:rFonts w:cstheme="minorHAnsi"/>
                <w:sz w:val="20"/>
                <w:szCs w:val="20"/>
              </w:rPr>
              <w:t xml:space="preserve"> et al., 2016</w:t>
            </w:r>
            <w:r w:rsidRPr="00EE74F9">
              <w:rPr>
                <w:rFonts w:cstheme="minorHAnsi"/>
                <w:sz w:val="20"/>
                <w:szCs w:val="20"/>
                <w:vertAlign w:val="superscript"/>
              </w:rPr>
              <w:t>7</w:t>
            </w:r>
            <w:r w:rsidR="009F36BF">
              <w:rPr>
                <w:rFonts w:cstheme="minorHAnsi"/>
                <w:sz w:val="20"/>
                <w:szCs w:val="20"/>
                <w:vertAlign w:val="superscript"/>
              </w:rPr>
              <w:t>5</w:t>
            </w:r>
          </w:p>
        </w:tc>
        <w:tc>
          <w:tcPr>
            <w:tcW w:w="1134" w:type="dxa"/>
            <w:tcBorders>
              <w:left w:val="nil"/>
              <w:right w:val="nil"/>
            </w:tcBorders>
            <w:vAlign w:val="center"/>
          </w:tcPr>
          <w:p w14:paraId="71EE3409" w14:textId="67C24636" w:rsidR="00C91E3A" w:rsidRPr="0067542D" w:rsidRDefault="00654822" w:rsidP="00C91E3A">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0F144BEE" w14:textId="15E0D8E3" w:rsidR="00C91E3A" w:rsidRPr="0067542D" w:rsidRDefault="00C91E3A" w:rsidP="00C91E3A">
            <w:pPr>
              <w:jc w:val="center"/>
              <w:rPr>
                <w:rFonts w:cstheme="minorHAnsi"/>
                <w:sz w:val="20"/>
                <w:szCs w:val="20"/>
              </w:rPr>
            </w:pPr>
            <w:r w:rsidRPr="0067542D">
              <w:rPr>
                <w:rFonts w:cstheme="minorHAnsi"/>
                <w:sz w:val="20"/>
                <w:szCs w:val="20"/>
              </w:rPr>
              <w:t>Not Available</w:t>
            </w:r>
          </w:p>
        </w:tc>
        <w:tc>
          <w:tcPr>
            <w:tcW w:w="1139" w:type="dxa"/>
            <w:tcBorders>
              <w:left w:val="nil"/>
              <w:right w:val="nil"/>
            </w:tcBorders>
            <w:vAlign w:val="center"/>
          </w:tcPr>
          <w:p w14:paraId="18B199DE" w14:textId="3DAA12E4" w:rsidR="00C91E3A" w:rsidRPr="0067542D" w:rsidRDefault="00C91E3A" w:rsidP="00C91E3A">
            <w:pPr>
              <w:jc w:val="center"/>
              <w:rPr>
                <w:rFonts w:cstheme="minorHAnsi"/>
                <w:sz w:val="20"/>
                <w:szCs w:val="20"/>
              </w:rPr>
            </w:pPr>
            <w:r w:rsidRPr="0067542D">
              <w:rPr>
                <w:rFonts w:cstheme="minorHAnsi"/>
                <w:sz w:val="20"/>
                <w:szCs w:val="20"/>
              </w:rPr>
              <w:t>3</w:t>
            </w:r>
          </w:p>
        </w:tc>
        <w:tc>
          <w:tcPr>
            <w:tcW w:w="3314" w:type="dxa"/>
            <w:tcBorders>
              <w:left w:val="nil"/>
              <w:right w:val="nil"/>
            </w:tcBorders>
            <w:vAlign w:val="center"/>
          </w:tcPr>
          <w:p w14:paraId="70689A29" w14:textId="79166A8B" w:rsidR="00C91E3A" w:rsidRPr="0067542D" w:rsidRDefault="00C91E3A" w:rsidP="00C91E3A">
            <w:pPr>
              <w:jc w:val="center"/>
              <w:rPr>
                <w:rFonts w:cstheme="minorHAnsi"/>
                <w:sz w:val="20"/>
                <w:szCs w:val="20"/>
              </w:rPr>
            </w:pPr>
            <w:r w:rsidRPr="0067542D">
              <w:rPr>
                <w:rFonts w:cstheme="minorHAnsi"/>
                <w:sz w:val="20"/>
                <w:szCs w:val="20"/>
              </w:rPr>
              <w:t>Odds ratio for cleft lip with or without cleft palate: 1.37; 95% CI: 1.26, 1.49,</w:t>
            </w:r>
            <w:r w:rsidRPr="0067542D">
              <w:rPr>
                <w:rFonts w:cstheme="minorHAnsi"/>
                <w:sz w:val="20"/>
                <w:szCs w:val="20"/>
              </w:rPr>
              <w:br/>
              <w:t>Odds ratio for cleft palate: 1.24; 95% CI: 1.12, 1.38,</w:t>
            </w:r>
            <w:r w:rsidRPr="0067542D">
              <w:rPr>
                <w:rFonts w:cstheme="minorHAnsi"/>
                <w:sz w:val="20"/>
                <w:szCs w:val="20"/>
              </w:rPr>
              <w:br/>
              <w:t>Odds ratio for oral clefts: 1.40; 95% CI: 1.26, 1.56,</w:t>
            </w:r>
          </w:p>
        </w:tc>
        <w:tc>
          <w:tcPr>
            <w:tcW w:w="992" w:type="dxa"/>
            <w:tcBorders>
              <w:left w:val="nil"/>
              <w:right w:val="nil"/>
            </w:tcBorders>
            <w:vAlign w:val="center"/>
          </w:tcPr>
          <w:p w14:paraId="26D7F3FA" w14:textId="24AAD39C" w:rsidR="00C91E3A" w:rsidRPr="0067542D" w:rsidRDefault="00C91E3A" w:rsidP="00C91E3A">
            <w:pPr>
              <w:jc w:val="center"/>
              <w:rPr>
                <w:rFonts w:cstheme="minorHAnsi"/>
                <w:sz w:val="20"/>
                <w:szCs w:val="20"/>
              </w:rPr>
            </w:pPr>
            <w:r w:rsidRPr="0067542D">
              <w:rPr>
                <w:rFonts w:cstheme="minorHAnsi"/>
                <w:sz w:val="20"/>
                <w:szCs w:val="20"/>
              </w:rPr>
              <w:t>Birth (0 years)</w:t>
            </w:r>
          </w:p>
        </w:tc>
        <w:tc>
          <w:tcPr>
            <w:tcW w:w="2552" w:type="dxa"/>
            <w:tcBorders>
              <w:left w:val="nil"/>
              <w:right w:val="nil"/>
            </w:tcBorders>
            <w:vAlign w:val="center"/>
          </w:tcPr>
          <w:p w14:paraId="73528E62" w14:textId="45B9A15B" w:rsidR="00C91E3A" w:rsidRPr="0067542D" w:rsidRDefault="00C91E3A" w:rsidP="00C91E3A">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1CF8A79A" w14:textId="18BBA92A" w:rsidR="00C91E3A" w:rsidRPr="0067542D" w:rsidRDefault="009D2132" w:rsidP="009D2132">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45B78095" w14:textId="5756188C" w:rsidR="00C91E3A" w:rsidRPr="0067542D" w:rsidRDefault="00C91E3A" w:rsidP="00C91E3A">
            <w:pPr>
              <w:jc w:val="center"/>
              <w:rPr>
                <w:rFonts w:cstheme="minorHAnsi"/>
                <w:sz w:val="20"/>
                <w:szCs w:val="20"/>
              </w:rPr>
            </w:pPr>
            <w:r w:rsidRPr="0067542D">
              <w:rPr>
                <w:rFonts w:cstheme="minorHAnsi"/>
                <w:sz w:val="20"/>
                <w:szCs w:val="20"/>
              </w:rPr>
              <w:t>N/A</w:t>
            </w:r>
          </w:p>
        </w:tc>
      </w:tr>
      <w:tr w:rsidR="00C91E3A" w:rsidRPr="0067542D" w14:paraId="2FD746C0" w14:textId="7868C1BE" w:rsidTr="00A50197">
        <w:trPr>
          <w:gridAfter w:val="1"/>
          <w:wAfter w:w="30" w:type="dxa"/>
          <w:jc w:val="center"/>
        </w:trPr>
        <w:tc>
          <w:tcPr>
            <w:tcW w:w="1218" w:type="dxa"/>
            <w:tcBorders>
              <w:left w:val="nil"/>
              <w:right w:val="nil"/>
            </w:tcBorders>
            <w:vAlign w:val="center"/>
          </w:tcPr>
          <w:p w14:paraId="414A3371" w14:textId="6606DCB3" w:rsidR="00C91E3A" w:rsidRPr="0067542D" w:rsidRDefault="00C91E3A" w:rsidP="00C91E3A">
            <w:pPr>
              <w:jc w:val="center"/>
              <w:rPr>
                <w:rFonts w:cstheme="minorHAnsi"/>
                <w:sz w:val="20"/>
                <w:szCs w:val="20"/>
              </w:rPr>
            </w:pPr>
            <w:r w:rsidRPr="0067542D">
              <w:rPr>
                <w:rFonts w:cstheme="minorHAnsi"/>
                <w:sz w:val="20"/>
                <w:szCs w:val="20"/>
              </w:rPr>
              <w:t>Zhang</w:t>
            </w:r>
            <w:r>
              <w:rPr>
                <w:rFonts w:cstheme="minorHAnsi"/>
                <w:sz w:val="20"/>
                <w:szCs w:val="20"/>
              </w:rPr>
              <w:t xml:space="preserve"> et al., 2018</w:t>
            </w:r>
            <w:r w:rsidRPr="00EE74F9">
              <w:rPr>
                <w:rFonts w:cstheme="minorHAnsi"/>
                <w:sz w:val="20"/>
                <w:szCs w:val="20"/>
                <w:vertAlign w:val="superscript"/>
              </w:rPr>
              <w:t>7</w:t>
            </w:r>
            <w:r w:rsidR="009F36BF">
              <w:rPr>
                <w:rFonts w:cstheme="minorHAnsi"/>
                <w:sz w:val="20"/>
                <w:szCs w:val="20"/>
                <w:vertAlign w:val="superscript"/>
              </w:rPr>
              <w:t>6</w:t>
            </w:r>
          </w:p>
        </w:tc>
        <w:tc>
          <w:tcPr>
            <w:tcW w:w="1134" w:type="dxa"/>
            <w:tcBorders>
              <w:left w:val="nil"/>
              <w:right w:val="nil"/>
            </w:tcBorders>
            <w:vAlign w:val="center"/>
          </w:tcPr>
          <w:p w14:paraId="2D2F9A1E" w14:textId="230C6E5E" w:rsidR="00C91E3A" w:rsidRPr="0067542D" w:rsidRDefault="00985B88" w:rsidP="00C91E3A">
            <w:pPr>
              <w:jc w:val="center"/>
              <w:rPr>
                <w:rFonts w:cstheme="minorHAnsi"/>
                <w:sz w:val="20"/>
                <w:szCs w:val="20"/>
              </w:rPr>
            </w:pPr>
            <w:r>
              <w:rPr>
                <w:rFonts w:cstheme="minorHAnsi"/>
                <w:sz w:val="20"/>
                <w:szCs w:val="20"/>
              </w:rPr>
              <w:t>MA</w:t>
            </w:r>
          </w:p>
        </w:tc>
        <w:tc>
          <w:tcPr>
            <w:tcW w:w="2151" w:type="dxa"/>
            <w:tcBorders>
              <w:left w:val="nil"/>
              <w:right w:val="nil"/>
            </w:tcBorders>
            <w:vAlign w:val="center"/>
          </w:tcPr>
          <w:p w14:paraId="764C6A02" w14:textId="5A4F3EF8" w:rsidR="00C91E3A" w:rsidRPr="0067542D" w:rsidRDefault="00C91E3A" w:rsidP="00C91E3A">
            <w:pPr>
              <w:jc w:val="center"/>
              <w:rPr>
                <w:rFonts w:cstheme="minorHAnsi"/>
                <w:sz w:val="20"/>
                <w:szCs w:val="20"/>
              </w:rPr>
            </w:pPr>
            <w:r w:rsidRPr="0067542D">
              <w:rPr>
                <w:rFonts w:cstheme="minorHAnsi"/>
                <w:sz w:val="20"/>
                <w:szCs w:val="20"/>
              </w:rPr>
              <w:t>Australia (5), USA (2), Ireland (1), Mexico (1), Canada (1), China (1)</w:t>
            </w:r>
          </w:p>
        </w:tc>
        <w:tc>
          <w:tcPr>
            <w:tcW w:w="1139" w:type="dxa"/>
            <w:tcBorders>
              <w:left w:val="nil"/>
              <w:right w:val="nil"/>
            </w:tcBorders>
            <w:vAlign w:val="center"/>
          </w:tcPr>
          <w:p w14:paraId="6C8BCF4D" w14:textId="40A3787D" w:rsidR="00C91E3A" w:rsidRPr="0067542D" w:rsidRDefault="00C91E3A" w:rsidP="00C91E3A">
            <w:pPr>
              <w:jc w:val="center"/>
              <w:rPr>
                <w:rFonts w:cstheme="minorHAnsi"/>
                <w:sz w:val="20"/>
                <w:szCs w:val="20"/>
              </w:rPr>
            </w:pPr>
            <w:r w:rsidRPr="0067542D">
              <w:rPr>
                <w:rFonts w:cstheme="minorHAnsi"/>
                <w:sz w:val="20"/>
                <w:szCs w:val="20"/>
              </w:rPr>
              <w:t>more than 10</w:t>
            </w:r>
            <w:r w:rsidRPr="0067542D">
              <w:rPr>
                <w:rFonts w:cstheme="minorHAnsi"/>
                <w:sz w:val="20"/>
                <w:szCs w:val="20"/>
              </w:rPr>
              <w:br/>
              <w:t>(2 significant)</w:t>
            </w:r>
          </w:p>
        </w:tc>
        <w:tc>
          <w:tcPr>
            <w:tcW w:w="3314" w:type="dxa"/>
            <w:tcBorders>
              <w:left w:val="nil"/>
              <w:right w:val="nil"/>
            </w:tcBorders>
            <w:vAlign w:val="center"/>
          </w:tcPr>
          <w:p w14:paraId="4A9CB17C" w14:textId="79D5657E" w:rsidR="00C91E3A" w:rsidRPr="0067542D" w:rsidRDefault="00C91E3A" w:rsidP="00C91E3A">
            <w:pPr>
              <w:jc w:val="center"/>
              <w:rPr>
                <w:rFonts w:cstheme="minorHAnsi"/>
                <w:sz w:val="20"/>
                <w:szCs w:val="20"/>
              </w:rPr>
            </w:pPr>
            <w:r w:rsidRPr="0067542D">
              <w:rPr>
                <w:rFonts w:cstheme="minorHAnsi"/>
                <w:sz w:val="20"/>
                <w:szCs w:val="20"/>
              </w:rPr>
              <w:t xml:space="preserve">Weighted mean difference between birth weight: -0.10; 95% CI: -0.23, 0.03 </w:t>
            </w:r>
            <w:r w:rsidRPr="0067542D">
              <w:rPr>
                <w:rFonts w:cstheme="minorHAnsi"/>
                <w:sz w:val="20"/>
                <w:szCs w:val="20"/>
              </w:rPr>
              <w:br/>
              <w:t>Risk ratio for large for gestational age = 0.52; 95% CI: 0.31, 0.89</w:t>
            </w:r>
          </w:p>
        </w:tc>
        <w:tc>
          <w:tcPr>
            <w:tcW w:w="992" w:type="dxa"/>
            <w:tcBorders>
              <w:left w:val="nil"/>
              <w:right w:val="nil"/>
            </w:tcBorders>
            <w:vAlign w:val="center"/>
          </w:tcPr>
          <w:p w14:paraId="753CA721" w14:textId="529FDD94" w:rsidR="00C91E3A" w:rsidRPr="0067542D" w:rsidRDefault="00C91E3A" w:rsidP="00C91E3A">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0099A47D" w14:textId="6D96D9CD" w:rsidR="00C91E3A" w:rsidRPr="0067542D" w:rsidRDefault="00C91E3A" w:rsidP="00C91E3A">
            <w:pPr>
              <w:jc w:val="center"/>
              <w:rPr>
                <w:rFonts w:cstheme="minorHAnsi"/>
                <w:sz w:val="20"/>
                <w:szCs w:val="20"/>
              </w:rPr>
            </w:pPr>
            <w:proofErr w:type="spellStart"/>
            <w:r w:rsidRPr="0067542D">
              <w:rPr>
                <w:rFonts w:cstheme="minorHAnsi"/>
                <w:sz w:val="20"/>
                <w:szCs w:val="20"/>
              </w:rPr>
              <w:t>Jadad</w:t>
            </w:r>
            <w:proofErr w:type="spellEnd"/>
            <w:r w:rsidRPr="0067542D">
              <w:rPr>
                <w:rFonts w:cstheme="minorHAnsi"/>
                <w:sz w:val="20"/>
                <w:szCs w:val="20"/>
              </w:rPr>
              <w:t xml:space="preserve"> scale was used to assess the methodological quality</w:t>
            </w:r>
          </w:p>
        </w:tc>
        <w:tc>
          <w:tcPr>
            <w:tcW w:w="1417" w:type="dxa"/>
            <w:tcBorders>
              <w:left w:val="nil"/>
              <w:right w:val="nil"/>
            </w:tcBorders>
            <w:vAlign w:val="center"/>
          </w:tcPr>
          <w:p w14:paraId="35992376" w14:textId="0278232C" w:rsidR="00C91E3A" w:rsidRPr="0067542D" w:rsidRDefault="00985B88"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32E49FE4" w14:textId="0A428947" w:rsidR="00C91E3A" w:rsidRPr="0067542D" w:rsidRDefault="00C91E3A" w:rsidP="00C91E3A">
            <w:pPr>
              <w:jc w:val="center"/>
              <w:rPr>
                <w:rFonts w:cstheme="minorHAnsi"/>
                <w:sz w:val="20"/>
                <w:szCs w:val="20"/>
              </w:rPr>
            </w:pPr>
            <w:r w:rsidRPr="0067542D">
              <w:rPr>
                <w:rFonts w:cstheme="minorHAnsi"/>
                <w:sz w:val="20"/>
                <w:szCs w:val="20"/>
              </w:rPr>
              <w:t>moderate</w:t>
            </w:r>
          </w:p>
        </w:tc>
      </w:tr>
      <w:tr w:rsidR="00C91E3A" w:rsidRPr="0067542D" w14:paraId="43472760" w14:textId="7DEAC2A5" w:rsidTr="00A50197">
        <w:trPr>
          <w:gridAfter w:val="1"/>
          <w:wAfter w:w="30" w:type="dxa"/>
          <w:jc w:val="center"/>
        </w:trPr>
        <w:tc>
          <w:tcPr>
            <w:tcW w:w="1218" w:type="dxa"/>
            <w:tcBorders>
              <w:left w:val="nil"/>
              <w:right w:val="nil"/>
            </w:tcBorders>
            <w:vAlign w:val="center"/>
          </w:tcPr>
          <w:p w14:paraId="04738BB1" w14:textId="0D5ADF4A" w:rsidR="00C91E3A" w:rsidRPr="0067542D" w:rsidRDefault="00C91E3A" w:rsidP="00C91E3A">
            <w:pPr>
              <w:jc w:val="center"/>
              <w:rPr>
                <w:rFonts w:cstheme="minorHAnsi"/>
                <w:sz w:val="20"/>
                <w:szCs w:val="20"/>
              </w:rPr>
            </w:pPr>
            <w:proofErr w:type="spellStart"/>
            <w:r w:rsidRPr="0067542D">
              <w:rPr>
                <w:rFonts w:cstheme="minorHAnsi"/>
                <w:sz w:val="20"/>
                <w:szCs w:val="20"/>
              </w:rPr>
              <w:t>Zijlmans</w:t>
            </w:r>
            <w:proofErr w:type="spellEnd"/>
            <w:r>
              <w:rPr>
                <w:rFonts w:cstheme="minorHAnsi"/>
                <w:sz w:val="20"/>
                <w:szCs w:val="20"/>
              </w:rPr>
              <w:t xml:space="preserve"> et al., 2015</w:t>
            </w:r>
            <w:r w:rsidRPr="00EE74F9">
              <w:rPr>
                <w:rFonts w:cstheme="minorHAnsi"/>
                <w:sz w:val="20"/>
                <w:szCs w:val="20"/>
                <w:vertAlign w:val="superscript"/>
              </w:rPr>
              <w:t>7</w:t>
            </w:r>
            <w:r w:rsidR="009F36BF">
              <w:rPr>
                <w:rFonts w:cstheme="minorHAnsi"/>
                <w:sz w:val="20"/>
                <w:szCs w:val="20"/>
                <w:vertAlign w:val="superscript"/>
              </w:rPr>
              <w:t>7</w:t>
            </w:r>
          </w:p>
        </w:tc>
        <w:tc>
          <w:tcPr>
            <w:tcW w:w="1134" w:type="dxa"/>
            <w:tcBorders>
              <w:left w:val="nil"/>
              <w:right w:val="nil"/>
            </w:tcBorders>
            <w:vAlign w:val="center"/>
          </w:tcPr>
          <w:p w14:paraId="08B7A4EA" w14:textId="2EF2E371" w:rsidR="00C91E3A" w:rsidRPr="0067542D" w:rsidRDefault="004C047B" w:rsidP="00C91E3A">
            <w:pPr>
              <w:jc w:val="center"/>
              <w:rPr>
                <w:rFonts w:cstheme="minorHAnsi"/>
                <w:sz w:val="20"/>
                <w:szCs w:val="20"/>
              </w:rPr>
            </w:pPr>
            <w:r>
              <w:rPr>
                <w:rFonts w:cstheme="minorHAnsi"/>
                <w:sz w:val="20"/>
                <w:szCs w:val="20"/>
              </w:rPr>
              <w:t>SR</w:t>
            </w:r>
          </w:p>
        </w:tc>
        <w:tc>
          <w:tcPr>
            <w:tcW w:w="2151" w:type="dxa"/>
            <w:tcBorders>
              <w:left w:val="nil"/>
              <w:right w:val="nil"/>
            </w:tcBorders>
            <w:vAlign w:val="center"/>
          </w:tcPr>
          <w:p w14:paraId="4DF7E7CA" w14:textId="16384B91" w:rsidR="00C91E3A" w:rsidRPr="0067542D" w:rsidRDefault="00C91E3A" w:rsidP="00C91E3A">
            <w:pPr>
              <w:jc w:val="center"/>
              <w:rPr>
                <w:rFonts w:cstheme="minorHAnsi"/>
                <w:sz w:val="20"/>
                <w:szCs w:val="20"/>
              </w:rPr>
            </w:pPr>
            <w:r w:rsidRPr="0067542D">
              <w:rPr>
                <w:rFonts w:cstheme="minorHAnsi"/>
                <w:sz w:val="20"/>
                <w:szCs w:val="20"/>
              </w:rPr>
              <w:t>USA (10), Germany (2), Mexico (1), Denmark (1), Netherlands (11), Brazil (2),</w:t>
            </w:r>
          </w:p>
        </w:tc>
        <w:tc>
          <w:tcPr>
            <w:tcW w:w="1139" w:type="dxa"/>
            <w:tcBorders>
              <w:left w:val="nil"/>
              <w:right w:val="nil"/>
            </w:tcBorders>
            <w:vAlign w:val="center"/>
          </w:tcPr>
          <w:p w14:paraId="3A841310" w14:textId="5A522E12" w:rsidR="00C91E3A" w:rsidRPr="0067542D" w:rsidRDefault="00C91E3A" w:rsidP="00C91E3A">
            <w:pPr>
              <w:jc w:val="center"/>
              <w:rPr>
                <w:rFonts w:cstheme="minorHAnsi"/>
                <w:sz w:val="20"/>
                <w:szCs w:val="20"/>
              </w:rPr>
            </w:pPr>
            <w:r w:rsidRPr="0067542D">
              <w:rPr>
                <w:rFonts w:cstheme="minorHAnsi"/>
                <w:sz w:val="20"/>
                <w:szCs w:val="20"/>
              </w:rPr>
              <w:t>0</w:t>
            </w:r>
          </w:p>
        </w:tc>
        <w:tc>
          <w:tcPr>
            <w:tcW w:w="3314" w:type="dxa"/>
            <w:tcBorders>
              <w:left w:val="nil"/>
              <w:right w:val="nil"/>
            </w:tcBorders>
            <w:vAlign w:val="center"/>
          </w:tcPr>
          <w:p w14:paraId="77DC2F1E" w14:textId="4699CA65" w:rsidR="00C91E3A" w:rsidRPr="0067542D" w:rsidRDefault="00C91E3A" w:rsidP="00C91E3A">
            <w:pPr>
              <w:jc w:val="center"/>
              <w:rPr>
                <w:rFonts w:cstheme="minorHAnsi"/>
                <w:sz w:val="20"/>
                <w:szCs w:val="20"/>
              </w:rPr>
            </w:pPr>
            <w:r w:rsidRPr="0067542D">
              <w:rPr>
                <w:rFonts w:cstheme="minorHAnsi"/>
                <w:sz w:val="20"/>
                <w:szCs w:val="20"/>
              </w:rPr>
              <w:t>N/A</w:t>
            </w:r>
          </w:p>
        </w:tc>
        <w:tc>
          <w:tcPr>
            <w:tcW w:w="992" w:type="dxa"/>
            <w:tcBorders>
              <w:left w:val="nil"/>
              <w:right w:val="nil"/>
            </w:tcBorders>
            <w:vAlign w:val="center"/>
          </w:tcPr>
          <w:p w14:paraId="40E5EEB7" w14:textId="4884C57D" w:rsidR="00C91E3A" w:rsidRPr="0067542D" w:rsidRDefault="00C91E3A" w:rsidP="00C91E3A">
            <w:pPr>
              <w:jc w:val="center"/>
              <w:rPr>
                <w:rFonts w:cstheme="minorHAnsi"/>
                <w:sz w:val="20"/>
                <w:szCs w:val="20"/>
              </w:rPr>
            </w:pPr>
            <w:r w:rsidRPr="0067542D">
              <w:rPr>
                <w:rFonts w:cstheme="minorHAnsi"/>
                <w:sz w:val="20"/>
                <w:szCs w:val="20"/>
              </w:rPr>
              <w:t>0 to 7.5 years</w:t>
            </w:r>
          </w:p>
        </w:tc>
        <w:tc>
          <w:tcPr>
            <w:tcW w:w="2552" w:type="dxa"/>
            <w:tcBorders>
              <w:left w:val="nil"/>
              <w:right w:val="nil"/>
            </w:tcBorders>
            <w:vAlign w:val="center"/>
          </w:tcPr>
          <w:p w14:paraId="5F8753F6" w14:textId="25351D02" w:rsidR="00C91E3A" w:rsidRPr="0067542D" w:rsidRDefault="00C91E3A" w:rsidP="00C91E3A">
            <w:pPr>
              <w:jc w:val="center"/>
              <w:rPr>
                <w:rFonts w:cstheme="minorHAnsi"/>
                <w:sz w:val="20"/>
                <w:szCs w:val="20"/>
              </w:rPr>
            </w:pPr>
            <w:r w:rsidRPr="0067542D">
              <w:rPr>
                <w:rFonts w:cstheme="minorHAnsi"/>
                <w:sz w:val="20"/>
                <w:szCs w:val="20"/>
              </w:rPr>
              <w:t>defined ‘high quality’ papers as papers that carried out multivariate analyses and included two or more confoundin</w:t>
            </w:r>
            <w:r>
              <w:rPr>
                <w:rFonts w:cstheme="minorHAnsi"/>
                <w:sz w:val="20"/>
                <w:szCs w:val="20"/>
              </w:rPr>
              <w:t>g variables in their analyses</w:t>
            </w:r>
          </w:p>
        </w:tc>
        <w:tc>
          <w:tcPr>
            <w:tcW w:w="1417" w:type="dxa"/>
            <w:tcBorders>
              <w:left w:val="nil"/>
              <w:right w:val="nil"/>
            </w:tcBorders>
            <w:vAlign w:val="center"/>
          </w:tcPr>
          <w:p w14:paraId="3FCD658E" w14:textId="0579CE9F" w:rsidR="00C91E3A" w:rsidRPr="0067542D" w:rsidRDefault="004C047B" w:rsidP="00FA1F75">
            <w:pPr>
              <w:jc w:val="center"/>
              <w:rPr>
                <w:rFonts w:cstheme="minorHAnsi"/>
                <w:sz w:val="20"/>
                <w:szCs w:val="20"/>
              </w:rPr>
            </w:pPr>
            <w:r>
              <w:rPr>
                <w:rFonts w:cstheme="minorHAnsi"/>
                <w:sz w:val="20"/>
                <w:szCs w:val="20"/>
              </w:rPr>
              <w:t>PRISMA guidelines followed</w:t>
            </w:r>
          </w:p>
        </w:tc>
        <w:tc>
          <w:tcPr>
            <w:tcW w:w="1276" w:type="dxa"/>
            <w:tcBorders>
              <w:left w:val="nil"/>
              <w:right w:val="nil"/>
            </w:tcBorders>
            <w:vAlign w:val="center"/>
          </w:tcPr>
          <w:p w14:paraId="5003BBA5" w14:textId="4EF24853" w:rsidR="00C91E3A" w:rsidRPr="0067542D" w:rsidRDefault="00C91E3A" w:rsidP="00C91E3A">
            <w:pPr>
              <w:jc w:val="center"/>
              <w:rPr>
                <w:rFonts w:cstheme="minorHAnsi"/>
                <w:sz w:val="20"/>
                <w:szCs w:val="20"/>
              </w:rPr>
            </w:pPr>
            <w:r w:rsidRPr="0067542D">
              <w:rPr>
                <w:rFonts w:cstheme="minorHAnsi"/>
                <w:sz w:val="20"/>
                <w:szCs w:val="20"/>
              </w:rPr>
              <w:t>high</w:t>
            </w:r>
          </w:p>
        </w:tc>
      </w:tr>
      <w:tr w:rsidR="00C91E3A" w:rsidRPr="0067542D" w14:paraId="5C0F9CE0" w14:textId="7A6B89BD" w:rsidTr="00A50197">
        <w:trPr>
          <w:gridAfter w:val="1"/>
          <w:wAfter w:w="30" w:type="dxa"/>
          <w:jc w:val="center"/>
        </w:trPr>
        <w:tc>
          <w:tcPr>
            <w:tcW w:w="1218" w:type="dxa"/>
            <w:tcBorders>
              <w:left w:val="nil"/>
              <w:right w:val="nil"/>
            </w:tcBorders>
            <w:vAlign w:val="center"/>
          </w:tcPr>
          <w:p w14:paraId="629CF594" w14:textId="198D8382" w:rsidR="00C91E3A" w:rsidRPr="0067542D" w:rsidRDefault="00C91E3A" w:rsidP="00C91E3A">
            <w:pPr>
              <w:jc w:val="center"/>
              <w:rPr>
                <w:rFonts w:cstheme="minorHAnsi"/>
                <w:sz w:val="20"/>
                <w:szCs w:val="20"/>
              </w:rPr>
            </w:pPr>
            <w:proofErr w:type="spellStart"/>
            <w:r w:rsidRPr="0067542D">
              <w:rPr>
                <w:rFonts w:cstheme="minorHAnsi"/>
                <w:sz w:val="20"/>
                <w:szCs w:val="20"/>
              </w:rPr>
              <w:t>Zwink</w:t>
            </w:r>
            <w:proofErr w:type="spellEnd"/>
            <w:r>
              <w:rPr>
                <w:rFonts w:cstheme="minorHAnsi"/>
                <w:sz w:val="20"/>
                <w:szCs w:val="20"/>
              </w:rPr>
              <w:t xml:space="preserve"> et al., 2011</w:t>
            </w:r>
            <w:r w:rsidRPr="00EE74F9">
              <w:rPr>
                <w:rFonts w:cstheme="minorHAnsi"/>
                <w:sz w:val="20"/>
                <w:szCs w:val="20"/>
                <w:vertAlign w:val="superscript"/>
              </w:rPr>
              <w:t>7</w:t>
            </w:r>
            <w:r w:rsidR="009F36BF">
              <w:rPr>
                <w:rFonts w:cstheme="minorHAnsi"/>
                <w:sz w:val="20"/>
                <w:szCs w:val="20"/>
                <w:vertAlign w:val="superscript"/>
              </w:rPr>
              <w:t>8</w:t>
            </w:r>
          </w:p>
        </w:tc>
        <w:tc>
          <w:tcPr>
            <w:tcW w:w="1134" w:type="dxa"/>
            <w:tcBorders>
              <w:left w:val="nil"/>
              <w:right w:val="nil"/>
            </w:tcBorders>
            <w:vAlign w:val="center"/>
          </w:tcPr>
          <w:p w14:paraId="59B8CB85" w14:textId="370C30FB" w:rsidR="00C91E3A" w:rsidRPr="0067542D" w:rsidRDefault="00985B88" w:rsidP="00C91E3A">
            <w:pPr>
              <w:jc w:val="center"/>
              <w:rPr>
                <w:rFonts w:cstheme="minorHAnsi"/>
                <w:sz w:val="20"/>
                <w:szCs w:val="20"/>
              </w:rPr>
            </w:pPr>
            <w:r>
              <w:rPr>
                <w:rFonts w:cstheme="minorHAnsi"/>
                <w:sz w:val="20"/>
                <w:szCs w:val="20"/>
              </w:rPr>
              <w:t>SR/MA</w:t>
            </w:r>
          </w:p>
        </w:tc>
        <w:tc>
          <w:tcPr>
            <w:tcW w:w="2151" w:type="dxa"/>
            <w:tcBorders>
              <w:left w:val="nil"/>
              <w:right w:val="nil"/>
            </w:tcBorders>
            <w:vAlign w:val="center"/>
          </w:tcPr>
          <w:p w14:paraId="42F3B4C2" w14:textId="61ED36E2" w:rsidR="00C91E3A" w:rsidRPr="0067542D" w:rsidRDefault="00C91E3A" w:rsidP="00C91E3A">
            <w:pPr>
              <w:jc w:val="center"/>
              <w:rPr>
                <w:rFonts w:cstheme="minorHAnsi"/>
                <w:sz w:val="20"/>
                <w:szCs w:val="20"/>
              </w:rPr>
            </w:pPr>
            <w:r w:rsidRPr="0067542D">
              <w:rPr>
                <w:rFonts w:cstheme="minorHAnsi"/>
                <w:sz w:val="20"/>
                <w:szCs w:val="20"/>
              </w:rPr>
              <w:t>USA (12), Spain (2), Sweden (2), the Netherlands (2), Japan (1), France (1), Germany (1), Hungary (1)</w:t>
            </w:r>
          </w:p>
        </w:tc>
        <w:tc>
          <w:tcPr>
            <w:tcW w:w="1139" w:type="dxa"/>
            <w:tcBorders>
              <w:left w:val="nil"/>
              <w:right w:val="nil"/>
            </w:tcBorders>
            <w:vAlign w:val="center"/>
          </w:tcPr>
          <w:p w14:paraId="1A6A423B" w14:textId="1DBE6080" w:rsidR="00C91E3A" w:rsidRPr="0067542D" w:rsidRDefault="00C91E3A" w:rsidP="00C91E3A">
            <w:pPr>
              <w:jc w:val="center"/>
              <w:rPr>
                <w:rFonts w:cstheme="minorHAnsi"/>
                <w:sz w:val="20"/>
                <w:szCs w:val="20"/>
              </w:rPr>
            </w:pPr>
            <w:r w:rsidRPr="0067542D">
              <w:rPr>
                <w:rFonts w:cstheme="minorHAnsi"/>
                <w:sz w:val="20"/>
                <w:szCs w:val="20"/>
              </w:rPr>
              <w:t>9</w:t>
            </w:r>
            <w:r w:rsidRPr="0067542D">
              <w:rPr>
                <w:rFonts w:cstheme="minorHAnsi"/>
                <w:sz w:val="20"/>
                <w:szCs w:val="20"/>
              </w:rPr>
              <w:br/>
              <w:t>(4 significant)</w:t>
            </w:r>
          </w:p>
        </w:tc>
        <w:tc>
          <w:tcPr>
            <w:tcW w:w="3314" w:type="dxa"/>
            <w:tcBorders>
              <w:left w:val="nil"/>
              <w:right w:val="nil"/>
            </w:tcBorders>
            <w:vAlign w:val="center"/>
          </w:tcPr>
          <w:p w14:paraId="797B9D68" w14:textId="50869C2C" w:rsidR="00C91E3A" w:rsidRPr="0067542D" w:rsidRDefault="00C91E3A" w:rsidP="00C91E3A">
            <w:pPr>
              <w:jc w:val="center"/>
              <w:rPr>
                <w:rFonts w:cstheme="minorHAnsi"/>
                <w:sz w:val="20"/>
                <w:szCs w:val="20"/>
              </w:rPr>
            </w:pPr>
            <w:r w:rsidRPr="0067542D">
              <w:rPr>
                <w:rFonts w:cstheme="minorHAnsi"/>
                <w:sz w:val="20"/>
                <w:szCs w:val="20"/>
              </w:rPr>
              <w:t>Odds ratio for paternal smoking:1.53; 95% CI: 1.04-2.26</w:t>
            </w:r>
            <w:r w:rsidRPr="0067542D">
              <w:rPr>
                <w:rFonts w:cstheme="minorHAnsi"/>
                <w:sz w:val="20"/>
                <w:szCs w:val="20"/>
              </w:rPr>
              <w:br/>
              <w:t>Odds Ratio for maternal overweight: 1.25; 95% CI:1.07-1.47,</w:t>
            </w:r>
            <w:r w:rsidRPr="0067542D">
              <w:rPr>
                <w:rFonts w:cstheme="minorHAnsi"/>
                <w:sz w:val="20"/>
                <w:szCs w:val="20"/>
              </w:rPr>
              <w:br/>
              <w:t>Odds ratio for maternal obesity: 1.64; 95% CI: 1.35-2.00,</w:t>
            </w:r>
            <w:r w:rsidRPr="0067542D">
              <w:rPr>
                <w:rFonts w:cstheme="minorHAnsi"/>
                <w:sz w:val="20"/>
                <w:szCs w:val="20"/>
              </w:rPr>
              <w:br/>
              <w:t>Odds ratio for gestational diabetes: 1.81; 95% CI: 1.23-2.65</w:t>
            </w:r>
          </w:p>
        </w:tc>
        <w:tc>
          <w:tcPr>
            <w:tcW w:w="992" w:type="dxa"/>
            <w:tcBorders>
              <w:left w:val="nil"/>
              <w:right w:val="nil"/>
            </w:tcBorders>
            <w:vAlign w:val="center"/>
          </w:tcPr>
          <w:p w14:paraId="7BB82F22" w14:textId="553CC16E" w:rsidR="00C91E3A" w:rsidRPr="0067542D" w:rsidRDefault="00C91E3A" w:rsidP="00C91E3A">
            <w:pPr>
              <w:jc w:val="center"/>
              <w:rPr>
                <w:rFonts w:cstheme="minorHAnsi"/>
                <w:sz w:val="20"/>
                <w:szCs w:val="20"/>
              </w:rPr>
            </w:pPr>
            <w:r>
              <w:rPr>
                <w:rFonts w:cstheme="minorHAnsi"/>
                <w:sz w:val="20"/>
                <w:szCs w:val="20"/>
              </w:rPr>
              <w:t>Birth (0 years)</w:t>
            </w:r>
          </w:p>
        </w:tc>
        <w:tc>
          <w:tcPr>
            <w:tcW w:w="2552" w:type="dxa"/>
            <w:tcBorders>
              <w:left w:val="nil"/>
              <w:right w:val="nil"/>
            </w:tcBorders>
            <w:vAlign w:val="center"/>
          </w:tcPr>
          <w:p w14:paraId="341615FB" w14:textId="55644CFD" w:rsidR="00C91E3A" w:rsidRPr="0067542D" w:rsidRDefault="00C91E3A" w:rsidP="00C91E3A">
            <w:pPr>
              <w:jc w:val="center"/>
              <w:rPr>
                <w:rFonts w:cstheme="minorHAnsi"/>
                <w:sz w:val="20"/>
                <w:szCs w:val="20"/>
              </w:rPr>
            </w:pPr>
            <w:r w:rsidRPr="0067542D">
              <w:rPr>
                <w:rFonts w:cstheme="minorHAnsi"/>
                <w:sz w:val="20"/>
                <w:szCs w:val="20"/>
              </w:rPr>
              <w:t>no quality assessment</w:t>
            </w:r>
          </w:p>
        </w:tc>
        <w:tc>
          <w:tcPr>
            <w:tcW w:w="1417" w:type="dxa"/>
            <w:tcBorders>
              <w:left w:val="nil"/>
              <w:right w:val="nil"/>
            </w:tcBorders>
            <w:vAlign w:val="center"/>
          </w:tcPr>
          <w:p w14:paraId="1C24E975" w14:textId="6630ED4C" w:rsidR="00C91E3A" w:rsidRPr="0067542D" w:rsidRDefault="00985B88" w:rsidP="00FA1F75">
            <w:pPr>
              <w:jc w:val="center"/>
              <w:rPr>
                <w:rFonts w:cstheme="minorHAnsi"/>
                <w:sz w:val="20"/>
                <w:szCs w:val="20"/>
              </w:rPr>
            </w:pPr>
            <w:r>
              <w:rPr>
                <w:rFonts w:cstheme="minorHAnsi"/>
                <w:sz w:val="20"/>
                <w:szCs w:val="20"/>
              </w:rPr>
              <w:t>Not specified</w:t>
            </w:r>
          </w:p>
        </w:tc>
        <w:tc>
          <w:tcPr>
            <w:tcW w:w="1276" w:type="dxa"/>
            <w:tcBorders>
              <w:left w:val="nil"/>
              <w:right w:val="nil"/>
            </w:tcBorders>
            <w:vAlign w:val="center"/>
          </w:tcPr>
          <w:p w14:paraId="63F52E53" w14:textId="45BDC46A" w:rsidR="00C91E3A" w:rsidRPr="0067542D" w:rsidRDefault="00C91E3A" w:rsidP="00C91E3A">
            <w:pPr>
              <w:jc w:val="center"/>
              <w:rPr>
                <w:rFonts w:cstheme="minorHAnsi"/>
                <w:sz w:val="20"/>
                <w:szCs w:val="20"/>
              </w:rPr>
            </w:pPr>
            <w:r w:rsidRPr="0067542D">
              <w:rPr>
                <w:rFonts w:cstheme="minorHAnsi"/>
                <w:sz w:val="20"/>
                <w:szCs w:val="20"/>
              </w:rPr>
              <w:t>N/A</w:t>
            </w:r>
          </w:p>
        </w:tc>
      </w:tr>
    </w:tbl>
    <w:p w14:paraId="5FC2B7A5" w14:textId="77777777" w:rsidR="002A179F" w:rsidRPr="00F75D8A" w:rsidRDefault="002A179F" w:rsidP="00F75D8A">
      <w:pPr>
        <w:jc w:val="center"/>
        <w:rPr>
          <w:rFonts w:cstheme="minorHAnsi"/>
          <w:sz w:val="22"/>
          <w:szCs w:val="22"/>
        </w:rPr>
      </w:pPr>
    </w:p>
    <w:sectPr w:rsidR="002A179F" w:rsidRPr="00F75D8A" w:rsidSect="002A179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529" w16cex:dateUtc="2020-05-18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CF91" w14:textId="77777777" w:rsidR="00614E55" w:rsidRDefault="00614E55" w:rsidP="006550CE">
      <w:r>
        <w:separator/>
      </w:r>
    </w:p>
  </w:endnote>
  <w:endnote w:type="continuationSeparator" w:id="0">
    <w:p w14:paraId="214E8144" w14:textId="77777777" w:rsidR="00614E55" w:rsidRDefault="00614E55" w:rsidP="0065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AB87" w14:textId="77777777" w:rsidR="00D42408" w:rsidRDefault="00D42408" w:rsidP="003F3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DCBD0" w14:textId="77777777" w:rsidR="00D42408" w:rsidRDefault="00D42408" w:rsidP="00263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65F" w14:textId="77777777" w:rsidR="00D42408" w:rsidRDefault="00D42408" w:rsidP="003F3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D6790C" w14:textId="77777777" w:rsidR="00D42408" w:rsidRDefault="00D42408" w:rsidP="00263A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DF81" w14:textId="77777777" w:rsidR="00D42408" w:rsidRDefault="00D4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61C7" w14:textId="77777777" w:rsidR="00614E55" w:rsidRDefault="00614E55" w:rsidP="006550CE">
      <w:r>
        <w:separator/>
      </w:r>
    </w:p>
  </w:footnote>
  <w:footnote w:type="continuationSeparator" w:id="0">
    <w:p w14:paraId="35C1C0CC" w14:textId="77777777" w:rsidR="00614E55" w:rsidRDefault="00614E55" w:rsidP="0065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216E" w14:textId="77777777" w:rsidR="00D42408" w:rsidRDefault="00D4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BEDE" w14:textId="6F23FBE9" w:rsidR="00D42408" w:rsidRPr="006550CE" w:rsidRDefault="00D42408" w:rsidP="006550CE">
    <w:pPr>
      <w:pStyle w:val="Normal1"/>
      <w:pBdr>
        <w:top w:val="nil"/>
        <w:left w:val="nil"/>
        <w:bottom w:val="nil"/>
        <w:right w:val="nil"/>
        <w:between w:val="nil"/>
      </w:pBdr>
      <w:spacing w:line="240" w:lineRule="auto"/>
      <w:rPr>
        <w:rFonts w:asciiTheme="minorHAnsi" w:hAnsiTheme="minorHAnsi" w:cstheme="minorHAnsi"/>
        <w:sz w:val="20"/>
        <w:szCs w:val="20"/>
      </w:rPr>
    </w:pPr>
    <w:r w:rsidRPr="006550CE">
      <w:rPr>
        <w:rFonts w:asciiTheme="minorHAnsi" w:hAnsiTheme="minorHAnsi" w:cstheme="minorHAnsi"/>
        <w:sz w:val="20"/>
        <w:szCs w:val="20"/>
      </w:rPr>
      <w:t>Supplementary Table</w:t>
    </w:r>
    <w:r>
      <w:rPr>
        <w:rFonts w:asciiTheme="minorHAnsi" w:hAnsiTheme="minorHAnsi" w:cstheme="minorHAnsi"/>
        <w:sz w:val="20"/>
        <w:szCs w:val="20"/>
      </w:rPr>
      <w:t xml:space="preserve"> S2 - </w:t>
    </w:r>
    <w:r w:rsidRPr="006550CE">
      <w:rPr>
        <w:rFonts w:asciiTheme="minorHAnsi" w:hAnsiTheme="minorHAnsi" w:cstheme="minorHAnsi"/>
        <w:sz w:val="20"/>
        <w:szCs w:val="20"/>
      </w:rPr>
      <w:t xml:space="preserve"> </w:t>
    </w:r>
    <w:r>
      <w:rPr>
        <w:rFonts w:asciiTheme="minorHAnsi" w:hAnsiTheme="minorHAnsi" w:cstheme="minorHAnsi"/>
        <w:sz w:val="20"/>
        <w:szCs w:val="20"/>
      </w:rPr>
      <w:t>Summary of Study Characteristics and Quality Assessment Rating.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3E4E" w14:textId="77777777" w:rsidR="00D42408" w:rsidRDefault="00D42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9F"/>
    <w:rsid w:val="0000086E"/>
    <w:rsid w:val="00024B88"/>
    <w:rsid w:val="00037249"/>
    <w:rsid w:val="00052D0A"/>
    <w:rsid w:val="000659D4"/>
    <w:rsid w:val="000B0685"/>
    <w:rsid w:val="000B6F0A"/>
    <w:rsid w:val="000C69CD"/>
    <w:rsid w:val="000D10DB"/>
    <w:rsid w:val="000D48D1"/>
    <w:rsid w:val="001005DA"/>
    <w:rsid w:val="001160DF"/>
    <w:rsid w:val="00130348"/>
    <w:rsid w:val="001411C9"/>
    <w:rsid w:val="001A4ACF"/>
    <w:rsid w:val="001E2E0A"/>
    <w:rsid w:val="00223872"/>
    <w:rsid w:val="002525C2"/>
    <w:rsid w:val="00263A5D"/>
    <w:rsid w:val="00286A10"/>
    <w:rsid w:val="002A0EAA"/>
    <w:rsid w:val="002A179F"/>
    <w:rsid w:val="002B63E8"/>
    <w:rsid w:val="002F6657"/>
    <w:rsid w:val="0030012D"/>
    <w:rsid w:val="003344DC"/>
    <w:rsid w:val="00395A79"/>
    <w:rsid w:val="003F3AC8"/>
    <w:rsid w:val="00404321"/>
    <w:rsid w:val="004513E2"/>
    <w:rsid w:val="00457BC6"/>
    <w:rsid w:val="0047595F"/>
    <w:rsid w:val="004811AA"/>
    <w:rsid w:val="00483F26"/>
    <w:rsid w:val="0048531D"/>
    <w:rsid w:val="004C047B"/>
    <w:rsid w:val="00515E0D"/>
    <w:rsid w:val="0052215C"/>
    <w:rsid w:val="00544304"/>
    <w:rsid w:val="005511F4"/>
    <w:rsid w:val="00552DCE"/>
    <w:rsid w:val="00602765"/>
    <w:rsid w:val="0061187A"/>
    <w:rsid w:val="006127F6"/>
    <w:rsid w:val="006149F8"/>
    <w:rsid w:val="00614E55"/>
    <w:rsid w:val="00615168"/>
    <w:rsid w:val="00626D84"/>
    <w:rsid w:val="00654822"/>
    <w:rsid w:val="006550CE"/>
    <w:rsid w:val="0067542D"/>
    <w:rsid w:val="00695EF2"/>
    <w:rsid w:val="006C25D0"/>
    <w:rsid w:val="0071402B"/>
    <w:rsid w:val="007252F9"/>
    <w:rsid w:val="007602EE"/>
    <w:rsid w:val="007854B3"/>
    <w:rsid w:val="00786C32"/>
    <w:rsid w:val="00792D53"/>
    <w:rsid w:val="007D3AA0"/>
    <w:rsid w:val="007E3E52"/>
    <w:rsid w:val="007E615E"/>
    <w:rsid w:val="008050C7"/>
    <w:rsid w:val="00855B7E"/>
    <w:rsid w:val="00887F5E"/>
    <w:rsid w:val="008A32DC"/>
    <w:rsid w:val="008A566E"/>
    <w:rsid w:val="008C5285"/>
    <w:rsid w:val="00912A71"/>
    <w:rsid w:val="00931BBA"/>
    <w:rsid w:val="00944C9C"/>
    <w:rsid w:val="00985B88"/>
    <w:rsid w:val="009B3BB9"/>
    <w:rsid w:val="009D2132"/>
    <w:rsid w:val="009F36BF"/>
    <w:rsid w:val="00A07A35"/>
    <w:rsid w:val="00A50197"/>
    <w:rsid w:val="00A569FE"/>
    <w:rsid w:val="00A76480"/>
    <w:rsid w:val="00AB22EB"/>
    <w:rsid w:val="00AC14C5"/>
    <w:rsid w:val="00AF4F6E"/>
    <w:rsid w:val="00B1337E"/>
    <w:rsid w:val="00B372CF"/>
    <w:rsid w:val="00B723F3"/>
    <w:rsid w:val="00BC0F23"/>
    <w:rsid w:val="00BE0A63"/>
    <w:rsid w:val="00BE3571"/>
    <w:rsid w:val="00C03ACC"/>
    <w:rsid w:val="00C5603A"/>
    <w:rsid w:val="00C7380E"/>
    <w:rsid w:val="00C91E3A"/>
    <w:rsid w:val="00CC1819"/>
    <w:rsid w:val="00CD01E2"/>
    <w:rsid w:val="00CF2C20"/>
    <w:rsid w:val="00CF72AD"/>
    <w:rsid w:val="00D42408"/>
    <w:rsid w:val="00D85847"/>
    <w:rsid w:val="00DB2355"/>
    <w:rsid w:val="00DD77AA"/>
    <w:rsid w:val="00DE3EFD"/>
    <w:rsid w:val="00DE5966"/>
    <w:rsid w:val="00DF10A2"/>
    <w:rsid w:val="00DF43CD"/>
    <w:rsid w:val="00DF4582"/>
    <w:rsid w:val="00E05068"/>
    <w:rsid w:val="00E13D40"/>
    <w:rsid w:val="00E14AFB"/>
    <w:rsid w:val="00E319B0"/>
    <w:rsid w:val="00E42E57"/>
    <w:rsid w:val="00E8025B"/>
    <w:rsid w:val="00E80470"/>
    <w:rsid w:val="00EC3CF2"/>
    <w:rsid w:val="00EC6B34"/>
    <w:rsid w:val="00EE74F9"/>
    <w:rsid w:val="00F629DF"/>
    <w:rsid w:val="00F75D8A"/>
    <w:rsid w:val="00F82DD4"/>
    <w:rsid w:val="00F84417"/>
    <w:rsid w:val="00FA1F75"/>
    <w:rsid w:val="00FF42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E4A16"/>
  <w15:docId w15:val="{C19FC9D5-4897-2640-895F-E1E569DA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79F"/>
    <w:rPr>
      <w:rFonts w:ascii="Times New Roman" w:hAnsi="Times New Roman" w:cs="Times New Roman"/>
      <w:sz w:val="18"/>
      <w:szCs w:val="18"/>
    </w:rPr>
  </w:style>
  <w:style w:type="paragraph" w:styleId="Header">
    <w:name w:val="header"/>
    <w:basedOn w:val="Normal"/>
    <w:link w:val="HeaderChar"/>
    <w:uiPriority w:val="99"/>
    <w:unhideWhenUsed/>
    <w:rsid w:val="006550CE"/>
    <w:pPr>
      <w:tabs>
        <w:tab w:val="center" w:pos="4680"/>
        <w:tab w:val="right" w:pos="9360"/>
      </w:tabs>
    </w:pPr>
  </w:style>
  <w:style w:type="character" w:customStyle="1" w:styleId="HeaderChar">
    <w:name w:val="Header Char"/>
    <w:basedOn w:val="DefaultParagraphFont"/>
    <w:link w:val="Header"/>
    <w:uiPriority w:val="99"/>
    <w:rsid w:val="006550CE"/>
  </w:style>
  <w:style w:type="paragraph" w:styleId="Footer">
    <w:name w:val="footer"/>
    <w:basedOn w:val="Normal"/>
    <w:link w:val="FooterChar"/>
    <w:uiPriority w:val="99"/>
    <w:unhideWhenUsed/>
    <w:rsid w:val="006550CE"/>
    <w:pPr>
      <w:tabs>
        <w:tab w:val="center" w:pos="4680"/>
        <w:tab w:val="right" w:pos="9360"/>
      </w:tabs>
    </w:pPr>
  </w:style>
  <w:style w:type="character" w:customStyle="1" w:styleId="FooterChar">
    <w:name w:val="Footer Char"/>
    <w:basedOn w:val="DefaultParagraphFont"/>
    <w:link w:val="Footer"/>
    <w:uiPriority w:val="99"/>
    <w:rsid w:val="006550CE"/>
  </w:style>
  <w:style w:type="paragraph" w:customStyle="1" w:styleId="Normal1">
    <w:name w:val="Normal1"/>
    <w:rsid w:val="006550CE"/>
    <w:pPr>
      <w:spacing w:line="276" w:lineRule="auto"/>
    </w:pPr>
    <w:rPr>
      <w:rFonts w:ascii="Arial" w:eastAsia="Arial" w:hAnsi="Arial" w:cs="Arial"/>
      <w:sz w:val="22"/>
      <w:szCs w:val="22"/>
      <w:lang w:val="en-GB"/>
    </w:rPr>
  </w:style>
  <w:style w:type="character" w:styleId="PageNumber">
    <w:name w:val="page number"/>
    <w:basedOn w:val="DefaultParagraphFont"/>
    <w:uiPriority w:val="99"/>
    <w:semiHidden/>
    <w:unhideWhenUsed/>
    <w:rsid w:val="00263A5D"/>
  </w:style>
  <w:style w:type="character" w:styleId="CommentReference">
    <w:name w:val="annotation reference"/>
    <w:basedOn w:val="DefaultParagraphFont"/>
    <w:uiPriority w:val="99"/>
    <w:semiHidden/>
    <w:unhideWhenUsed/>
    <w:rsid w:val="00C7380E"/>
    <w:rPr>
      <w:sz w:val="16"/>
      <w:szCs w:val="16"/>
    </w:rPr>
  </w:style>
  <w:style w:type="paragraph" w:styleId="CommentText">
    <w:name w:val="annotation text"/>
    <w:basedOn w:val="Normal"/>
    <w:link w:val="CommentTextChar"/>
    <w:uiPriority w:val="99"/>
    <w:semiHidden/>
    <w:unhideWhenUsed/>
    <w:rsid w:val="00C7380E"/>
    <w:rPr>
      <w:sz w:val="20"/>
      <w:szCs w:val="20"/>
    </w:rPr>
  </w:style>
  <w:style w:type="character" w:customStyle="1" w:styleId="CommentTextChar">
    <w:name w:val="Comment Text Char"/>
    <w:basedOn w:val="DefaultParagraphFont"/>
    <w:link w:val="CommentText"/>
    <w:uiPriority w:val="99"/>
    <w:semiHidden/>
    <w:rsid w:val="00C7380E"/>
    <w:rPr>
      <w:sz w:val="20"/>
      <w:szCs w:val="20"/>
    </w:rPr>
  </w:style>
  <w:style w:type="paragraph" w:styleId="CommentSubject">
    <w:name w:val="annotation subject"/>
    <w:basedOn w:val="CommentText"/>
    <w:next w:val="CommentText"/>
    <w:link w:val="CommentSubjectChar"/>
    <w:uiPriority w:val="99"/>
    <w:semiHidden/>
    <w:unhideWhenUsed/>
    <w:rsid w:val="00C7380E"/>
    <w:rPr>
      <w:b/>
      <w:bCs/>
    </w:rPr>
  </w:style>
  <w:style w:type="character" w:customStyle="1" w:styleId="CommentSubjectChar">
    <w:name w:val="Comment Subject Char"/>
    <w:basedOn w:val="CommentTextChar"/>
    <w:link w:val="CommentSubject"/>
    <w:uiPriority w:val="99"/>
    <w:semiHidden/>
    <w:rsid w:val="00C7380E"/>
    <w:rPr>
      <w:b/>
      <w:bCs/>
      <w:sz w:val="20"/>
      <w:szCs w:val="20"/>
    </w:rPr>
  </w:style>
  <w:style w:type="paragraph" w:styleId="Revision">
    <w:name w:val="Revision"/>
    <w:hidden/>
    <w:uiPriority w:val="99"/>
    <w:semiHidden/>
    <w:rsid w:val="009F36BF"/>
  </w:style>
  <w:style w:type="character" w:styleId="Hyperlink">
    <w:name w:val="Hyperlink"/>
    <w:basedOn w:val="DefaultParagraphFont"/>
    <w:uiPriority w:val="99"/>
    <w:unhideWhenUsed/>
    <w:rsid w:val="00EC6B34"/>
    <w:rPr>
      <w:color w:val="0563C1" w:themeColor="hyperlink"/>
      <w:u w:val="single"/>
    </w:rPr>
  </w:style>
  <w:style w:type="character" w:styleId="UnresolvedMention">
    <w:name w:val="Unresolved Mention"/>
    <w:basedOn w:val="DefaultParagraphFont"/>
    <w:uiPriority w:val="99"/>
    <w:semiHidden/>
    <w:unhideWhenUsed/>
    <w:rsid w:val="00EC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0782">
      <w:bodyDiv w:val="1"/>
      <w:marLeft w:val="0"/>
      <w:marRight w:val="0"/>
      <w:marTop w:val="0"/>
      <w:marBottom w:val="0"/>
      <w:divBdr>
        <w:top w:val="none" w:sz="0" w:space="0" w:color="auto"/>
        <w:left w:val="none" w:sz="0" w:space="0" w:color="auto"/>
        <w:bottom w:val="none" w:sz="0" w:space="0" w:color="auto"/>
        <w:right w:val="none" w:sz="0" w:space="0" w:color="auto"/>
      </w:divBdr>
    </w:div>
    <w:div w:id="507912022">
      <w:bodyDiv w:val="1"/>
      <w:marLeft w:val="0"/>
      <w:marRight w:val="0"/>
      <w:marTop w:val="0"/>
      <w:marBottom w:val="0"/>
      <w:divBdr>
        <w:top w:val="none" w:sz="0" w:space="0" w:color="auto"/>
        <w:left w:val="none" w:sz="0" w:space="0" w:color="auto"/>
        <w:bottom w:val="none" w:sz="0" w:space="0" w:color="auto"/>
        <w:right w:val="none" w:sz="0" w:space="0" w:color="auto"/>
      </w:divBdr>
    </w:div>
    <w:div w:id="583759194">
      <w:bodyDiv w:val="1"/>
      <w:marLeft w:val="0"/>
      <w:marRight w:val="0"/>
      <w:marTop w:val="0"/>
      <w:marBottom w:val="0"/>
      <w:divBdr>
        <w:top w:val="none" w:sz="0" w:space="0" w:color="auto"/>
        <w:left w:val="none" w:sz="0" w:space="0" w:color="auto"/>
        <w:bottom w:val="none" w:sz="0" w:space="0" w:color="auto"/>
        <w:right w:val="none" w:sz="0" w:space="0" w:color="auto"/>
      </w:divBdr>
    </w:div>
    <w:div w:id="734399515">
      <w:bodyDiv w:val="1"/>
      <w:marLeft w:val="0"/>
      <w:marRight w:val="0"/>
      <w:marTop w:val="0"/>
      <w:marBottom w:val="0"/>
      <w:divBdr>
        <w:top w:val="none" w:sz="0" w:space="0" w:color="auto"/>
        <w:left w:val="none" w:sz="0" w:space="0" w:color="auto"/>
        <w:bottom w:val="none" w:sz="0" w:space="0" w:color="auto"/>
        <w:right w:val="none" w:sz="0" w:space="0" w:color="auto"/>
      </w:divBdr>
    </w:div>
    <w:div w:id="793989757">
      <w:bodyDiv w:val="1"/>
      <w:marLeft w:val="0"/>
      <w:marRight w:val="0"/>
      <w:marTop w:val="0"/>
      <w:marBottom w:val="0"/>
      <w:divBdr>
        <w:top w:val="none" w:sz="0" w:space="0" w:color="auto"/>
        <w:left w:val="none" w:sz="0" w:space="0" w:color="auto"/>
        <w:bottom w:val="none" w:sz="0" w:space="0" w:color="auto"/>
        <w:right w:val="none" w:sz="0" w:space="0" w:color="auto"/>
      </w:divBdr>
    </w:div>
    <w:div w:id="808979630">
      <w:bodyDiv w:val="1"/>
      <w:marLeft w:val="0"/>
      <w:marRight w:val="0"/>
      <w:marTop w:val="0"/>
      <w:marBottom w:val="0"/>
      <w:divBdr>
        <w:top w:val="none" w:sz="0" w:space="0" w:color="auto"/>
        <w:left w:val="none" w:sz="0" w:space="0" w:color="auto"/>
        <w:bottom w:val="none" w:sz="0" w:space="0" w:color="auto"/>
        <w:right w:val="none" w:sz="0" w:space="0" w:color="auto"/>
      </w:divBdr>
    </w:div>
    <w:div w:id="852232862">
      <w:bodyDiv w:val="1"/>
      <w:marLeft w:val="0"/>
      <w:marRight w:val="0"/>
      <w:marTop w:val="0"/>
      <w:marBottom w:val="0"/>
      <w:divBdr>
        <w:top w:val="none" w:sz="0" w:space="0" w:color="auto"/>
        <w:left w:val="none" w:sz="0" w:space="0" w:color="auto"/>
        <w:bottom w:val="none" w:sz="0" w:space="0" w:color="auto"/>
        <w:right w:val="none" w:sz="0" w:space="0" w:color="auto"/>
      </w:divBdr>
    </w:div>
    <w:div w:id="896479278">
      <w:bodyDiv w:val="1"/>
      <w:marLeft w:val="0"/>
      <w:marRight w:val="0"/>
      <w:marTop w:val="0"/>
      <w:marBottom w:val="0"/>
      <w:divBdr>
        <w:top w:val="none" w:sz="0" w:space="0" w:color="auto"/>
        <w:left w:val="none" w:sz="0" w:space="0" w:color="auto"/>
        <w:bottom w:val="none" w:sz="0" w:space="0" w:color="auto"/>
        <w:right w:val="none" w:sz="0" w:space="0" w:color="auto"/>
      </w:divBdr>
    </w:div>
    <w:div w:id="1073507831">
      <w:bodyDiv w:val="1"/>
      <w:marLeft w:val="0"/>
      <w:marRight w:val="0"/>
      <w:marTop w:val="0"/>
      <w:marBottom w:val="0"/>
      <w:divBdr>
        <w:top w:val="none" w:sz="0" w:space="0" w:color="auto"/>
        <w:left w:val="none" w:sz="0" w:space="0" w:color="auto"/>
        <w:bottom w:val="none" w:sz="0" w:space="0" w:color="auto"/>
        <w:right w:val="none" w:sz="0" w:space="0" w:color="auto"/>
      </w:divBdr>
    </w:div>
    <w:div w:id="1249264641">
      <w:bodyDiv w:val="1"/>
      <w:marLeft w:val="0"/>
      <w:marRight w:val="0"/>
      <w:marTop w:val="0"/>
      <w:marBottom w:val="0"/>
      <w:divBdr>
        <w:top w:val="none" w:sz="0" w:space="0" w:color="auto"/>
        <w:left w:val="none" w:sz="0" w:space="0" w:color="auto"/>
        <w:bottom w:val="none" w:sz="0" w:space="0" w:color="auto"/>
        <w:right w:val="none" w:sz="0" w:space="0" w:color="auto"/>
      </w:divBdr>
    </w:div>
    <w:div w:id="1303803492">
      <w:bodyDiv w:val="1"/>
      <w:marLeft w:val="0"/>
      <w:marRight w:val="0"/>
      <w:marTop w:val="0"/>
      <w:marBottom w:val="0"/>
      <w:divBdr>
        <w:top w:val="none" w:sz="0" w:space="0" w:color="auto"/>
        <w:left w:val="none" w:sz="0" w:space="0" w:color="auto"/>
        <w:bottom w:val="none" w:sz="0" w:space="0" w:color="auto"/>
        <w:right w:val="none" w:sz="0" w:space="0" w:color="auto"/>
      </w:divBdr>
    </w:div>
    <w:div w:id="2043237965">
      <w:bodyDiv w:val="1"/>
      <w:marLeft w:val="0"/>
      <w:marRight w:val="0"/>
      <w:marTop w:val="0"/>
      <w:marBottom w:val="0"/>
      <w:divBdr>
        <w:top w:val="none" w:sz="0" w:space="0" w:color="auto"/>
        <w:left w:val="none" w:sz="0" w:space="0" w:color="auto"/>
        <w:bottom w:val="none" w:sz="0" w:space="0" w:color="auto"/>
        <w:right w:val="none" w:sz="0" w:space="0" w:color="auto"/>
      </w:divBdr>
    </w:div>
    <w:div w:id="20469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507E-354A-F146-B256-6459528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2815</Words>
  <Characters>16924</Characters>
  <Application>Microsoft Office Word</Application>
  <DocSecurity>0</DocSecurity>
  <Lines>277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shrankhala tewari</dc:creator>
  <cp:keywords/>
  <dc:description/>
  <cp:lastModifiedBy>Ayah Abdul-Hussein</cp:lastModifiedBy>
  <cp:revision>15</cp:revision>
  <dcterms:created xsi:type="dcterms:W3CDTF">2020-05-18T13:29:00Z</dcterms:created>
  <dcterms:modified xsi:type="dcterms:W3CDTF">2020-06-22T04:50:00Z</dcterms:modified>
</cp:coreProperties>
</file>