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DD" w:rsidRPr="002973F3" w:rsidRDefault="005510DD" w:rsidP="005510DD">
      <w:pPr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b/>
          <w:color w:val="000000" w:themeColor="text1"/>
          <w:sz w:val="24"/>
          <w:lang w:val="en-GB"/>
        </w:rPr>
        <w:t xml:space="preserve">Supplemental Table </w:t>
      </w:r>
      <w:r>
        <w:rPr>
          <w:rFonts w:ascii="Times New Roman" w:eastAsia="MS PGothic" w:hAnsi="Times New Roman" w:hint="eastAsia"/>
          <w:b/>
          <w:color w:val="000000" w:themeColor="text1"/>
          <w:sz w:val="24"/>
          <w:lang w:val="en-GB"/>
        </w:rPr>
        <w:t>S</w:t>
      </w:r>
      <w:r w:rsidRPr="002973F3">
        <w:rPr>
          <w:rFonts w:ascii="Times New Roman" w:eastAsia="MS PGothic" w:hAnsi="Times New Roman"/>
          <w:b/>
          <w:color w:val="000000" w:themeColor="text1"/>
          <w:sz w:val="24"/>
          <w:lang w:val="en-GB"/>
        </w:rPr>
        <w:t xml:space="preserve">1. </w:t>
      </w:r>
      <w:r w:rsidRPr="002973F3">
        <w:rPr>
          <w:rFonts w:ascii="Times New Roman" w:eastAsia="MS PGothic" w:hAnsi="Times New Roman"/>
          <w:i/>
          <w:color w:val="000000" w:themeColor="text1"/>
          <w:sz w:val="24"/>
          <w:lang w:val="en-GB"/>
        </w:rPr>
        <w:t>Maternal gut microbial diversity</w:t>
      </w:r>
    </w:p>
    <w:tbl>
      <w:tblPr>
        <w:tblW w:w="722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734"/>
        <w:gridCol w:w="1662"/>
        <w:gridCol w:w="2062"/>
        <w:gridCol w:w="1762"/>
      </w:tblGrid>
      <w:tr w:rsidR="005510DD" w:rsidRPr="002973F3" w:rsidTr="00D259B5">
        <w:trPr>
          <w:trHeight w:val="600"/>
        </w:trPr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Total</w:t>
            </w: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br/>
              <w:t>(n=51)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Males</w:t>
            </w: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br/>
              <w:t>(n=22)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Females</w:t>
            </w: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br/>
              <w:t>(n=29)</w:t>
            </w:r>
          </w:p>
        </w:tc>
      </w:tr>
      <w:tr w:rsidR="005510DD" w:rsidRPr="002973F3" w:rsidTr="00D259B5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Diversity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</w:tr>
      <w:tr w:rsidR="005510DD" w:rsidRPr="002973F3" w:rsidTr="00D259B5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Observed_OTUs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447 (115)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460.5 (145.25)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431 (134.5)</w:t>
            </w:r>
          </w:p>
        </w:tc>
      </w:tr>
      <w:tr w:rsidR="005510DD" w:rsidRPr="002973F3" w:rsidTr="00D259B5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Chao1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651 (192.1961)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694.6431 (248.1962)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622.6 (158.5299)</w:t>
            </w:r>
          </w:p>
        </w:tc>
      </w:tr>
      <w:tr w:rsidR="005510DD" w:rsidRPr="002973F3" w:rsidTr="00D259B5">
        <w:trPr>
          <w:trHeight w:val="300"/>
        </w:trPr>
        <w:tc>
          <w:tcPr>
            <w:tcW w:w="17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Shannon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4.5565 (0.403)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4.5694 (0.3798)</w:t>
            </w: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4.5456 (0.4896)</w:t>
            </w:r>
          </w:p>
        </w:tc>
      </w:tr>
    </w:tbl>
    <w:p w:rsidR="005510DD" w:rsidRPr="002973F3" w:rsidRDefault="005510DD" w:rsidP="005510DD">
      <w:pPr>
        <w:spacing w:line="360" w:lineRule="auto"/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t>Values are presented as median (interquartile range).</w:t>
      </w:r>
    </w:p>
    <w:p w:rsidR="005510DD" w:rsidRPr="002973F3" w:rsidRDefault="005510DD" w:rsidP="005510DD">
      <w:pPr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br w:type="page"/>
      </w:r>
    </w:p>
    <w:p w:rsidR="005510DD" w:rsidRPr="002973F3" w:rsidRDefault="005510DD" w:rsidP="005510DD">
      <w:pPr>
        <w:spacing w:line="360" w:lineRule="auto"/>
        <w:rPr>
          <w:rFonts w:ascii="Times New Roman" w:eastAsia="MS PGothic" w:hAnsi="Times New Roman"/>
          <w:i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b/>
          <w:color w:val="000000" w:themeColor="text1"/>
          <w:sz w:val="24"/>
          <w:lang w:val="en-GB"/>
        </w:rPr>
        <w:lastRenderedPageBreak/>
        <w:t xml:space="preserve">Supplemental Table </w:t>
      </w:r>
      <w:r>
        <w:rPr>
          <w:rFonts w:ascii="Times New Roman" w:eastAsia="MS PGothic" w:hAnsi="Times New Roman" w:hint="eastAsia"/>
          <w:b/>
          <w:color w:val="000000" w:themeColor="text1"/>
          <w:sz w:val="24"/>
          <w:lang w:val="en-GB"/>
        </w:rPr>
        <w:t>S</w:t>
      </w:r>
      <w:r w:rsidRPr="002973F3">
        <w:rPr>
          <w:rFonts w:ascii="Times New Roman" w:eastAsia="MS PGothic" w:hAnsi="Times New Roman"/>
          <w:b/>
          <w:color w:val="000000" w:themeColor="text1"/>
          <w:sz w:val="24"/>
          <w:lang w:val="en-GB"/>
        </w:rPr>
        <w:t xml:space="preserve">2. </w:t>
      </w:r>
      <w:r w:rsidRPr="00043169">
        <w:rPr>
          <w:rFonts w:ascii="Times New Roman" w:eastAsia="MS PGothic" w:hAnsi="Times New Roman"/>
          <w:i/>
          <w:color w:val="000000" w:themeColor="text1"/>
          <w:sz w:val="24"/>
        </w:rPr>
        <w:t>The</w:t>
      </w:r>
      <w:r w:rsidRPr="002973F3" w:rsidDel="00ED0DA9">
        <w:rPr>
          <w:rFonts w:ascii="Times New Roman" w:eastAsia="MS PGothic" w:hAnsi="Times New Roman"/>
          <w:i/>
          <w:color w:val="000000" w:themeColor="text1"/>
          <w:sz w:val="24"/>
          <w:lang w:val="en-GB"/>
        </w:rPr>
        <w:t xml:space="preserve"> </w:t>
      </w:r>
      <w:r>
        <w:rPr>
          <w:rFonts w:ascii="Times New Roman" w:eastAsia="MS PGothic" w:hAnsi="Times New Roman" w:hint="eastAsia"/>
          <w:i/>
          <w:color w:val="000000" w:themeColor="text1"/>
          <w:sz w:val="24"/>
          <w:lang w:val="en-GB"/>
        </w:rPr>
        <w:t>p</w:t>
      </w:r>
      <w:r w:rsidRPr="002973F3">
        <w:rPr>
          <w:rFonts w:ascii="Times New Roman" w:eastAsia="MS PGothic" w:hAnsi="Times New Roman"/>
          <w:i/>
          <w:color w:val="000000" w:themeColor="text1"/>
          <w:sz w:val="24"/>
          <w:lang w:val="en-GB"/>
        </w:rPr>
        <w:t xml:space="preserve">roportions of maternal gut microbiota at </w:t>
      </w:r>
      <w:r>
        <w:rPr>
          <w:rFonts w:ascii="Times New Roman" w:eastAsia="MS PGothic" w:hAnsi="Times New Roman" w:hint="eastAsia"/>
          <w:i/>
          <w:color w:val="000000" w:themeColor="text1"/>
          <w:sz w:val="24"/>
          <w:lang w:val="en-GB"/>
        </w:rPr>
        <w:t xml:space="preserve">the </w:t>
      </w:r>
      <w:r w:rsidRPr="002973F3">
        <w:rPr>
          <w:rFonts w:ascii="Times New Roman" w:eastAsia="MS PGothic" w:hAnsi="Times New Roman"/>
          <w:i/>
          <w:color w:val="000000" w:themeColor="text1"/>
          <w:sz w:val="24"/>
          <w:lang w:val="en-GB"/>
        </w:rPr>
        <w:t>phylum and genus level</w:t>
      </w:r>
      <w:r w:rsidRPr="000A63CC">
        <w:rPr>
          <w:rFonts w:ascii="Times New Roman" w:eastAsia="MS PGothic" w:hAnsi="Times New Roman" w:hint="eastAsia"/>
          <w:i/>
          <w:sz w:val="24"/>
          <w:lang w:val="en-GB"/>
        </w:rPr>
        <w:t>s</w:t>
      </w:r>
    </w:p>
    <w:tbl>
      <w:tblPr>
        <w:tblW w:w="7992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006"/>
        <w:gridCol w:w="1662"/>
        <w:gridCol w:w="1662"/>
        <w:gridCol w:w="1662"/>
      </w:tblGrid>
      <w:tr w:rsidR="005510DD" w:rsidRPr="002973F3" w:rsidTr="00D259B5">
        <w:trPr>
          <w:trHeight w:val="540"/>
        </w:trPr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Total</w:t>
            </w: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br/>
              <w:t>(n=51)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Males</w:t>
            </w: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br/>
              <w:t>(n=22)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Fem</w:t>
            </w:r>
            <w:r>
              <w:rPr>
                <w:rFonts w:ascii="Times New Roman" w:eastAsia="MS PGothic" w:hAnsi="Times New Roman" w:hint="eastAsia"/>
                <w:color w:val="000000" w:themeColor="text1"/>
                <w:sz w:val="20"/>
                <w:szCs w:val="20"/>
                <w:lang w:val="en-GB"/>
              </w:rPr>
              <w:t>a</w:t>
            </w: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les</w:t>
            </w: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br/>
              <w:t>(n=29)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Phylum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Actinobacteria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0.1362 (0.1349)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0.1446 (0.125)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0.1241 (0.1329)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Bacteroidetes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0.1887 (0.1387)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0.1412 (0.1601)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0.2018 (0.1501)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Firmicutes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0.6467 (0.1389)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0.6878 (0.1293)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0.6082 (0.0985)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Proteobacteria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0.0083 (0.0117)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0.007 (0.0079)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0.0103 (0.0116)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Genus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Actinomyces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0.0006 (0.0006)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0.0007 (0.0006)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0.0005 (0.0007)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Rothia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(0.0004)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Bifidobacterium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0.1082 (0.0996)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0.1123 (0.1078)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0.1082 (0.1261)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Coriobacteriaceae unclassified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0.0003 (0.0014)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0.0003 (0.0021)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0.0002 (0.0013)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Adlercreutzia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0.0002 (0.0012)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0.0003 (0.0012)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0.0002 (0.0012)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Collinsella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0.0164 (0.0442)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0.0188 (0.0523)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0.013 (0.0384)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Eggerthella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0.0008 (0.0023)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0.0005 (0.0026)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0.0011 (0.0022)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Bacteroides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0.1178 (0.1391)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0.1085 (0.1322)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0.151 (0.1766)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Parabacteroides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0.0071 (0.0117)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0.0067 (0.0077)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0.0074 (0.0163)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Prevotella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(0.0074)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0.0003 (0.0116)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(0.0016)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Rikenellaceae unclassified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0.0035 (0.0078)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0.0036 (0.0069)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0.0032 (0.0097)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Alistipes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0.0003 (0.0013)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 (0.001)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Barnesiellaceae unclassified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0.0007 (0.0035)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0.0006 (0.0034)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0.0007 (0.0038)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Odoribacter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0.0007 (0.0012)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0.0006 (0.0006)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0.0008 (0.0014)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Granulicatella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(0.0004)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Lactobacillus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0.0003 (0.0008)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0.0003 (0.0007)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0.0003 (0.0016)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Lactococcus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(0.0003)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Streptococcus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0.016 (0.0292)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0.0119 (0.0164)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0.0185 (0.0451)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lastRenderedPageBreak/>
              <w:t>Turicibacter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0.0003 (0.0006)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(0.0006)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Christensenellaceae unclassified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0.0002 (0.0009)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0.0004 (0.0012)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 (0.0006)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G 02d06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(0.0005)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 (0.0004)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(0.0006)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Clostridiaceae Clostridium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0.0032 (0.0061)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0.0026 (0.0065)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0.0042 (0.0063)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SMB53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0.003 (0.0058)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0.0031 (0.0052)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0.0027 (0.007)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Lachnospiraceae unclassified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0.0859 (0.0711)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0.0691 (0.0658)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0.0946 (0.0731)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Anaerostipes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0.0026 (0.0066)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0.0031 (0.006)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0.0015 (0.0067)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Blautia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0.1062 (0.0588)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0.1207 (0.0629)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0.0944 (0.0655)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Lachnospiraceae Clostridium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0.0004 (0.0009)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0.0004 (0.0008)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0.0004 (0.0009)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Coprococcus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0.0211 (0.0256)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0.0231 (0.0213)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0.0197 (0.0306)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Dorea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0.0232 (0.0194)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0.0236 (0.0181)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0.0232 (0.0202)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Lachnobacterium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0.0004 (0.0012)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0.0007 (0.0016)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0.0002 (0.0011)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Lachnospira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0.0059 (0.012)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0.0065 (0.0095)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0.0052 (0.0125)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Roseburia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0.0075 (0.0211)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0.0137 (0.0301)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0.0065 (0.0151)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Lachnospiraceae Ruminococcus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0.0281 (0.033)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0.0245 (0.0324)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0.0302 (0.0319)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Ruminococcaceae unclassified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0.0241 (0.0369)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0.0241 (0.0623)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0.0252 (0.03)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Butyricicoccus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0.003 (0.004)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0.0028 (0.0039)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0.003 (0.0042)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Faecalibacterium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0.0353 (0.0669)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0.0286 (0.0446)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0.0499 (0.0861)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Oscillospira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0.0147 (0.0172)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0.0174 (0.0239)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0.0113 (0.0164)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Ruminococcus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0.0464 (0.1142)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0.0928 (0.1034)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0.0174 (0.1)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Dialister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0.0005 (0.0053)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0.0016 (0.0116)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0.0003 (0.0009)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Phascolarctobacterium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0.0028 (0.008)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0.0031 (0.0102)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0.0028 (0.0071)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Veillonella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0.0002 (0.0022)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0.0006 (0.0065)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Mogibacteriaceae unclassified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0.0018 (0.0036)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0.0025 (0.0039)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0.0016 (0.0034)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Erysipelotrichaceae unclassified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0.0048 (0.0121)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0.0053 (0.0113)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0.0044 (0.0154)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Erysipelotrichaceae Clostridium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0.0005 (0.0027)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0.0004 (0.0028)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0.0006 (0.0025)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Coprobacillus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0.0004 (0.0015)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0.0006 (0.0036)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0.0004 (0.0014)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lastRenderedPageBreak/>
              <w:t>Holdemania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0.0002 (0.0003)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(0.0002)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Eubacterium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0.0027 (0.0059)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0.0023 (0.0353)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0.0033 (0.005)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cc 115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0.0002 (0.0013)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0.0003 (0.0012)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0.0001 (0.0018)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Sutterella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0.0024 (0.0049)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0.0016 (0.0038)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0.0029 (0.0063)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Bilophila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0.0009 (0.0021)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0.0007 (0.0016)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0.0012 (0.0021)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Trabulsiella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0.0011 (0.005)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0.0006 (0.0013)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0.0021 (0.0051)</w:t>
            </w:r>
          </w:p>
        </w:tc>
      </w:tr>
      <w:tr w:rsidR="005510DD" w:rsidRPr="002973F3" w:rsidTr="00D259B5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unassigned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0.0076 (0.0133)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0.0084 (0.0197)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0.0066 (0.0113)</w:t>
            </w:r>
          </w:p>
        </w:tc>
      </w:tr>
    </w:tbl>
    <w:p w:rsidR="005510DD" w:rsidRPr="002973F3" w:rsidRDefault="005510DD" w:rsidP="005510DD">
      <w:pPr>
        <w:spacing w:line="480" w:lineRule="exact"/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t>Values are presented as median (interquartile range).</w:t>
      </w:r>
    </w:p>
    <w:p w:rsidR="005510DD" w:rsidRPr="002973F3" w:rsidRDefault="005510DD" w:rsidP="005510DD">
      <w:pPr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br w:type="page"/>
      </w:r>
    </w:p>
    <w:p w:rsidR="005510DD" w:rsidRPr="002973F3" w:rsidRDefault="005510DD" w:rsidP="005510DD">
      <w:pPr>
        <w:spacing w:line="360" w:lineRule="auto"/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b/>
          <w:color w:val="000000" w:themeColor="text1"/>
          <w:sz w:val="24"/>
          <w:lang w:val="en-GB"/>
        </w:rPr>
        <w:lastRenderedPageBreak/>
        <w:t xml:space="preserve">Supplemental Table </w:t>
      </w:r>
      <w:r>
        <w:rPr>
          <w:rFonts w:ascii="Times New Roman" w:eastAsia="MS PGothic" w:hAnsi="Times New Roman" w:hint="eastAsia"/>
          <w:b/>
          <w:color w:val="000000" w:themeColor="text1"/>
          <w:sz w:val="24"/>
          <w:lang w:val="en-GB"/>
        </w:rPr>
        <w:t>S</w:t>
      </w:r>
      <w:r w:rsidRPr="002973F3">
        <w:rPr>
          <w:rFonts w:ascii="Times New Roman" w:eastAsia="MS PGothic" w:hAnsi="Times New Roman"/>
          <w:b/>
          <w:color w:val="000000" w:themeColor="text1"/>
          <w:sz w:val="24"/>
          <w:lang w:val="en-GB"/>
        </w:rPr>
        <w:t xml:space="preserve">3. </w:t>
      </w:r>
      <w:r w:rsidRPr="002973F3">
        <w:rPr>
          <w:rFonts w:ascii="Times New Roman" w:eastAsia="MS PGothic" w:hAnsi="Times New Roman"/>
          <w:i/>
          <w:color w:val="000000" w:themeColor="text1"/>
          <w:sz w:val="24"/>
          <w:lang w:val="en-GB"/>
        </w:rPr>
        <w:t>Correlation between phylum of maternal microbiota and newborn anthropometrics</w:t>
      </w:r>
    </w:p>
    <w:tbl>
      <w:tblPr>
        <w:tblW w:w="7813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556"/>
        <w:gridCol w:w="995"/>
        <w:gridCol w:w="928"/>
        <w:gridCol w:w="995"/>
        <w:gridCol w:w="928"/>
        <w:gridCol w:w="1134"/>
        <w:gridCol w:w="1277"/>
      </w:tblGrid>
      <w:tr w:rsidR="005510DD" w:rsidRPr="002973F3" w:rsidTr="00D259B5">
        <w:trPr>
          <w:trHeight w:val="315"/>
        </w:trPr>
        <w:tc>
          <w:tcPr>
            <w:tcW w:w="15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Height SDS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Weight SDS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Head circumference SDS</w:t>
            </w:r>
          </w:p>
        </w:tc>
      </w:tr>
      <w:tr w:rsidR="005510DD" w:rsidRPr="002973F3" w:rsidTr="00D259B5">
        <w:trPr>
          <w:trHeight w:val="300"/>
        </w:trPr>
        <w:tc>
          <w:tcPr>
            <w:tcW w:w="15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</w:t>
            </w:r>
            <w:r>
              <w:rPr>
                <w:rFonts w:ascii="Times New Roman" w:eastAsia="MS PGothic" w:hAnsi="Times New Roman"/>
                <w:iCs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</w:t>
            </w:r>
            <w:r>
              <w:rPr>
                <w:rFonts w:ascii="Times New Roman" w:eastAsia="MS PGothic" w:hAnsi="Times New Roman"/>
                <w:iCs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</w:t>
            </w:r>
            <w:r>
              <w:rPr>
                <w:rFonts w:ascii="Times New Roman" w:eastAsia="MS PGothic" w:hAnsi="Times New Roman"/>
                <w:iCs/>
                <w:color w:val="000000" w:themeColor="text1"/>
                <w:sz w:val="20"/>
                <w:szCs w:val="20"/>
              </w:rPr>
              <w:t xml:space="preserve"> value</w:t>
            </w:r>
          </w:p>
        </w:tc>
      </w:tr>
      <w:tr w:rsidR="005510DD" w:rsidRPr="002973F3" w:rsidTr="00D259B5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Males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</w:tr>
      <w:tr w:rsidR="005510DD" w:rsidRPr="002973F3" w:rsidTr="00D259B5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Actinobacteria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-0.221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0.322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0.073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0.747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-0.072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0.749 </w:t>
            </w:r>
          </w:p>
        </w:tc>
      </w:tr>
      <w:tr w:rsidR="005510DD" w:rsidRPr="002973F3" w:rsidTr="00D259B5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Bacteroidetes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0.037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0.869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0.112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0.619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-0.243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0.275 </w:t>
            </w:r>
          </w:p>
        </w:tc>
      </w:tr>
      <w:tr w:rsidR="005510DD" w:rsidRPr="002973F3" w:rsidTr="00D259B5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Firmicutes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0.104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0.644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-0.212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0.344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0.295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0.183 </w:t>
            </w:r>
          </w:p>
        </w:tc>
      </w:tr>
      <w:tr w:rsidR="005510DD" w:rsidRPr="002973F3" w:rsidTr="00D259B5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Proteobacteria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-0.037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0.871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0.033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0.885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0.355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0.105 </w:t>
            </w:r>
          </w:p>
        </w:tc>
      </w:tr>
      <w:tr w:rsidR="005510DD" w:rsidRPr="002973F3" w:rsidTr="00D259B5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Females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</w:tr>
      <w:tr w:rsidR="005510DD" w:rsidRPr="002973F3" w:rsidTr="00D259B5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Actinobacteria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-0.155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0.423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0.007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0.970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0.055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0.778 </w:t>
            </w:r>
          </w:p>
        </w:tc>
      </w:tr>
      <w:tr w:rsidR="005510DD" w:rsidRPr="002973F3" w:rsidTr="00D259B5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Bacteroidetes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0.037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0.850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-0.077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0.690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-0.177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0.359 </w:t>
            </w:r>
          </w:p>
        </w:tc>
      </w:tr>
      <w:tr w:rsidR="005510DD" w:rsidRPr="002973F3" w:rsidTr="00D259B5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Firmicutes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0.998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0.102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0.597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0.132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0.495 </w:t>
            </w:r>
          </w:p>
        </w:tc>
      </w:tr>
      <w:tr w:rsidR="005510DD" w:rsidRPr="002973F3" w:rsidTr="00D259B5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Proteobacteria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-0.159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0.410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-0.254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-0.251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0.189 </w:t>
            </w:r>
          </w:p>
        </w:tc>
      </w:tr>
    </w:tbl>
    <w:p w:rsidR="005510DD" w:rsidRPr="002973F3" w:rsidRDefault="005510DD" w:rsidP="005510DD">
      <w:pPr>
        <w:spacing w:line="480" w:lineRule="exact"/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i/>
          <w:color w:val="000000" w:themeColor="text1"/>
          <w:sz w:val="24"/>
          <w:lang w:val="en-GB"/>
        </w:rPr>
        <w:t>r</w:t>
      </w: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t xml:space="preserve"> Values indicate Spearman’s rank correlation coefficients.</w:t>
      </w:r>
    </w:p>
    <w:p w:rsidR="005510DD" w:rsidRPr="002973F3" w:rsidRDefault="005510DD" w:rsidP="005510DD">
      <w:pPr>
        <w:spacing w:line="480" w:lineRule="exact"/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t>SDS: standard deviation score</w:t>
      </w:r>
    </w:p>
    <w:p w:rsidR="005510DD" w:rsidRPr="002973F3" w:rsidRDefault="005510DD" w:rsidP="005510DD">
      <w:pPr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br w:type="page"/>
      </w:r>
    </w:p>
    <w:p w:rsidR="005510DD" w:rsidRPr="002973F3" w:rsidRDefault="005510DD" w:rsidP="005510DD">
      <w:pPr>
        <w:spacing w:line="360" w:lineRule="auto"/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b/>
          <w:color w:val="000000" w:themeColor="text1"/>
          <w:sz w:val="24"/>
          <w:lang w:val="en-GB"/>
        </w:rPr>
        <w:lastRenderedPageBreak/>
        <w:t xml:space="preserve">Supplemental Table </w:t>
      </w:r>
      <w:r>
        <w:rPr>
          <w:rFonts w:ascii="Times New Roman" w:eastAsia="MS PGothic" w:hAnsi="Times New Roman" w:hint="eastAsia"/>
          <w:b/>
          <w:color w:val="000000" w:themeColor="text1"/>
          <w:sz w:val="24"/>
          <w:lang w:val="en-GB"/>
        </w:rPr>
        <w:t>S</w:t>
      </w:r>
      <w:r w:rsidRPr="002973F3">
        <w:rPr>
          <w:rFonts w:ascii="Times New Roman" w:eastAsia="MS PGothic" w:hAnsi="Times New Roman"/>
          <w:b/>
          <w:color w:val="000000" w:themeColor="text1"/>
          <w:sz w:val="24"/>
          <w:lang w:val="en-GB"/>
        </w:rPr>
        <w:t xml:space="preserve">4. </w:t>
      </w:r>
      <w:r w:rsidRPr="00043169">
        <w:rPr>
          <w:rFonts w:ascii="Times New Roman" w:eastAsia="MS PGothic" w:hAnsi="Times New Roman"/>
          <w:i/>
          <w:color w:val="000000" w:themeColor="text1"/>
          <w:sz w:val="24"/>
        </w:rPr>
        <w:t xml:space="preserve">The </w:t>
      </w:r>
      <w:r>
        <w:rPr>
          <w:rFonts w:ascii="Times New Roman" w:eastAsia="MS PGothic" w:hAnsi="Times New Roman" w:hint="eastAsia"/>
          <w:i/>
          <w:color w:val="000000" w:themeColor="text1"/>
          <w:sz w:val="24"/>
          <w:lang w:val="en-GB"/>
        </w:rPr>
        <w:t>c</w:t>
      </w:r>
      <w:r w:rsidRPr="002973F3">
        <w:rPr>
          <w:rFonts w:ascii="Times New Roman" w:eastAsia="MS PGothic" w:hAnsi="Times New Roman"/>
          <w:i/>
          <w:color w:val="000000" w:themeColor="text1"/>
          <w:sz w:val="24"/>
          <w:lang w:val="en-GB"/>
        </w:rPr>
        <w:t>oncentrations of SCFAs (μmol/g) in maternal stool</w:t>
      </w:r>
    </w:p>
    <w:tbl>
      <w:tblPr>
        <w:tblW w:w="6764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278"/>
        <w:gridCol w:w="1762"/>
        <w:gridCol w:w="1862"/>
        <w:gridCol w:w="1862"/>
      </w:tblGrid>
      <w:tr w:rsidR="005510DD" w:rsidRPr="002973F3" w:rsidTr="00D259B5">
        <w:trPr>
          <w:trHeight w:val="540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Total</w:t>
            </w: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br/>
              <w:t>(n=51)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Males</w:t>
            </w: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br/>
              <w:t>(n=22)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Females</w:t>
            </w: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br/>
              <w:t>(n=29)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Acetate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13.2101 (11.402)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11.8935 (13.9822)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13.4124 (10.5469)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Propionate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8.3711 (4.6422)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8.2957 (5.0118)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8.3711 (4.9085)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Isobutyrate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0.4764 (0.6748)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0.4787 (0.8834)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0.4619 (0.5699)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Butyrate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3.485 (2.7268)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3.9757 (3.4219)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3.3759 (2.3978)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Isovalerate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0.1536 (0.3672)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0.1585 (0.41)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0.1498 (0.3256)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Valerate</w:t>
            </w: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0.2459 (0.5144)</w:t>
            </w:r>
          </w:p>
        </w:tc>
        <w:tc>
          <w:tcPr>
            <w:tcW w:w="18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0.2556 (0.481)</w:t>
            </w:r>
          </w:p>
        </w:tc>
        <w:tc>
          <w:tcPr>
            <w:tcW w:w="18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0.2459 (0.5854)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Hexanoate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0.0209 (0.0354)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0.0213 (0.1057)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0DD" w:rsidRPr="002973F3" w:rsidRDefault="005510DD" w:rsidP="00D259B5">
            <w:pPr>
              <w:jc w:val="right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0.0206 (0.0311)</w:t>
            </w:r>
          </w:p>
        </w:tc>
      </w:tr>
    </w:tbl>
    <w:p w:rsidR="005510DD" w:rsidRPr="002973F3" w:rsidRDefault="005510DD" w:rsidP="005510DD">
      <w:pPr>
        <w:spacing w:line="480" w:lineRule="exact"/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t>Values are presented as median (interquartile range).</w:t>
      </w:r>
    </w:p>
    <w:p w:rsidR="005510DD" w:rsidRPr="002973F3" w:rsidRDefault="005510DD" w:rsidP="005510DD">
      <w:pPr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br w:type="page"/>
      </w:r>
    </w:p>
    <w:p w:rsidR="005510DD" w:rsidRPr="002973F3" w:rsidRDefault="005510DD" w:rsidP="005510DD">
      <w:pPr>
        <w:spacing w:line="360" w:lineRule="auto"/>
        <w:rPr>
          <w:rFonts w:ascii="Times New Roman" w:eastAsia="MS PGothic" w:hAnsi="Times New Roman"/>
          <w:i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b/>
          <w:color w:val="000000" w:themeColor="text1"/>
          <w:sz w:val="24"/>
          <w:lang w:val="en-GB"/>
        </w:rPr>
        <w:lastRenderedPageBreak/>
        <w:t xml:space="preserve">Supplemental Table </w:t>
      </w:r>
      <w:r>
        <w:rPr>
          <w:rFonts w:ascii="Times New Roman" w:eastAsia="MS PGothic" w:hAnsi="Times New Roman" w:hint="eastAsia"/>
          <w:b/>
          <w:color w:val="000000" w:themeColor="text1"/>
          <w:sz w:val="24"/>
          <w:lang w:val="en-GB"/>
        </w:rPr>
        <w:t>S</w:t>
      </w:r>
      <w:r w:rsidRPr="002973F3">
        <w:rPr>
          <w:rFonts w:ascii="Times New Roman" w:eastAsia="MS PGothic" w:hAnsi="Times New Roman"/>
          <w:b/>
          <w:color w:val="000000" w:themeColor="text1"/>
          <w:sz w:val="24"/>
          <w:lang w:val="en-GB"/>
        </w:rPr>
        <w:t xml:space="preserve">5. </w:t>
      </w:r>
      <w:r w:rsidRPr="002973F3">
        <w:rPr>
          <w:rFonts w:ascii="Times New Roman" w:eastAsia="MS PGothic" w:hAnsi="Times New Roman"/>
          <w:i/>
          <w:color w:val="000000" w:themeColor="text1"/>
          <w:sz w:val="24"/>
          <w:lang w:val="en-GB"/>
        </w:rPr>
        <w:t>Correlation between maternal SCFAs in stoo</w:t>
      </w:r>
      <w:r w:rsidRPr="000A63CC">
        <w:rPr>
          <w:rFonts w:ascii="Times New Roman" w:eastAsia="MS PGothic" w:hAnsi="Times New Roman"/>
          <w:i/>
          <w:sz w:val="24"/>
          <w:lang w:val="en-GB"/>
        </w:rPr>
        <w:t>l a</w:t>
      </w:r>
      <w:r w:rsidRPr="002973F3">
        <w:rPr>
          <w:rFonts w:ascii="Times New Roman" w:eastAsia="MS PGothic" w:hAnsi="Times New Roman"/>
          <w:i/>
          <w:color w:val="000000" w:themeColor="text1"/>
          <w:sz w:val="24"/>
          <w:lang w:val="en-GB"/>
        </w:rPr>
        <w:t>nd newborn anthropometrics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278"/>
        <w:gridCol w:w="1112"/>
        <w:gridCol w:w="1113"/>
        <w:gridCol w:w="1112"/>
        <w:gridCol w:w="1113"/>
        <w:gridCol w:w="1233"/>
        <w:gridCol w:w="1134"/>
      </w:tblGrid>
      <w:tr w:rsidR="005510DD" w:rsidRPr="002973F3" w:rsidTr="00D259B5">
        <w:trPr>
          <w:trHeight w:val="315"/>
        </w:trPr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Height SDS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Weight SDS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Head circumference SDS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</w:t>
            </w:r>
            <w:r>
              <w:rPr>
                <w:rFonts w:ascii="Times New Roman" w:eastAsia="MS PGothic" w:hAnsi="Times New Roman"/>
                <w:iCs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</w:t>
            </w:r>
            <w:r>
              <w:rPr>
                <w:rFonts w:ascii="Times New Roman" w:eastAsia="MS PGothic" w:hAnsi="Times New Roman"/>
                <w:iCs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</w:t>
            </w:r>
            <w:r>
              <w:rPr>
                <w:rFonts w:ascii="Times New Roman" w:eastAsia="MS PGothic" w:hAnsi="Times New Roman"/>
                <w:iCs/>
                <w:color w:val="000000" w:themeColor="text1"/>
                <w:sz w:val="20"/>
                <w:szCs w:val="20"/>
              </w:rPr>
              <w:t xml:space="preserve"> value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Males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Acetate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-0.006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0.980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-0.276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0.214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0.459 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Propionate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0.249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0.265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-0.200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0.371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0.921 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Isobutyrate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0.064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0.778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-0.354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0.106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-0.115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0.611 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Butyrate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0.005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0.982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-0.357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0.102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0.286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0.197 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Isovalerate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-0.007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0.975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-0.251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0.261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-0.138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0.540 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Valerate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0.069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0.759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-0.181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0.420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0.844 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Hexanoate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-0.025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0.913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0.040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0.859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0.463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0.030 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Females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0DD" w:rsidRPr="002973F3" w:rsidRDefault="005510DD" w:rsidP="00D259B5">
            <w:pPr>
              <w:jc w:val="center"/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Arial" w:eastAsia="MS PGothic" w:hAnsi="Arial" w:cs="Arial"/>
                <w:color w:val="000000" w:themeColor="text1"/>
                <w:sz w:val="20"/>
                <w:szCs w:val="20"/>
                <w:lang w:val="en-GB"/>
              </w:rPr>
              <w:t xml:space="preserve">　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Acetate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-0.158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0.413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-0.037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0.849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0.764 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Propionate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-0.099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0.610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-0.083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0.668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0.921 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Isobutyrate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-0.003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0.987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-0.231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0.229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-0.349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0.064 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Butyrate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-0.086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0.657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-0.121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0.531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0.764 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Isovalerate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-0.038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0.844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-0.127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0.512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-0.265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0.165 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Valerate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0.048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0.804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0.009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0.962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-0.028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0.887 </w:t>
            </w:r>
          </w:p>
        </w:tc>
      </w:tr>
      <w:tr w:rsidR="005510DD" w:rsidRPr="002973F3" w:rsidTr="00D259B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>Hexanoate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0.448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0.015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0.161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0.405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0.052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0DD" w:rsidRPr="002973F3" w:rsidRDefault="005510DD" w:rsidP="00D259B5">
            <w:pPr>
              <w:jc w:val="center"/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973F3">
              <w:rPr>
                <w:rFonts w:ascii="Times New Roman" w:eastAsia="MS PGothic" w:hAnsi="Times New Roman"/>
                <w:color w:val="000000" w:themeColor="text1"/>
                <w:sz w:val="20"/>
                <w:szCs w:val="20"/>
                <w:lang w:val="en-GB"/>
              </w:rPr>
              <w:t xml:space="preserve">0.790 </w:t>
            </w:r>
          </w:p>
        </w:tc>
      </w:tr>
    </w:tbl>
    <w:p w:rsidR="005510DD" w:rsidRPr="002973F3" w:rsidRDefault="005510DD" w:rsidP="005510DD">
      <w:pPr>
        <w:spacing w:line="480" w:lineRule="exact"/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i/>
          <w:color w:val="000000" w:themeColor="text1"/>
          <w:sz w:val="24"/>
          <w:lang w:val="en-GB"/>
        </w:rPr>
        <w:t>r</w:t>
      </w: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t xml:space="preserve"> Values indicate Spearman’s rank correlation coefficients.</w:t>
      </w:r>
    </w:p>
    <w:p w:rsidR="005510DD" w:rsidRPr="002973F3" w:rsidRDefault="005510DD" w:rsidP="005510DD">
      <w:pPr>
        <w:spacing w:line="480" w:lineRule="exact"/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t xml:space="preserve">Significant </w:t>
      </w:r>
      <w:r w:rsidRPr="002973F3">
        <w:rPr>
          <w:rFonts w:ascii="Times New Roman" w:eastAsia="MS PGothic" w:hAnsi="Times New Roman"/>
          <w:i/>
          <w:color w:val="000000" w:themeColor="text1"/>
          <w:sz w:val="24"/>
          <w:lang w:val="en-GB"/>
        </w:rPr>
        <w:t>p</w:t>
      </w: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t xml:space="preserve"> values (</w:t>
      </w:r>
      <w:r w:rsidRPr="002973F3">
        <w:rPr>
          <w:rFonts w:ascii="Times New Roman" w:eastAsia="MS PGothic" w:hAnsi="Times New Roman"/>
          <w:i/>
          <w:color w:val="000000" w:themeColor="text1"/>
          <w:sz w:val="24"/>
          <w:lang w:val="en-GB"/>
        </w:rPr>
        <w:t>p</w:t>
      </w: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t xml:space="preserve"> &lt; 0.05) are shown in bold.</w:t>
      </w:r>
    </w:p>
    <w:p w:rsidR="005510DD" w:rsidRPr="002973F3" w:rsidRDefault="005510DD" w:rsidP="005510DD">
      <w:pPr>
        <w:spacing w:line="480" w:lineRule="exact"/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t>SCFAs: short-chain fatty acids</w:t>
      </w:r>
    </w:p>
    <w:p w:rsidR="005510DD" w:rsidRPr="002973F3" w:rsidRDefault="005510DD" w:rsidP="005510DD">
      <w:pPr>
        <w:spacing w:line="480" w:lineRule="exact"/>
        <w:rPr>
          <w:rFonts w:ascii="Times New Roman" w:eastAsia="MS PGothic" w:hAnsi="Times New Roman"/>
          <w:color w:val="000000" w:themeColor="text1"/>
          <w:sz w:val="24"/>
          <w:lang w:val="en-GB"/>
        </w:rPr>
      </w:pPr>
      <w:r w:rsidRPr="002973F3">
        <w:rPr>
          <w:rFonts w:ascii="Times New Roman" w:eastAsia="MS PGothic" w:hAnsi="Times New Roman"/>
          <w:color w:val="000000" w:themeColor="text1"/>
          <w:sz w:val="24"/>
          <w:lang w:val="en-GB"/>
        </w:rPr>
        <w:t>SDS: standard deviation score</w:t>
      </w:r>
    </w:p>
    <w:p w:rsidR="00AF3565" w:rsidRPr="005510DD" w:rsidRDefault="00AF3565" w:rsidP="005510DD"/>
    <w:sectPr w:rsidR="00AF3565" w:rsidRPr="005510DD" w:rsidSect="00AF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3F2E9A"/>
    <w:rsid w:val="0011034D"/>
    <w:rsid w:val="003F2E9A"/>
    <w:rsid w:val="005510DD"/>
    <w:rsid w:val="00AF3565"/>
    <w:rsid w:val="00BE06B3"/>
    <w:rsid w:val="00DF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E9A"/>
    <w:pPr>
      <w:spacing w:after="0" w:line="240" w:lineRule="auto"/>
    </w:pPr>
    <w:rPr>
      <w:rFonts w:ascii="Calibri" w:eastAsia="Times New Roman" w:hAnsi="Calibri" w:cs="Lath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ootnote">
    <w:name w:val="TableFootnote"/>
    <w:rsid w:val="003F2E9A"/>
    <w:pPr>
      <w:ind w:left="720"/>
    </w:pPr>
    <w:rPr>
      <w:rFonts w:ascii="Calibri" w:eastAsia="Times New Roman" w:hAnsi="Calibri" w:cs="Lath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Surendran.M</dc:creator>
  <cp:lastModifiedBy>Surendran.M</cp:lastModifiedBy>
  <cp:revision>2</cp:revision>
  <dcterms:created xsi:type="dcterms:W3CDTF">2019-04-23T12:01:00Z</dcterms:created>
  <dcterms:modified xsi:type="dcterms:W3CDTF">2019-04-23T12:16:00Z</dcterms:modified>
</cp:coreProperties>
</file>