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06" w:rsidRPr="00A60D8B" w:rsidRDefault="003A278C" w:rsidP="006B7A80">
      <w:pPr>
        <w:spacing w:after="160" w:line="480" w:lineRule="auto"/>
        <w:rPr>
          <w:rFonts w:ascii="Times New Roman" w:hAnsi="Times New Roman"/>
        </w:rPr>
      </w:pPr>
      <w:r>
        <w:rPr>
          <w:rFonts w:ascii="Times New Roman" w:eastAsia="Times New Roman,Times New Roman" w:hAnsi="Times New Roman"/>
        </w:rPr>
        <w:t>S5</w:t>
      </w:r>
      <w:r w:rsidR="00B23804">
        <w:rPr>
          <w:rFonts w:ascii="Times New Roman" w:eastAsia="Times New Roman,Times New Roman" w:hAnsi="Times New Roman"/>
        </w:rPr>
        <w:t>.</w:t>
      </w:r>
      <w:r w:rsidR="00B23804" w:rsidRPr="2F00268E">
        <w:rPr>
          <w:rFonts w:ascii="Times New Roman" w:eastAsia="Times New Roman,Times New Roman" w:hAnsi="Times New Roman"/>
        </w:rPr>
        <w:t xml:space="preserve"> Summary of GLMM</w:t>
      </w:r>
      <w:r w:rsidR="009E6834">
        <w:rPr>
          <w:rFonts w:ascii="Times New Roman" w:eastAsia="Times New Roman,Times New Roman" w:hAnsi="Times New Roman"/>
        </w:rPr>
        <w:t>s</w:t>
      </w:r>
      <w:r w:rsidR="00B23804" w:rsidRPr="2F00268E">
        <w:rPr>
          <w:rFonts w:ascii="Times New Roman" w:eastAsia="Times New Roman,Times New Roman" w:hAnsi="Times New Roman"/>
        </w:rPr>
        <w:t xml:space="preserve"> with negative binomial distribution of </w:t>
      </w:r>
      <w:r w:rsidR="00B23804" w:rsidRPr="2F00268E">
        <w:rPr>
          <w:rFonts w:ascii="Times New Roman" w:eastAsia="Times New Roman,Times New Roman" w:hAnsi="Times New Roman"/>
          <w:i/>
          <w:iCs/>
        </w:rPr>
        <w:t xml:space="preserve">E. erecta </w:t>
      </w:r>
      <w:r w:rsidR="00B23804">
        <w:rPr>
          <w:rFonts w:ascii="Times New Roman" w:eastAsia="Times New Roman,Times New Roman" w:hAnsi="Times New Roman"/>
        </w:rPr>
        <w:t xml:space="preserve">percent cover in response to management treatment and (+/-) </w:t>
      </w:r>
      <w:r w:rsidR="00B23804">
        <w:rPr>
          <w:rFonts w:ascii="Times New Roman" w:eastAsia="Times New Roman,Times New Roman" w:hAnsi="Times New Roman"/>
          <w:i/>
        </w:rPr>
        <w:t>C. douglasii</w:t>
      </w:r>
      <w:r w:rsidR="00B23804">
        <w:rPr>
          <w:rFonts w:ascii="Times New Roman" w:eastAsia="Times New Roman,Times New Roman" w:hAnsi="Times New Roman"/>
        </w:rPr>
        <w:t xml:space="preserve"> addition.</w:t>
      </w:r>
      <w:r w:rsidR="00B23804" w:rsidRPr="2F00268E">
        <w:rPr>
          <w:rFonts w:ascii="Times New Roman" w:eastAsia="Times New Roman,Times New Roman" w:hAnsi="Times New Roman"/>
        </w:rPr>
        <w:t xml:space="preserve"> </w:t>
      </w:r>
      <w:r w:rsidR="00560A06">
        <w:rPr>
          <w:rFonts w:ascii="Times New Roman" w:eastAsia="Times New Roman,Times New Roman" w:hAnsi="Times New Roman"/>
        </w:rPr>
        <w:t xml:space="preserve"> </w:t>
      </w:r>
      <w:r w:rsidR="00560A06">
        <w:rPr>
          <w:rFonts w:ascii="Times New Roman" w:hAnsi="Times New Roman"/>
        </w:rPr>
        <w:t>To help model convergence, in the 2014 model we used an orthogonal set of contrasts and did not use initi</w:t>
      </w:r>
      <w:r w:rsidR="00FC4AAC">
        <w:rPr>
          <w:rFonts w:ascii="Times New Roman" w:hAnsi="Times New Roman"/>
        </w:rPr>
        <w:t>al optimization</w:t>
      </w:r>
      <w:r w:rsidR="00560A06">
        <w:rPr>
          <w:rFonts w:ascii="Times New Roman" w:hAnsi="Times New Roman"/>
        </w:rPr>
        <w:t xml:space="preserve"> to achieve better initial estimates of the fixed parameter</w:t>
      </w:r>
      <w:r w:rsidR="00FC4AAC">
        <w:rPr>
          <w:rFonts w:ascii="Times New Roman" w:hAnsi="Times New Roman"/>
        </w:rPr>
        <w:t>s</w:t>
      </w:r>
      <w:r w:rsidR="00560A06">
        <w:rPr>
          <w:rFonts w:ascii="Times New Roman" w:hAnsi="Times New Roman"/>
        </w:rPr>
        <w:t xml:space="preserve">. </w:t>
      </w:r>
      <w:r w:rsidR="00B16B47">
        <w:rPr>
          <w:rFonts w:ascii="Times New Roman" w:hAnsi="Times New Roman"/>
        </w:rPr>
        <w:t>Table shows least squared means contrasts between planted and unplanted subplots within each treatment.</w:t>
      </w:r>
      <w:bookmarkStart w:id="0" w:name="_GoBack"/>
      <w:bookmarkEnd w:id="0"/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B23804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 xml:space="preserve">GLMM for </w:t>
            </w:r>
            <w:r w:rsidRPr="2F00268E">
              <w:rPr>
                <w:rFonts w:ascii="Times" w:hAnsi="Times"/>
                <w:i/>
                <w:iCs/>
              </w:rPr>
              <w:t xml:space="preserve">E. erecta </w:t>
            </w:r>
            <w:r>
              <w:rPr>
                <w:rFonts w:ascii="Times" w:hAnsi="Times"/>
              </w:rPr>
              <w:t>cover Oct</w:t>
            </w:r>
            <w:r w:rsidRPr="2F00268E">
              <w:rPr>
                <w:rFonts w:ascii="Times" w:hAnsi="Times"/>
              </w:rPr>
              <w:t xml:space="preserve"> 2013 (</w:t>
            </w:r>
            <w:r>
              <w:rPr>
                <w:rFonts w:ascii="Times" w:hAnsi="Times"/>
              </w:rPr>
              <w:t>5</w:t>
            </w:r>
            <w:r w:rsidRPr="2F00268E">
              <w:rPr>
                <w:rFonts w:ascii="Times" w:hAnsi="Times"/>
              </w:rPr>
              <w:t xml:space="preserve"> months following </w:t>
            </w:r>
            <w:r>
              <w:rPr>
                <w:rFonts w:ascii="Times" w:hAnsi="Times"/>
              </w:rPr>
              <w:t>planting</w:t>
            </w:r>
            <w:r w:rsidRPr="2F00268E">
              <w:rPr>
                <w:rFonts w:ascii="Times" w:hAnsi="Times"/>
              </w:rPr>
              <w:t>)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B23804" w:rsidRDefault="00B23804" w:rsidP="00D46CC8">
            <w:pPr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Control</w:t>
            </w:r>
          </w:p>
          <w:p w:rsidR="00B23804" w:rsidRPr="008E0EAA" w:rsidRDefault="00B23804" w:rsidP="00D46CC8">
            <w:pPr>
              <w:rPr>
                <w:rFonts w:ascii="Times" w:hAnsi="Times"/>
              </w:rPr>
            </w:pPr>
          </w:p>
        </w:tc>
        <w:tc>
          <w:tcPr>
            <w:tcW w:w="1437" w:type="dxa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0.23</w:t>
            </w:r>
          </w:p>
        </w:tc>
        <w:tc>
          <w:tcPr>
            <w:tcW w:w="1616" w:type="dxa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26</w:t>
            </w:r>
          </w:p>
        </w:tc>
        <w:tc>
          <w:tcPr>
            <w:tcW w:w="1662" w:type="dxa"/>
            <w:gridSpan w:val="3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0.90</w:t>
            </w:r>
          </w:p>
        </w:tc>
        <w:tc>
          <w:tcPr>
            <w:tcW w:w="1769" w:type="dxa"/>
            <w:gridSpan w:val="2"/>
          </w:tcPr>
          <w:p w:rsidR="00B23804" w:rsidRPr="000B19D3" w:rsidRDefault="00B23804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0.37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-0.67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1.26</w:t>
            </w:r>
          </w:p>
        </w:tc>
        <w:tc>
          <w:tcPr>
            <w:tcW w:w="1662" w:type="dxa"/>
            <w:gridSpan w:val="3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-0.53</w:t>
            </w:r>
          </w:p>
        </w:tc>
        <w:tc>
          <w:tcPr>
            <w:tcW w:w="1769" w:type="dxa"/>
            <w:gridSpan w:val="2"/>
          </w:tcPr>
          <w:p w:rsidR="00B23804" w:rsidRPr="000B19D3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0.60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</w:t>
            </w:r>
            <w:r>
              <w:rPr>
                <w:rFonts w:ascii="Times" w:hAnsi="Times"/>
              </w:rPr>
              <w:t>21</w:t>
            </w:r>
          </w:p>
        </w:tc>
        <w:tc>
          <w:tcPr>
            <w:tcW w:w="1616" w:type="dxa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.34</w:t>
            </w:r>
          </w:p>
        </w:tc>
        <w:tc>
          <w:tcPr>
            <w:tcW w:w="1662" w:type="dxa"/>
            <w:gridSpan w:val="3"/>
          </w:tcPr>
          <w:p w:rsidR="00B23804" w:rsidRPr="00893C16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-0.61</w:t>
            </w:r>
          </w:p>
        </w:tc>
        <w:tc>
          <w:tcPr>
            <w:tcW w:w="1769" w:type="dxa"/>
            <w:gridSpan w:val="2"/>
          </w:tcPr>
          <w:p w:rsidR="00B23804" w:rsidRPr="000B19D3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B23804" w:rsidRPr="000B19D3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 w:rsidRPr="2F00268E">
              <w:rPr>
                <w:rFonts w:ascii="Times" w:hAnsi="Times"/>
              </w:rPr>
              <w:t xml:space="preserve">GLMM for </w:t>
            </w:r>
            <w:r w:rsidRPr="2F00268E">
              <w:rPr>
                <w:rFonts w:ascii="Times" w:hAnsi="Times"/>
                <w:i/>
                <w:iCs/>
              </w:rPr>
              <w:t xml:space="preserve">E. erecta </w:t>
            </w:r>
            <w:r>
              <w:rPr>
                <w:rFonts w:ascii="Times" w:hAnsi="Times"/>
              </w:rPr>
              <w:t>cover Oct</w:t>
            </w:r>
            <w:r w:rsidRPr="2F00268E">
              <w:rPr>
                <w:rFonts w:ascii="Times" w:hAnsi="Times"/>
              </w:rPr>
              <w:t xml:space="preserve"> 201</w:t>
            </w:r>
            <w:r>
              <w:rPr>
                <w:rFonts w:ascii="Times" w:hAnsi="Times"/>
              </w:rPr>
              <w:t>4</w:t>
            </w:r>
            <w:r w:rsidRPr="2F00268E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17</w:t>
            </w:r>
            <w:r w:rsidRPr="2F00268E">
              <w:rPr>
                <w:rFonts w:ascii="Times" w:hAnsi="Times"/>
              </w:rPr>
              <w:t xml:space="preserve"> months following </w:t>
            </w:r>
            <w:r>
              <w:rPr>
                <w:rFonts w:ascii="Times" w:hAnsi="Times"/>
              </w:rPr>
              <w:t>planting</w:t>
            </w:r>
            <w:r w:rsidRPr="2F00268E">
              <w:rPr>
                <w:rFonts w:ascii="Times" w:hAnsi="Times"/>
              </w:rPr>
              <w:t>)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Control</w:t>
            </w:r>
          </w:p>
        </w:tc>
        <w:tc>
          <w:tcPr>
            <w:tcW w:w="1437" w:type="dxa"/>
          </w:tcPr>
          <w:p w:rsidR="00B23804" w:rsidRPr="00B002F0" w:rsidRDefault="00B23804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0.23</w:t>
            </w:r>
          </w:p>
        </w:tc>
        <w:tc>
          <w:tcPr>
            <w:tcW w:w="1616" w:type="dxa"/>
          </w:tcPr>
          <w:p w:rsidR="00B23804" w:rsidRPr="00B002F0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0.28</w:t>
            </w:r>
          </w:p>
        </w:tc>
        <w:tc>
          <w:tcPr>
            <w:tcW w:w="1662" w:type="dxa"/>
            <w:gridSpan w:val="3"/>
          </w:tcPr>
          <w:p w:rsidR="00B23804" w:rsidRPr="00A02469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</w:t>
            </w:r>
          </w:p>
        </w:tc>
        <w:tc>
          <w:tcPr>
            <w:tcW w:w="1769" w:type="dxa"/>
            <w:gridSpan w:val="2"/>
          </w:tcPr>
          <w:p w:rsidR="00B23804" w:rsidRPr="000B19D3" w:rsidRDefault="00B23804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0.41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Herbicide</w:t>
            </w:r>
          </w:p>
        </w:tc>
        <w:tc>
          <w:tcPr>
            <w:tcW w:w="1437" w:type="dxa"/>
          </w:tcPr>
          <w:p w:rsidR="00B23804" w:rsidRPr="00B002F0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0.23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B23804" w:rsidRPr="00B002F0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  <w:tc>
          <w:tcPr>
            <w:tcW w:w="1662" w:type="dxa"/>
            <w:gridSpan w:val="3"/>
          </w:tcPr>
          <w:p w:rsidR="00B23804" w:rsidRPr="00A02469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w="1769" w:type="dxa"/>
            <w:gridSpan w:val="2"/>
          </w:tcPr>
          <w:p w:rsidR="00B23804" w:rsidRPr="000B19D3" w:rsidRDefault="00B23804" w:rsidP="00D46CC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87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0.52</w:t>
            </w:r>
          </w:p>
        </w:tc>
      </w:tr>
      <w:tr w:rsidR="00B23804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B23804" w:rsidRPr="008E0EAA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437" w:type="dxa"/>
          </w:tcPr>
          <w:p w:rsidR="00B23804" w:rsidRPr="00B002F0" w:rsidRDefault="00B23804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</w:t>
            </w:r>
            <w:r>
              <w:rPr>
                <w:rFonts w:ascii="Times" w:hAnsi="Times"/>
              </w:rPr>
              <w:t>046</w:t>
            </w:r>
          </w:p>
        </w:tc>
        <w:tc>
          <w:tcPr>
            <w:tcW w:w="1616" w:type="dxa"/>
          </w:tcPr>
          <w:p w:rsidR="00B23804" w:rsidRPr="00B002F0" w:rsidRDefault="00B23804" w:rsidP="00D46CC8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0.29</w:t>
            </w:r>
          </w:p>
        </w:tc>
        <w:tc>
          <w:tcPr>
            <w:tcW w:w="1662" w:type="dxa"/>
            <w:gridSpan w:val="3"/>
          </w:tcPr>
          <w:p w:rsidR="00B23804" w:rsidRPr="00A02469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-0.16</w:t>
            </w:r>
          </w:p>
        </w:tc>
        <w:tc>
          <w:tcPr>
            <w:tcW w:w="1769" w:type="dxa"/>
            <w:gridSpan w:val="2"/>
          </w:tcPr>
          <w:p w:rsidR="00B23804" w:rsidRPr="000B19D3" w:rsidRDefault="00B23804" w:rsidP="00D46CC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</w:tr>
    </w:tbl>
    <w:p w:rsidR="00A23D24" w:rsidRPr="00A51283" w:rsidRDefault="00A23D24" w:rsidP="00A23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187" w:lineRule="atLeast"/>
        <w:rPr>
          <w:rFonts w:ascii="Lucida Console" w:hAnsi="Lucida Console" w:cs="Courier New"/>
          <w:color w:val="000000"/>
          <w:sz w:val="20"/>
          <w:szCs w:val="20"/>
        </w:rPr>
      </w:pPr>
    </w:p>
    <w:p w:rsidR="00A23D24" w:rsidRDefault="00A23D24"/>
    <w:sectPr w:rsidR="00A2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B"/>
    <w:rsid w:val="00175E43"/>
    <w:rsid w:val="00263442"/>
    <w:rsid w:val="00342D21"/>
    <w:rsid w:val="003A278C"/>
    <w:rsid w:val="004D5C0B"/>
    <w:rsid w:val="00560A06"/>
    <w:rsid w:val="0058342E"/>
    <w:rsid w:val="006B7A80"/>
    <w:rsid w:val="006D77CC"/>
    <w:rsid w:val="0073165C"/>
    <w:rsid w:val="009E6834"/>
    <w:rsid w:val="00A23D24"/>
    <w:rsid w:val="00B16B47"/>
    <w:rsid w:val="00B23804"/>
    <w:rsid w:val="00C840CB"/>
    <w:rsid w:val="00C94F07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BA4"/>
  <w15:chartTrackingRefBased/>
  <w15:docId w15:val="{971DA5F5-D5B3-4F71-A247-2932BC4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0C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9</cp:revision>
  <dcterms:created xsi:type="dcterms:W3CDTF">2017-08-11T01:36:00Z</dcterms:created>
  <dcterms:modified xsi:type="dcterms:W3CDTF">2017-12-14T06:53:00Z</dcterms:modified>
</cp:coreProperties>
</file>