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C8D61" w14:textId="0C7EEE66" w:rsidR="00C31924" w:rsidRDefault="00C31924">
      <w:r>
        <w:rPr>
          <w:b/>
          <w:sz w:val="24"/>
          <w:szCs w:val="24"/>
        </w:rPr>
        <w:t xml:space="preserve">Table 5 - </w:t>
      </w:r>
      <w:r w:rsidR="00924213">
        <w:rPr>
          <w:b/>
          <w:sz w:val="24"/>
          <w:szCs w:val="24"/>
        </w:rPr>
        <w:t>review of DOAC</w:t>
      </w:r>
      <w:r w:rsidRPr="00A82DD4">
        <w:rPr>
          <w:b/>
          <w:sz w:val="24"/>
          <w:szCs w:val="24"/>
        </w:rPr>
        <w:t xml:space="preserve"> studies in thromboprophylaxis in medically ill patients</w:t>
      </w:r>
    </w:p>
    <w:tbl>
      <w:tblPr>
        <w:tblStyle w:val="GridTable6Colorful"/>
        <w:tblW w:w="13135" w:type="dxa"/>
        <w:tblLook w:val="04A0" w:firstRow="1" w:lastRow="0" w:firstColumn="1" w:lastColumn="0" w:noHBand="0" w:noVBand="1"/>
      </w:tblPr>
      <w:tblGrid>
        <w:gridCol w:w="1582"/>
        <w:gridCol w:w="1405"/>
        <w:gridCol w:w="3792"/>
        <w:gridCol w:w="2679"/>
        <w:gridCol w:w="2353"/>
        <w:gridCol w:w="1324"/>
      </w:tblGrid>
      <w:tr w:rsidR="00A82DD4" w:rsidRPr="008350A7" w14:paraId="7F60CB5F" w14:textId="77777777" w:rsidTr="008350A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82" w:type="dxa"/>
            <w:vAlign w:val="center"/>
          </w:tcPr>
          <w:p w14:paraId="4968D784" w14:textId="77777777" w:rsidR="001F16EA" w:rsidRPr="008350A7" w:rsidRDefault="001F16EA" w:rsidP="00C31924">
            <w:pPr>
              <w:jc w:val="center"/>
              <w:rPr>
                <w:sz w:val="24"/>
                <w:szCs w:val="24"/>
              </w:rPr>
            </w:pPr>
            <w:r w:rsidRPr="008350A7">
              <w:rPr>
                <w:sz w:val="24"/>
                <w:szCs w:val="24"/>
              </w:rPr>
              <w:t>DOAC</w:t>
            </w:r>
          </w:p>
        </w:tc>
        <w:tc>
          <w:tcPr>
            <w:tcW w:w="1406" w:type="dxa"/>
            <w:vAlign w:val="center"/>
          </w:tcPr>
          <w:p w14:paraId="5620B1ED" w14:textId="77777777" w:rsidR="001F16EA" w:rsidRPr="008350A7" w:rsidRDefault="001F16EA" w:rsidP="00C31924">
            <w:pPr>
              <w:jc w:val="center"/>
              <w:cnfStyle w:val="100000000000" w:firstRow="1" w:lastRow="0" w:firstColumn="0" w:lastColumn="0" w:oddVBand="0" w:evenVBand="0" w:oddHBand="0" w:evenHBand="0" w:firstRowFirstColumn="0" w:firstRowLastColumn="0" w:lastRowFirstColumn="0" w:lastRowLastColumn="0"/>
              <w:rPr>
                <w:sz w:val="24"/>
                <w:szCs w:val="24"/>
              </w:rPr>
            </w:pPr>
            <w:r w:rsidRPr="008350A7">
              <w:rPr>
                <w:sz w:val="24"/>
                <w:szCs w:val="24"/>
              </w:rPr>
              <w:t>STUDY</w:t>
            </w:r>
          </w:p>
        </w:tc>
        <w:tc>
          <w:tcPr>
            <w:tcW w:w="3811" w:type="dxa"/>
            <w:vAlign w:val="center"/>
          </w:tcPr>
          <w:p w14:paraId="3F56BC2C" w14:textId="77777777" w:rsidR="001F16EA" w:rsidRPr="008350A7" w:rsidRDefault="001F16EA" w:rsidP="00C31924">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350A7">
              <w:rPr>
                <w:rFonts w:cstheme="minorHAnsi"/>
                <w:sz w:val="24"/>
                <w:szCs w:val="24"/>
              </w:rPr>
              <w:t>METHOD</w:t>
            </w:r>
          </w:p>
        </w:tc>
        <w:tc>
          <w:tcPr>
            <w:tcW w:w="2694" w:type="dxa"/>
            <w:vAlign w:val="center"/>
          </w:tcPr>
          <w:p w14:paraId="7D7DAD1C" w14:textId="77777777" w:rsidR="001F16EA" w:rsidRPr="008350A7" w:rsidRDefault="001F16EA" w:rsidP="00C31924">
            <w:pPr>
              <w:jc w:val="center"/>
              <w:cnfStyle w:val="100000000000" w:firstRow="1" w:lastRow="0" w:firstColumn="0" w:lastColumn="0" w:oddVBand="0" w:evenVBand="0" w:oddHBand="0" w:evenHBand="0" w:firstRowFirstColumn="0" w:firstRowLastColumn="0" w:lastRowFirstColumn="0" w:lastRowLastColumn="0"/>
              <w:rPr>
                <w:sz w:val="24"/>
                <w:szCs w:val="24"/>
              </w:rPr>
            </w:pPr>
            <w:r w:rsidRPr="008350A7">
              <w:rPr>
                <w:sz w:val="24"/>
                <w:szCs w:val="24"/>
              </w:rPr>
              <w:t>RESULTS</w:t>
            </w:r>
          </w:p>
        </w:tc>
        <w:tc>
          <w:tcPr>
            <w:tcW w:w="2312" w:type="dxa"/>
            <w:vAlign w:val="center"/>
          </w:tcPr>
          <w:p w14:paraId="5967162A" w14:textId="77777777" w:rsidR="001F16EA" w:rsidRPr="008350A7" w:rsidRDefault="001F16EA" w:rsidP="00C31924">
            <w:pPr>
              <w:jc w:val="center"/>
              <w:cnfStyle w:val="100000000000" w:firstRow="1" w:lastRow="0" w:firstColumn="0" w:lastColumn="0" w:oddVBand="0" w:evenVBand="0" w:oddHBand="0" w:evenHBand="0" w:firstRowFirstColumn="0" w:firstRowLastColumn="0" w:lastRowFirstColumn="0" w:lastRowLastColumn="0"/>
              <w:rPr>
                <w:sz w:val="24"/>
                <w:szCs w:val="24"/>
              </w:rPr>
            </w:pPr>
            <w:r w:rsidRPr="008350A7">
              <w:rPr>
                <w:sz w:val="24"/>
                <w:szCs w:val="24"/>
              </w:rPr>
              <w:t>CONCLUSION</w:t>
            </w:r>
          </w:p>
        </w:tc>
        <w:tc>
          <w:tcPr>
            <w:tcW w:w="1330" w:type="dxa"/>
            <w:vAlign w:val="center"/>
          </w:tcPr>
          <w:p w14:paraId="62CA20FF" w14:textId="77777777" w:rsidR="001F16EA" w:rsidRPr="008350A7" w:rsidRDefault="001F16EA" w:rsidP="00C31924">
            <w:pPr>
              <w:jc w:val="center"/>
              <w:cnfStyle w:val="100000000000" w:firstRow="1" w:lastRow="0" w:firstColumn="0" w:lastColumn="0" w:oddVBand="0" w:evenVBand="0" w:oddHBand="0" w:evenHBand="0" w:firstRowFirstColumn="0" w:firstRowLastColumn="0" w:lastRowFirstColumn="0" w:lastRowLastColumn="0"/>
              <w:rPr>
                <w:sz w:val="24"/>
                <w:szCs w:val="24"/>
              </w:rPr>
            </w:pPr>
            <w:r w:rsidRPr="008350A7">
              <w:rPr>
                <w:sz w:val="24"/>
                <w:szCs w:val="24"/>
              </w:rPr>
              <w:t>DOSE</w:t>
            </w:r>
          </w:p>
        </w:tc>
      </w:tr>
      <w:tr w:rsidR="000C423E" w:rsidRPr="008350A7" w14:paraId="2298CF3D" w14:textId="77777777" w:rsidTr="008350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2" w:type="dxa"/>
            <w:vAlign w:val="center"/>
          </w:tcPr>
          <w:p w14:paraId="3F66FB91" w14:textId="77777777" w:rsidR="000C423E" w:rsidRPr="008350A7" w:rsidRDefault="000C423E" w:rsidP="00C31924">
            <w:pPr>
              <w:jc w:val="center"/>
              <w:rPr>
                <w:sz w:val="24"/>
                <w:szCs w:val="24"/>
              </w:rPr>
            </w:pPr>
            <w:r w:rsidRPr="008350A7">
              <w:rPr>
                <w:sz w:val="24"/>
                <w:szCs w:val="24"/>
              </w:rPr>
              <w:t>Betrixaban</w:t>
            </w:r>
            <w:r w:rsidR="00E07CFB" w:rsidRPr="008350A7">
              <w:rPr>
                <w:sz w:val="24"/>
                <w:szCs w:val="24"/>
              </w:rPr>
              <w:t>*</w:t>
            </w:r>
          </w:p>
          <w:p w14:paraId="6CCDAD7C" w14:textId="77777777" w:rsidR="000C423E" w:rsidRPr="008350A7" w:rsidRDefault="000C423E" w:rsidP="00C31924">
            <w:pPr>
              <w:jc w:val="center"/>
              <w:rPr>
                <w:sz w:val="24"/>
                <w:szCs w:val="24"/>
              </w:rPr>
            </w:pPr>
            <w:r w:rsidRPr="008350A7">
              <w:rPr>
                <w:sz w:val="24"/>
                <w:szCs w:val="24"/>
              </w:rPr>
              <w:t>Bevyxxa</w:t>
            </w:r>
            <w:r w:rsidR="00E07CFB" w:rsidRPr="008350A7">
              <w:rPr>
                <w:sz w:val="24"/>
                <w:szCs w:val="24"/>
              </w:rPr>
              <w:t>®</w:t>
            </w:r>
          </w:p>
        </w:tc>
        <w:tc>
          <w:tcPr>
            <w:tcW w:w="1406" w:type="dxa"/>
            <w:vAlign w:val="center"/>
          </w:tcPr>
          <w:p w14:paraId="13CC1E88" w14:textId="79793415" w:rsidR="00203FC9" w:rsidRDefault="000C423E" w:rsidP="00C31924">
            <w:pPr>
              <w:jc w:val="center"/>
              <w:cnfStyle w:val="000000100000" w:firstRow="0" w:lastRow="0" w:firstColumn="0" w:lastColumn="0" w:oddVBand="0" w:evenVBand="0" w:oddHBand="1" w:evenHBand="0" w:firstRowFirstColumn="0" w:firstRowLastColumn="0" w:lastRowFirstColumn="0" w:lastRowLastColumn="0"/>
              <w:rPr>
                <w:sz w:val="24"/>
                <w:szCs w:val="24"/>
              </w:rPr>
            </w:pPr>
            <w:r w:rsidRPr="008350A7">
              <w:rPr>
                <w:sz w:val="24"/>
                <w:szCs w:val="24"/>
              </w:rPr>
              <w:t>APEX</w:t>
            </w:r>
          </w:p>
          <w:p w14:paraId="5E47DC63" w14:textId="77777777" w:rsidR="00B24F7D" w:rsidRDefault="00B24F7D" w:rsidP="00C31924">
            <w:pPr>
              <w:jc w:val="center"/>
              <w:cnfStyle w:val="000000100000" w:firstRow="0" w:lastRow="0" w:firstColumn="0" w:lastColumn="0" w:oddVBand="0" w:evenVBand="0" w:oddHBand="1" w:evenHBand="0" w:firstRowFirstColumn="0" w:firstRowLastColumn="0" w:lastRowFirstColumn="0" w:lastRowLastColumn="0"/>
              <w:rPr>
                <w:sz w:val="24"/>
                <w:szCs w:val="24"/>
                <w:vertAlign w:val="superscript"/>
              </w:rPr>
            </w:pPr>
          </w:p>
          <w:p w14:paraId="298556A6" w14:textId="4A8FE28A" w:rsidR="00203FC9" w:rsidRPr="00203FC9" w:rsidRDefault="00B24F7D" w:rsidP="00C31924">
            <w:pPr>
              <w:jc w:val="center"/>
              <w:cnfStyle w:val="000000100000" w:firstRow="0" w:lastRow="0" w:firstColumn="0" w:lastColumn="0" w:oddVBand="0" w:evenVBand="0" w:oddHBand="1" w:evenHBand="0" w:firstRowFirstColumn="0" w:firstRowLastColumn="0" w:lastRowFirstColumn="0" w:lastRowLastColumn="0"/>
              <w:rPr>
                <w:sz w:val="24"/>
                <w:szCs w:val="24"/>
                <w:vertAlign w:val="superscript"/>
              </w:rPr>
            </w:pPr>
            <w:r>
              <w:rPr>
                <w:sz w:val="24"/>
                <w:szCs w:val="24"/>
              </w:rPr>
              <w:t xml:space="preserve">(Gibson </w:t>
            </w:r>
            <w:r w:rsidR="00203FC9">
              <w:rPr>
                <w:sz w:val="24"/>
                <w:szCs w:val="24"/>
              </w:rPr>
              <w:t>2017</w:t>
            </w:r>
            <w:r>
              <w:rPr>
                <w:sz w:val="24"/>
                <w:szCs w:val="24"/>
              </w:rPr>
              <w:t>)</w:t>
            </w:r>
          </w:p>
        </w:tc>
        <w:tc>
          <w:tcPr>
            <w:tcW w:w="3811" w:type="dxa"/>
            <w:vAlign w:val="center"/>
          </w:tcPr>
          <w:p w14:paraId="7B59E7A8" w14:textId="77777777" w:rsidR="00323946" w:rsidRPr="008350A7" w:rsidRDefault="00323946" w:rsidP="00C3192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E101A"/>
                <w:sz w:val="24"/>
                <w:szCs w:val="24"/>
              </w:rPr>
            </w:pPr>
            <w:r w:rsidRPr="008350A7">
              <w:rPr>
                <w:rFonts w:eastAsia="Times New Roman" w:cstheme="minorHAnsi"/>
                <w:color w:val="0E101A"/>
                <w:sz w:val="24"/>
                <w:szCs w:val="24"/>
              </w:rPr>
              <w:t>RCT in which patients hospitalized for acute medical illnesses received SQ enoxaparin (40mg daily) for 10+4 days plus oral placebo for 35 to 42days or SQ placebo for 10+4 days plus oral betrixaban (80mg once daily) for 35 to 42 days. An analysis was performed in three prespecified progressively inclusive cohorts;</w:t>
            </w:r>
          </w:p>
          <w:p w14:paraId="43191191" w14:textId="77777777" w:rsidR="00323946" w:rsidRPr="008350A7" w:rsidRDefault="00323946" w:rsidP="00C31924">
            <w:pPr>
              <w:numPr>
                <w:ilvl w:val="0"/>
                <w:numId w:val="4"/>
              </w:num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E101A"/>
                <w:sz w:val="24"/>
                <w:szCs w:val="24"/>
              </w:rPr>
            </w:pPr>
            <w:r w:rsidRPr="008350A7">
              <w:rPr>
                <w:rFonts w:eastAsia="Times New Roman" w:cstheme="minorHAnsi"/>
                <w:color w:val="0E101A"/>
                <w:sz w:val="24"/>
                <w:szCs w:val="24"/>
              </w:rPr>
              <w:t>Patients with elevated d-dimer</w:t>
            </w:r>
          </w:p>
          <w:p w14:paraId="33C3B321" w14:textId="77777777" w:rsidR="00323946" w:rsidRPr="008350A7" w:rsidRDefault="00323946" w:rsidP="00C31924">
            <w:pPr>
              <w:numPr>
                <w:ilvl w:val="0"/>
                <w:numId w:val="4"/>
              </w:num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E101A"/>
                <w:sz w:val="24"/>
                <w:szCs w:val="24"/>
              </w:rPr>
            </w:pPr>
            <w:r w:rsidRPr="008350A7">
              <w:rPr>
                <w:rFonts w:eastAsia="Times New Roman" w:cstheme="minorHAnsi"/>
                <w:color w:val="0E101A"/>
                <w:sz w:val="24"/>
                <w:szCs w:val="24"/>
              </w:rPr>
              <w:t>Patients with elevated d-dimer or age &gt; 75</w:t>
            </w:r>
          </w:p>
          <w:p w14:paraId="75BBCF74" w14:textId="77777777" w:rsidR="00323946" w:rsidRPr="008350A7" w:rsidRDefault="00323946" w:rsidP="00C31924">
            <w:pPr>
              <w:numPr>
                <w:ilvl w:val="0"/>
                <w:numId w:val="4"/>
              </w:num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E101A"/>
                <w:sz w:val="24"/>
                <w:szCs w:val="24"/>
              </w:rPr>
            </w:pPr>
            <w:r w:rsidRPr="008350A7">
              <w:rPr>
                <w:rFonts w:eastAsia="Times New Roman" w:cstheme="minorHAnsi"/>
                <w:color w:val="0E101A"/>
                <w:sz w:val="24"/>
                <w:szCs w:val="24"/>
              </w:rPr>
              <w:t>All enrolled patients</w:t>
            </w:r>
          </w:p>
          <w:p w14:paraId="41128682" w14:textId="77777777" w:rsidR="00323946" w:rsidRPr="008350A7" w:rsidRDefault="00323946" w:rsidP="00C3192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E101A"/>
                <w:sz w:val="24"/>
                <w:szCs w:val="24"/>
              </w:rPr>
            </w:pPr>
            <w:r w:rsidRPr="008350A7">
              <w:rPr>
                <w:rFonts w:eastAsia="Times New Roman" w:cstheme="minorHAnsi"/>
                <w:color w:val="0E101A"/>
                <w:sz w:val="24"/>
                <w:szCs w:val="24"/>
              </w:rPr>
              <w:t xml:space="preserve">The primary efficacy outcome was a composite of asymptomatic proximal DVT and symptomatic VTE. The principal safety outcome was major </w:t>
            </w:r>
            <w:r w:rsidR="00E07CFB" w:rsidRPr="008350A7">
              <w:rPr>
                <w:rFonts w:eastAsia="Times New Roman" w:cstheme="minorHAnsi"/>
                <w:color w:val="0E101A"/>
                <w:sz w:val="24"/>
                <w:szCs w:val="24"/>
              </w:rPr>
              <w:t>bleeding**</w:t>
            </w:r>
            <w:r w:rsidRPr="008350A7">
              <w:rPr>
                <w:rFonts w:eastAsia="Times New Roman" w:cstheme="minorHAnsi"/>
                <w:color w:val="0E101A"/>
                <w:sz w:val="24"/>
                <w:szCs w:val="24"/>
              </w:rPr>
              <w:t>.</w:t>
            </w:r>
          </w:p>
          <w:p w14:paraId="7EBEFC52" w14:textId="77777777" w:rsidR="000C423E" w:rsidRPr="008350A7" w:rsidRDefault="000C423E" w:rsidP="00C3192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694" w:type="dxa"/>
            <w:vAlign w:val="center"/>
          </w:tcPr>
          <w:p w14:paraId="7FE2C07C" w14:textId="77777777" w:rsidR="000C423E" w:rsidRPr="008350A7" w:rsidRDefault="00335FE4" w:rsidP="00C31924">
            <w:pPr>
              <w:jc w:val="center"/>
              <w:cnfStyle w:val="000000100000" w:firstRow="0" w:lastRow="0" w:firstColumn="0" w:lastColumn="0" w:oddVBand="0" w:evenVBand="0" w:oddHBand="1" w:evenHBand="0" w:firstRowFirstColumn="0" w:firstRowLastColumn="0" w:lastRowFirstColumn="0" w:lastRowLastColumn="0"/>
              <w:rPr>
                <w:sz w:val="24"/>
                <w:szCs w:val="24"/>
              </w:rPr>
            </w:pPr>
            <w:r w:rsidRPr="008350A7">
              <w:rPr>
                <w:sz w:val="24"/>
                <w:szCs w:val="24"/>
              </w:rPr>
              <w:t xml:space="preserve">The primary efficacy outcome occurred in 8.5% of the enoxaparin + oral placebo group versus 6.9% if the betrixaban + SQ placebo group.  Major </w:t>
            </w:r>
            <w:r w:rsidR="00E07CFB" w:rsidRPr="008350A7">
              <w:rPr>
                <w:sz w:val="24"/>
                <w:szCs w:val="24"/>
              </w:rPr>
              <w:t>bleeding**</w:t>
            </w:r>
            <w:r w:rsidRPr="008350A7">
              <w:rPr>
                <w:sz w:val="24"/>
                <w:szCs w:val="24"/>
              </w:rPr>
              <w:t xml:space="preserve"> occurred in 0.6% of the enoxaparin + oral placebo group versus 0.7% of the betrixaban + SQ placebo group.</w:t>
            </w:r>
          </w:p>
        </w:tc>
        <w:tc>
          <w:tcPr>
            <w:tcW w:w="2312" w:type="dxa"/>
            <w:vAlign w:val="center"/>
          </w:tcPr>
          <w:p w14:paraId="38FF4810" w14:textId="77777777" w:rsidR="000C423E" w:rsidRPr="008350A7" w:rsidRDefault="00335FE4" w:rsidP="00C31924">
            <w:pPr>
              <w:jc w:val="center"/>
              <w:cnfStyle w:val="000000100000" w:firstRow="0" w:lastRow="0" w:firstColumn="0" w:lastColumn="0" w:oddVBand="0" w:evenVBand="0" w:oddHBand="1" w:evenHBand="0" w:firstRowFirstColumn="0" w:firstRowLastColumn="0" w:lastRowFirstColumn="0" w:lastRowLastColumn="0"/>
              <w:rPr>
                <w:sz w:val="24"/>
                <w:szCs w:val="24"/>
              </w:rPr>
            </w:pPr>
            <w:r w:rsidRPr="008350A7">
              <w:rPr>
                <w:sz w:val="24"/>
                <w:szCs w:val="24"/>
              </w:rPr>
              <w:t>No significant difference was found between patients with an elevated d-dimer, but analysis provided evidence suggesting a benefit for betrixaban in the other two cohorts.</w:t>
            </w:r>
          </w:p>
        </w:tc>
        <w:tc>
          <w:tcPr>
            <w:tcW w:w="1330" w:type="dxa"/>
            <w:vAlign w:val="center"/>
          </w:tcPr>
          <w:p w14:paraId="347C60C2" w14:textId="77777777" w:rsidR="000C423E" w:rsidRPr="008350A7" w:rsidRDefault="00335FE4" w:rsidP="00C31924">
            <w:pPr>
              <w:jc w:val="center"/>
              <w:cnfStyle w:val="000000100000" w:firstRow="0" w:lastRow="0" w:firstColumn="0" w:lastColumn="0" w:oddVBand="0" w:evenVBand="0" w:oddHBand="1" w:evenHBand="0" w:firstRowFirstColumn="0" w:firstRowLastColumn="0" w:lastRowFirstColumn="0" w:lastRowLastColumn="0"/>
              <w:rPr>
                <w:sz w:val="24"/>
                <w:szCs w:val="24"/>
              </w:rPr>
            </w:pPr>
            <w:r w:rsidRPr="008350A7">
              <w:rPr>
                <w:sz w:val="24"/>
                <w:szCs w:val="24"/>
              </w:rPr>
              <w:t>80mg po once daily</w:t>
            </w:r>
          </w:p>
        </w:tc>
      </w:tr>
      <w:tr w:rsidR="00A82DD4" w:rsidRPr="008350A7" w14:paraId="4FC156C4" w14:textId="77777777" w:rsidTr="008350A7">
        <w:trPr>
          <w:cantSplit/>
        </w:trPr>
        <w:tc>
          <w:tcPr>
            <w:cnfStyle w:val="001000000000" w:firstRow="0" w:lastRow="0" w:firstColumn="1" w:lastColumn="0" w:oddVBand="0" w:evenVBand="0" w:oddHBand="0" w:evenHBand="0" w:firstRowFirstColumn="0" w:firstRowLastColumn="0" w:lastRowFirstColumn="0" w:lastRowLastColumn="0"/>
            <w:tcW w:w="1582" w:type="dxa"/>
            <w:vAlign w:val="center"/>
          </w:tcPr>
          <w:p w14:paraId="5B532C0D" w14:textId="77777777" w:rsidR="001F16EA" w:rsidRPr="008350A7" w:rsidRDefault="001F16EA" w:rsidP="00C31924">
            <w:pPr>
              <w:jc w:val="center"/>
              <w:rPr>
                <w:sz w:val="24"/>
                <w:szCs w:val="24"/>
              </w:rPr>
            </w:pPr>
            <w:r w:rsidRPr="008350A7">
              <w:rPr>
                <w:sz w:val="24"/>
                <w:szCs w:val="24"/>
              </w:rPr>
              <w:lastRenderedPageBreak/>
              <w:t>Rivaroxaban</w:t>
            </w:r>
            <w:r w:rsidR="000C423E" w:rsidRPr="008350A7">
              <w:rPr>
                <w:sz w:val="24"/>
                <w:szCs w:val="24"/>
              </w:rPr>
              <w:t>*</w:t>
            </w:r>
          </w:p>
          <w:p w14:paraId="20CDE736" w14:textId="77777777" w:rsidR="001F16EA" w:rsidRPr="008350A7" w:rsidRDefault="001F16EA" w:rsidP="00C31924">
            <w:pPr>
              <w:jc w:val="center"/>
              <w:rPr>
                <w:sz w:val="24"/>
                <w:szCs w:val="24"/>
              </w:rPr>
            </w:pPr>
            <w:r w:rsidRPr="008350A7">
              <w:rPr>
                <w:sz w:val="24"/>
                <w:szCs w:val="24"/>
              </w:rPr>
              <w:t>Xarelto</w:t>
            </w:r>
            <w:r w:rsidR="00E07CFB" w:rsidRPr="008350A7">
              <w:rPr>
                <w:sz w:val="24"/>
                <w:szCs w:val="24"/>
              </w:rPr>
              <w:t>®</w:t>
            </w:r>
          </w:p>
        </w:tc>
        <w:tc>
          <w:tcPr>
            <w:tcW w:w="1406" w:type="dxa"/>
            <w:vAlign w:val="center"/>
          </w:tcPr>
          <w:p w14:paraId="6135DE65" w14:textId="77777777" w:rsidR="001F16EA" w:rsidRDefault="00F268F8" w:rsidP="00C31924">
            <w:pPr>
              <w:jc w:val="center"/>
              <w:cnfStyle w:val="000000000000" w:firstRow="0" w:lastRow="0" w:firstColumn="0" w:lastColumn="0" w:oddVBand="0" w:evenVBand="0" w:oddHBand="0" w:evenHBand="0" w:firstRowFirstColumn="0" w:firstRowLastColumn="0" w:lastRowFirstColumn="0" w:lastRowLastColumn="0"/>
              <w:rPr>
                <w:sz w:val="24"/>
                <w:szCs w:val="24"/>
              </w:rPr>
            </w:pPr>
            <w:r w:rsidRPr="008350A7">
              <w:rPr>
                <w:sz w:val="24"/>
                <w:szCs w:val="24"/>
              </w:rPr>
              <w:t>MARINER</w:t>
            </w:r>
          </w:p>
          <w:p w14:paraId="0CF29F21" w14:textId="77777777" w:rsidR="00B24F7D" w:rsidRDefault="00B24F7D" w:rsidP="00C31924">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52CF640B" w14:textId="545C05C2" w:rsidR="00B24F7D" w:rsidRDefault="00B24F7D" w:rsidP="00C3192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(Raskob</w:t>
            </w:r>
          </w:p>
          <w:p w14:paraId="162BB918" w14:textId="6955C21C" w:rsidR="0088107B" w:rsidRPr="0088107B" w:rsidRDefault="0088107B" w:rsidP="00C3192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2016</w:t>
            </w:r>
            <w:r w:rsidR="00B24F7D">
              <w:rPr>
                <w:sz w:val="24"/>
                <w:szCs w:val="24"/>
              </w:rPr>
              <w:t>)</w:t>
            </w:r>
          </w:p>
        </w:tc>
        <w:tc>
          <w:tcPr>
            <w:tcW w:w="3811" w:type="dxa"/>
            <w:vAlign w:val="center"/>
          </w:tcPr>
          <w:p w14:paraId="26688338" w14:textId="77777777" w:rsidR="001F16EA" w:rsidRPr="008350A7" w:rsidRDefault="001F16EA" w:rsidP="00C31924">
            <w:pPr>
              <w:jc w:val="center"/>
              <w:cnfStyle w:val="000000000000" w:firstRow="0" w:lastRow="0" w:firstColumn="0" w:lastColumn="0" w:oddVBand="0" w:evenVBand="0" w:oddHBand="0" w:evenHBand="0" w:firstRowFirstColumn="0" w:firstRowLastColumn="0" w:lastRowFirstColumn="0" w:lastRowLastColumn="0"/>
              <w:rPr>
                <w:sz w:val="24"/>
                <w:szCs w:val="24"/>
              </w:rPr>
            </w:pPr>
            <w:r w:rsidRPr="008350A7">
              <w:rPr>
                <w:sz w:val="24"/>
                <w:szCs w:val="24"/>
              </w:rPr>
              <w:t xml:space="preserve">RCT that looked at 10mg rivaroxaban dose give to hospitalized patients at discharge with an IMPROVE Score of 4 or higher or a score 2 to 3 plus a d-dimer level of more the twice normal versus placebo for 45 days. Primary efficacy outcome was a composite of symptomatic VTE or death due to VTE.  Principal safety outcome was major </w:t>
            </w:r>
            <w:r w:rsidR="00E07CFB" w:rsidRPr="008350A7">
              <w:rPr>
                <w:sz w:val="24"/>
                <w:szCs w:val="24"/>
              </w:rPr>
              <w:t>bleeding**</w:t>
            </w:r>
            <w:r w:rsidRPr="008350A7">
              <w:rPr>
                <w:sz w:val="24"/>
                <w:szCs w:val="24"/>
              </w:rPr>
              <w:t>.</w:t>
            </w:r>
          </w:p>
        </w:tc>
        <w:tc>
          <w:tcPr>
            <w:tcW w:w="2694" w:type="dxa"/>
            <w:vAlign w:val="center"/>
          </w:tcPr>
          <w:p w14:paraId="127EC959" w14:textId="339AA120" w:rsidR="001F16EA" w:rsidRPr="008350A7" w:rsidRDefault="001F16EA" w:rsidP="00C31924">
            <w:pPr>
              <w:jc w:val="center"/>
              <w:cnfStyle w:val="000000000000" w:firstRow="0" w:lastRow="0" w:firstColumn="0" w:lastColumn="0" w:oddVBand="0" w:evenVBand="0" w:oddHBand="0" w:evenHBand="0" w:firstRowFirstColumn="0" w:firstRowLastColumn="0" w:lastRowFirstColumn="0" w:lastRowLastColumn="0"/>
              <w:rPr>
                <w:sz w:val="24"/>
                <w:szCs w:val="24"/>
              </w:rPr>
            </w:pPr>
            <w:r w:rsidRPr="008350A7">
              <w:rPr>
                <w:sz w:val="24"/>
                <w:szCs w:val="24"/>
              </w:rPr>
              <w:t xml:space="preserve">Of the 12,019 in the intention-to treat analysis </w:t>
            </w:r>
            <w:r w:rsidR="000C423E" w:rsidRPr="008350A7">
              <w:rPr>
                <w:sz w:val="24"/>
                <w:szCs w:val="24"/>
              </w:rPr>
              <w:t>a</w:t>
            </w:r>
            <w:r w:rsidRPr="008350A7">
              <w:rPr>
                <w:sz w:val="24"/>
                <w:szCs w:val="24"/>
              </w:rPr>
              <w:t xml:space="preserve"> primary efficacy outcome occurred in 0.83% of the rivaroxaban patients versus 1.10% of the placebo group.  Major </w:t>
            </w:r>
            <w:r w:rsidR="00E07CFB" w:rsidRPr="008350A7">
              <w:rPr>
                <w:sz w:val="24"/>
                <w:szCs w:val="24"/>
              </w:rPr>
              <w:t>bleeding**</w:t>
            </w:r>
            <w:r w:rsidRPr="008350A7">
              <w:rPr>
                <w:sz w:val="24"/>
                <w:szCs w:val="24"/>
              </w:rPr>
              <w:t xml:space="preserve"> occurred in 0.28% in the rivaroxaban group and 0.15% in the placebo group,</w:t>
            </w:r>
          </w:p>
        </w:tc>
        <w:tc>
          <w:tcPr>
            <w:tcW w:w="2312" w:type="dxa"/>
            <w:vAlign w:val="center"/>
          </w:tcPr>
          <w:p w14:paraId="24FF122E" w14:textId="77777777" w:rsidR="00F268F8" w:rsidRPr="008350A7" w:rsidRDefault="00F268F8" w:rsidP="00C31924">
            <w:pPr>
              <w:jc w:val="center"/>
              <w:cnfStyle w:val="000000000000" w:firstRow="0" w:lastRow="0" w:firstColumn="0" w:lastColumn="0" w:oddVBand="0" w:evenVBand="0" w:oddHBand="0" w:evenHBand="0" w:firstRowFirstColumn="0" w:firstRowLastColumn="0" w:lastRowFirstColumn="0" w:lastRowLastColumn="0"/>
              <w:rPr>
                <w:sz w:val="24"/>
                <w:szCs w:val="24"/>
              </w:rPr>
            </w:pPr>
            <w:r w:rsidRPr="008350A7">
              <w:rPr>
                <w:sz w:val="24"/>
                <w:szCs w:val="24"/>
              </w:rPr>
              <w:t xml:space="preserve">Rivaroxaban given to the described medically ill patients after hospital discharge was not associated with a significant lower risk of symptomatic VTE and death due to VTE than placebo.  The incidence of major </w:t>
            </w:r>
            <w:r w:rsidR="00E07CFB" w:rsidRPr="008350A7">
              <w:rPr>
                <w:sz w:val="24"/>
                <w:szCs w:val="24"/>
              </w:rPr>
              <w:t>bleeding**</w:t>
            </w:r>
            <w:r w:rsidRPr="008350A7">
              <w:rPr>
                <w:sz w:val="24"/>
                <w:szCs w:val="24"/>
              </w:rPr>
              <w:t xml:space="preserve"> in the rivaroxaban group was low.</w:t>
            </w:r>
          </w:p>
          <w:p w14:paraId="6869470D" w14:textId="77777777" w:rsidR="001F16EA" w:rsidRPr="008350A7" w:rsidRDefault="001F16EA" w:rsidP="00C3192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30" w:type="dxa"/>
            <w:vAlign w:val="center"/>
          </w:tcPr>
          <w:p w14:paraId="29D79D7C" w14:textId="77777777" w:rsidR="001F16EA" w:rsidRPr="008350A7" w:rsidRDefault="00F268F8" w:rsidP="00C31924">
            <w:pPr>
              <w:jc w:val="center"/>
              <w:cnfStyle w:val="000000000000" w:firstRow="0" w:lastRow="0" w:firstColumn="0" w:lastColumn="0" w:oddVBand="0" w:evenVBand="0" w:oddHBand="0" w:evenHBand="0" w:firstRowFirstColumn="0" w:firstRowLastColumn="0" w:lastRowFirstColumn="0" w:lastRowLastColumn="0"/>
              <w:rPr>
                <w:sz w:val="24"/>
                <w:szCs w:val="24"/>
              </w:rPr>
            </w:pPr>
            <w:r w:rsidRPr="008350A7">
              <w:rPr>
                <w:sz w:val="24"/>
                <w:szCs w:val="24"/>
              </w:rPr>
              <w:t xml:space="preserve">10 mg </w:t>
            </w:r>
            <w:r w:rsidR="000C423E" w:rsidRPr="008350A7">
              <w:rPr>
                <w:sz w:val="24"/>
                <w:szCs w:val="24"/>
              </w:rPr>
              <w:t xml:space="preserve">po </w:t>
            </w:r>
            <w:r w:rsidR="00335FE4" w:rsidRPr="008350A7">
              <w:rPr>
                <w:sz w:val="24"/>
                <w:szCs w:val="24"/>
              </w:rPr>
              <w:t xml:space="preserve">once </w:t>
            </w:r>
            <w:r w:rsidRPr="008350A7">
              <w:rPr>
                <w:sz w:val="24"/>
                <w:szCs w:val="24"/>
              </w:rPr>
              <w:t>daily</w:t>
            </w:r>
          </w:p>
        </w:tc>
      </w:tr>
      <w:tr w:rsidR="00A82DD4" w:rsidRPr="008350A7" w14:paraId="75D206A0" w14:textId="77777777" w:rsidTr="008350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2" w:type="dxa"/>
            <w:vAlign w:val="center"/>
          </w:tcPr>
          <w:p w14:paraId="472A8A4C" w14:textId="77777777" w:rsidR="001F16EA" w:rsidRPr="008350A7" w:rsidRDefault="001F16EA" w:rsidP="00C31924">
            <w:pPr>
              <w:jc w:val="center"/>
              <w:rPr>
                <w:sz w:val="24"/>
                <w:szCs w:val="24"/>
              </w:rPr>
            </w:pPr>
          </w:p>
        </w:tc>
        <w:tc>
          <w:tcPr>
            <w:tcW w:w="1406" w:type="dxa"/>
            <w:vAlign w:val="center"/>
          </w:tcPr>
          <w:p w14:paraId="31554C72" w14:textId="77777777" w:rsidR="001F16EA" w:rsidRDefault="00F268F8" w:rsidP="00C31924">
            <w:pPr>
              <w:jc w:val="center"/>
              <w:cnfStyle w:val="000000100000" w:firstRow="0" w:lastRow="0" w:firstColumn="0" w:lastColumn="0" w:oddVBand="0" w:evenVBand="0" w:oddHBand="1" w:evenHBand="0" w:firstRowFirstColumn="0" w:firstRowLastColumn="0" w:lastRowFirstColumn="0" w:lastRowLastColumn="0"/>
              <w:rPr>
                <w:sz w:val="24"/>
                <w:szCs w:val="24"/>
                <w:vertAlign w:val="superscript"/>
              </w:rPr>
            </w:pPr>
            <w:r w:rsidRPr="008350A7">
              <w:rPr>
                <w:sz w:val="24"/>
                <w:szCs w:val="24"/>
              </w:rPr>
              <w:t>MAGELLAN</w:t>
            </w:r>
          </w:p>
          <w:p w14:paraId="30626F02" w14:textId="77777777" w:rsidR="00B24F7D" w:rsidRDefault="00B24F7D" w:rsidP="00C31924">
            <w:pPr>
              <w:jc w:val="center"/>
              <w:cnfStyle w:val="000000100000" w:firstRow="0" w:lastRow="0" w:firstColumn="0" w:lastColumn="0" w:oddVBand="0" w:evenVBand="0" w:oddHBand="1" w:evenHBand="0" w:firstRowFirstColumn="0" w:firstRowLastColumn="0" w:lastRowFirstColumn="0" w:lastRowLastColumn="0"/>
              <w:rPr>
                <w:sz w:val="24"/>
                <w:szCs w:val="24"/>
                <w:vertAlign w:val="superscript"/>
              </w:rPr>
            </w:pPr>
          </w:p>
          <w:p w14:paraId="4608716E" w14:textId="4B495F0A" w:rsidR="00B24F7D" w:rsidRPr="00B24F7D" w:rsidRDefault="00B24F7D" w:rsidP="00C31924">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(Cohen 2013)</w:t>
            </w:r>
          </w:p>
        </w:tc>
        <w:tc>
          <w:tcPr>
            <w:tcW w:w="3811" w:type="dxa"/>
            <w:vAlign w:val="center"/>
          </w:tcPr>
          <w:p w14:paraId="4CF47169" w14:textId="4E24132E" w:rsidR="001F16EA" w:rsidRPr="008350A7" w:rsidRDefault="00F268F8" w:rsidP="00C31924">
            <w:pPr>
              <w:jc w:val="center"/>
              <w:cnfStyle w:val="000000100000" w:firstRow="0" w:lastRow="0" w:firstColumn="0" w:lastColumn="0" w:oddVBand="0" w:evenVBand="0" w:oddHBand="1" w:evenHBand="0" w:firstRowFirstColumn="0" w:firstRowLastColumn="0" w:lastRowFirstColumn="0" w:lastRowLastColumn="0"/>
              <w:rPr>
                <w:sz w:val="24"/>
                <w:szCs w:val="24"/>
              </w:rPr>
            </w:pPr>
            <w:r w:rsidRPr="008350A7">
              <w:rPr>
                <w:sz w:val="24"/>
                <w:szCs w:val="24"/>
              </w:rPr>
              <w:t>RCT that studied patients 40 years of age or older who were hospitalized for acute medical illness to receive either SQ enoxaparin 40mg qd for 10</w:t>
            </w:r>
            <w:r w:rsidRPr="008350A7">
              <w:rPr>
                <w:sz w:val="24"/>
                <w:szCs w:val="24"/>
                <w:u w:val="single"/>
              </w:rPr>
              <w:t>+</w:t>
            </w:r>
            <w:r w:rsidRPr="008350A7">
              <w:rPr>
                <w:sz w:val="24"/>
                <w:szCs w:val="24"/>
              </w:rPr>
              <w:t>4 and oral placebo for 35</w:t>
            </w:r>
            <w:r w:rsidRPr="008350A7">
              <w:rPr>
                <w:sz w:val="24"/>
                <w:szCs w:val="24"/>
                <w:u w:val="single"/>
              </w:rPr>
              <w:t>+</w:t>
            </w:r>
            <w:r w:rsidRPr="008350A7">
              <w:rPr>
                <w:sz w:val="24"/>
                <w:szCs w:val="24"/>
              </w:rPr>
              <w:t>4 days or SQ placebo for 10</w:t>
            </w:r>
            <w:r w:rsidRPr="008350A7">
              <w:rPr>
                <w:sz w:val="24"/>
                <w:szCs w:val="24"/>
                <w:u w:val="single"/>
              </w:rPr>
              <w:t>+</w:t>
            </w:r>
            <w:r w:rsidRPr="008350A7">
              <w:rPr>
                <w:sz w:val="24"/>
                <w:szCs w:val="24"/>
              </w:rPr>
              <w:t>4 and oral rivaroxaban for 35</w:t>
            </w:r>
            <w:r w:rsidRPr="008350A7">
              <w:rPr>
                <w:sz w:val="24"/>
                <w:szCs w:val="24"/>
                <w:u w:val="single"/>
              </w:rPr>
              <w:t>+</w:t>
            </w:r>
            <w:r w:rsidRPr="008350A7">
              <w:rPr>
                <w:sz w:val="24"/>
                <w:szCs w:val="24"/>
              </w:rPr>
              <w:t xml:space="preserve">4 days.  Primary efficacy outcomes were the composite of asymptomatic or symptomatic VTE up to day 10 (non-inferiority test) and up to day 35 (superiority test).  Principal safety outcome was major or clinically relevant major </w:t>
            </w:r>
            <w:r w:rsidR="00E07CFB" w:rsidRPr="008350A7">
              <w:rPr>
                <w:sz w:val="24"/>
                <w:szCs w:val="24"/>
              </w:rPr>
              <w:t>bleeding**</w:t>
            </w:r>
            <w:r w:rsidRPr="008350A7">
              <w:rPr>
                <w:sz w:val="24"/>
                <w:szCs w:val="24"/>
              </w:rPr>
              <w:t>.</w:t>
            </w:r>
          </w:p>
        </w:tc>
        <w:tc>
          <w:tcPr>
            <w:tcW w:w="2694" w:type="dxa"/>
            <w:vAlign w:val="center"/>
          </w:tcPr>
          <w:p w14:paraId="58AFAAED" w14:textId="59009B49" w:rsidR="001F16EA" w:rsidRPr="008350A7" w:rsidRDefault="00F268F8" w:rsidP="00C31924">
            <w:pPr>
              <w:jc w:val="center"/>
              <w:cnfStyle w:val="000000100000" w:firstRow="0" w:lastRow="0" w:firstColumn="0" w:lastColumn="0" w:oddVBand="0" w:evenVBand="0" w:oddHBand="1" w:evenHBand="0" w:firstRowFirstColumn="0" w:firstRowLastColumn="0" w:lastRowFirstColumn="0" w:lastRowLastColumn="0"/>
              <w:rPr>
                <w:sz w:val="24"/>
                <w:szCs w:val="24"/>
              </w:rPr>
            </w:pPr>
            <w:r w:rsidRPr="008350A7">
              <w:rPr>
                <w:sz w:val="24"/>
                <w:szCs w:val="24"/>
              </w:rPr>
              <w:t xml:space="preserve">A primary efficacy outcome event occurred in 2.7% of the rivaroxaban + SQ placebo group and 2.7% in the enoxaparin + PO placebo group at day 10.  A primary efficacy outcome occurred in </w:t>
            </w:r>
            <w:r w:rsidR="000C423E" w:rsidRPr="008350A7">
              <w:rPr>
                <w:sz w:val="24"/>
                <w:szCs w:val="24"/>
              </w:rPr>
              <w:t>4.4</w:t>
            </w:r>
            <w:r w:rsidRPr="008350A7">
              <w:rPr>
                <w:sz w:val="24"/>
                <w:szCs w:val="24"/>
              </w:rPr>
              <w:t>% of the rivaro</w:t>
            </w:r>
            <w:r w:rsidR="000C423E" w:rsidRPr="008350A7">
              <w:rPr>
                <w:sz w:val="24"/>
                <w:szCs w:val="24"/>
              </w:rPr>
              <w:t>xaban + SQ placebo group and 5.7</w:t>
            </w:r>
            <w:r w:rsidRPr="008350A7">
              <w:rPr>
                <w:sz w:val="24"/>
                <w:szCs w:val="24"/>
              </w:rPr>
              <w:t>% in the enoxaparin</w:t>
            </w:r>
            <w:r w:rsidR="000C423E" w:rsidRPr="008350A7">
              <w:rPr>
                <w:sz w:val="24"/>
                <w:szCs w:val="24"/>
              </w:rPr>
              <w:t xml:space="preserve"> + PO placebo group at day 35.  A principal safety outcome event occurred in 2.8% of the rivaroxaban + SQ placebo group and 1.2% in the enoxaparin + PO placebo group at day 10 and 4.1% and 1.7% in the respective groups at day 35.</w:t>
            </w:r>
          </w:p>
        </w:tc>
        <w:tc>
          <w:tcPr>
            <w:tcW w:w="2312" w:type="dxa"/>
            <w:vAlign w:val="center"/>
          </w:tcPr>
          <w:p w14:paraId="663D2182" w14:textId="0752159E" w:rsidR="000C423E" w:rsidRPr="008350A7" w:rsidRDefault="000C423E" w:rsidP="00C31924">
            <w:pPr>
              <w:jc w:val="center"/>
              <w:cnfStyle w:val="000000100000" w:firstRow="0" w:lastRow="0" w:firstColumn="0" w:lastColumn="0" w:oddVBand="0" w:evenVBand="0" w:oddHBand="1" w:evenHBand="0" w:firstRowFirstColumn="0" w:firstRowLastColumn="0" w:lastRowFirstColumn="0" w:lastRowLastColumn="0"/>
              <w:rPr>
                <w:sz w:val="24"/>
                <w:szCs w:val="24"/>
                <w:u w:val="single"/>
              </w:rPr>
            </w:pPr>
            <w:r w:rsidRPr="008350A7">
              <w:rPr>
                <w:sz w:val="24"/>
                <w:szCs w:val="24"/>
              </w:rPr>
              <w:t xml:space="preserve">Rivaroxaban was found to be noninferior to enoxaparin for standard duration thromboprophylaxis (day 10), and that extended duration reduced the risk of VTE compared to enoxaparin plus placebo.  Rivaroxaban was associated with increased risk of major </w:t>
            </w:r>
            <w:r w:rsidR="00E07CFB" w:rsidRPr="008350A7">
              <w:rPr>
                <w:sz w:val="24"/>
                <w:szCs w:val="24"/>
              </w:rPr>
              <w:t>bleeding**</w:t>
            </w:r>
            <w:r w:rsidRPr="008350A7">
              <w:rPr>
                <w:sz w:val="24"/>
                <w:szCs w:val="24"/>
              </w:rPr>
              <w:t>. A retrospective analysis was conducted of MAGELLAN and a subgroup consisting of patients with following findings were isolated.</w:t>
            </w:r>
          </w:p>
          <w:p w14:paraId="523B6925" w14:textId="77777777" w:rsidR="000C423E" w:rsidRPr="008350A7" w:rsidRDefault="000C423E" w:rsidP="00C31924">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sz w:val="24"/>
                <w:szCs w:val="24"/>
                <w:u w:val="single"/>
              </w:rPr>
            </w:pPr>
            <w:r w:rsidRPr="008350A7">
              <w:rPr>
                <w:sz w:val="24"/>
                <w:szCs w:val="24"/>
              </w:rPr>
              <w:t>Pulmonary bronchiectasis, pulmonary hemorrhage or cavitation</w:t>
            </w:r>
          </w:p>
          <w:p w14:paraId="4C3D8004" w14:textId="77777777" w:rsidR="000C423E" w:rsidRPr="008350A7" w:rsidRDefault="000C423E" w:rsidP="00C31924">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sz w:val="24"/>
                <w:szCs w:val="24"/>
                <w:u w:val="single"/>
              </w:rPr>
            </w:pPr>
            <w:r w:rsidRPr="008350A7">
              <w:rPr>
                <w:sz w:val="24"/>
                <w:szCs w:val="24"/>
              </w:rPr>
              <w:t>Active cancer undergoing treatment</w:t>
            </w:r>
          </w:p>
          <w:p w14:paraId="6E64EF8B" w14:textId="77777777" w:rsidR="000C423E" w:rsidRPr="008350A7" w:rsidRDefault="000C423E" w:rsidP="00C31924">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sz w:val="24"/>
                <w:szCs w:val="24"/>
              </w:rPr>
            </w:pPr>
            <w:r w:rsidRPr="008350A7">
              <w:rPr>
                <w:sz w:val="24"/>
                <w:szCs w:val="24"/>
              </w:rPr>
              <w:t>Active duodenal ulcer in last 3 months prior to treatment</w:t>
            </w:r>
          </w:p>
          <w:p w14:paraId="31469C63" w14:textId="77777777" w:rsidR="000C423E" w:rsidRPr="008350A7" w:rsidRDefault="000C423E" w:rsidP="00C31924">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sz w:val="24"/>
                <w:szCs w:val="24"/>
              </w:rPr>
            </w:pPr>
            <w:r w:rsidRPr="008350A7">
              <w:rPr>
                <w:sz w:val="24"/>
                <w:szCs w:val="24"/>
              </w:rPr>
              <w:t xml:space="preserve">Active </w:t>
            </w:r>
            <w:r w:rsidR="00E07CFB" w:rsidRPr="008350A7">
              <w:rPr>
                <w:sz w:val="24"/>
                <w:szCs w:val="24"/>
              </w:rPr>
              <w:t>bleeding**</w:t>
            </w:r>
            <w:r w:rsidRPr="008350A7">
              <w:rPr>
                <w:sz w:val="24"/>
                <w:szCs w:val="24"/>
              </w:rPr>
              <w:t xml:space="preserve"> in the last 3 months prior to treatment</w:t>
            </w:r>
          </w:p>
          <w:p w14:paraId="7CEA4339" w14:textId="77777777" w:rsidR="000C423E" w:rsidRPr="008350A7" w:rsidRDefault="000C423E" w:rsidP="00C31924">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sz w:val="24"/>
                <w:szCs w:val="24"/>
              </w:rPr>
            </w:pPr>
            <w:r w:rsidRPr="008350A7">
              <w:rPr>
                <w:sz w:val="24"/>
                <w:szCs w:val="24"/>
              </w:rPr>
              <w:t>Receiving dual anti-platelet therapy</w:t>
            </w:r>
          </w:p>
          <w:p w14:paraId="4221E9ED" w14:textId="77777777" w:rsidR="000C423E" w:rsidRPr="008350A7" w:rsidRDefault="000C423E" w:rsidP="00C31924">
            <w:pPr>
              <w:jc w:val="center"/>
              <w:cnfStyle w:val="000000100000" w:firstRow="0" w:lastRow="0" w:firstColumn="0" w:lastColumn="0" w:oddVBand="0" w:evenVBand="0" w:oddHBand="1" w:evenHBand="0" w:firstRowFirstColumn="0" w:firstRowLastColumn="0" w:lastRowFirstColumn="0" w:lastRowLastColumn="0"/>
              <w:rPr>
                <w:sz w:val="24"/>
                <w:szCs w:val="24"/>
              </w:rPr>
            </w:pPr>
            <w:r w:rsidRPr="008350A7">
              <w:rPr>
                <w:sz w:val="24"/>
                <w:szCs w:val="24"/>
              </w:rPr>
              <w:t xml:space="preserve">After removal of the subgroup from the Magellan cohort, rivaroxaban was found to have a more favorable risk benefit profile and no significant increase in major </w:t>
            </w:r>
            <w:r w:rsidR="00E07CFB" w:rsidRPr="008350A7">
              <w:rPr>
                <w:sz w:val="24"/>
                <w:szCs w:val="24"/>
              </w:rPr>
              <w:t>bleeding**</w:t>
            </w:r>
            <w:r w:rsidRPr="008350A7">
              <w:rPr>
                <w:sz w:val="24"/>
                <w:szCs w:val="24"/>
              </w:rPr>
              <w:t xml:space="preserve"> compared to control group.</w:t>
            </w:r>
          </w:p>
          <w:p w14:paraId="2A180BA1" w14:textId="77777777" w:rsidR="001F16EA" w:rsidRPr="008350A7" w:rsidRDefault="001F16EA" w:rsidP="00C3192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30" w:type="dxa"/>
            <w:vAlign w:val="center"/>
          </w:tcPr>
          <w:p w14:paraId="7782F3DB" w14:textId="77777777" w:rsidR="001F16EA" w:rsidRPr="008350A7" w:rsidRDefault="000C423E" w:rsidP="00C31924">
            <w:pPr>
              <w:jc w:val="center"/>
              <w:cnfStyle w:val="000000100000" w:firstRow="0" w:lastRow="0" w:firstColumn="0" w:lastColumn="0" w:oddVBand="0" w:evenVBand="0" w:oddHBand="1" w:evenHBand="0" w:firstRowFirstColumn="0" w:firstRowLastColumn="0" w:lastRowFirstColumn="0" w:lastRowLastColumn="0"/>
              <w:rPr>
                <w:sz w:val="24"/>
                <w:szCs w:val="24"/>
              </w:rPr>
            </w:pPr>
            <w:r w:rsidRPr="008350A7">
              <w:rPr>
                <w:sz w:val="24"/>
                <w:szCs w:val="24"/>
              </w:rPr>
              <w:t xml:space="preserve">10mg po </w:t>
            </w:r>
            <w:r w:rsidR="00335FE4" w:rsidRPr="008350A7">
              <w:rPr>
                <w:sz w:val="24"/>
                <w:szCs w:val="24"/>
              </w:rPr>
              <w:t xml:space="preserve">once </w:t>
            </w:r>
            <w:r w:rsidRPr="008350A7">
              <w:rPr>
                <w:sz w:val="24"/>
                <w:szCs w:val="24"/>
              </w:rPr>
              <w:t>daily</w:t>
            </w:r>
          </w:p>
        </w:tc>
      </w:tr>
      <w:tr w:rsidR="00A82DD4" w:rsidRPr="008350A7" w14:paraId="432F1110" w14:textId="77777777" w:rsidTr="008350A7">
        <w:trPr>
          <w:cantSplit/>
        </w:trPr>
        <w:tc>
          <w:tcPr>
            <w:cnfStyle w:val="001000000000" w:firstRow="0" w:lastRow="0" w:firstColumn="1" w:lastColumn="0" w:oddVBand="0" w:evenVBand="0" w:oddHBand="0" w:evenHBand="0" w:firstRowFirstColumn="0" w:firstRowLastColumn="0" w:lastRowFirstColumn="0" w:lastRowLastColumn="0"/>
            <w:tcW w:w="1582" w:type="dxa"/>
            <w:vAlign w:val="center"/>
          </w:tcPr>
          <w:p w14:paraId="155521E3" w14:textId="77777777" w:rsidR="001F16EA" w:rsidRPr="008350A7" w:rsidRDefault="00335FE4" w:rsidP="00C31924">
            <w:pPr>
              <w:jc w:val="center"/>
              <w:rPr>
                <w:sz w:val="24"/>
                <w:szCs w:val="24"/>
              </w:rPr>
            </w:pPr>
            <w:r w:rsidRPr="008350A7">
              <w:rPr>
                <w:sz w:val="24"/>
                <w:szCs w:val="24"/>
              </w:rPr>
              <w:lastRenderedPageBreak/>
              <w:t>Apixaban</w:t>
            </w:r>
          </w:p>
          <w:p w14:paraId="7E01BB62" w14:textId="77777777" w:rsidR="00335FE4" w:rsidRPr="008350A7" w:rsidRDefault="00335FE4" w:rsidP="00C31924">
            <w:pPr>
              <w:jc w:val="center"/>
              <w:rPr>
                <w:sz w:val="24"/>
                <w:szCs w:val="24"/>
              </w:rPr>
            </w:pPr>
            <w:r w:rsidRPr="008350A7">
              <w:rPr>
                <w:sz w:val="24"/>
                <w:szCs w:val="24"/>
              </w:rPr>
              <w:t>Eliquis</w:t>
            </w:r>
            <w:r w:rsidR="00E07CFB" w:rsidRPr="008350A7">
              <w:rPr>
                <w:sz w:val="24"/>
                <w:szCs w:val="24"/>
              </w:rPr>
              <w:t>®</w:t>
            </w:r>
          </w:p>
        </w:tc>
        <w:tc>
          <w:tcPr>
            <w:tcW w:w="1406" w:type="dxa"/>
            <w:vAlign w:val="center"/>
          </w:tcPr>
          <w:p w14:paraId="3C159F6D" w14:textId="77777777" w:rsidR="001F16EA" w:rsidRDefault="00335FE4" w:rsidP="00C31924">
            <w:pPr>
              <w:jc w:val="center"/>
              <w:cnfStyle w:val="000000000000" w:firstRow="0" w:lastRow="0" w:firstColumn="0" w:lastColumn="0" w:oddVBand="0" w:evenVBand="0" w:oddHBand="0" w:evenHBand="0" w:firstRowFirstColumn="0" w:firstRowLastColumn="0" w:lastRowFirstColumn="0" w:lastRowLastColumn="0"/>
              <w:rPr>
                <w:sz w:val="24"/>
                <w:szCs w:val="24"/>
              </w:rPr>
            </w:pPr>
            <w:r w:rsidRPr="008350A7">
              <w:rPr>
                <w:sz w:val="24"/>
                <w:szCs w:val="24"/>
              </w:rPr>
              <w:t>ADOPT</w:t>
            </w:r>
          </w:p>
          <w:p w14:paraId="2491FBA8" w14:textId="77777777" w:rsidR="00B24F7D" w:rsidRDefault="00B24F7D" w:rsidP="00C31924">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237E881A" w14:textId="2A37082F" w:rsidR="00B24F7D" w:rsidRPr="00B24F7D" w:rsidRDefault="00B24F7D" w:rsidP="00C3192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4C67C4">
              <w:rPr>
                <w:sz w:val="24"/>
                <w:szCs w:val="24"/>
              </w:rPr>
              <w:t>Goldhaber 2011)</w:t>
            </w:r>
            <w:bookmarkStart w:id="0" w:name="_GoBack"/>
            <w:bookmarkEnd w:id="0"/>
          </w:p>
        </w:tc>
        <w:tc>
          <w:tcPr>
            <w:tcW w:w="3811" w:type="dxa"/>
            <w:vAlign w:val="center"/>
          </w:tcPr>
          <w:p w14:paraId="48381DB1" w14:textId="77777777" w:rsidR="001F16EA" w:rsidRPr="008350A7" w:rsidRDefault="00E07CFB" w:rsidP="00C31924">
            <w:pPr>
              <w:jc w:val="center"/>
              <w:cnfStyle w:val="000000000000" w:firstRow="0" w:lastRow="0" w:firstColumn="0" w:lastColumn="0" w:oddVBand="0" w:evenVBand="0" w:oddHBand="0" w:evenHBand="0" w:firstRowFirstColumn="0" w:firstRowLastColumn="0" w:lastRowFirstColumn="0" w:lastRowLastColumn="0"/>
              <w:rPr>
                <w:sz w:val="24"/>
                <w:szCs w:val="24"/>
              </w:rPr>
            </w:pPr>
            <w:r w:rsidRPr="008350A7">
              <w:rPr>
                <w:sz w:val="24"/>
                <w:szCs w:val="24"/>
              </w:rPr>
              <w:t>RCT in which acutely ill patients with CHF or respiratory failure or other medical disorders and at least one additional risk factor of VTE and who were hospitalized with an expected stay of at least three days to receive apixaban, (2.5mg bid) for 30 days versus enoxaparin SQ 40mg once daily for 6 to 14 days.  The primary efficacy outcome was the 30-day composite of death related to VTE, PE, symptomatic DVT, or asymptomatic proximal-leg DVT as detected by USG on day 30.  The primary safety outcome was bleeding**.</w:t>
            </w:r>
          </w:p>
        </w:tc>
        <w:tc>
          <w:tcPr>
            <w:tcW w:w="2694" w:type="dxa"/>
            <w:vAlign w:val="center"/>
          </w:tcPr>
          <w:p w14:paraId="2BD7FDBF" w14:textId="77777777" w:rsidR="001F16EA" w:rsidRPr="008350A7" w:rsidRDefault="00E07CFB" w:rsidP="00C31924">
            <w:pPr>
              <w:jc w:val="center"/>
              <w:cnfStyle w:val="000000000000" w:firstRow="0" w:lastRow="0" w:firstColumn="0" w:lastColumn="0" w:oddVBand="0" w:evenVBand="0" w:oddHBand="0" w:evenHBand="0" w:firstRowFirstColumn="0" w:firstRowLastColumn="0" w:lastRowFirstColumn="0" w:lastRowLastColumn="0"/>
              <w:rPr>
                <w:sz w:val="24"/>
                <w:szCs w:val="24"/>
              </w:rPr>
            </w:pPr>
            <w:r w:rsidRPr="008350A7">
              <w:rPr>
                <w:sz w:val="24"/>
                <w:szCs w:val="24"/>
              </w:rPr>
              <w:t>Among the evaluated patients, 2.71% met the principal efficacy outcome in the apixaban group and 3.06% in the enoxaparin group.  By day 30, major bleeding** had occurred in 0.47% in the apixaban group and 0.19% in the enoxaparin group.</w:t>
            </w:r>
          </w:p>
        </w:tc>
        <w:tc>
          <w:tcPr>
            <w:tcW w:w="2312" w:type="dxa"/>
            <w:vAlign w:val="center"/>
          </w:tcPr>
          <w:p w14:paraId="182E5830" w14:textId="77777777" w:rsidR="001F16EA" w:rsidRPr="008350A7" w:rsidRDefault="00E07CFB" w:rsidP="00C31924">
            <w:pPr>
              <w:jc w:val="center"/>
              <w:cnfStyle w:val="000000000000" w:firstRow="0" w:lastRow="0" w:firstColumn="0" w:lastColumn="0" w:oddVBand="0" w:evenVBand="0" w:oddHBand="0" w:evenHBand="0" w:firstRowFirstColumn="0" w:firstRowLastColumn="0" w:lastRowFirstColumn="0" w:lastRowLastColumn="0"/>
              <w:rPr>
                <w:sz w:val="24"/>
                <w:szCs w:val="24"/>
              </w:rPr>
            </w:pPr>
            <w:r w:rsidRPr="008350A7">
              <w:rPr>
                <w:sz w:val="24"/>
                <w:szCs w:val="24"/>
              </w:rPr>
              <w:t>In medically ill patients, an extended course of thromboprophylaxis with apixaban was not superior to a shorter course with enoxaparin.  Apixaban was associated with more major bleeding** events than was enoxaparin.</w:t>
            </w:r>
          </w:p>
        </w:tc>
        <w:tc>
          <w:tcPr>
            <w:tcW w:w="1330" w:type="dxa"/>
            <w:vAlign w:val="center"/>
          </w:tcPr>
          <w:p w14:paraId="44F9EE12" w14:textId="77777777" w:rsidR="001F16EA" w:rsidRPr="008350A7" w:rsidRDefault="00E07CFB" w:rsidP="00C31924">
            <w:pPr>
              <w:jc w:val="center"/>
              <w:cnfStyle w:val="000000000000" w:firstRow="0" w:lastRow="0" w:firstColumn="0" w:lastColumn="0" w:oddVBand="0" w:evenVBand="0" w:oddHBand="0" w:evenHBand="0" w:firstRowFirstColumn="0" w:firstRowLastColumn="0" w:lastRowFirstColumn="0" w:lastRowLastColumn="0"/>
              <w:rPr>
                <w:sz w:val="24"/>
                <w:szCs w:val="24"/>
              </w:rPr>
            </w:pPr>
            <w:r w:rsidRPr="008350A7">
              <w:rPr>
                <w:sz w:val="24"/>
                <w:szCs w:val="24"/>
              </w:rPr>
              <w:t>2.5mg po bid</w:t>
            </w:r>
          </w:p>
        </w:tc>
      </w:tr>
    </w:tbl>
    <w:p w14:paraId="7FAE7B8F" w14:textId="77777777" w:rsidR="007B4C6F" w:rsidRPr="00A82DD4" w:rsidRDefault="00E07CFB" w:rsidP="00E07CFB">
      <w:pPr>
        <w:spacing w:line="240" w:lineRule="auto"/>
        <w:rPr>
          <w:sz w:val="24"/>
          <w:szCs w:val="24"/>
        </w:rPr>
      </w:pPr>
      <w:r w:rsidRPr="00A82DD4">
        <w:rPr>
          <w:sz w:val="24"/>
          <w:szCs w:val="24"/>
        </w:rPr>
        <w:t>*FDA approved for treatment of medically ill patients</w:t>
      </w:r>
    </w:p>
    <w:p w14:paraId="63C71A9A" w14:textId="77777777" w:rsidR="00E07CFB" w:rsidRPr="00A82DD4" w:rsidRDefault="00E07CFB" w:rsidP="00E07CFB">
      <w:pPr>
        <w:spacing w:line="240" w:lineRule="auto"/>
        <w:rPr>
          <w:sz w:val="24"/>
          <w:szCs w:val="24"/>
        </w:rPr>
      </w:pPr>
      <w:r w:rsidRPr="00A82DD4">
        <w:rPr>
          <w:sz w:val="24"/>
          <w:szCs w:val="24"/>
        </w:rPr>
        <w:t xml:space="preserve">** </w:t>
      </w:r>
      <w:r w:rsidR="00A82DD4" w:rsidRPr="00A82DD4">
        <w:rPr>
          <w:sz w:val="24"/>
          <w:szCs w:val="24"/>
        </w:rPr>
        <w:t>Definition</w:t>
      </w:r>
      <w:r w:rsidRPr="00A82DD4">
        <w:rPr>
          <w:sz w:val="24"/>
          <w:szCs w:val="24"/>
        </w:rPr>
        <w:t xml:space="preserve"> of major bleeding varied in studies</w:t>
      </w:r>
    </w:p>
    <w:p w14:paraId="5ADC4EB5" w14:textId="77777777" w:rsidR="00E07CFB" w:rsidRPr="00A82DD4" w:rsidRDefault="00E07CFB" w:rsidP="00E07CFB">
      <w:pPr>
        <w:spacing w:line="240" w:lineRule="auto"/>
        <w:rPr>
          <w:sz w:val="24"/>
          <w:szCs w:val="24"/>
        </w:rPr>
      </w:pPr>
    </w:p>
    <w:sectPr w:rsidR="00E07CFB" w:rsidRPr="00A82DD4" w:rsidSect="001F16E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altName w:val="Arial Unicode MS"/>
    <w:charset w:val="80"/>
    <w:family w:val="modern"/>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游明朝">
    <w:altName w:val="Arial Unicode MS"/>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B39"/>
    <w:multiLevelType w:val="hybridMultilevel"/>
    <w:tmpl w:val="7A48A6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B1381"/>
    <w:multiLevelType w:val="hybridMultilevel"/>
    <w:tmpl w:val="FD14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61FEB"/>
    <w:multiLevelType w:val="hybridMultilevel"/>
    <w:tmpl w:val="633A43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E94E66"/>
    <w:multiLevelType w:val="multilevel"/>
    <w:tmpl w:val="A89A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EA"/>
    <w:rsid w:val="000C423E"/>
    <w:rsid w:val="001F16EA"/>
    <w:rsid w:val="00203FC9"/>
    <w:rsid w:val="00323946"/>
    <w:rsid w:val="00335FE4"/>
    <w:rsid w:val="004C67C4"/>
    <w:rsid w:val="007B4C6F"/>
    <w:rsid w:val="0083080F"/>
    <w:rsid w:val="008350A7"/>
    <w:rsid w:val="0088107B"/>
    <w:rsid w:val="00924213"/>
    <w:rsid w:val="00A82DD4"/>
    <w:rsid w:val="00B24F7D"/>
    <w:rsid w:val="00BD2E40"/>
    <w:rsid w:val="00C31924"/>
    <w:rsid w:val="00E07CFB"/>
    <w:rsid w:val="00F2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E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8F8"/>
    <w:pPr>
      <w:ind w:left="720"/>
      <w:contextualSpacing/>
    </w:pPr>
  </w:style>
  <w:style w:type="paragraph" w:styleId="NormalWeb">
    <w:name w:val="Normal (Web)"/>
    <w:basedOn w:val="Normal"/>
    <w:uiPriority w:val="99"/>
    <w:semiHidden/>
    <w:unhideWhenUsed/>
    <w:rsid w:val="003239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2E40"/>
    <w:rPr>
      <w:color w:val="0000FF"/>
      <w:u w:val="single"/>
    </w:rPr>
  </w:style>
  <w:style w:type="table" w:customStyle="1" w:styleId="GridTable6Colorful">
    <w:name w:val="Grid Table 6 Colorful"/>
    <w:basedOn w:val="TableNormal"/>
    <w:uiPriority w:val="51"/>
    <w:rsid w:val="00C3192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8F8"/>
    <w:pPr>
      <w:ind w:left="720"/>
      <w:contextualSpacing/>
    </w:pPr>
  </w:style>
  <w:style w:type="paragraph" w:styleId="NormalWeb">
    <w:name w:val="Normal (Web)"/>
    <w:basedOn w:val="Normal"/>
    <w:uiPriority w:val="99"/>
    <w:semiHidden/>
    <w:unhideWhenUsed/>
    <w:rsid w:val="003239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2E40"/>
    <w:rPr>
      <w:color w:val="0000FF"/>
      <w:u w:val="single"/>
    </w:rPr>
  </w:style>
  <w:style w:type="table" w:customStyle="1" w:styleId="GridTable6Colorful">
    <w:name w:val="Grid Table 6 Colorful"/>
    <w:basedOn w:val="TableNormal"/>
    <w:uiPriority w:val="51"/>
    <w:rsid w:val="00C3192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754</Words>
  <Characters>4302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TeamHealth</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Thompson</dc:creator>
  <cp:keywords/>
  <dc:description/>
  <cp:lastModifiedBy>Eric Weinstein</cp:lastModifiedBy>
  <cp:revision>6</cp:revision>
  <dcterms:created xsi:type="dcterms:W3CDTF">2020-06-01T13:03:00Z</dcterms:created>
  <dcterms:modified xsi:type="dcterms:W3CDTF">2020-06-01T13:37:00Z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55d81c5e-3ee2-3b44-93ba-5994dc07060f</vt:lpwstr>
  </property>
</Properties>
</file>