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FA30" w14:textId="77777777" w:rsidR="0044085B" w:rsidRPr="00270123" w:rsidRDefault="009F0E38" w:rsidP="00A72ED0">
      <w:pPr>
        <w:jc w:val="center"/>
        <w:rPr>
          <w:b/>
        </w:rPr>
      </w:pPr>
      <w:r w:rsidRPr="00270123">
        <w:rPr>
          <w:b/>
        </w:rPr>
        <w:t>SUPPLEMENTAL ONLINE CONTENT</w:t>
      </w:r>
    </w:p>
    <w:p w14:paraId="6CF96AFE" w14:textId="77777777" w:rsidR="00966D40" w:rsidRDefault="00966D40" w:rsidP="007A3C1A"/>
    <w:p w14:paraId="702A95F9" w14:textId="44EA5631" w:rsidR="00845194" w:rsidRDefault="00845194" w:rsidP="007A3C1A">
      <w:r w:rsidRPr="00270123">
        <w:t>Supplement to</w:t>
      </w:r>
      <w:r w:rsidR="00722EAF">
        <w:t xml:space="preserve"> [Blinded First Author], et al., An Evaluation of the </w:t>
      </w:r>
      <w:r w:rsidR="007A3C1A" w:rsidRPr="00155189">
        <w:t>Literacy Demands of</w:t>
      </w:r>
      <w:r w:rsidR="007A3C1A">
        <w:t xml:space="preserve"> Online</w:t>
      </w:r>
      <w:r w:rsidR="007A3C1A" w:rsidRPr="00155189">
        <w:t xml:space="preserve"> </w:t>
      </w:r>
      <w:r w:rsidR="007A3C1A">
        <w:t xml:space="preserve">Natural Disaster Preparedness </w:t>
      </w:r>
      <w:r w:rsidR="00722EAF">
        <w:t>Materials</w:t>
      </w:r>
      <w:r w:rsidR="007A3C1A">
        <w:t xml:space="preserve"> for Familie</w:t>
      </w:r>
      <w:r w:rsidR="00722EAF">
        <w:t>s</w:t>
      </w:r>
    </w:p>
    <w:p w14:paraId="5C429AFE" w14:textId="77777777" w:rsidR="007A3C1A" w:rsidRPr="00270123" w:rsidRDefault="007A3C1A" w:rsidP="007A3C1A"/>
    <w:p w14:paraId="637182E5" w14:textId="4685FCCA" w:rsidR="007A3C1A" w:rsidRDefault="00134A93" w:rsidP="007A3C1A">
      <w:r>
        <w:rPr>
          <w:b/>
        </w:rPr>
        <w:t xml:space="preserve">Supplemental </w:t>
      </w:r>
      <w:r w:rsidR="007A3C1A">
        <w:rPr>
          <w:b/>
        </w:rPr>
        <w:t>Table</w:t>
      </w:r>
      <w:r w:rsidR="007A3C1A" w:rsidRPr="00270123">
        <w:rPr>
          <w:b/>
        </w:rPr>
        <w:t xml:space="preserve"> </w:t>
      </w:r>
      <w:r w:rsidR="00481181">
        <w:rPr>
          <w:b/>
        </w:rPr>
        <w:t>1</w:t>
      </w:r>
      <w:r w:rsidR="007A3C1A" w:rsidRPr="00270123">
        <w:rPr>
          <w:b/>
        </w:rPr>
        <w:t xml:space="preserve">. </w:t>
      </w:r>
      <w:r w:rsidR="007A3C1A" w:rsidRPr="00270123">
        <w:t xml:space="preserve">Textual and image-based indicators used for classifying the information source and primary target audience of websites within an evaluation of the literacy demands of self-directed learning resources on emergency preparedness for </w:t>
      </w:r>
      <w:r w:rsidR="002378C3">
        <w:t xml:space="preserve">U.S. </w:t>
      </w:r>
      <w:r w:rsidR="007A3C1A" w:rsidRPr="00270123">
        <w:t>families</w:t>
      </w:r>
    </w:p>
    <w:p w14:paraId="1D3FA083" w14:textId="77777777" w:rsidR="002378C3" w:rsidRDefault="002378C3" w:rsidP="007A3C1A"/>
    <w:p w14:paraId="6DE451F2" w14:textId="34D0F701" w:rsidR="007A3C1A" w:rsidRDefault="00134A93" w:rsidP="005E5C17">
      <w:pPr>
        <w:rPr>
          <w:b/>
        </w:rPr>
        <w:sectPr w:rsidR="007A3C1A" w:rsidSect="007A3C1A">
          <w:pgSz w:w="12240" w:h="15840"/>
          <w:pgMar w:top="1440" w:right="1440" w:bottom="1440" w:left="1440" w:header="720" w:footer="720" w:gutter="0"/>
          <w:cols w:space="720"/>
          <w:docGrid w:linePitch="360"/>
        </w:sectPr>
      </w:pPr>
      <w:r>
        <w:rPr>
          <w:b/>
        </w:rPr>
        <w:t xml:space="preserve">Supplemental </w:t>
      </w:r>
      <w:r w:rsidR="00722EAF">
        <w:rPr>
          <w:b/>
        </w:rPr>
        <w:t>Table</w:t>
      </w:r>
      <w:r w:rsidR="00722EAF" w:rsidRPr="00270123">
        <w:rPr>
          <w:b/>
        </w:rPr>
        <w:t xml:space="preserve"> </w:t>
      </w:r>
      <w:r w:rsidR="00481181">
        <w:rPr>
          <w:b/>
        </w:rPr>
        <w:t>2</w:t>
      </w:r>
      <w:r w:rsidR="00722EAF" w:rsidRPr="00270123">
        <w:rPr>
          <w:b/>
        </w:rPr>
        <w:t xml:space="preserve">. </w:t>
      </w:r>
      <w:r w:rsidR="00722EAF">
        <w:t>Necessary m</w:t>
      </w:r>
      <w:r w:rsidR="00722EAF" w:rsidRPr="00270123">
        <w:t>odifications</w:t>
      </w:r>
      <w:r w:rsidR="00722EAF">
        <w:t xml:space="preserve">, operationalization, </w:t>
      </w:r>
      <w:r w:rsidR="00722EAF" w:rsidRPr="00270123">
        <w:t>and rationale applied for each assessment tool used for</w:t>
      </w:r>
      <w:r w:rsidR="00722EAF">
        <w:t xml:space="preserve"> an evaluation</w:t>
      </w:r>
      <w:r w:rsidR="00722EAF" w:rsidRPr="00270123">
        <w:t xml:space="preserve"> of the literacy demands of self-directed learning resources on emergency preparedness for </w:t>
      </w:r>
      <w:r w:rsidR="002378C3">
        <w:t xml:space="preserve">U.S. </w:t>
      </w:r>
      <w:r w:rsidR="00722EAF" w:rsidRPr="00270123">
        <w:t>families</w:t>
      </w:r>
    </w:p>
    <w:p w14:paraId="0BFFDB46" w14:textId="11BDB2EB" w:rsidR="00845194" w:rsidRPr="00270123" w:rsidRDefault="00134A93" w:rsidP="005E5C17">
      <w:r>
        <w:rPr>
          <w:b/>
        </w:rPr>
        <w:lastRenderedPageBreak/>
        <w:t xml:space="preserve">Supplemental </w:t>
      </w:r>
      <w:r w:rsidR="007A3C1A">
        <w:rPr>
          <w:b/>
        </w:rPr>
        <w:t>Table</w:t>
      </w:r>
      <w:r w:rsidR="00845194" w:rsidRPr="00270123">
        <w:rPr>
          <w:b/>
        </w:rPr>
        <w:t xml:space="preserve"> </w:t>
      </w:r>
      <w:r w:rsidR="00481181">
        <w:rPr>
          <w:b/>
        </w:rPr>
        <w:t>1</w:t>
      </w:r>
      <w:r w:rsidR="00845194" w:rsidRPr="00270123">
        <w:rPr>
          <w:b/>
        </w:rPr>
        <w:t xml:space="preserve">. </w:t>
      </w:r>
      <w:r w:rsidR="00845194" w:rsidRPr="00270123">
        <w:t>Textual and image-based indicators used for classifying the information source and primary target audience of websites within an evaluation of the literacy demands of self-directed learning resources on emergency preparedness for</w:t>
      </w:r>
      <w:r>
        <w:t xml:space="preserve"> U.S.</w:t>
      </w:r>
      <w:r w:rsidR="00845194" w:rsidRPr="00270123">
        <w:t xml:space="preserve"> families</w:t>
      </w:r>
    </w:p>
    <w:tbl>
      <w:tblPr>
        <w:tblW w:w="13528" w:type="dxa"/>
        <w:tblInd w:w="-108" w:type="dxa"/>
        <w:tblLayout w:type="fixed"/>
        <w:tblLook w:val="0000" w:firstRow="0" w:lastRow="0" w:firstColumn="0" w:lastColumn="0" w:noHBand="0" w:noVBand="0"/>
      </w:tblPr>
      <w:tblGrid>
        <w:gridCol w:w="5238"/>
        <w:gridCol w:w="8290"/>
      </w:tblGrid>
      <w:tr w:rsidR="00845194" w:rsidRPr="00270123" w14:paraId="3EA5B253" w14:textId="77777777" w:rsidTr="00EF3E6A">
        <w:trPr>
          <w:trHeight w:val="20"/>
        </w:trPr>
        <w:tc>
          <w:tcPr>
            <w:tcW w:w="13528" w:type="dxa"/>
            <w:gridSpan w:val="2"/>
            <w:tcBorders>
              <w:top w:val="single" w:sz="4" w:space="0" w:color="auto"/>
              <w:bottom w:val="single" w:sz="4" w:space="0" w:color="auto"/>
            </w:tcBorders>
            <w:shd w:val="clear" w:color="auto" w:fill="auto"/>
            <w:vAlign w:val="bottom"/>
          </w:tcPr>
          <w:p w14:paraId="00F1DE2C" w14:textId="7E1E2B18" w:rsidR="00845194" w:rsidRPr="00EF3E6A" w:rsidRDefault="00EF3E6A" w:rsidP="00EF3E6A">
            <w:pPr>
              <w:widowControl w:val="0"/>
              <w:autoSpaceDE w:val="0"/>
              <w:autoSpaceDN w:val="0"/>
              <w:adjustRightInd w:val="0"/>
              <w:rPr>
                <w:bCs/>
                <w:i/>
                <w:color w:val="000000" w:themeColor="text1"/>
                <w:sz w:val="20"/>
                <w:szCs w:val="20"/>
              </w:rPr>
            </w:pPr>
            <w:r w:rsidRPr="00EF3E6A">
              <w:rPr>
                <w:bCs/>
                <w:i/>
                <w:color w:val="000000" w:themeColor="text1"/>
                <w:sz w:val="20"/>
                <w:szCs w:val="20"/>
              </w:rPr>
              <w:t>Information Source</w:t>
            </w:r>
          </w:p>
        </w:tc>
      </w:tr>
      <w:tr w:rsidR="00845194" w:rsidRPr="00270123" w14:paraId="0DFA12A8" w14:textId="77777777" w:rsidTr="002378C3">
        <w:trPr>
          <w:trHeight w:val="20"/>
        </w:trPr>
        <w:tc>
          <w:tcPr>
            <w:tcW w:w="5238" w:type="dxa"/>
            <w:tcBorders>
              <w:top w:val="single" w:sz="4" w:space="0" w:color="auto"/>
              <w:bottom w:val="single" w:sz="4" w:space="0" w:color="auto"/>
            </w:tcBorders>
            <w:shd w:val="clear" w:color="auto" w:fill="E7E6E6" w:themeFill="background2"/>
            <w:vAlign w:val="bottom"/>
          </w:tcPr>
          <w:p w14:paraId="75B6FE07" w14:textId="77777777" w:rsidR="00845194" w:rsidRPr="00EF3E6A" w:rsidRDefault="00845194" w:rsidP="00845194">
            <w:pPr>
              <w:widowControl w:val="0"/>
              <w:autoSpaceDE w:val="0"/>
              <w:autoSpaceDN w:val="0"/>
              <w:adjustRightInd w:val="0"/>
              <w:rPr>
                <w:b/>
                <w:bCs/>
                <w:color w:val="000000" w:themeColor="text1"/>
                <w:sz w:val="20"/>
                <w:szCs w:val="20"/>
              </w:rPr>
            </w:pPr>
            <w:r w:rsidRPr="00EF3E6A">
              <w:rPr>
                <w:b/>
                <w:bCs/>
                <w:color w:val="000000" w:themeColor="text1"/>
                <w:sz w:val="20"/>
                <w:szCs w:val="20"/>
              </w:rPr>
              <w:t>Types</w:t>
            </w:r>
          </w:p>
        </w:tc>
        <w:tc>
          <w:tcPr>
            <w:tcW w:w="8290" w:type="dxa"/>
            <w:tcBorders>
              <w:top w:val="single" w:sz="4" w:space="0" w:color="auto"/>
              <w:bottom w:val="single" w:sz="4" w:space="0" w:color="auto"/>
            </w:tcBorders>
            <w:shd w:val="clear" w:color="auto" w:fill="E7E6E6" w:themeFill="background2"/>
            <w:vAlign w:val="bottom"/>
          </w:tcPr>
          <w:p w14:paraId="083C579F" w14:textId="77777777" w:rsidR="00845194" w:rsidRPr="00EF3E6A" w:rsidRDefault="00845194" w:rsidP="00845194">
            <w:pPr>
              <w:widowControl w:val="0"/>
              <w:autoSpaceDE w:val="0"/>
              <w:autoSpaceDN w:val="0"/>
              <w:adjustRightInd w:val="0"/>
              <w:rPr>
                <w:b/>
                <w:bCs/>
                <w:color w:val="000000" w:themeColor="text1"/>
                <w:sz w:val="20"/>
                <w:szCs w:val="20"/>
              </w:rPr>
            </w:pPr>
            <w:r w:rsidRPr="00EF3E6A">
              <w:rPr>
                <w:b/>
                <w:bCs/>
                <w:color w:val="000000" w:themeColor="text1"/>
                <w:sz w:val="20"/>
                <w:szCs w:val="20"/>
              </w:rPr>
              <w:t>Potential indicators </w:t>
            </w:r>
          </w:p>
        </w:tc>
      </w:tr>
      <w:tr w:rsidR="00845194" w:rsidRPr="00270123" w14:paraId="6D15649D" w14:textId="77777777" w:rsidTr="002378C3">
        <w:trPr>
          <w:trHeight w:val="432"/>
        </w:trPr>
        <w:tc>
          <w:tcPr>
            <w:tcW w:w="5238" w:type="dxa"/>
            <w:tcBorders>
              <w:top w:val="single" w:sz="4" w:space="0" w:color="auto"/>
            </w:tcBorders>
            <w:shd w:val="clear" w:color="auto" w:fill="auto"/>
            <w:vAlign w:val="center"/>
          </w:tcPr>
          <w:p w14:paraId="4DAA6ABB"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Government Institution</w:t>
            </w:r>
          </w:p>
        </w:tc>
        <w:tc>
          <w:tcPr>
            <w:tcW w:w="8290" w:type="dxa"/>
            <w:tcBorders>
              <w:top w:val="single" w:sz="4" w:space="0" w:color="auto"/>
            </w:tcBorders>
            <w:shd w:val="clear" w:color="auto" w:fill="auto"/>
            <w:vAlign w:val="center"/>
          </w:tcPr>
          <w:p w14:paraId="1DCD6E83"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w:t>
            </w:r>
            <w:proofErr w:type="spellStart"/>
            <w:r w:rsidRPr="00EF3E6A">
              <w:rPr>
                <w:color w:val="000000" w:themeColor="text1"/>
                <w:sz w:val="20"/>
                <w:szCs w:val="20"/>
              </w:rPr>
              <w:t>gov</w:t>
            </w:r>
            <w:proofErr w:type="spellEnd"/>
            <w:r w:rsidRPr="00EF3E6A">
              <w:rPr>
                <w:color w:val="000000" w:themeColor="text1"/>
                <w:sz w:val="20"/>
                <w:szCs w:val="20"/>
              </w:rPr>
              <w:t xml:space="preserve"> URL, “[local/state/federal] government”, “[local/state/federal] agency”, “National Advisory Committee”, “National Commission”</w:t>
            </w:r>
          </w:p>
        </w:tc>
      </w:tr>
      <w:tr w:rsidR="00845194" w:rsidRPr="00270123" w14:paraId="29E9AFF3" w14:textId="77777777" w:rsidTr="002378C3">
        <w:trPr>
          <w:trHeight w:val="432"/>
        </w:trPr>
        <w:tc>
          <w:tcPr>
            <w:tcW w:w="5238" w:type="dxa"/>
            <w:shd w:val="clear" w:color="auto" w:fill="auto"/>
            <w:vAlign w:val="center"/>
          </w:tcPr>
          <w:p w14:paraId="68C1D0BF"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Educational Institution</w:t>
            </w:r>
          </w:p>
        </w:tc>
        <w:tc>
          <w:tcPr>
            <w:tcW w:w="8290" w:type="dxa"/>
            <w:shd w:val="clear" w:color="auto" w:fill="auto"/>
            <w:vAlign w:val="center"/>
          </w:tcPr>
          <w:p w14:paraId="6E721703"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w:t>
            </w:r>
            <w:proofErr w:type="spellStart"/>
            <w:r w:rsidRPr="00EF3E6A">
              <w:rPr>
                <w:color w:val="000000" w:themeColor="text1"/>
                <w:sz w:val="20"/>
                <w:szCs w:val="20"/>
              </w:rPr>
              <w:t>edu</w:t>
            </w:r>
            <w:proofErr w:type="spellEnd"/>
            <w:r w:rsidRPr="00EF3E6A">
              <w:rPr>
                <w:color w:val="000000" w:themeColor="text1"/>
                <w:sz w:val="20"/>
                <w:szCs w:val="20"/>
              </w:rPr>
              <w:t xml:space="preserve"> URL, “elementary school”, “K-12”, “public school”, “school district”, "university"</w:t>
            </w:r>
          </w:p>
        </w:tc>
      </w:tr>
      <w:tr w:rsidR="00845194" w:rsidRPr="00270123" w14:paraId="018BCCBB" w14:textId="77777777" w:rsidTr="002378C3">
        <w:trPr>
          <w:trHeight w:val="432"/>
        </w:trPr>
        <w:tc>
          <w:tcPr>
            <w:tcW w:w="5238" w:type="dxa"/>
            <w:shd w:val="clear" w:color="auto" w:fill="auto"/>
            <w:vAlign w:val="center"/>
          </w:tcPr>
          <w:p w14:paraId="050FB973" w14:textId="7BAED083" w:rsidR="00845194" w:rsidRPr="00EF3E6A" w:rsidRDefault="00845194" w:rsidP="002378C3">
            <w:pPr>
              <w:widowControl w:val="0"/>
              <w:autoSpaceDE w:val="0"/>
              <w:autoSpaceDN w:val="0"/>
              <w:adjustRightInd w:val="0"/>
              <w:rPr>
                <w:color w:val="000000" w:themeColor="text1"/>
                <w:sz w:val="20"/>
                <w:szCs w:val="20"/>
                <w:vertAlign w:val="superscript"/>
              </w:rPr>
            </w:pPr>
            <w:r w:rsidRPr="00EF3E6A">
              <w:rPr>
                <w:color w:val="000000" w:themeColor="text1"/>
                <w:sz w:val="20"/>
                <w:szCs w:val="20"/>
              </w:rPr>
              <w:t>Healthcare Institution</w:t>
            </w:r>
            <w:r w:rsidR="00D6646B" w:rsidRPr="00EF3E6A">
              <w:rPr>
                <w:color w:val="000000" w:themeColor="text1"/>
                <w:sz w:val="20"/>
                <w:szCs w:val="20"/>
              </w:rPr>
              <w:t xml:space="preserve"> </w:t>
            </w:r>
            <w:r w:rsidR="00D6646B" w:rsidRPr="00EF3E6A">
              <w:rPr>
                <w:color w:val="000000" w:themeColor="text1"/>
                <w:sz w:val="20"/>
                <w:szCs w:val="20"/>
                <w:vertAlign w:val="superscript"/>
              </w:rPr>
              <w:t>a</w:t>
            </w:r>
          </w:p>
        </w:tc>
        <w:tc>
          <w:tcPr>
            <w:tcW w:w="8290" w:type="dxa"/>
            <w:shd w:val="clear" w:color="auto" w:fill="auto"/>
            <w:vAlign w:val="center"/>
          </w:tcPr>
          <w:p w14:paraId="474A1EC8"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.org URL, “Hospital”, “Health Center”, “Clinic”, “Medical Center”</w:t>
            </w:r>
          </w:p>
        </w:tc>
      </w:tr>
      <w:tr w:rsidR="00845194" w:rsidRPr="00270123" w14:paraId="0534B072" w14:textId="77777777" w:rsidTr="002378C3">
        <w:trPr>
          <w:trHeight w:val="432"/>
        </w:trPr>
        <w:tc>
          <w:tcPr>
            <w:tcW w:w="5238" w:type="dxa"/>
            <w:shd w:val="clear" w:color="auto" w:fill="auto"/>
            <w:vAlign w:val="center"/>
          </w:tcPr>
          <w:p w14:paraId="6B39CEE3"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Non-Profit Organization</w:t>
            </w:r>
          </w:p>
        </w:tc>
        <w:tc>
          <w:tcPr>
            <w:tcW w:w="8290" w:type="dxa"/>
            <w:shd w:val="clear" w:color="auto" w:fill="auto"/>
            <w:vAlign w:val="center"/>
          </w:tcPr>
          <w:p w14:paraId="23C2DA12"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.org URL that is NOT a healthcare institution, “501</w:t>
            </w:r>
            <w:proofErr w:type="gramStart"/>
            <w:r w:rsidRPr="00EF3E6A">
              <w:rPr>
                <w:color w:val="000000" w:themeColor="text1"/>
                <w:sz w:val="20"/>
                <w:szCs w:val="20"/>
              </w:rPr>
              <w:t>c(</w:t>
            </w:r>
            <w:proofErr w:type="gramEnd"/>
            <w:r w:rsidRPr="00EF3E6A">
              <w:rPr>
                <w:color w:val="000000" w:themeColor="text1"/>
                <w:sz w:val="20"/>
                <w:szCs w:val="20"/>
              </w:rPr>
              <w:t>3)”, “non-profit”, “non-governmental organization”, “foundation”</w:t>
            </w:r>
          </w:p>
        </w:tc>
      </w:tr>
      <w:tr w:rsidR="00845194" w:rsidRPr="00270123" w14:paraId="357175C8" w14:textId="77777777" w:rsidTr="002378C3">
        <w:trPr>
          <w:trHeight w:val="432"/>
        </w:trPr>
        <w:tc>
          <w:tcPr>
            <w:tcW w:w="5238" w:type="dxa"/>
            <w:shd w:val="clear" w:color="auto" w:fill="auto"/>
            <w:vAlign w:val="center"/>
          </w:tcPr>
          <w:p w14:paraId="5161B8F7"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Private Company</w:t>
            </w:r>
          </w:p>
        </w:tc>
        <w:tc>
          <w:tcPr>
            <w:tcW w:w="8290" w:type="dxa"/>
            <w:shd w:val="clear" w:color="auto" w:fill="auto"/>
            <w:vAlign w:val="center"/>
          </w:tcPr>
          <w:p w14:paraId="2D01B45F"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.com URL</w:t>
            </w:r>
          </w:p>
        </w:tc>
      </w:tr>
      <w:tr w:rsidR="00845194" w:rsidRPr="00270123" w14:paraId="4FF9D2FD" w14:textId="77777777" w:rsidTr="002378C3">
        <w:trPr>
          <w:trHeight w:val="432"/>
        </w:trPr>
        <w:tc>
          <w:tcPr>
            <w:tcW w:w="5238" w:type="dxa"/>
            <w:tcBorders>
              <w:bottom w:val="single" w:sz="4" w:space="0" w:color="auto"/>
            </w:tcBorders>
            <w:shd w:val="clear" w:color="auto" w:fill="auto"/>
            <w:vAlign w:val="center"/>
          </w:tcPr>
          <w:p w14:paraId="5CC04841"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Other</w:t>
            </w:r>
          </w:p>
        </w:tc>
        <w:tc>
          <w:tcPr>
            <w:tcW w:w="8290" w:type="dxa"/>
            <w:tcBorders>
              <w:bottom w:val="single" w:sz="4" w:space="0" w:color="auto"/>
            </w:tcBorders>
            <w:shd w:val="clear" w:color="auto" w:fill="auto"/>
            <w:vAlign w:val="center"/>
          </w:tcPr>
          <w:p w14:paraId="57A0D435" w14:textId="4A5227B3" w:rsidR="00EF3E6A"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Any website that does not fulfill above criteria</w:t>
            </w:r>
          </w:p>
        </w:tc>
      </w:tr>
      <w:tr w:rsidR="00845194" w:rsidRPr="00270123" w14:paraId="0C21519E" w14:textId="77777777" w:rsidTr="00EF3E6A">
        <w:trPr>
          <w:trHeight w:val="20"/>
        </w:trPr>
        <w:tc>
          <w:tcPr>
            <w:tcW w:w="13528" w:type="dxa"/>
            <w:gridSpan w:val="2"/>
            <w:tcBorders>
              <w:top w:val="single" w:sz="4" w:space="0" w:color="auto"/>
              <w:bottom w:val="single" w:sz="4" w:space="0" w:color="auto"/>
            </w:tcBorders>
            <w:shd w:val="clear" w:color="auto" w:fill="auto"/>
            <w:vAlign w:val="bottom"/>
          </w:tcPr>
          <w:p w14:paraId="3E2016AB" w14:textId="00A93152" w:rsidR="00845194" w:rsidRPr="00EF3E6A" w:rsidRDefault="00EF3E6A" w:rsidP="00EF3E6A">
            <w:pPr>
              <w:widowControl w:val="0"/>
              <w:autoSpaceDE w:val="0"/>
              <w:autoSpaceDN w:val="0"/>
              <w:adjustRightInd w:val="0"/>
              <w:rPr>
                <w:bCs/>
                <w:i/>
                <w:color w:val="000000" w:themeColor="text1"/>
                <w:sz w:val="20"/>
                <w:szCs w:val="20"/>
              </w:rPr>
            </w:pPr>
            <w:r w:rsidRPr="00EF3E6A">
              <w:rPr>
                <w:bCs/>
                <w:i/>
                <w:color w:val="000000" w:themeColor="text1"/>
                <w:sz w:val="20"/>
                <w:szCs w:val="20"/>
              </w:rPr>
              <w:t>Target Audience</w:t>
            </w:r>
          </w:p>
        </w:tc>
      </w:tr>
      <w:tr w:rsidR="00845194" w:rsidRPr="00270123" w14:paraId="2B2AC9C6" w14:textId="77777777" w:rsidTr="002378C3">
        <w:trPr>
          <w:trHeight w:val="20"/>
        </w:trPr>
        <w:tc>
          <w:tcPr>
            <w:tcW w:w="5238" w:type="dxa"/>
            <w:tcBorders>
              <w:top w:val="single" w:sz="4" w:space="0" w:color="auto"/>
              <w:bottom w:val="single" w:sz="4" w:space="0" w:color="auto"/>
            </w:tcBorders>
            <w:shd w:val="clear" w:color="auto" w:fill="E7E6E6" w:themeFill="background2"/>
            <w:vAlign w:val="bottom"/>
          </w:tcPr>
          <w:p w14:paraId="7544C87A" w14:textId="77777777" w:rsidR="00845194" w:rsidRPr="00EF3E6A" w:rsidRDefault="00845194" w:rsidP="00845194">
            <w:pPr>
              <w:widowControl w:val="0"/>
              <w:autoSpaceDE w:val="0"/>
              <w:autoSpaceDN w:val="0"/>
              <w:adjustRightInd w:val="0"/>
              <w:rPr>
                <w:b/>
                <w:bCs/>
                <w:color w:val="000000" w:themeColor="text1"/>
                <w:sz w:val="20"/>
                <w:szCs w:val="20"/>
              </w:rPr>
            </w:pPr>
            <w:r w:rsidRPr="00EF3E6A">
              <w:rPr>
                <w:b/>
                <w:bCs/>
                <w:color w:val="000000" w:themeColor="text1"/>
                <w:sz w:val="20"/>
                <w:szCs w:val="20"/>
              </w:rPr>
              <w:t>Types</w:t>
            </w:r>
          </w:p>
        </w:tc>
        <w:tc>
          <w:tcPr>
            <w:tcW w:w="8290" w:type="dxa"/>
            <w:tcBorders>
              <w:top w:val="single" w:sz="4" w:space="0" w:color="auto"/>
              <w:bottom w:val="single" w:sz="4" w:space="0" w:color="auto"/>
            </w:tcBorders>
            <w:shd w:val="clear" w:color="auto" w:fill="E7E6E6" w:themeFill="background2"/>
            <w:vAlign w:val="bottom"/>
          </w:tcPr>
          <w:p w14:paraId="6ACBE55B" w14:textId="77777777" w:rsidR="00845194" w:rsidRPr="00EF3E6A" w:rsidRDefault="00845194" w:rsidP="00845194">
            <w:pPr>
              <w:widowControl w:val="0"/>
              <w:autoSpaceDE w:val="0"/>
              <w:autoSpaceDN w:val="0"/>
              <w:adjustRightInd w:val="0"/>
              <w:rPr>
                <w:b/>
                <w:bCs/>
                <w:color w:val="000000" w:themeColor="text1"/>
                <w:sz w:val="20"/>
                <w:szCs w:val="20"/>
              </w:rPr>
            </w:pPr>
            <w:r w:rsidRPr="00EF3E6A">
              <w:rPr>
                <w:b/>
                <w:bCs/>
                <w:color w:val="000000" w:themeColor="text1"/>
                <w:sz w:val="20"/>
                <w:szCs w:val="20"/>
              </w:rPr>
              <w:t>Potential indicators </w:t>
            </w:r>
          </w:p>
        </w:tc>
      </w:tr>
      <w:tr w:rsidR="00845194" w:rsidRPr="00270123" w14:paraId="5B9B4669" w14:textId="77777777" w:rsidTr="002378C3">
        <w:trPr>
          <w:trHeight w:val="432"/>
        </w:trPr>
        <w:tc>
          <w:tcPr>
            <w:tcW w:w="5238" w:type="dxa"/>
            <w:tcBorders>
              <w:top w:val="single" w:sz="4" w:space="0" w:color="auto"/>
            </w:tcBorders>
            <w:shd w:val="clear" w:color="auto" w:fill="auto"/>
            <w:vAlign w:val="center"/>
          </w:tcPr>
          <w:p w14:paraId="238B7232"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Parents/caregivers of CSHCN</w:t>
            </w:r>
          </w:p>
        </w:tc>
        <w:tc>
          <w:tcPr>
            <w:tcW w:w="8290" w:type="dxa"/>
            <w:tcBorders>
              <w:top w:val="single" w:sz="4" w:space="0" w:color="auto"/>
            </w:tcBorders>
            <w:shd w:val="clear" w:color="auto" w:fill="auto"/>
            <w:vAlign w:val="center"/>
          </w:tcPr>
          <w:p w14:paraId="37A8A3A8" w14:textId="164C3DF8"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 xml:space="preserve">“Children with Special Needs”, “Children with Special Healthcare Needs”, “Child with [insert specific </w:t>
            </w:r>
            <w:proofErr w:type="spellStart"/>
            <w:proofErr w:type="gramStart"/>
            <w:r w:rsidRPr="00EF3E6A">
              <w:rPr>
                <w:color w:val="000000" w:themeColor="text1"/>
                <w:sz w:val="20"/>
                <w:szCs w:val="20"/>
              </w:rPr>
              <w:t>condition,</w:t>
            </w:r>
            <w:r w:rsidR="00D6646B" w:rsidRPr="00EF3E6A">
              <w:rPr>
                <w:color w:val="000000" w:themeColor="text1"/>
                <w:sz w:val="20"/>
                <w:szCs w:val="20"/>
                <w:vertAlign w:val="superscript"/>
              </w:rPr>
              <w:t>b</w:t>
            </w:r>
            <w:proofErr w:type="spellEnd"/>
            <w:proofErr w:type="gramEnd"/>
            <w:r w:rsidRPr="00EF3E6A">
              <w:rPr>
                <w:color w:val="000000" w:themeColor="text1"/>
                <w:sz w:val="20"/>
                <w:szCs w:val="20"/>
              </w:rPr>
              <w:t xml:space="preserve"> e.g., Autism]”, Photos of CSHCN or Families with CSHCN</w:t>
            </w:r>
          </w:p>
        </w:tc>
      </w:tr>
      <w:tr w:rsidR="00845194" w:rsidRPr="00270123" w14:paraId="53546025" w14:textId="77777777" w:rsidTr="002378C3">
        <w:trPr>
          <w:trHeight w:val="432"/>
        </w:trPr>
        <w:tc>
          <w:tcPr>
            <w:tcW w:w="5238" w:type="dxa"/>
            <w:shd w:val="clear" w:color="auto" w:fill="auto"/>
            <w:vAlign w:val="center"/>
          </w:tcPr>
          <w:p w14:paraId="6EE916F0"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Parents/caregivers of children (no special healthcare needs)</w:t>
            </w:r>
          </w:p>
        </w:tc>
        <w:tc>
          <w:tcPr>
            <w:tcW w:w="8290" w:type="dxa"/>
            <w:shd w:val="clear" w:color="auto" w:fill="auto"/>
            <w:vAlign w:val="center"/>
          </w:tcPr>
          <w:p w14:paraId="7F21EB7F" w14:textId="77777777"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“Your children”, “Your grandchildren”, “The children in your care”, Photos of Children or Families</w:t>
            </w:r>
          </w:p>
        </w:tc>
      </w:tr>
      <w:tr w:rsidR="00845194" w:rsidRPr="00270123" w14:paraId="59EC8EB9" w14:textId="77777777" w:rsidTr="002378C3">
        <w:trPr>
          <w:trHeight w:val="432"/>
        </w:trPr>
        <w:tc>
          <w:tcPr>
            <w:tcW w:w="5238" w:type="dxa"/>
            <w:shd w:val="clear" w:color="auto" w:fill="auto"/>
            <w:vAlign w:val="center"/>
          </w:tcPr>
          <w:p w14:paraId="66F952C4" w14:textId="25FCF5B1" w:rsidR="00845194" w:rsidRPr="00EF3E6A" w:rsidRDefault="00845194" w:rsidP="002378C3">
            <w:pPr>
              <w:widowControl w:val="0"/>
              <w:autoSpaceDE w:val="0"/>
              <w:autoSpaceDN w:val="0"/>
              <w:adjustRightInd w:val="0"/>
              <w:rPr>
                <w:color w:val="000000" w:themeColor="text1"/>
                <w:sz w:val="20"/>
                <w:szCs w:val="20"/>
                <w:vertAlign w:val="superscript"/>
              </w:rPr>
            </w:pPr>
            <w:r w:rsidRPr="00EF3E6A">
              <w:rPr>
                <w:color w:val="000000" w:themeColor="text1"/>
                <w:sz w:val="20"/>
                <w:szCs w:val="20"/>
              </w:rPr>
              <w:t>Children</w:t>
            </w:r>
            <w:r w:rsidR="00D6646B" w:rsidRPr="00EF3E6A">
              <w:rPr>
                <w:color w:val="000000" w:themeColor="text1"/>
                <w:sz w:val="20"/>
                <w:szCs w:val="20"/>
              </w:rPr>
              <w:t xml:space="preserve"> </w:t>
            </w:r>
            <w:r w:rsidR="00D6646B" w:rsidRPr="00EF3E6A">
              <w:rPr>
                <w:color w:val="000000" w:themeColor="text1"/>
                <w:sz w:val="20"/>
                <w:szCs w:val="20"/>
                <w:vertAlign w:val="superscript"/>
              </w:rPr>
              <w:t>a</w:t>
            </w:r>
          </w:p>
        </w:tc>
        <w:tc>
          <w:tcPr>
            <w:tcW w:w="8290" w:type="dxa"/>
            <w:shd w:val="clear" w:color="auto" w:fill="auto"/>
            <w:vAlign w:val="center"/>
          </w:tcPr>
          <w:p w14:paraId="05E9158E" w14:textId="10E1F8CF"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“Activity Book”, “For Kids”,</w:t>
            </w:r>
            <w:r w:rsidR="00D6646B" w:rsidRPr="00EF3E6A">
              <w:rPr>
                <w:color w:val="000000" w:themeColor="text1"/>
                <w:sz w:val="20"/>
                <w:szCs w:val="20"/>
              </w:rPr>
              <w:t xml:space="preserve"> “For children”</w:t>
            </w:r>
            <w:r w:rsidRPr="00EF3E6A">
              <w:rPr>
                <w:color w:val="000000" w:themeColor="text1"/>
                <w:sz w:val="20"/>
                <w:szCs w:val="20"/>
              </w:rPr>
              <w:t xml:space="preserve"> Photos/language that indicates the resource is speaking to a young person or child</w:t>
            </w:r>
          </w:p>
        </w:tc>
      </w:tr>
      <w:tr w:rsidR="00845194" w:rsidRPr="00270123" w14:paraId="07E3C7BC" w14:textId="77777777" w:rsidTr="002378C3">
        <w:trPr>
          <w:trHeight w:val="432"/>
        </w:trPr>
        <w:tc>
          <w:tcPr>
            <w:tcW w:w="5238" w:type="dxa"/>
            <w:shd w:val="clear" w:color="auto" w:fill="auto"/>
            <w:vAlign w:val="center"/>
          </w:tcPr>
          <w:p w14:paraId="5A076FBB" w14:textId="7EA2D567" w:rsidR="00845194" w:rsidRPr="00EF3E6A" w:rsidRDefault="00845194" w:rsidP="002378C3">
            <w:pPr>
              <w:widowControl w:val="0"/>
              <w:autoSpaceDE w:val="0"/>
              <w:autoSpaceDN w:val="0"/>
              <w:adjustRightInd w:val="0"/>
              <w:rPr>
                <w:color w:val="000000" w:themeColor="text1"/>
                <w:sz w:val="20"/>
                <w:szCs w:val="20"/>
                <w:vertAlign w:val="superscript"/>
              </w:rPr>
            </w:pPr>
            <w:r w:rsidRPr="00EF3E6A">
              <w:rPr>
                <w:color w:val="000000" w:themeColor="text1"/>
                <w:sz w:val="20"/>
                <w:szCs w:val="20"/>
              </w:rPr>
              <w:t>Other clearly specified audience</w:t>
            </w:r>
            <w:r w:rsidR="00270123" w:rsidRPr="00EF3E6A">
              <w:rPr>
                <w:color w:val="000000" w:themeColor="text1"/>
                <w:sz w:val="20"/>
                <w:szCs w:val="20"/>
              </w:rPr>
              <w:t xml:space="preserve"> </w:t>
            </w:r>
            <w:r w:rsidR="00270123" w:rsidRPr="00EF3E6A">
              <w:rPr>
                <w:color w:val="000000" w:themeColor="text1"/>
                <w:sz w:val="20"/>
                <w:szCs w:val="20"/>
                <w:vertAlign w:val="superscript"/>
              </w:rPr>
              <w:t>c</w:t>
            </w:r>
          </w:p>
        </w:tc>
        <w:tc>
          <w:tcPr>
            <w:tcW w:w="8290" w:type="dxa"/>
            <w:shd w:val="clear" w:color="auto" w:fill="auto"/>
            <w:vAlign w:val="center"/>
          </w:tcPr>
          <w:p w14:paraId="6A5632B2" w14:textId="205EA709"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“[Insert specific audience group, e.g., Veterinarians] should/can...”, Photos of [insert specific audience group, e.g., Veterinarians]</w:t>
            </w:r>
          </w:p>
        </w:tc>
      </w:tr>
      <w:tr w:rsidR="00845194" w:rsidRPr="00270123" w14:paraId="07D903D3" w14:textId="77777777" w:rsidTr="002378C3">
        <w:trPr>
          <w:trHeight w:val="432"/>
        </w:trPr>
        <w:tc>
          <w:tcPr>
            <w:tcW w:w="5238" w:type="dxa"/>
            <w:tcBorders>
              <w:bottom w:val="single" w:sz="4" w:space="0" w:color="auto"/>
            </w:tcBorders>
            <w:shd w:val="clear" w:color="auto" w:fill="auto"/>
            <w:vAlign w:val="center"/>
          </w:tcPr>
          <w:p w14:paraId="632C3A81" w14:textId="1C2B27AC" w:rsidR="00845194"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General (none of the above)</w:t>
            </w:r>
          </w:p>
        </w:tc>
        <w:tc>
          <w:tcPr>
            <w:tcW w:w="8290" w:type="dxa"/>
            <w:tcBorders>
              <w:bottom w:val="single" w:sz="4" w:space="0" w:color="auto"/>
            </w:tcBorders>
            <w:shd w:val="clear" w:color="auto" w:fill="auto"/>
            <w:vAlign w:val="center"/>
          </w:tcPr>
          <w:p w14:paraId="32CD44E6" w14:textId="4CC9EDE5" w:rsidR="00EF3E6A" w:rsidRPr="00EF3E6A" w:rsidRDefault="00845194" w:rsidP="002378C3">
            <w:pPr>
              <w:widowControl w:val="0"/>
              <w:autoSpaceDE w:val="0"/>
              <w:autoSpaceDN w:val="0"/>
              <w:adjustRightInd w:val="0"/>
              <w:rPr>
                <w:color w:val="000000" w:themeColor="text1"/>
                <w:sz w:val="20"/>
                <w:szCs w:val="20"/>
              </w:rPr>
            </w:pPr>
            <w:r w:rsidRPr="00EF3E6A">
              <w:rPr>
                <w:color w:val="000000" w:themeColor="text1"/>
                <w:sz w:val="20"/>
                <w:szCs w:val="20"/>
              </w:rPr>
              <w:t>Any website that does not fulfill above criteria</w:t>
            </w:r>
          </w:p>
        </w:tc>
      </w:tr>
    </w:tbl>
    <w:p w14:paraId="61468D93" w14:textId="77777777" w:rsidR="002378C3" w:rsidRDefault="00D6646B" w:rsidP="005E5C17">
      <w:proofErr w:type="spellStart"/>
      <w:r w:rsidRPr="00270123">
        <w:rPr>
          <w:vertAlign w:val="superscript"/>
        </w:rPr>
        <w:t>a</w:t>
      </w:r>
      <w:proofErr w:type="spellEnd"/>
      <w:r w:rsidRPr="00270123">
        <w:rPr>
          <w:vertAlign w:val="superscript"/>
        </w:rPr>
        <w:t xml:space="preserve"> </w:t>
      </w:r>
      <w:r w:rsidRPr="00270123">
        <w:t xml:space="preserve">This category was included in the assessment, but no actual webpages were ultimately identified that fit within these categories. </w:t>
      </w:r>
    </w:p>
    <w:p w14:paraId="2EECB7C1" w14:textId="77777777" w:rsidR="002378C3" w:rsidRDefault="00D6646B" w:rsidP="005E5C17">
      <w:r w:rsidRPr="00270123">
        <w:rPr>
          <w:vertAlign w:val="superscript"/>
        </w:rPr>
        <w:t>b</w:t>
      </w:r>
      <w:r w:rsidR="0003432E" w:rsidRPr="00270123">
        <w:rPr>
          <w:vertAlign w:val="superscript"/>
        </w:rPr>
        <w:t xml:space="preserve"> </w:t>
      </w:r>
      <w:r w:rsidR="00075AAD" w:rsidRPr="00270123">
        <w:t>Conditions that qualified as a special</w:t>
      </w:r>
      <w:bookmarkStart w:id="0" w:name="_GoBack"/>
      <w:bookmarkEnd w:id="0"/>
      <w:r w:rsidR="00075AAD" w:rsidRPr="00270123">
        <w:t xml:space="preserve"> healthcare need in the coding process were identified consistent with Maternal and Child Health Bureau categories.</w:t>
      </w:r>
      <w:r w:rsidR="00966D40">
        <w:rPr>
          <w:vertAlign w:val="superscript"/>
        </w:rPr>
        <w:t>1</w:t>
      </w:r>
    </w:p>
    <w:p w14:paraId="62D20F49" w14:textId="77777777" w:rsidR="002378C3" w:rsidRDefault="00270123" w:rsidP="00EF3E6A">
      <w:r>
        <w:rPr>
          <w:vertAlign w:val="superscript"/>
        </w:rPr>
        <w:t xml:space="preserve">c </w:t>
      </w:r>
      <w:r>
        <w:t>Target audiences of webpages classified as “other clearly specified audience” ultimately included business owners, veterinarians, child care staff, public health professionals, educators, faith communities, family physicians, farmers, hospital administrators, pet and livestock owners, and residents of specific geographic regions.</w:t>
      </w:r>
    </w:p>
    <w:p w14:paraId="5C844D00" w14:textId="77777777" w:rsidR="002378C3" w:rsidRDefault="002378C3" w:rsidP="00EF3E6A">
      <w:pPr>
        <w:rPr>
          <w:b/>
        </w:rPr>
        <w:sectPr w:rsidR="002378C3" w:rsidSect="005E5C17">
          <w:pgSz w:w="15840" w:h="12240" w:orient="landscape"/>
          <w:pgMar w:top="1440" w:right="1440" w:bottom="1440" w:left="1440" w:header="720" w:footer="720" w:gutter="0"/>
          <w:cols w:space="720"/>
          <w:docGrid w:linePitch="360"/>
        </w:sectPr>
      </w:pPr>
    </w:p>
    <w:p w14:paraId="0FC1901E" w14:textId="2FA15D48" w:rsidR="00EF3E6A" w:rsidRPr="002378C3" w:rsidRDefault="00134A93" w:rsidP="00EF3E6A">
      <w:r>
        <w:rPr>
          <w:b/>
        </w:rPr>
        <w:lastRenderedPageBreak/>
        <w:t xml:space="preserve">Supplemental </w:t>
      </w:r>
      <w:r w:rsidR="00EF3E6A">
        <w:rPr>
          <w:b/>
        </w:rPr>
        <w:t>Table</w:t>
      </w:r>
      <w:r w:rsidR="00EF3E6A" w:rsidRPr="00270123">
        <w:rPr>
          <w:b/>
        </w:rPr>
        <w:t xml:space="preserve"> </w:t>
      </w:r>
      <w:r w:rsidR="00481181">
        <w:rPr>
          <w:b/>
        </w:rPr>
        <w:t>2</w:t>
      </w:r>
      <w:r w:rsidR="00EF3E6A" w:rsidRPr="00270123">
        <w:rPr>
          <w:b/>
        </w:rPr>
        <w:t xml:space="preserve">. </w:t>
      </w:r>
      <w:r w:rsidR="00722EAF">
        <w:t>Necessary m</w:t>
      </w:r>
      <w:r w:rsidR="00EF3E6A" w:rsidRPr="00270123">
        <w:t>odifications</w:t>
      </w:r>
      <w:r w:rsidR="00722EAF">
        <w:t xml:space="preserve">, operationalization, </w:t>
      </w:r>
      <w:r w:rsidR="00EF3E6A" w:rsidRPr="00270123">
        <w:t>and rationale applied for each assessment tool used for</w:t>
      </w:r>
      <w:r w:rsidR="00EF3E6A">
        <w:t xml:space="preserve"> an evaluation</w:t>
      </w:r>
      <w:r w:rsidR="00EF3E6A" w:rsidRPr="00270123">
        <w:t xml:space="preserve"> of the literacy demands of self-directed learning resources on emergency preparedness for </w:t>
      </w:r>
      <w:r>
        <w:t xml:space="preserve">U.S. </w:t>
      </w:r>
      <w:r w:rsidR="00EF3E6A" w:rsidRPr="00270123">
        <w:t>families</w:t>
      </w:r>
    </w:p>
    <w:tbl>
      <w:tblPr>
        <w:tblStyle w:val="TableGrid"/>
        <w:tblW w:w="0" w:type="auto"/>
        <w:tblLook w:val="04A0" w:firstRow="1" w:lastRow="0" w:firstColumn="1" w:lastColumn="0" w:noHBand="0" w:noVBand="1"/>
      </w:tblPr>
      <w:tblGrid>
        <w:gridCol w:w="1697"/>
        <w:gridCol w:w="5761"/>
        <w:gridCol w:w="5492"/>
      </w:tblGrid>
      <w:tr w:rsidR="00EF3E6A" w:rsidRPr="002378C3" w14:paraId="1E66781B" w14:textId="77777777" w:rsidTr="002378C3">
        <w:trPr>
          <w:trHeight w:val="20"/>
        </w:trPr>
        <w:tc>
          <w:tcPr>
            <w:tcW w:w="1165" w:type="dxa"/>
          </w:tcPr>
          <w:p w14:paraId="0FC28886" w14:textId="77777777" w:rsidR="00EF3E6A" w:rsidRPr="002378C3" w:rsidRDefault="00EF3E6A" w:rsidP="00460CFF">
            <w:pPr>
              <w:rPr>
                <w:b/>
                <w:sz w:val="18"/>
                <w:szCs w:val="20"/>
              </w:rPr>
            </w:pPr>
            <w:r w:rsidRPr="002378C3">
              <w:rPr>
                <w:b/>
                <w:sz w:val="18"/>
                <w:szCs w:val="20"/>
              </w:rPr>
              <w:t>Assessment Tool</w:t>
            </w:r>
          </w:p>
        </w:tc>
        <w:tc>
          <w:tcPr>
            <w:tcW w:w="6030" w:type="dxa"/>
          </w:tcPr>
          <w:p w14:paraId="34FC23F1" w14:textId="292EA840" w:rsidR="00EF3E6A" w:rsidRPr="002378C3" w:rsidRDefault="00EF3E6A" w:rsidP="00460CFF">
            <w:pPr>
              <w:rPr>
                <w:b/>
                <w:sz w:val="18"/>
                <w:szCs w:val="20"/>
              </w:rPr>
            </w:pPr>
            <w:r w:rsidRPr="002378C3">
              <w:rPr>
                <w:b/>
                <w:sz w:val="18"/>
                <w:szCs w:val="20"/>
              </w:rPr>
              <w:t xml:space="preserve">Items </w:t>
            </w:r>
            <w:r w:rsidR="00722EAF" w:rsidRPr="002378C3">
              <w:rPr>
                <w:b/>
                <w:sz w:val="18"/>
                <w:szCs w:val="20"/>
              </w:rPr>
              <w:t>modified</w:t>
            </w:r>
            <w:r w:rsidRPr="002378C3">
              <w:rPr>
                <w:b/>
                <w:sz w:val="18"/>
                <w:szCs w:val="20"/>
              </w:rPr>
              <w:t xml:space="preserve"> or further </w:t>
            </w:r>
            <w:r w:rsidR="00722EAF" w:rsidRPr="002378C3">
              <w:rPr>
                <w:b/>
                <w:sz w:val="18"/>
                <w:szCs w:val="20"/>
              </w:rPr>
              <w:t>operationalized</w:t>
            </w:r>
          </w:p>
        </w:tc>
        <w:tc>
          <w:tcPr>
            <w:tcW w:w="5755" w:type="dxa"/>
          </w:tcPr>
          <w:p w14:paraId="47FBB548" w14:textId="77777777" w:rsidR="00EF3E6A" w:rsidRPr="002378C3" w:rsidRDefault="00EF3E6A" w:rsidP="00460CFF">
            <w:pPr>
              <w:rPr>
                <w:b/>
                <w:sz w:val="18"/>
                <w:szCs w:val="20"/>
              </w:rPr>
            </w:pPr>
            <w:r w:rsidRPr="002378C3">
              <w:rPr>
                <w:b/>
                <w:sz w:val="18"/>
                <w:szCs w:val="20"/>
              </w:rPr>
              <w:t>Rationale for change</w:t>
            </w:r>
          </w:p>
        </w:tc>
      </w:tr>
      <w:tr w:rsidR="00EF3E6A" w:rsidRPr="002378C3" w14:paraId="4625E30D" w14:textId="77777777" w:rsidTr="002378C3">
        <w:trPr>
          <w:trHeight w:val="20"/>
        </w:trPr>
        <w:tc>
          <w:tcPr>
            <w:tcW w:w="1165" w:type="dxa"/>
          </w:tcPr>
          <w:p w14:paraId="5C1A5B54" w14:textId="77777777" w:rsidR="00EF3E6A" w:rsidRPr="002378C3" w:rsidRDefault="00EF3E6A" w:rsidP="00460CFF">
            <w:pPr>
              <w:rPr>
                <w:sz w:val="18"/>
                <w:szCs w:val="20"/>
              </w:rPr>
            </w:pPr>
            <w:r w:rsidRPr="002378C3">
              <w:rPr>
                <w:sz w:val="18"/>
                <w:szCs w:val="20"/>
              </w:rPr>
              <w:t>Flesch-Kincaid Grade Level</w:t>
            </w:r>
          </w:p>
        </w:tc>
        <w:tc>
          <w:tcPr>
            <w:tcW w:w="6030" w:type="dxa"/>
          </w:tcPr>
          <w:p w14:paraId="7A2E9634" w14:textId="77777777" w:rsidR="00EF3E6A" w:rsidRPr="002378C3" w:rsidRDefault="00EF3E6A" w:rsidP="00460CFF">
            <w:pPr>
              <w:rPr>
                <w:sz w:val="18"/>
                <w:szCs w:val="20"/>
              </w:rPr>
            </w:pPr>
            <w:r w:rsidRPr="002378C3">
              <w:rPr>
                <w:sz w:val="18"/>
                <w:szCs w:val="20"/>
              </w:rPr>
              <w:t>Round all scores down to the nearest integer (e.g. 12.9 = 12)</w:t>
            </w:r>
          </w:p>
        </w:tc>
        <w:tc>
          <w:tcPr>
            <w:tcW w:w="5755" w:type="dxa"/>
          </w:tcPr>
          <w:p w14:paraId="68455049" w14:textId="5E8FF5B6" w:rsidR="00EF3E6A" w:rsidRPr="002378C3" w:rsidRDefault="00EF3E6A" w:rsidP="00460CFF">
            <w:pPr>
              <w:rPr>
                <w:sz w:val="18"/>
                <w:szCs w:val="20"/>
              </w:rPr>
            </w:pPr>
            <w:r w:rsidRPr="002378C3">
              <w:rPr>
                <w:sz w:val="18"/>
                <w:szCs w:val="20"/>
              </w:rPr>
              <w:t xml:space="preserve">Recommendation from instrument developers </w:t>
            </w:r>
            <w:r w:rsidRPr="002378C3">
              <w:rPr>
                <w:sz w:val="18"/>
                <w:szCs w:val="20"/>
              </w:rPr>
              <w:fldChar w:fldCharType="begin" w:fldLock="1"/>
            </w:r>
            <w:r w:rsidRPr="002378C3">
              <w:rPr>
                <w:sz w:val="18"/>
                <w:szCs w:val="20"/>
              </w:rPr>
              <w:instrText>ADDIN CSL_CITATION {"citationItems":[{"id":"ITEM-1","itemData":{"author":[{"dropping-particle":"","family":"Kincaid","given":"JP","non-dropping-particle":"","parse-names":false,"suffix":""},{"dropping-particle":"","family":"Fishburne","given":"RP Jr","non-dropping-particle":"","parse-names":false,"suffix":""},{"dropping-particle":"","family":"Rogers","given":"RL","non-dropping-particle":"","parse-names":false,"suffix":""},{"dropping-particle":"","family":"Chissom","given":"BS","non-dropping-particle":"","parse-names":false,"suffix":""}],"id":"ITEM-1","issued":{"date-parts":[["1975"]]},"publisher-place":"Millington, TN","title":"Research branch report 8-75: derivation of new readability formulas (Automated Readability Index, Fog Count and Flesch Reading Ease Formula) for Navy enlisted personnel","type":"report"},"uris":["http://www.mendeley.com/documents/?uuid=24bb65ba-74b4-37bc-92d4-bc1555507f78"]}],"mendeley":{"formattedCitation":"(Kincaid et al., 1975)","plainTextFormattedCitation":"(Kincaid et al., 1975)","previouslyFormattedCitation":"(Kincaid et al., 1975)"},"properties":{"noteIndex":0},"schema":"https://github.com/citation-style-language/schema/raw/master/csl-citation.json"}</w:instrText>
            </w:r>
            <w:r w:rsidRPr="002378C3">
              <w:rPr>
                <w:sz w:val="18"/>
                <w:szCs w:val="20"/>
              </w:rPr>
              <w:fldChar w:fldCharType="separate"/>
            </w:r>
            <w:r w:rsidRPr="002378C3">
              <w:rPr>
                <w:noProof/>
                <w:sz w:val="18"/>
                <w:szCs w:val="20"/>
              </w:rPr>
              <w:t>(Kincaid et al., 1975)</w:t>
            </w:r>
            <w:r w:rsidRPr="002378C3">
              <w:rPr>
                <w:sz w:val="18"/>
                <w:szCs w:val="20"/>
              </w:rPr>
              <w:fldChar w:fldCharType="end"/>
            </w:r>
            <w:r w:rsidRPr="002378C3">
              <w:rPr>
                <w:sz w:val="18"/>
                <w:szCs w:val="20"/>
              </w:rPr>
              <w:t xml:space="preserve">. </w:t>
            </w:r>
          </w:p>
        </w:tc>
      </w:tr>
      <w:tr w:rsidR="00EF3E6A" w:rsidRPr="002378C3" w14:paraId="3A782E9D" w14:textId="77777777" w:rsidTr="002378C3">
        <w:trPr>
          <w:trHeight w:val="20"/>
        </w:trPr>
        <w:tc>
          <w:tcPr>
            <w:tcW w:w="1165" w:type="dxa"/>
            <w:vMerge w:val="restart"/>
          </w:tcPr>
          <w:p w14:paraId="36843E18" w14:textId="77777777" w:rsidR="00EF3E6A" w:rsidRPr="002378C3" w:rsidRDefault="00EF3E6A" w:rsidP="00460CFF">
            <w:pPr>
              <w:rPr>
                <w:sz w:val="18"/>
                <w:szCs w:val="20"/>
              </w:rPr>
            </w:pPr>
            <w:r w:rsidRPr="002378C3">
              <w:rPr>
                <w:sz w:val="18"/>
                <w:szCs w:val="20"/>
              </w:rPr>
              <w:t xml:space="preserve">Peter </w:t>
            </w:r>
            <w:proofErr w:type="spellStart"/>
            <w:r w:rsidRPr="002378C3">
              <w:rPr>
                <w:sz w:val="18"/>
                <w:szCs w:val="20"/>
              </w:rPr>
              <w:t>Mosenthal</w:t>
            </w:r>
            <w:proofErr w:type="spellEnd"/>
            <w:r w:rsidRPr="002378C3">
              <w:rPr>
                <w:sz w:val="18"/>
                <w:szCs w:val="20"/>
              </w:rPr>
              <w:t xml:space="preserve"> and Irwin Kirsch (PMOSE/</w:t>
            </w:r>
            <w:proofErr w:type="spellStart"/>
            <w:r w:rsidRPr="002378C3">
              <w:rPr>
                <w:sz w:val="18"/>
                <w:szCs w:val="20"/>
              </w:rPr>
              <w:t>iKIRSCH</w:t>
            </w:r>
            <w:proofErr w:type="spellEnd"/>
            <w:r w:rsidRPr="002378C3">
              <w:rPr>
                <w:sz w:val="18"/>
                <w:szCs w:val="20"/>
              </w:rPr>
              <w:t>) Formula</w:t>
            </w:r>
          </w:p>
        </w:tc>
        <w:tc>
          <w:tcPr>
            <w:tcW w:w="6030" w:type="dxa"/>
          </w:tcPr>
          <w:p w14:paraId="0A4EE66E" w14:textId="77777777" w:rsidR="00EF3E6A" w:rsidRPr="002378C3" w:rsidRDefault="00EF3E6A" w:rsidP="00460CFF">
            <w:pPr>
              <w:rPr>
                <w:sz w:val="18"/>
                <w:szCs w:val="20"/>
              </w:rPr>
            </w:pPr>
            <w:r w:rsidRPr="002378C3">
              <w:rPr>
                <w:sz w:val="18"/>
                <w:szCs w:val="20"/>
              </w:rPr>
              <w:t xml:space="preserve">When determining “Dependency”, score the webpage as “1” (Dependent) only if they provide no information about a specific term. </w:t>
            </w:r>
          </w:p>
        </w:tc>
        <w:tc>
          <w:tcPr>
            <w:tcW w:w="5755" w:type="dxa"/>
          </w:tcPr>
          <w:p w14:paraId="0FEAB6EC" w14:textId="77777777" w:rsidR="00EF3E6A" w:rsidRPr="002378C3" w:rsidRDefault="00EF3E6A" w:rsidP="00460CFF">
            <w:pPr>
              <w:rPr>
                <w:sz w:val="18"/>
                <w:szCs w:val="20"/>
              </w:rPr>
            </w:pPr>
            <w:r w:rsidRPr="002378C3">
              <w:rPr>
                <w:sz w:val="18"/>
                <w:szCs w:val="20"/>
              </w:rPr>
              <w:t xml:space="preserve">To provide an operational approach for how to score the dependency rating. </w:t>
            </w:r>
          </w:p>
        </w:tc>
      </w:tr>
      <w:tr w:rsidR="00EF3E6A" w:rsidRPr="002378C3" w14:paraId="142AD8D6" w14:textId="77777777" w:rsidTr="002378C3">
        <w:trPr>
          <w:trHeight w:val="20"/>
        </w:trPr>
        <w:tc>
          <w:tcPr>
            <w:tcW w:w="1165" w:type="dxa"/>
            <w:vMerge/>
          </w:tcPr>
          <w:p w14:paraId="2FA0FD53" w14:textId="77777777" w:rsidR="00EF3E6A" w:rsidRPr="002378C3" w:rsidRDefault="00EF3E6A" w:rsidP="00460CFF">
            <w:pPr>
              <w:rPr>
                <w:sz w:val="18"/>
                <w:szCs w:val="20"/>
              </w:rPr>
            </w:pPr>
          </w:p>
        </w:tc>
        <w:tc>
          <w:tcPr>
            <w:tcW w:w="6030" w:type="dxa"/>
          </w:tcPr>
          <w:p w14:paraId="4E232D25" w14:textId="77777777" w:rsidR="00EF3E6A" w:rsidRPr="002378C3" w:rsidRDefault="00EF3E6A" w:rsidP="00460CFF">
            <w:pPr>
              <w:rPr>
                <w:sz w:val="18"/>
                <w:szCs w:val="20"/>
              </w:rPr>
            </w:pPr>
            <w:r w:rsidRPr="002378C3">
              <w:rPr>
                <w:sz w:val="18"/>
                <w:szCs w:val="20"/>
              </w:rPr>
              <w:t>The individual coder will need to make the determination of whether the product is a “List” or a “Display.”</w:t>
            </w:r>
          </w:p>
        </w:tc>
        <w:tc>
          <w:tcPr>
            <w:tcW w:w="5755" w:type="dxa"/>
          </w:tcPr>
          <w:p w14:paraId="3687D609" w14:textId="77777777" w:rsidR="00EF3E6A" w:rsidRPr="002378C3" w:rsidRDefault="00EF3E6A" w:rsidP="00460CFF">
            <w:pPr>
              <w:rPr>
                <w:sz w:val="18"/>
                <w:szCs w:val="20"/>
              </w:rPr>
            </w:pPr>
            <w:r w:rsidRPr="002378C3">
              <w:rPr>
                <w:sz w:val="18"/>
                <w:szCs w:val="20"/>
              </w:rPr>
              <w:t>Many health materials are in document format, which are print material structured as lists, charts, or graphic displays. The coder determines the difference to score the structure of the document.</w:t>
            </w:r>
          </w:p>
        </w:tc>
      </w:tr>
      <w:tr w:rsidR="00EF3E6A" w:rsidRPr="002378C3" w14:paraId="4C54D701" w14:textId="77777777" w:rsidTr="002378C3">
        <w:trPr>
          <w:trHeight w:val="20"/>
        </w:trPr>
        <w:tc>
          <w:tcPr>
            <w:tcW w:w="1165" w:type="dxa"/>
            <w:vMerge/>
          </w:tcPr>
          <w:p w14:paraId="4ACD3ABF" w14:textId="77777777" w:rsidR="00EF3E6A" w:rsidRPr="002378C3" w:rsidRDefault="00EF3E6A" w:rsidP="00460CFF">
            <w:pPr>
              <w:rPr>
                <w:sz w:val="18"/>
                <w:szCs w:val="20"/>
              </w:rPr>
            </w:pPr>
          </w:p>
        </w:tc>
        <w:tc>
          <w:tcPr>
            <w:tcW w:w="6030" w:type="dxa"/>
          </w:tcPr>
          <w:p w14:paraId="3E538349" w14:textId="77777777" w:rsidR="00EF3E6A" w:rsidRPr="002378C3" w:rsidRDefault="00EF3E6A" w:rsidP="00460CFF">
            <w:pPr>
              <w:rPr>
                <w:sz w:val="18"/>
                <w:szCs w:val="20"/>
              </w:rPr>
            </w:pPr>
            <w:r w:rsidRPr="002378C3">
              <w:rPr>
                <w:sz w:val="18"/>
                <w:szCs w:val="20"/>
              </w:rPr>
              <w:t xml:space="preserve">When counting “items”, consider “items” as discrete chunks of information beneath “labels” (which are usually headings) that can stand on their own (i.e. one bullet point = 1 item). </w:t>
            </w:r>
          </w:p>
        </w:tc>
        <w:tc>
          <w:tcPr>
            <w:tcW w:w="5755" w:type="dxa"/>
          </w:tcPr>
          <w:p w14:paraId="24E04F74" w14:textId="77777777" w:rsidR="00EF3E6A" w:rsidRPr="002378C3" w:rsidRDefault="00EF3E6A" w:rsidP="00460CFF">
            <w:pPr>
              <w:rPr>
                <w:sz w:val="18"/>
                <w:szCs w:val="20"/>
              </w:rPr>
            </w:pPr>
            <w:r w:rsidRPr="002378C3">
              <w:rPr>
                <w:sz w:val="18"/>
                <w:szCs w:val="20"/>
              </w:rPr>
              <w:t xml:space="preserve">To provide an operational approach for how to distinguish between items and labels when coding. </w:t>
            </w:r>
          </w:p>
        </w:tc>
      </w:tr>
      <w:tr w:rsidR="00EF3E6A" w:rsidRPr="002378C3" w14:paraId="39A81069" w14:textId="77777777" w:rsidTr="002378C3">
        <w:trPr>
          <w:trHeight w:val="20"/>
        </w:trPr>
        <w:tc>
          <w:tcPr>
            <w:tcW w:w="1165" w:type="dxa"/>
            <w:vMerge/>
          </w:tcPr>
          <w:p w14:paraId="6DC90E3D" w14:textId="77777777" w:rsidR="00EF3E6A" w:rsidRPr="002378C3" w:rsidRDefault="00EF3E6A" w:rsidP="00460CFF">
            <w:pPr>
              <w:rPr>
                <w:sz w:val="18"/>
                <w:szCs w:val="20"/>
              </w:rPr>
            </w:pPr>
          </w:p>
        </w:tc>
        <w:tc>
          <w:tcPr>
            <w:tcW w:w="6030" w:type="dxa"/>
          </w:tcPr>
          <w:p w14:paraId="553421EF" w14:textId="77777777" w:rsidR="00EF3E6A" w:rsidRPr="002378C3" w:rsidRDefault="00EF3E6A" w:rsidP="00460CFF">
            <w:pPr>
              <w:rPr>
                <w:sz w:val="18"/>
                <w:szCs w:val="20"/>
              </w:rPr>
            </w:pPr>
            <w:r w:rsidRPr="002378C3">
              <w:rPr>
                <w:sz w:val="18"/>
                <w:szCs w:val="20"/>
              </w:rPr>
              <w:t xml:space="preserve">If an item is not applicable, indicate the score as missing for that item. </w:t>
            </w:r>
          </w:p>
        </w:tc>
        <w:tc>
          <w:tcPr>
            <w:tcW w:w="5755" w:type="dxa"/>
          </w:tcPr>
          <w:p w14:paraId="4C06BDB1" w14:textId="77777777" w:rsidR="00EF3E6A" w:rsidRPr="002378C3" w:rsidRDefault="00EF3E6A" w:rsidP="00460CFF">
            <w:pPr>
              <w:rPr>
                <w:sz w:val="18"/>
                <w:szCs w:val="20"/>
              </w:rPr>
            </w:pPr>
            <w:r w:rsidRPr="002378C3">
              <w:rPr>
                <w:sz w:val="18"/>
                <w:szCs w:val="20"/>
              </w:rPr>
              <w:t>Individual items may not always be applicable to content of material.</w:t>
            </w:r>
          </w:p>
        </w:tc>
      </w:tr>
      <w:tr w:rsidR="00722EAF" w:rsidRPr="002378C3" w14:paraId="67A89BB2" w14:textId="77777777" w:rsidTr="002378C3">
        <w:trPr>
          <w:trHeight w:val="20"/>
        </w:trPr>
        <w:tc>
          <w:tcPr>
            <w:tcW w:w="1165" w:type="dxa"/>
            <w:vMerge w:val="restart"/>
          </w:tcPr>
          <w:p w14:paraId="7F8A4F34" w14:textId="77777777" w:rsidR="00722EAF" w:rsidRPr="002378C3" w:rsidRDefault="00722EAF" w:rsidP="00460CFF">
            <w:pPr>
              <w:rPr>
                <w:sz w:val="18"/>
                <w:szCs w:val="20"/>
              </w:rPr>
            </w:pPr>
            <w:r w:rsidRPr="002378C3">
              <w:rPr>
                <w:sz w:val="18"/>
                <w:szCs w:val="20"/>
              </w:rPr>
              <w:t>Suitability Assessment of Materials (SAM)</w:t>
            </w:r>
          </w:p>
        </w:tc>
        <w:tc>
          <w:tcPr>
            <w:tcW w:w="6030" w:type="dxa"/>
          </w:tcPr>
          <w:p w14:paraId="780D6D88" w14:textId="77777777" w:rsidR="00722EAF" w:rsidRPr="002378C3" w:rsidRDefault="00722EAF" w:rsidP="00460CFF">
            <w:pPr>
              <w:rPr>
                <w:sz w:val="18"/>
                <w:szCs w:val="20"/>
              </w:rPr>
            </w:pPr>
            <w:r w:rsidRPr="002378C3">
              <w:rPr>
                <w:sz w:val="18"/>
                <w:szCs w:val="20"/>
              </w:rPr>
              <w:t>For the typography question, change to exclude 12-point font criterion. When the coder determines whether to score a “2”, they should base it only on whether the webpage meets 3 of 3 criteria, rather than 3 of 4.</w:t>
            </w:r>
          </w:p>
        </w:tc>
        <w:tc>
          <w:tcPr>
            <w:tcW w:w="5755" w:type="dxa"/>
          </w:tcPr>
          <w:p w14:paraId="362FED1F" w14:textId="77777777" w:rsidR="00722EAF" w:rsidRPr="002378C3" w:rsidRDefault="00722EAF" w:rsidP="00460CFF">
            <w:pPr>
              <w:rPr>
                <w:sz w:val="18"/>
                <w:szCs w:val="20"/>
              </w:rPr>
            </w:pPr>
            <w:r w:rsidRPr="002378C3">
              <w:rPr>
                <w:sz w:val="18"/>
                <w:szCs w:val="20"/>
              </w:rPr>
              <w:t xml:space="preserve">View settings are not identical on all electronic devices (e.g. smart phones, laptops, tablets), and users often have the ability to adjust font sizes through their internet browser. Thus, it is not possible to determine the original font size for each web page. </w:t>
            </w:r>
          </w:p>
        </w:tc>
      </w:tr>
      <w:tr w:rsidR="00722EAF" w:rsidRPr="002378C3" w14:paraId="77DD7312" w14:textId="77777777" w:rsidTr="002378C3">
        <w:trPr>
          <w:trHeight w:val="20"/>
        </w:trPr>
        <w:tc>
          <w:tcPr>
            <w:tcW w:w="1165" w:type="dxa"/>
            <w:vMerge/>
          </w:tcPr>
          <w:p w14:paraId="32FC6896" w14:textId="77777777" w:rsidR="00722EAF" w:rsidRPr="002378C3" w:rsidRDefault="00722EAF" w:rsidP="00460CFF">
            <w:pPr>
              <w:rPr>
                <w:sz w:val="18"/>
                <w:szCs w:val="20"/>
              </w:rPr>
            </w:pPr>
          </w:p>
        </w:tc>
        <w:tc>
          <w:tcPr>
            <w:tcW w:w="6030" w:type="dxa"/>
          </w:tcPr>
          <w:p w14:paraId="18450A34" w14:textId="77777777" w:rsidR="00722EAF" w:rsidRPr="002378C3" w:rsidRDefault="00722EAF" w:rsidP="00460CFF">
            <w:pPr>
              <w:rPr>
                <w:sz w:val="18"/>
                <w:szCs w:val="20"/>
              </w:rPr>
            </w:pPr>
            <w:r w:rsidRPr="002378C3">
              <w:rPr>
                <w:sz w:val="18"/>
                <w:szCs w:val="20"/>
              </w:rPr>
              <w:t>For the ‘Graphics: Lists, tables, charts, forms’ question, a bulleted list only qualifies if it is visually distinct from the main text on the page (e.g., called out in a different box or shading).</w:t>
            </w:r>
          </w:p>
        </w:tc>
        <w:tc>
          <w:tcPr>
            <w:tcW w:w="5755" w:type="dxa"/>
          </w:tcPr>
          <w:p w14:paraId="2BA519D9" w14:textId="77777777" w:rsidR="00722EAF" w:rsidRPr="002378C3" w:rsidRDefault="00722EAF" w:rsidP="00460CFF">
            <w:pPr>
              <w:rPr>
                <w:sz w:val="18"/>
                <w:szCs w:val="20"/>
              </w:rPr>
            </w:pPr>
            <w:r w:rsidRPr="002378C3">
              <w:rPr>
                <w:sz w:val="18"/>
                <w:szCs w:val="20"/>
              </w:rPr>
              <w:t xml:space="preserve">To distinguish between graphics lists and primary lists. </w:t>
            </w:r>
          </w:p>
        </w:tc>
      </w:tr>
      <w:tr w:rsidR="00722EAF" w:rsidRPr="002378C3" w14:paraId="28B00AF3" w14:textId="77777777" w:rsidTr="002378C3">
        <w:trPr>
          <w:trHeight w:val="20"/>
        </w:trPr>
        <w:tc>
          <w:tcPr>
            <w:tcW w:w="1165" w:type="dxa"/>
            <w:vMerge/>
          </w:tcPr>
          <w:p w14:paraId="05946032" w14:textId="77777777" w:rsidR="00722EAF" w:rsidRPr="002378C3" w:rsidRDefault="00722EAF" w:rsidP="00460CFF">
            <w:pPr>
              <w:rPr>
                <w:sz w:val="18"/>
                <w:szCs w:val="20"/>
              </w:rPr>
            </w:pPr>
          </w:p>
        </w:tc>
        <w:tc>
          <w:tcPr>
            <w:tcW w:w="6030" w:type="dxa"/>
          </w:tcPr>
          <w:p w14:paraId="283B0BF2" w14:textId="77777777" w:rsidR="00722EAF" w:rsidRPr="002378C3" w:rsidRDefault="00722EAF" w:rsidP="00460CFF">
            <w:pPr>
              <w:rPr>
                <w:sz w:val="18"/>
                <w:szCs w:val="20"/>
              </w:rPr>
            </w:pPr>
            <w:r w:rsidRPr="002378C3">
              <w:rPr>
                <w:sz w:val="18"/>
                <w:szCs w:val="20"/>
              </w:rPr>
              <w:t xml:space="preserve">For the ‘Layout and Typography: Layout’ question, change to exclude glossy criterion. </w:t>
            </w:r>
          </w:p>
        </w:tc>
        <w:tc>
          <w:tcPr>
            <w:tcW w:w="5755" w:type="dxa"/>
          </w:tcPr>
          <w:p w14:paraId="7C461C13" w14:textId="77777777" w:rsidR="00722EAF" w:rsidRPr="002378C3" w:rsidRDefault="00722EAF" w:rsidP="00460CFF">
            <w:pPr>
              <w:rPr>
                <w:sz w:val="18"/>
                <w:szCs w:val="20"/>
              </w:rPr>
            </w:pPr>
            <w:r w:rsidRPr="002378C3">
              <w:rPr>
                <w:sz w:val="18"/>
                <w:szCs w:val="20"/>
              </w:rPr>
              <w:t xml:space="preserve">Glossy vs. matte does not apply to digital material. </w:t>
            </w:r>
          </w:p>
        </w:tc>
      </w:tr>
      <w:tr w:rsidR="00722EAF" w:rsidRPr="002378C3" w14:paraId="6B4445B9" w14:textId="77777777" w:rsidTr="002378C3">
        <w:trPr>
          <w:trHeight w:val="20"/>
        </w:trPr>
        <w:tc>
          <w:tcPr>
            <w:tcW w:w="1165" w:type="dxa"/>
            <w:vMerge/>
          </w:tcPr>
          <w:p w14:paraId="04A0E479" w14:textId="77777777" w:rsidR="00722EAF" w:rsidRPr="002378C3" w:rsidRDefault="00722EAF" w:rsidP="00460CFF">
            <w:pPr>
              <w:rPr>
                <w:sz w:val="18"/>
                <w:szCs w:val="20"/>
              </w:rPr>
            </w:pPr>
          </w:p>
        </w:tc>
        <w:tc>
          <w:tcPr>
            <w:tcW w:w="6030" w:type="dxa"/>
          </w:tcPr>
          <w:p w14:paraId="2B69A16B" w14:textId="77777777" w:rsidR="00722EAF" w:rsidRPr="002378C3" w:rsidRDefault="00722EAF" w:rsidP="00460CFF">
            <w:pPr>
              <w:rPr>
                <w:sz w:val="18"/>
                <w:szCs w:val="20"/>
              </w:rPr>
            </w:pPr>
            <w:r w:rsidRPr="002378C3">
              <w:rPr>
                <w:sz w:val="18"/>
                <w:szCs w:val="20"/>
              </w:rPr>
              <w:t xml:space="preserve">For the ‘Layout and Typography: Layout’ contrast question, “high contrast between type and paper”, exclude if: type and background are shades of same color; text is </w:t>
            </w:r>
            <w:proofErr w:type="gramStart"/>
            <w:r w:rsidRPr="002378C3">
              <w:rPr>
                <w:sz w:val="18"/>
                <w:szCs w:val="20"/>
              </w:rPr>
              <w:t>white</w:t>
            </w:r>
            <w:proofErr w:type="gramEnd"/>
            <w:r w:rsidRPr="002378C3">
              <w:rPr>
                <w:sz w:val="18"/>
                <w:szCs w:val="20"/>
              </w:rPr>
              <w:t xml:space="preserve"> and background is a light color; or text is black and background is a dark color.</w:t>
            </w:r>
          </w:p>
        </w:tc>
        <w:tc>
          <w:tcPr>
            <w:tcW w:w="5755" w:type="dxa"/>
          </w:tcPr>
          <w:p w14:paraId="0E6246D6" w14:textId="77777777" w:rsidR="00722EAF" w:rsidRPr="002378C3" w:rsidRDefault="00722EAF" w:rsidP="00460CFF">
            <w:pPr>
              <w:rPr>
                <w:sz w:val="18"/>
                <w:szCs w:val="20"/>
              </w:rPr>
            </w:pPr>
            <w:r w:rsidRPr="002378C3">
              <w:rPr>
                <w:sz w:val="18"/>
                <w:szCs w:val="20"/>
              </w:rPr>
              <w:t xml:space="preserve">This criterion is more pertinent to paper rather than digital material. We modified the question to fit more appropriately to this study assessing only web pages. </w:t>
            </w:r>
          </w:p>
        </w:tc>
      </w:tr>
      <w:tr w:rsidR="00722EAF" w:rsidRPr="002378C3" w14:paraId="3A13DD73" w14:textId="77777777" w:rsidTr="002378C3">
        <w:trPr>
          <w:trHeight w:val="20"/>
        </w:trPr>
        <w:tc>
          <w:tcPr>
            <w:tcW w:w="1165" w:type="dxa"/>
            <w:vMerge/>
          </w:tcPr>
          <w:p w14:paraId="3533BD13" w14:textId="77777777" w:rsidR="00722EAF" w:rsidRPr="002378C3" w:rsidRDefault="00722EAF" w:rsidP="00460CFF">
            <w:pPr>
              <w:rPr>
                <w:sz w:val="18"/>
                <w:szCs w:val="20"/>
              </w:rPr>
            </w:pPr>
          </w:p>
        </w:tc>
        <w:tc>
          <w:tcPr>
            <w:tcW w:w="6030" w:type="dxa"/>
          </w:tcPr>
          <w:p w14:paraId="1CE946EA" w14:textId="77777777" w:rsidR="00722EAF" w:rsidRPr="002378C3" w:rsidRDefault="00722EAF" w:rsidP="00460CFF">
            <w:pPr>
              <w:rPr>
                <w:sz w:val="18"/>
                <w:szCs w:val="20"/>
              </w:rPr>
            </w:pPr>
            <w:r w:rsidRPr="002378C3">
              <w:rPr>
                <w:sz w:val="18"/>
                <w:szCs w:val="20"/>
              </w:rPr>
              <w:t xml:space="preserve">For the ‘Layout and Typography: Subheading and Chunking’ question, lists can refer to basic bulleted lists or graphic lists (as defined above). </w:t>
            </w:r>
          </w:p>
        </w:tc>
        <w:tc>
          <w:tcPr>
            <w:tcW w:w="5755" w:type="dxa"/>
          </w:tcPr>
          <w:p w14:paraId="3C523DA6" w14:textId="77777777" w:rsidR="00722EAF" w:rsidRPr="002378C3" w:rsidRDefault="00722EAF" w:rsidP="00460CFF">
            <w:pPr>
              <w:rPr>
                <w:sz w:val="18"/>
                <w:szCs w:val="20"/>
              </w:rPr>
            </w:pPr>
            <w:r w:rsidRPr="002378C3">
              <w:rPr>
                <w:sz w:val="18"/>
                <w:szCs w:val="20"/>
              </w:rPr>
              <w:t xml:space="preserve">To clarify that this question is all encompassing for both list types. </w:t>
            </w:r>
          </w:p>
        </w:tc>
      </w:tr>
      <w:tr w:rsidR="00722EAF" w:rsidRPr="002378C3" w14:paraId="0254B2DE" w14:textId="77777777" w:rsidTr="002378C3">
        <w:trPr>
          <w:trHeight w:val="20"/>
        </w:trPr>
        <w:tc>
          <w:tcPr>
            <w:tcW w:w="1165" w:type="dxa"/>
            <w:vMerge/>
          </w:tcPr>
          <w:p w14:paraId="27235DF2" w14:textId="77777777" w:rsidR="00722EAF" w:rsidRPr="002378C3" w:rsidRDefault="00722EAF" w:rsidP="00460CFF">
            <w:pPr>
              <w:rPr>
                <w:sz w:val="18"/>
                <w:szCs w:val="20"/>
              </w:rPr>
            </w:pPr>
          </w:p>
        </w:tc>
        <w:tc>
          <w:tcPr>
            <w:tcW w:w="6030" w:type="dxa"/>
          </w:tcPr>
          <w:p w14:paraId="12D7C63D" w14:textId="77777777" w:rsidR="00722EAF" w:rsidRPr="002378C3" w:rsidRDefault="00722EAF" w:rsidP="00460CFF">
            <w:pPr>
              <w:rPr>
                <w:sz w:val="18"/>
                <w:szCs w:val="20"/>
              </w:rPr>
            </w:pPr>
            <w:r w:rsidRPr="002378C3">
              <w:rPr>
                <w:sz w:val="18"/>
                <w:szCs w:val="20"/>
              </w:rPr>
              <w:t>For the ‘Graphics: Type of Illustration’ question, consider “simple adult appropriate line drawings/sketches” as “simple adult appropriate images.”</w:t>
            </w:r>
          </w:p>
        </w:tc>
        <w:tc>
          <w:tcPr>
            <w:tcW w:w="5755" w:type="dxa"/>
          </w:tcPr>
          <w:p w14:paraId="7ADCC3E9" w14:textId="77777777" w:rsidR="00722EAF" w:rsidRPr="002378C3" w:rsidRDefault="00722EAF" w:rsidP="00460CFF">
            <w:pPr>
              <w:rPr>
                <w:sz w:val="18"/>
                <w:szCs w:val="20"/>
              </w:rPr>
            </w:pPr>
            <w:r w:rsidRPr="002378C3">
              <w:rPr>
                <w:sz w:val="18"/>
                <w:szCs w:val="20"/>
              </w:rPr>
              <w:t>Drawings and sketches often do not apply to digital material. We modified the question to fit more appropriately to this study assessing only web pages.</w:t>
            </w:r>
          </w:p>
        </w:tc>
      </w:tr>
      <w:tr w:rsidR="00722EAF" w:rsidRPr="002378C3" w14:paraId="7A3B0AB1" w14:textId="77777777" w:rsidTr="002378C3">
        <w:trPr>
          <w:trHeight w:val="20"/>
        </w:trPr>
        <w:tc>
          <w:tcPr>
            <w:tcW w:w="1165" w:type="dxa"/>
            <w:vMerge/>
          </w:tcPr>
          <w:p w14:paraId="065E8D73" w14:textId="77777777" w:rsidR="00722EAF" w:rsidRPr="002378C3" w:rsidRDefault="00722EAF" w:rsidP="00460CFF">
            <w:pPr>
              <w:rPr>
                <w:sz w:val="18"/>
                <w:szCs w:val="20"/>
              </w:rPr>
            </w:pPr>
          </w:p>
        </w:tc>
        <w:tc>
          <w:tcPr>
            <w:tcW w:w="6030" w:type="dxa"/>
          </w:tcPr>
          <w:p w14:paraId="74651AFE" w14:textId="77777777" w:rsidR="00722EAF" w:rsidRPr="002378C3" w:rsidRDefault="00722EAF" w:rsidP="00460CFF">
            <w:pPr>
              <w:rPr>
                <w:sz w:val="18"/>
                <w:szCs w:val="20"/>
              </w:rPr>
            </w:pPr>
            <w:r w:rsidRPr="002378C3">
              <w:rPr>
                <w:sz w:val="18"/>
                <w:szCs w:val="20"/>
              </w:rPr>
              <w:t xml:space="preserve">If graphics on a page also serve as links to other pages, the coder will still count this as a graphic. </w:t>
            </w:r>
          </w:p>
        </w:tc>
        <w:tc>
          <w:tcPr>
            <w:tcW w:w="5755" w:type="dxa"/>
          </w:tcPr>
          <w:p w14:paraId="65C9652B" w14:textId="77777777" w:rsidR="00722EAF" w:rsidRPr="002378C3" w:rsidRDefault="00722EAF" w:rsidP="00460CFF">
            <w:pPr>
              <w:rPr>
                <w:sz w:val="18"/>
                <w:szCs w:val="20"/>
              </w:rPr>
            </w:pPr>
            <w:r w:rsidRPr="002378C3">
              <w:rPr>
                <w:sz w:val="18"/>
                <w:szCs w:val="20"/>
              </w:rPr>
              <w:t xml:space="preserve">To confirm the coder will include such graphics in the page assessment. </w:t>
            </w:r>
          </w:p>
        </w:tc>
      </w:tr>
      <w:tr w:rsidR="00722EAF" w:rsidRPr="002378C3" w14:paraId="6B2FBD24" w14:textId="77777777" w:rsidTr="002378C3">
        <w:trPr>
          <w:trHeight w:val="20"/>
        </w:trPr>
        <w:tc>
          <w:tcPr>
            <w:tcW w:w="1165" w:type="dxa"/>
            <w:vMerge/>
          </w:tcPr>
          <w:p w14:paraId="461633F8" w14:textId="77777777" w:rsidR="00722EAF" w:rsidRPr="002378C3" w:rsidRDefault="00722EAF" w:rsidP="00460CFF">
            <w:pPr>
              <w:rPr>
                <w:sz w:val="18"/>
                <w:szCs w:val="20"/>
              </w:rPr>
            </w:pPr>
          </w:p>
        </w:tc>
        <w:tc>
          <w:tcPr>
            <w:tcW w:w="6030" w:type="dxa"/>
          </w:tcPr>
          <w:p w14:paraId="5CD47ABF" w14:textId="77777777" w:rsidR="00722EAF" w:rsidRPr="002378C3" w:rsidRDefault="00722EAF" w:rsidP="00460CFF">
            <w:pPr>
              <w:rPr>
                <w:sz w:val="18"/>
                <w:szCs w:val="20"/>
              </w:rPr>
            </w:pPr>
            <w:r w:rsidRPr="002378C3">
              <w:rPr>
                <w:sz w:val="18"/>
                <w:szCs w:val="20"/>
              </w:rPr>
              <w:t xml:space="preserve">For the graphics questions, with the exception of the ‘Graphics: Cover Graphic, the cover graphic is the first image the coder views from top to bottom of page. </w:t>
            </w:r>
          </w:p>
        </w:tc>
        <w:tc>
          <w:tcPr>
            <w:tcW w:w="5755" w:type="dxa"/>
          </w:tcPr>
          <w:p w14:paraId="5E75E06E" w14:textId="77777777" w:rsidR="00722EAF" w:rsidRPr="002378C3" w:rsidRDefault="00722EAF" w:rsidP="00460CFF">
            <w:pPr>
              <w:rPr>
                <w:sz w:val="18"/>
                <w:szCs w:val="20"/>
              </w:rPr>
            </w:pPr>
            <w:r w:rsidRPr="002378C3">
              <w:rPr>
                <w:sz w:val="18"/>
                <w:szCs w:val="20"/>
              </w:rPr>
              <w:t xml:space="preserve">To confirm that standard page banners for an overall website may serve as graphic for the individual page being assessed. </w:t>
            </w:r>
          </w:p>
        </w:tc>
      </w:tr>
      <w:tr w:rsidR="00722EAF" w:rsidRPr="002378C3" w14:paraId="361FA839" w14:textId="77777777" w:rsidTr="002378C3">
        <w:trPr>
          <w:trHeight w:val="20"/>
        </w:trPr>
        <w:tc>
          <w:tcPr>
            <w:tcW w:w="1165" w:type="dxa"/>
            <w:vMerge/>
          </w:tcPr>
          <w:p w14:paraId="2177FE79" w14:textId="77777777" w:rsidR="00722EAF" w:rsidRPr="002378C3" w:rsidRDefault="00722EAF" w:rsidP="00460CFF">
            <w:pPr>
              <w:rPr>
                <w:sz w:val="18"/>
                <w:szCs w:val="20"/>
              </w:rPr>
            </w:pPr>
          </w:p>
        </w:tc>
        <w:tc>
          <w:tcPr>
            <w:tcW w:w="6030" w:type="dxa"/>
          </w:tcPr>
          <w:p w14:paraId="136A2D1E" w14:textId="77777777" w:rsidR="00722EAF" w:rsidRPr="002378C3" w:rsidRDefault="00722EAF" w:rsidP="00460CFF">
            <w:pPr>
              <w:rPr>
                <w:sz w:val="18"/>
                <w:szCs w:val="20"/>
              </w:rPr>
            </w:pPr>
            <w:r w:rsidRPr="002378C3">
              <w:rPr>
                <w:sz w:val="18"/>
                <w:szCs w:val="20"/>
              </w:rPr>
              <w:t xml:space="preserve">For the graphics questions, with the exception of the ‘Graphics: Cover Graphic,’ all graphics on the page will be included (not just the cover graphic) </w:t>
            </w:r>
          </w:p>
        </w:tc>
        <w:tc>
          <w:tcPr>
            <w:tcW w:w="5755" w:type="dxa"/>
          </w:tcPr>
          <w:p w14:paraId="6B51A479" w14:textId="77777777" w:rsidR="00722EAF" w:rsidRPr="002378C3" w:rsidRDefault="00722EAF" w:rsidP="00460CFF">
            <w:pPr>
              <w:rPr>
                <w:sz w:val="18"/>
                <w:szCs w:val="20"/>
              </w:rPr>
            </w:pPr>
            <w:r w:rsidRPr="002378C3">
              <w:rPr>
                <w:sz w:val="18"/>
                <w:szCs w:val="20"/>
              </w:rPr>
              <w:t xml:space="preserve">To clarify that the coder will include all graphics in the assessment (all images + cover graphics). </w:t>
            </w:r>
          </w:p>
        </w:tc>
      </w:tr>
      <w:tr w:rsidR="00722EAF" w:rsidRPr="002378C3" w14:paraId="76925ABD" w14:textId="77777777" w:rsidTr="002378C3">
        <w:trPr>
          <w:trHeight w:val="20"/>
        </w:trPr>
        <w:tc>
          <w:tcPr>
            <w:tcW w:w="1165" w:type="dxa"/>
            <w:vMerge/>
          </w:tcPr>
          <w:p w14:paraId="77856CB1" w14:textId="77777777" w:rsidR="00722EAF" w:rsidRPr="002378C3" w:rsidRDefault="00722EAF" w:rsidP="00460CFF">
            <w:pPr>
              <w:rPr>
                <w:sz w:val="18"/>
                <w:szCs w:val="20"/>
              </w:rPr>
            </w:pPr>
          </w:p>
        </w:tc>
        <w:tc>
          <w:tcPr>
            <w:tcW w:w="6030" w:type="dxa"/>
          </w:tcPr>
          <w:p w14:paraId="54A7C846" w14:textId="77777777" w:rsidR="00722EAF" w:rsidRPr="002378C3" w:rsidRDefault="00722EAF" w:rsidP="00460CFF">
            <w:pPr>
              <w:rPr>
                <w:sz w:val="18"/>
                <w:szCs w:val="20"/>
              </w:rPr>
            </w:pPr>
            <w:r w:rsidRPr="002378C3">
              <w:rPr>
                <w:sz w:val="18"/>
                <w:szCs w:val="20"/>
              </w:rPr>
              <w:t xml:space="preserve">For the ‘Learning Stimulation and Motivation: Desired behavior patterns are modeled’ question, if any mention of a desired behavior (at least 1) is provided, it will receive a ‘1’ or ‘2’ score. </w:t>
            </w:r>
          </w:p>
        </w:tc>
        <w:tc>
          <w:tcPr>
            <w:tcW w:w="5755" w:type="dxa"/>
          </w:tcPr>
          <w:p w14:paraId="43BAF694" w14:textId="77777777" w:rsidR="00722EAF" w:rsidRPr="002378C3" w:rsidRDefault="00722EAF" w:rsidP="00460CFF">
            <w:pPr>
              <w:rPr>
                <w:sz w:val="18"/>
                <w:szCs w:val="20"/>
              </w:rPr>
            </w:pPr>
            <w:r w:rsidRPr="002378C3">
              <w:rPr>
                <w:sz w:val="18"/>
                <w:szCs w:val="20"/>
              </w:rPr>
              <w:t xml:space="preserve">To limit subjectivity when determining the appropriate amount of behaviors mentioned. </w:t>
            </w:r>
          </w:p>
        </w:tc>
      </w:tr>
      <w:tr w:rsidR="00722EAF" w:rsidRPr="002378C3" w14:paraId="0AC70CA1" w14:textId="77777777" w:rsidTr="002378C3">
        <w:trPr>
          <w:trHeight w:val="20"/>
        </w:trPr>
        <w:tc>
          <w:tcPr>
            <w:tcW w:w="1165" w:type="dxa"/>
            <w:vMerge/>
          </w:tcPr>
          <w:p w14:paraId="67AFEFBB" w14:textId="77777777" w:rsidR="00722EAF" w:rsidRPr="002378C3" w:rsidRDefault="00722EAF" w:rsidP="00460CFF">
            <w:pPr>
              <w:rPr>
                <w:sz w:val="18"/>
                <w:szCs w:val="20"/>
              </w:rPr>
            </w:pPr>
          </w:p>
        </w:tc>
        <w:tc>
          <w:tcPr>
            <w:tcW w:w="6030" w:type="dxa"/>
          </w:tcPr>
          <w:p w14:paraId="638CC880" w14:textId="77777777" w:rsidR="00722EAF" w:rsidRPr="002378C3" w:rsidRDefault="00722EAF" w:rsidP="00460CFF">
            <w:pPr>
              <w:rPr>
                <w:sz w:val="18"/>
                <w:szCs w:val="20"/>
              </w:rPr>
            </w:pPr>
            <w:r w:rsidRPr="002378C3">
              <w:rPr>
                <w:sz w:val="18"/>
                <w:szCs w:val="20"/>
              </w:rPr>
              <w:t>For the ‘Cultural Appropriateness: Cultural Match LLE’ question, we consider a cultural match as being relevant to English-speaking people in the U.S.</w:t>
            </w:r>
          </w:p>
        </w:tc>
        <w:tc>
          <w:tcPr>
            <w:tcW w:w="5755" w:type="dxa"/>
          </w:tcPr>
          <w:p w14:paraId="2AF4C219" w14:textId="77777777" w:rsidR="00722EAF" w:rsidRPr="002378C3" w:rsidRDefault="00722EAF" w:rsidP="00460CFF">
            <w:pPr>
              <w:rPr>
                <w:sz w:val="18"/>
                <w:szCs w:val="20"/>
              </w:rPr>
            </w:pPr>
            <w:r w:rsidRPr="002378C3">
              <w:rPr>
                <w:sz w:val="18"/>
                <w:szCs w:val="20"/>
              </w:rPr>
              <w:t>To define which cultural match the coder should refer to.</w:t>
            </w:r>
          </w:p>
        </w:tc>
      </w:tr>
      <w:tr w:rsidR="00722EAF" w:rsidRPr="002378C3" w14:paraId="4C310A60" w14:textId="77777777" w:rsidTr="002378C3">
        <w:trPr>
          <w:trHeight w:val="20"/>
        </w:trPr>
        <w:tc>
          <w:tcPr>
            <w:tcW w:w="1165" w:type="dxa"/>
            <w:vMerge/>
          </w:tcPr>
          <w:p w14:paraId="113C4446" w14:textId="77777777" w:rsidR="00722EAF" w:rsidRPr="002378C3" w:rsidRDefault="00722EAF" w:rsidP="00460CFF">
            <w:pPr>
              <w:rPr>
                <w:sz w:val="18"/>
                <w:szCs w:val="20"/>
              </w:rPr>
            </w:pPr>
          </w:p>
        </w:tc>
        <w:tc>
          <w:tcPr>
            <w:tcW w:w="6030" w:type="dxa"/>
          </w:tcPr>
          <w:p w14:paraId="5013E55B" w14:textId="77777777" w:rsidR="00722EAF" w:rsidRPr="002378C3" w:rsidRDefault="00722EAF" w:rsidP="00460CFF">
            <w:pPr>
              <w:rPr>
                <w:sz w:val="18"/>
                <w:szCs w:val="20"/>
              </w:rPr>
            </w:pPr>
            <w:r w:rsidRPr="002378C3">
              <w:rPr>
                <w:sz w:val="18"/>
                <w:szCs w:val="20"/>
              </w:rPr>
              <w:t xml:space="preserve">Remove the ‘Suitable for your population?’ question. </w:t>
            </w:r>
          </w:p>
        </w:tc>
        <w:tc>
          <w:tcPr>
            <w:tcW w:w="5755" w:type="dxa"/>
          </w:tcPr>
          <w:p w14:paraId="2652A92E" w14:textId="77777777" w:rsidR="00722EAF" w:rsidRPr="002378C3" w:rsidRDefault="00722EAF" w:rsidP="00460CFF">
            <w:pPr>
              <w:rPr>
                <w:sz w:val="18"/>
                <w:szCs w:val="20"/>
              </w:rPr>
            </w:pPr>
            <w:r w:rsidRPr="002378C3">
              <w:rPr>
                <w:sz w:val="18"/>
                <w:szCs w:val="20"/>
              </w:rPr>
              <w:t xml:space="preserve">This question asks how likely the reader is to recommend the </w:t>
            </w:r>
            <w:r w:rsidRPr="002378C3">
              <w:rPr>
                <w:i/>
                <w:sz w:val="18"/>
                <w:szCs w:val="20"/>
              </w:rPr>
              <w:t>Beginnings Guides Curriculum</w:t>
            </w:r>
            <w:r w:rsidRPr="002378C3">
              <w:rPr>
                <w:sz w:val="18"/>
                <w:szCs w:val="20"/>
              </w:rPr>
              <w:t xml:space="preserve"> to their target population, which is an unnecessary question for the purposes of this study. </w:t>
            </w:r>
          </w:p>
        </w:tc>
      </w:tr>
      <w:tr w:rsidR="00722EAF" w:rsidRPr="002378C3" w14:paraId="56C563D4" w14:textId="77777777" w:rsidTr="002378C3">
        <w:trPr>
          <w:trHeight w:val="20"/>
        </w:trPr>
        <w:tc>
          <w:tcPr>
            <w:tcW w:w="1165" w:type="dxa"/>
            <w:vMerge/>
          </w:tcPr>
          <w:p w14:paraId="1067D55A" w14:textId="77777777" w:rsidR="00722EAF" w:rsidRPr="002378C3" w:rsidRDefault="00722EAF" w:rsidP="00460CFF">
            <w:pPr>
              <w:rPr>
                <w:sz w:val="18"/>
                <w:szCs w:val="20"/>
              </w:rPr>
            </w:pPr>
          </w:p>
        </w:tc>
        <w:tc>
          <w:tcPr>
            <w:tcW w:w="6030" w:type="dxa"/>
          </w:tcPr>
          <w:p w14:paraId="7A709451" w14:textId="77777777" w:rsidR="00722EAF" w:rsidRPr="002378C3" w:rsidRDefault="00722EAF" w:rsidP="00460CFF">
            <w:pPr>
              <w:rPr>
                <w:sz w:val="18"/>
                <w:szCs w:val="20"/>
              </w:rPr>
            </w:pPr>
            <w:r w:rsidRPr="002378C3">
              <w:rPr>
                <w:sz w:val="18"/>
                <w:szCs w:val="20"/>
              </w:rPr>
              <w:t>Coder must manually determine the # of points possible; once that is done, a formula dividing # of points earned by the # of points possible will provide the overall SAM Score (22 items worth 2 points each; need to subtract any items that were scored as "." (N/A)).</w:t>
            </w:r>
          </w:p>
        </w:tc>
        <w:tc>
          <w:tcPr>
            <w:tcW w:w="5755" w:type="dxa"/>
          </w:tcPr>
          <w:p w14:paraId="4BF6D139" w14:textId="77777777" w:rsidR="00722EAF" w:rsidRPr="002378C3" w:rsidRDefault="00722EAF" w:rsidP="00460CFF">
            <w:pPr>
              <w:rPr>
                <w:sz w:val="18"/>
                <w:szCs w:val="20"/>
              </w:rPr>
            </w:pPr>
            <w:r w:rsidRPr="002378C3">
              <w:rPr>
                <w:sz w:val="18"/>
                <w:szCs w:val="20"/>
              </w:rPr>
              <w:t xml:space="preserve">To clarify how to calculate the score and confirm that the coder must do this manually. </w:t>
            </w:r>
          </w:p>
        </w:tc>
      </w:tr>
      <w:tr w:rsidR="00722EAF" w:rsidRPr="002378C3" w14:paraId="1FDBBA80" w14:textId="77777777" w:rsidTr="002378C3">
        <w:trPr>
          <w:trHeight w:val="20"/>
        </w:trPr>
        <w:tc>
          <w:tcPr>
            <w:tcW w:w="1165" w:type="dxa"/>
            <w:vMerge/>
          </w:tcPr>
          <w:p w14:paraId="6D9399F9" w14:textId="77777777" w:rsidR="00722EAF" w:rsidRPr="002378C3" w:rsidRDefault="00722EAF" w:rsidP="00460CFF">
            <w:pPr>
              <w:rPr>
                <w:sz w:val="18"/>
                <w:szCs w:val="20"/>
              </w:rPr>
            </w:pPr>
          </w:p>
        </w:tc>
        <w:tc>
          <w:tcPr>
            <w:tcW w:w="6030" w:type="dxa"/>
          </w:tcPr>
          <w:p w14:paraId="5286DD1E" w14:textId="77777777" w:rsidR="00722EAF" w:rsidRPr="002378C3" w:rsidRDefault="00722EAF" w:rsidP="00460CFF">
            <w:pPr>
              <w:rPr>
                <w:sz w:val="18"/>
                <w:szCs w:val="20"/>
              </w:rPr>
            </w:pPr>
            <w:r w:rsidRPr="002378C3">
              <w:rPr>
                <w:sz w:val="18"/>
                <w:szCs w:val="20"/>
              </w:rPr>
              <w:t xml:space="preserve">To interpret final score, the coder will apply the approach used in previous studies (e.g., Friedman, et al., 2008): </w:t>
            </w:r>
          </w:p>
          <w:p w14:paraId="1ADDA4E3" w14:textId="77777777" w:rsidR="00722EAF" w:rsidRPr="002378C3" w:rsidRDefault="00722EAF" w:rsidP="00460CFF">
            <w:pPr>
              <w:rPr>
                <w:sz w:val="18"/>
                <w:szCs w:val="20"/>
              </w:rPr>
            </w:pPr>
            <w:r w:rsidRPr="002378C3">
              <w:rPr>
                <w:sz w:val="18"/>
                <w:szCs w:val="20"/>
              </w:rPr>
              <w:t>70-100%: Superior</w:t>
            </w:r>
          </w:p>
          <w:p w14:paraId="440B5BE6" w14:textId="77777777" w:rsidR="00722EAF" w:rsidRPr="002378C3" w:rsidRDefault="00722EAF" w:rsidP="00460CFF">
            <w:pPr>
              <w:rPr>
                <w:sz w:val="18"/>
                <w:szCs w:val="20"/>
              </w:rPr>
            </w:pPr>
            <w:r w:rsidRPr="002378C3">
              <w:rPr>
                <w:sz w:val="18"/>
                <w:szCs w:val="20"/>
              </w:rPr>
              <w:t>40-69%: Adequate/below average</w:t>
            </w:r>
          </w:p>
          <w:p w14:paraId="02D172AE" w14:textId="77777777" w:rsidR="00722EAF" w:rsidRPr="002378C3" w:rsidRDefault="00722EAF" w:rsidP="00460CFF">
            <w:pPr>
              <w:rPr>
                <w:sz w:val="18"/>
                <w:szCs w:val="20"/>
              </w:rPr>
            </w:pPr>
            <w:r w:rsidRPr="002378C3">
              <w:rPr>
                <w:sz w:val="18"/>
                <w:szCs w:val="20"/>
              </w:rPr>
              <w:t>0-39%: Not suitable</w:t>
            </w:r>
          </w:p>
        </w:tc>
        <w:tc>
          <w:tcPr>
            <w:tcW w:w="5755" w:type="dxa"/>
          </w:tcPr>
          <w:p w14:paraId="382934CF" w14:textId="77777777" w:rsidR="00722EAF" w:rsidRPr="002378C3" w:rsidRDefault="00722EAF" w:rsidP="00460CFF">
            <w:pPr>
              <w:rPr>
                <w:sz w:val="18"/>
                <w:szCs w:val="20"/>
              </w:rPr>
            </w:pPr>
            <w:r w:rsidRPr="002378C3">
              <w:rPr>
                <w:sz w:val="18"/>
                <w:szCs w:val="20"/>
              </w:rPr>
              <w:t xml:space="preserve">To determine an appropriate scoring convention based on the assessment tool developers. </w:t>
            </w:r>
          </w:p>
        </w:tc>
      </w:tr>
      <w:tr w:rsidR="00EF3E6A" w:rsidRPr="002378C3" w14:paraId="655BD60B" w14:textId="77777777" w:rsidTr="002378C3">
        <w:trPr>
          <w:trHeight w:val="20"/>
        </w:trPr>
        <w:tc>
          <w:tcPr>
            <w:tcW w:w="1165" w:type="dxa"/>
            <w:vMerge w:val="restart"/>
          </w:tcPr>
          <w:p w14:paraId="4B8E8E0D" w14:textId="77777777" w:rsidR="00EF3E6A" w:rsidRPr="002378C3" w:rsidRDefault="00EF3E6A" w:rsidP="00460CFF">
            <w:pPr>
              <w:rPr>
                <w:sz w:val="18"/>
                <w:szCs w:val="20"/>
              </w:rPr>
            </w:pPr>
            <w:r w:rsidRPr="002378C3">
              <w:rPr>
                <w:sz w:val="18"/>
                <w:szCs w:val="20"/>
              </w:rPr>
              <w:t>National Library of Medicine / National Institute on Aging (NLM/NIA) Web Usability Guidelines</w:t>
            </w:r>
          </w:p>
        </w:tc>
        <w:tc>
          <w:tcPr>
            <w:tcW w:w="6030" w:type="dxa"/>
          </w:tcPr>
          <w:p w14:paraId="36EC627D" w14:textId="77777777" w:rsidR="00EF3E6A" w:rsidRPr="002378C3" w:rsidRDefault="00EF3E6A" w:rsidP="00460CFF">
            <w:pPr>
              <w:rPr>
                <w:sz w:val="18"/>
                <w:szCs w:val="20"/>
              </w:rPr>
            </w:pPr>
            <w:r w:rsidRPr="002378C3">
              <w:rPr>
                <w:sz w:val="18"/>
                <w:szCs w:val="20"/>
              </w:rPr>
              <w:t>Coder may only score an item as “0” or “1.”</w:t>
            </w:r>
          </w:p>
        </w:tc>
        <w:tc>
          <w:tcPr>
            <w:tcW w:w="5755" w:type="dxa"/>
          </w:tcPr>
          <w:p w14:paraId="258B201E" w14:textId="77777777" w:rsidR="00EF3E6A" w:rsidRPr="002378C3" w:rsidRDefault="00EF3E6A" w:rsidP="00460CFF">
            <w:pPr>
              <w:rPr>
                <w:sz w:val="18"/>
                <w:szCs w:val="20"/>
              </w:rPr>
            </w:pPr>
            <w:r w:rsidRPr="002378C3">
              <w:rPr>
                <w:sz w:val="18"/>
                <w:szCs w:val="20"/>
              </w:rPr>
              <w:t>To confirm possible scores for coder.</w:t>
            </w:r>
          </w:p>
        </w:tc>
      </w:tr>
      <w:tr w:rsidR="00EF3E6A" w:rsidRPr="002378C3" w14:paraId="12B8E828" w14:textId="77777777" w:rsidTr="002378C3">
        <w:trPr>
          <w:trHeight w:val="20"/>
        </w:trPr>
        <w:tc>
          <w:tcPr>
            <w:tcW w:w="1165" w:type="dxa"/>
            <w:vMerge/>
          </w:tcPr>
          <w:p w14:paraId="0F2F5837" w14:textId="77777777" w:rsidR="00EF3E6A" w:rsidRPr="002378C3" w:rsidRDefault="00EF3E6A" w:rsidP="00460CFF">
            <w:pPr>
              <w:rPr>
                <w:sz w:val="18"/>
                <w:szCs w:val="20"/>
              </w:rPr>
            </w:pPr>
          </w:p>
        </w:tc>
        <w:tc>
          <w:tcPr>
            <w:tcW w:w="6030" w:type="dxa"/>
          </w:tcPr>
          <w:p w14:paraId="2657DEE5" w14:textId="77777777" w:rsidR="00EF3E6A" w:rsidRPr="002378C3" w:rsidRDefault="00EF3E6A" w:rsidP="00460CFF">
            <w:pPr>
              <w:rPr>
                <w:sz w:val="18"/>
                <w:szCs w:val="20"/>
              </w:rPr>
            </w:pPr>
            <w:r w:rsidRPr="002378C3">
              <w:rPr>
                <w:sz w:val="18"/>
                <w:szCs w:val="20"/>
              </w:rPr>
              <w:t xml:space="preserve">Remove type size criterion. </w:t>
            </w:r>
          </w:p>
        </w:tc>
        <w:tc>
          <w:tcPr>
            <w:tcW w:w="5755" w:type="dxa"/>
          </w:tcPr>
          <w:p w14:paraId="140EB16A" w14:textId="77777777" w:rsidR="00EF3E6A" w:rsidRPr="002378C3" w:rsidRDefault="00EF3E6A" w:rsidP="00460CFF">
            <w:pPr>
              <w:rPr>
                <w:sz w:val="18"/>
                <w:szCs w:val="20"/>
              </w:rPr>
            </w:pPr>
            <w:r w:rsidRPr="002378C3">
              <w:rPr>
                <w:sz w:val="18"/>
                <w:szCs w:val="20"/>
              </w:rPr>
              <w:t>View settings are not identical on all electronic devices (e.g. smart phones, laptops, tablets), which makes it nearly impossible to accurately determine the original font size for each web page.</w:t>
            </w:r>
          </w:p>
        </w:tc>
      </w:tr>
      <w:tr w:rsidR="00EF3E6A" w:rsidRPr="002378C3" w14:paraId="13730EE5" w14:textId="77777777" w:rsidTr="002378C3">
        <w:trPr>
          <w:trHeight w:val="20"/>
        </w:trPr>
        <w:tc>
          <w:tcPr>
            <w:tcW w:w="1165" w:type="dxa"/>
            <w:vMerge/>
          </w:tcPr>
          <w:p w14:paraId="5AAF064B" w14:textId="77777777" w:rsidR="00EF3E6A" w:rsidRPr="002378C3" w:rsidRDefault="00EF3E6A" w:rsidP="00460CFF">
            <w:pPr>
              <w:rPr>
                <w:sz w:val="18"/>
                <w:szCs w:val="20"/>
              </w:rPr>
            </w:pPr>
          </w:p>
        </w:tc>
        <w:tc>
          <w:tcPr>
            <w:tcW w:w="6030" w:type="dxa"/>
          </w:tcPr>
          <w:p w14:paraId="07915B31" w14:textId="77777777" w:rsidR="00EF3E6A" w:rsidRPr="002378C3" w:rsidRDefault="00EF3E6A" w:rsidP="00460CFF">
            <w:pPr>
              <w:rPr>
                <w:sz w:val="18"/>
                <w:szCs w:val="20"/>
              </w:rPr>
            </w:pPr>
            <w:r w:rsidRPr="002378C3">
              <w:rPr>
                <w:sz w:val="18"/>
                <w:szCs w:val="20"/>
              </w:rPr>
              <w:t xml:space="preserve">For ‘Physical spacing recommendation’ question, if the text is clearly </w:t>
            </w:r>
            <w:proofErr w:type="gramStart"/>
            <w:r w:rsidRPr="002378C3">
              <w:rPr>
                <w:sz w:val="18"/>
                <w:szCs w:val="20"/>
              </w:rPr>
              <w:t>single-space</w:t>
            </w:r>
            <w:proofErr w:type="gramEnd"/>
            <w:r w:rsidRPr="002378C3">
              <w:rPr>
                <w:sz w:val="18"/>
                <w:szCs w:val="20"/>
              </w:rPr>
              <w:t xml:space="preserve"> do not count it. Anything that could be perceived to be 1.5, double, or larger spacing should be counted as fulfilling that criteria. </w:t>
            </w:r>
          </w:p>
        </w:tc>
        <w:tc>
          <w:tcPr>
            <w:tcW w:w="5755" w:type="dxa"/>
          </w:tcPr>
          <w:p w14:paraId="6E642883" w14:textId="77777777" w:rsidR="00EF3E6A" w:rsidRPr="002378C3" w:rsidRDefault="00EF3E6A" w:rsidP="00460CFF">
            <w:pPr>
              <w:rPr>
                <w:sz w:val="18"/>
                <w:szCs w:val="20"/>
              </w:rPr>
            </w:pPr>
            <w:r w:rsidRPr="002378C3">
              <w:rPr>
                <w:sz w:val="18"/>
                <w:szCs w:val="20"/>
              </w:rPr>
              <w:t>To more clearly define the spacing question, taking into consideration that view settings are not identical on all electronic devices (e.g. smart phones, laptops, tablets), making it difficult to determine the original font size for each web page.</w:t>
            </w:r>
          </w:p>
        </w:tc>
      </w:tr>
      <w:tr w:rsidR="00EF3E6A" w:rsidRPr="002378C3" w14:paraId="327C14F6" w14:textId="77777777" w:rsidTr="002378C3">
        <w:trPr>
          <w:trHeight w:val="20"/>
        </w:trPr>
        <w:tc>
          <w:tcPr>
            <w:tcW w:w="1165" w:type="dxa"/>
            <w:vMerge/>
          </w:tcPr>
          <w:p w14:paraId="400F30D9" w14:textId="77777777" w:rsidR="00EF3E6A" w:rsidRPr="002378C3" w:rsidRDefault="00EF3E6A" w:rsidP="00460CFF">
            <w:pPr>
              <w:rPr>
                <w:sz w:val="18"/>
                <w:szCs w:val="20"/>
              </w:rPr>
            </w:pPr>
          </w:p>
        </w:tc>
        <w:tc>
          <w:tcPr>
            <w:tcW w:w="6030" w:type="dxa"/>
          </w:tcPr>
          <w:p w14:paraId="21D1BD84" w14:textId="77777777" w:rsidR="00EF3E6A" w:rsidRPr="002378C3" w:rsidRDefault="00EF3E6A" w:rsidP="00460CFF">
            <w:pPr>
              <w:rPr>
                <w:sz w:val="18"/>
                <w:szCs w:val="20"/>
              </w:rPr>
            </w:pPr>
            <w:r w:rsidRPr="002378C3">
              <w:rPr>
                <w:sz w:val="18"/>
                <w:szCs w:val="20"/>
              </w:rPr>
              <w:t>For the ‘Backward/Forward Navigation Criteria,’ if the webpage lacks this item it should be scored as a 0, rather than missing.</w:t>
            </w:r>
          </w:p>
        </w:tc>
        <w:tc>
          <w:tcPr>
            <w:tcW w:w="5755" w:type="dxa"/>
          </w:tcPr>
          <w:p w14:paraId="06602BC7" w14:textId="77777777" w:rsidR="00EF3E6A" w:rsidRPr="002378C3" w:rsidRDefault="00EF3E6A" w:rsidP="00460CFF">
            <w:pPr>
              <w:rPr>
                <w:sz w:val="18"/>
                <w:szCs w:val="20"/>
              </w:rPr>
            </w:pPr>
            <w:r w:rsidRPr="002378C3">
              <w:rPr>
                <w:sz w:val="18"/>
                <w:szCs w:val="20"/>
              </w:rPr>
              <w:t xml:space="preserve">To more clearly define this criterion. </w:t>
            </w:r>
          </w:p>
        </w:tc>
      </w:tr>
      <w:tr w:rsidR="00EF3E6A" w:rsidRPr="002378C3" w14:paraId="470813AC" w14:textId="77777777" w:rsidTr="002378C3">
        <w:trPr>
          <w:trHeight w:val="20"/>
        </w:trPr>
        <w:tc>
          <w:tcPr>
            <w:tcW w:w="1165" w:type="dxa"/>
            <w:vMerge/>
          </w:tcPr>
          <w:p w14:paraId="5D3CE686" w14:textId="77777777" w:rsidR="00EF3E6A" w:rsidRPr="002378C3" w:rsidRDefault="00EF3E6A" w:rsidP="00460CFF">
            <w:pPr>
              <w:rPr>
                <w:sz w:val="18"/>
                <w:szCs w:val="20"/>
              </w:rPr>
            </w:pPr>
          </w:p>
        </w:tc>
        <w:tc>
          <w:tcPr>
            <w:tcW w:w="6030" w:type="dxa"/>
          </w:tcPr>
          <w:p w14:paraId="046495A0" w14:textId="77777777" w:rsidR="00EF3E6A" w:rsidRPr="002378C3" w:rsidRDefault="00EF3E6A" w:rsidP="00460CFF">
            <w:pPr>
              <w:rPr>
                <w:sz w:val="18"/>
                <w:szCs w:val="20"/>
              </w:rPr>
            </w:pPr>
            <w:r w:rsidRPr="002378C3">
              <w:rPr>
                <w:sz w:val="18"/>
                <w:szCs w:val="20"/>
              </w:rPr>
              <w:t>For the ‘Simplicity Recommendation’ question, refer to the estimated grade level score from Flesch Kincaid Grade Level tool: if &lt;= 8th grade, gets a "1"</w:t>
            </w:r>
          </w:p>
        </w:tc>
        <w:tc>
          <w:tcPr>
            <w:tcW w:w="5755" w:type="dxa"/>
          </w:tcPr>
          <w:p w14:paraId="21CCC0AB" w14:textId="77777777" w:rsidR="00EF3E6A" w:rsidRPr="002378C3" w:rsidRDefault="00EF3E6A" w:rsidP="00460CFF">
            <w:pPr>
              <w:rPr>
                <w:sz w:val="18"/>
                <w:szCs w:val="20"/>
              </w:rPr>
            </w:pPr>
            <w:r w:rsidRPr="002378C3">
              <w:rPr>
                <w:sz w:val="18"/>
                <w:szCs w:val="20"/>
              </w:rPr>
              <w:t xml:space="preserve">To confirm the coder must convert score manually from the Flesch-Kincaid tool. </w:t>
            </w:r>
          </w:p>
        </w:tc>
      </w:tr>
      <w:tr w:rsidR="00EF3E6A" w:rsidRPr="002378C3" w14:paraId="7C0FB4F9" w14:textId="77777777" w:rsidTr="002378C3">
        <w:trPr>
          <w:trHeight w:val="20"/>
        </w:trPr>
        <w:tc>
          <w:tcPr>
            <w:tcW w:w="1165" w:type="dxa"/>
            <w:vMerge/>
          </w:tcPr>
          <w:p w14:paraId="1BE78621" w14:textId="77777777" w:rsidR="00EF3E6A" w:rsidRPr="002378C3" w:rsidRDefault="00EF3E6A" w:rsidP="00460CFF">
            <w:pPr>
              <w:rPr>
                <w:sz w:val="18"/>
                <w:szCs w:val="20"/>
              </w:rPr>
            </w:pPr>
          </w:p>
        </w:tc>
        <w:tc>
          <w:tcPr>
            <w:tcW w:w="6030" w:type="dxa"/>
          </w:tcPr>
          <w:p w14:paraId="1C114EE5" w14:textId="77777777" w:rsidR="00EF3E6A" w:rsidRPr="002378C3" w:rsidRDefault="00EF3E6A" w:rsidP="00460CFF">
            <w:pPr>
              <w:rPr>
                <w:sz w:val="18"/>
                <w:szCs w:val="20"/>
              </w:rPr>
            </w:pPr>
            <w:r w:rsidRPr="002378C3">
              <w:rPr>
                <w:sz w:val="18"/>
                <w:szCs w:val="20"/>
              </w:rPr>
              <w:t xml:space="preserve">The ‘Animation, Video, Audio Recommendation’ question will usually be missing unless the page has an animation, video, or audio feature in addition to the main text. </w:t>
            </w:r>
          </w:p>
        </w:tc>
        <w:tc>
          <w:tcPr>
            <w:tcW w:w="5755" w:type="dxa"/>
          </w:tcPr>
          <w:p w14:paraId="5F0C75CA" w14:textId="77777777" w:rsidR="00EF3E6A" w:rsidRPr="002378C3" w:rsidRDefault="00EF3E6A" w:rsidP="00460CFF">
            <w:pPr>
              <w:rPr>
                <w:sz w:val="18"/>
                <w:szCs w:val="20"/>
              </w:rPr>
            </w:pPr>
            <w:r w:rsidRPr="002378C3">
              <w:rPr>
                <w:sz w:val="18"/>
                <w:szCs w:val="20"/>
              </w:rPr>
              <w:t xml:space="preserve">Most pages with animation, video, audio only will have already been eliminated in the inclusion screening phase. This clarifies what may still be included related to animation, video, and audio. </w:t>
            </w:r>
          </w:p>
        </w:tc>
      </w:tr>
      <w:tr w:rsidR="00EF3E6A" w:rsidRPr="002378C3" w14:paraId="487C8ACD" w14:textId="77777777" w:rsidTr="002378C3">
        <w:trPr>
          <w:trHeight w:val="20"/>
        </w:trPr>
        <w:tc>
          <w:tcPr>
            <w:tcW w:w="1165" w:type="dxa"/>
            <w:vMerge/>
          </w:tcPr>
          <w:p w14:paraId="019EB88F" w14:textId="77777777" w:rsidR="00EF3E6A" w:rsidRPr="002378C3" w:rsidRDefault="00EF3E6A" w:rsidP="00460CFF">
            <w:pPr>
              <w:rPr>
                <w:sz w:val="18"/>
                <w:szCs w:val="20"/>
              </w:rPr>
            </w:pPr>
          </w:p>
        </w:tc>
        <w:tc>
          <w:tcPr>
            <w:tcW w:w="6030" w:type="dxa"/>
          </w:tcPr>
          <w:p w14:paraId="411B026B" w14:textId="77777777" w:rsidR="00EF3E6A" w:rsidRPr="002378C3" w:rsidRDefault="00EF3E6A" w:rsidP="00460CFF">
            <w:pPr>
              <w:rPr>
                <w:sz w:val="18"/>
                <w:szCs w:val="20"/>
              </w:rPr>
            </w:pPr>
            <w:r w:rsidRPr="002378C3">
              <w:rPr>
                <w:sz w:val="18"/>
                <w:szCs w:val="20"/>
              </w:rPr>
              <w:t xml:space="preserve">The ‘Text Alternatives Recommendation’ question will usually be missing, unless the page has open-captioning or access to a static version of the text for all animation, video, and audio in addition to the main text. </w:t>
            </w:r>
          </w:p>
        </w:tc>
        <w:tc>
          <w:tcPr>
            <w:tcW w:w="5755" w:type="dxa"/>
          </w:tcPr>
          <w:p w14:paraId="44388CC0" w14:textId="77777777" w:rsidR="00EF3E6A" w:rsidRPr="002378C3" w:rsidRDefault="00EF3E6A" w:rsidP="00460CFF">
            <w:pPr>
              <w:rPr>
                <w:sz w:val="18"/>
                <w:szCs w:val="20"/>
              </w:rPr>
            </w:pPr>
            <w:r w:rsidRPr="002378C3">
              <w:rPr>
                <w:sz w:val="18"/>
                <w:szCs w:val="20"/>
              </w:rPr>
              <w:t xml:space="preserve">Most pages with animation, video, audio only will have already been eliminated in the inclusion screening phase. This clarifies that what may still be included related to animation, video, and audio commonly will not include text alternatives. </w:t>
            </w:r>
          </w:p>
        </w:tc>
      </w:tr>
      <w:tr w:rsidR="00EF3E6A" w:rsidRPr="002378C3" w14:paraId="0B99BDE3" w14:textId="77777777" w:rsidTr="002378C3">
        <w:trPr>
          <w:trHeight w:val="20"/>
        </w:trPr>
        <w:tc>
          <w:tcPr>
            <w:tcW w:w="1165" w:type="dxa"/>
            <w:vMerge/>
          </w:tcPr>
          <w:p w14:paraId="6CE5A746" w14:textId="77777777" w:rsidR="00EF3E6A" w:rsidRPr="002378C3" w:rsidRDefault="00EF3E6A" w:rsidP="00460CFF">
            <w:pPr>
              <w:rPr>
                <w:sz w:val="18"/>
                <w:szCs w:val="20"/>
              </w:rPr>
            </w:pPr>
          </w:p>
        </w:tc>
        <w:tc>
          <w:tcPr>
            <w:tcW w:w="6030" w:type="dxa"/>
          </w:tcPr>
          <w:p w14:paraId="414F093D" w14:textId="77777777" w:rsidR="00EF3E6A" w:rsidRPr="002378C3" w:rsidRDefault="00EF3E6A" w:rsidP="00460CFF">
            <w:pPr>
              <w:rPr>
                <w:sz w:val="18"/>
                <w:szCs w:val="20"/>
              </w:rPr>
            </w:pPr>
            <w:r w:rsidRPr="002378C3">
              <w:rPr>
                <w:sz w:val="18"/>
                <w:szCs w:val="20"/>
              </w:rPr>
              <w:t xml:space="preserve">Final score is a pure sum and automatically interpreted as % (based on 25 checklist items). </w:t>
            </w:r>
          </w:p>
        </w:tc>
        <w:tc>
          <w:tcPr>
            <w:tcW w:w="5755" w:type="dxa"/>
          </w:tcPr>
          <w:p w14:paraId="102236B7" w14:textId="77777777" w:rsidR="00EF3E6A" w:rsidRPr="002378C3" w:rsidRDefault="00EF3E6A" w:rsidP="00460CFF">
            <w:pPr>
              <w:rPr>
                <w:sz w:val="18"/>
                <w:szCs w:val="20"/>
              </w:rPr>
            </w:pPr>
            <w:r w:rsidRPr="002378C3">
              <w:rPr>
                <w:sz w:val="18"/>
                <w:szCs w:val="20"/>
              </w:rPr>
              <w:t xml:space="preserve">To clarify the coder is not required to manually calculate the final score. </w:t>
            </w:r>
          </w:p>
        </w:tc>
      </w:tr>
      <w:tr w:rsidR="00EF3E6A" w:rsidRPr="002378C3" w14:paraId="1EC51F5A" w14:textId="77777777" w:rsidTr="002378C3">
        <w:trPr>
          <w:trHeight w:val="20"/>
        </w:trPr>
        <w:tc>
          <w:tcPr>
            <w:tcW w:w="1165" w:type="dxa"/>
            <w:vMerge w:val="restart"/>
          </w:tcPr>
          <w:p w14:paraId="241651CF" w14:textId="77777777" w:rsidR="00EF3E6A" w:rsidRPr="002378C3" w:rsidRDefault="00EF3E6A" w:rsidP="00460CFF">
            <w:pPr>
              <w:rPr>
                <w:sz w:val="18"/>
                <w:szCs w:val="20"/>
              </w:rPr>
            </w:pPr>
            <w:r w:rsidRPr="002378C3">
              <w:rPr>
                <w:sz w:val="18"/>
                <w:szCs w:val="20"/>
              </w:rPr>
              <w:t>Clear Communication Index (CCI)</w:t>
            </w:r>
          </w:p>
        </w:tc>
        <w:tc>
          <w:tcPr>
            <w:tcW w:w="6030" w:type="dxa"/>
          </w:tcPr>
          <w:p w14:paraId="074D295A" w14:textId="77777777" w:rsidR="00EF3E6A" w:rsidRPr="002378C3" w:rsidRDefault="00EF3E6A" w:rsidP="00460CFF">
            <w:pPr>
              <w:rPr>
                <w:sz w:val="18"/>
                <w:szCs w:val="20"/>
              </w:rPr>
            </w:pPr>
            <w:r w:rsidRPr="002378C3">
              <w:rPr>
                <w:sz w:val="18"/>
                <w:szCs w:val="20"/>
              </w:rPr>
              <w:t xml:space="preserve">For the ‘Numbers: Numbers that the primary audience uses are always presented’ criterion, if proportions are presented, fractions should be used, not %s, in order to score a "1." </w:t>
            </w:r>
          </w:p>
        </w:tc>
        <w:tc>
          <w:tcPr>
            <w:tcW w:w="5755" w:type="dxa"/>
          </w:tcPr>
          <w:p w14:paraId="3638092F" w14:textId="77777777" w:rsidR="00EF3E6A" w:rsidRPr="002378C3" w:rsidRDefault="00EF3E6A" w:rsidP="00460CFF">
            <w:pPr>
              <w:rPr>
                <w:sz w:val="18"/>
                <w:szCs w:val="20"/>
              </w:rPr>
            </w:pPr>
            <w:r w:rsidRPr="002378C3">
              <w:rPr>
                <w:sz w:val="18"/>
                <w:szCs w:val="20"/>
              </w:rPr>
              <w:t xml:space="preserve">Whole numbers are used by most audiences, so ‘1 out of 4’ is more acceptable than ‘25%’ for public-facing health communication materials.  </w:t>
            </w:r>
          </w:p>
        </w:tc>
      </w:tr>
      <w:tr w:rsidR="00EF3E6A" w:rsidRPr="002378C3" w14:paraId="0ED20DB6" w14:textId="77777777" w:rsidTr="002378C3">
        <w:trPr>
          <w:trHeight w:val="20"/>
        </w:trPr>
        <w:tc>
          <w:tcPr>
            <w:tcW w:w="1165" w:type="dxa"/>
            <w:vMerge/>
          </w:tcPr>
          <w:p w14:paraId="0B5079EB" w14:textId="77777777" w:rsidR="00EF3E6A" w:rsidRPr="002378C3" w:rsidRDefault="00EF3E6A" w:rsidP="00460CFF">
            <w:pPr>
              <w:rPr>
                <w:sz w:val="18"/>
                <w:szCs w:val="20"/>
              </w:rPr>
            </w:pPr>
          </w:p>
        </w:tc>
        <w:tc>
          <w:tcPr>
            <w:tcW w:w="6030" w:type="dxa"/>
          </w:tcPr>
          <w:p w14:paraId="2961E505" w14:textId="77777777" w:rsidR="00EF3E6A" w:rsidRPr="002378C3" w:rsidRDefault="00EF3E6A" w:rsidP="00460CFF">
            <w:pPr>
              <w:rPr>
                <w:sz w:val="18"/>
                <w:szCs w:val="20"/>
              </w:rPr>
            </w:pPr>
            <w:r w:rsidRPr="002378C3">
              <w:rPr>
                <w:sz w:val="18"/>
                <w:szCs w:val="20"/>
              </w:rPr>
              <w:t xml:space="preserve">Calculate manually the number of points possible (20 total, subtract all ‘.’) to enter as denominator. </w:t>
            </w:r>
          </w:p>
        </w:tc>
        <w:tc>
          <w:tcPr>
            <w:tcW w:w="5755" w:type="dxa"/>
          </w:tcPr>
          <w:p w14:paraId="2B9BB095" w14:textId="77777777" w:rsidR="00EF3E6A" w:rsidRPr="002378C3" w:rsidRDefault="00EF3E6A" w:rsidP="00460CFF">
            <w:pPr>
              <w:rPr>
                <w:sz w:val="18"/>
                <w:szCs w:val="20"/>
              </w:rPr>
            </w:pPr>
            <w:r w:rsidRPr="002378C3">
              <w:rPr>
                <w:sz w:val="18"/>
                <w:szCs w:val="20"/>
              </w:rPr>
              <w:t>To confirm the coder must manually determine the # of points possible; once that is done, a formula dividing # of points earned by the # of points possible will provide the overall CCI Score.</w:t>
            </w:r>
          </w:p>
        </w:tc>
      </w:tr>
    </w:tbl>
    <w:p w14:paraId="2C3C195F" w14:textId="77777777" w:rsidR="00966D40" w:rsidRDefault="00966D40" w:rsidP="007A3C1A">
      <w:pPr>
        <w:rPr>
          <w:b/>
        </w:rPr>
        <w:sectPr w:rsidR="00966D40" w:rsidSect="005E5C17">
          <w:pgSz w:w="15840" w:h="12240" w:orient="landscape"/>
          <w:pgMar w:top="1440" w:right="1440" w:bottom="1440" w:left="1440" w:header="720" w:footer="720" w:gutter="0"/>
          <w:cols w:space="720"/>
          <w:docGrid w:linePitch="360"/>
        </w:sectPr>
      </w:pPr>
    </w:p>
    <w:p w14:paraId="107B71AD" w14:textId="77777777" w:rsidR="00966D40" w:rsidRPr="00966D40" w:rsidRDefault="00966D40" w:rsidP="00966D40">
      <w:pPr>
        <w:rPr>
          <w:b/>
        </w:rPr>
      </w:pPr>
      <w:r w:rsidRPr="00966D40">
        <w:rPr>
          <w:b/>
        </w:rPr>
        <w:lastRenderedPageBreak/>
        <w:t>REFERENCES</w:t>
      </w:r>
    </w:p>
    <w:p w14:paraId="19A3F383" w14:textId="77777777" w:rsidR="00966D40" w:rsidRPr="00966D40" w:rsidRDefault="00966D40" w:rsidP="00966D40">
      <w:pPr>
        <w:rPr>
          <w:b/>
        </w:rPr>
      </w:pPr>
    </w:p>
    <w:p w14:paraId="2CF3F1F0" w14:textId="6D2759B4" w:rsidR="00966D40" w:rsidRPr="002378C3" w:rsidRDefault="00966D40" w:rsidP="00966D40">
      <w:pPr>
        <w:pStyle w:val="ListParagraph"/>
        <w:numPr>
          <w:ilvl w:val="0"/>
          <w:numId w:val="3"/>
        </w:numPr>
        <w:rPr>
          <w:rFonts w:ascii="Times New Roman" w:hAnsi="Times New Roman" w:cs="Times New Roman"/>
          <w:sz w:val="24"/>
          <w:szCs w:val="24"/>
        </w:rPr>
      </w:pPr>
      <w:r w:rsidRPr="002378C3">
        <w:rPr>
          <w:rFonts w:ascii="Times New Roman" w:hAnsi="Times New Roman" w:cs="Times New Roman"/>
          <w:sz w:val="24"/>
          <w:szCs w:val="24"/>
        </w:rPr>
        <w:t>Child and Adolescent Health Measurement Initiative (2012). “Who Are Children with Special Health Care Needs (CSHCN).” Data Resource Center, supported by Cooperative Agreement 1‐U59‐MC06980‐01 from the U.S. Department of Health and Human Services, Health Resources and Services Administration (HRSA), Maternal and Child Health Bureau (MCHB). Available at www.childhealthdata.org</w:t>
      </w:r>
    </w:p>
    <w:sectPr w:rsidR="00966D40" w:rsidRPr="002378C3" w:rsidSect="0096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646A"/>
    <w:multiLevelType w:val="hybridMultilevel"/>
    <w:tmpl w:val="D320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D0CF0"/>
    <w:multiLevelType w:val="hybridMultilevel"/>
    <w:tmpl w:val="7884E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30AE3"/>
    <w:multiLevelType w:val="hybridMultilevel"/>
    <w:tmpl w:val="C60C4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38"/>
    <w:rsid w:val="000211D2"/>
    <w:rsid w:val="0003432E"/>
    <w:rsid w:val="00075AAD"/>
    <w:rsid w:val="000960BF"/>
    <w:rsid w:val="000D1408"/>
    <w:rsid w:val="000F6C42"/>
    <w:rsid w:val="0010422C"/>
    <w:rsid w:val="00134A93"/>
    <w:rsid w:val="00150814"/>
    <w:rsid w:val="00195B85"/>
    <w:rsid w:val="001B3ADE"/>
    <w:rsid w:val="001C63B0"/>
    <w:rsid w:val="00200543"/>
    <w:rsid w:val="002378C3"/>
    <w:rsid w:val="00254485"/>
    <w:rsid w:val="00256409"/>
    <w:rsid w:val="00270123"/>
    <w:rsid w:val="002D3A83"/>
    <w:rsid w:val="002D3D71"/>
    <w:rsid w:val="003546DE"/>
    <w:rsid w:val="003A7886"/>
    <w:rsid w:val="0043037D"/>
    <w:rsid w:val="0044085B"/>
    <w:rsid w:val="00472EEB"/>
    <w:rsid w:val="0047743B"/>
    <w:rsid w:val="00481181"/>
    <w:rsid w:val="004F68CA"/>
    <w:rsid w:val="005221E5"/>
    <w:rsid w:val="00563E19"/>
    <w:rsid w:val="005E5C17"/>
    <w:rsid w:val="005F182C"/>
    <w:rsid w:val="005F49A2"/>
    <w:rsid w:val="00611842"/>
    <w:rsid w:val="00623AD0"/>
    <w:rsid w:val="00624973"/>
    <w:rsid w:val="0068697A"/>
    <w:rsid w:val="006C4C29"/>
    <w:rsid w:val="00722EAF"/>
    <w:rsid w:val="00790828"/>
    <w:rsid w:val="007A3C1A"/>
    <w:rsid w:val="007E4291"/>
    <w:rsid w:val="007F4C96"/>
    <w:rsid w:val="00845194"/>
    <w:rsid w:val="00846791"/>
    <w:rsid w:val="00863623"/>
    <w:rsid w:val="00872F53"/>
    <w:rsid w:val="00946259"/>
    <w:rsid w:val="0096121A"/>
    <w:rsid w:val="00966D40"/>
    <w:rsid w:val="00985AF3"/>
    <w:rsid w:val="009B2852"/>
    <w:rsid w:val="009D5BF7"/>
    <w:rsid w:val="009F0E38"/>
    <w:rsid w:val="009F3B4A"/>
    <w:rsid w:val="00A24FB6"/>
    <w:rsid w:val="00A72ED0"/>
    <w:rsid w:val="00A75A39"/>
    <w:rsid w:val="00B71822"/>
    <w:rsid w:val="00B83833"/>
    <w:rsid w:val="00BB2A07"/>
    <w:rsid w:val="00BB5498"/>
    <w:rsid w:val="00BB61A5"/>
    <w:rsid w:val="00BC0D11"/>
    <w:rsid w:val="00BE4156"/>
    <w:rsid w:val="00BE4463"/>
    <w:rsid w:val="00BE7CC8"/>
    <w:rsid w:val="00C23C54"/>
    <w:rsid w:val="00C50AB1"/>
    <w:rsid w:val="00CB3594"/>
    <w:rsid w:val="00CF350F"/>
    <w:rsid w:val="00D01F23"/>
    <w:rsid w:val="00D52FD6"/>
    <w:rsid w:val="00D6646B"/>
    <w:rsid w:val="00D9381B"/>
    <w:rsid w:val="00DC250F"/>
    <w:rsid w:val="00EF3E6A"/>
    <w:rsid w:val="00F70B39"/>
    <w:rsid w:val="00FE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EBE0"/>
  <w15:chartTrackingRefBased/>
  <w15:docId w15:val="{DEE2ECDD-3390-489F-B2B2-7562661F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6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E19"/>
    <w:rPr>
      <w:sz w:val="16"/>
      <w:szCs w:val="16"/>
    </w:rPr>
  </w:style>
  <w:style w:type="paragraph" w:styleId="CommentText">
    <w:name w:val="annotation text"/>
    <w:basedOn w:val="Normal"/>
    <w:link w:val="CommentTextChar"/>
    <w:uiPriority w:val="99"/>
    <w:semiHidden/>
    <w:unhideWhenUsed/>
    <w:rsid w:val="00563E1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63E19"/>
    <w:rPr>
      <w:sz w:val="20"/>
      <w:szCs w:val="20"/>
    </w:rPr>
  </w:style>
  <w:style w:type="paragraph" w:styleId="CommentSubject">
    <w:name w:val="annotation subject"/>
    <w:basedOn w:val="CommentText"/>
    <w:next w:val="CommentText"/>
    <w:link w:val="CommentSubjectChar"/>
    <w:uiPriority w:val="99"/>
    <w:semiHidden/>
    <w:unhideWhenUsed/>
    <w:rsid w:val="00563E19"/>
    <w:rPr>
      <w:b/>
      <w:bCs/>
    </w:rPr>
  </w:style>
  <w:style w:type="character" w:customStyle="1" w:styleId="CommentSubjectChar">
    <w:name w:val="Comment Subject Char"/>
    <w:basedOn w:val="CommentTextChar"/>
    <w:link w:val="CommentSubject"/>
    <w:uiPriority w:val="99"/>
    <w:semiHidden/>
    <w:rsid w:val="00563E19"/>
    <w:rPr>
      <w:b/>
      <w:bCs/>
      <w:sz w:val="20"/>
      <w:szCs w:val="20"/>
    </w:rPr>
  </w:style>
  <w:style w:type="paragraph" w:styleId="BalloonText">
    <w:name w:val="Balloon Text"/>
    <w:basedOn w:val="Normal"/>
    <w:link w:val="BalloonTextChar"/>
    <w:uiPriority w:val="99"/>
    <w:semiHidden/>
    <w:unhideWhenUsed/>
    <w:rsid w:val="0056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19"/>
    <w:rPr>
      <w:rFonts w:ascii="Segoe UI" w:hAnsi="Segoe UI" w:cs="Segoe UI"/>
      <w:sz w:val="18"/>
      <w:szCs w:val="18"/>
    </w:rPr>
  </w:style>
  <w:style w:type="paragraph" w:styleId="ListParagraph">
    <w:name w:val="List Paragraph"/>
    <w:basedOn w:val="Normal"/>
    <w:uiPriority w:val="34"/>
    <w:qFormat/>
    <w:rsid w:val="003A788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801">
      <w:bodyDiv w:val="1"/>
      <w:marLeft w:val="0"/>
      <w:marRight w:val="0"/>
      <w:marTop w:val="0"/>
      <w:marBottom w:val="0"/>
      <w:divBdr>
        <w:top w:val="none" w:sz="0" w:space="0" w:color="auto"/>
        <w:left w:val="none" w:sz="0" w:space="0" w:color="auto"/>
        <w:bottom w:val="none" w:sz="0" w:space="0" w:color="auto"/>
        <w:right w:val="none" w:sz="0" w:space="0" w:color="auto"/>
      </w:divBdr>
    </w:div>
    <w:div w:id="172763233">
      <w:bodyDiv w:val="1"/>
      <w:marLeft w:val="0"/>
      <w:marRight w:val="0"/>
      <w:marTop w:val="0"/>
      <w:marBottom w:val="0"/>
      <w:divBdr>
        <w:top w:val="none" w:sz="0" w:space="0" w:color="auto"/>
        <w:left w:val="none" w:sz="0" w:space="0" w:color="auto"/>
        <w:bottom w:val="none" w:sz="0" w:space="0" w:color="auto"/>
        <w:right w:val="none" w:sz="0" w:space="0" w:color="auto"/>
      </w:divBdr>
    </w:div>
    <w:div w:id="182786134">
      <w:bodyDiv w:val="1"/>
      <w:marLeft w:val="0"/>
      <w:marRight w:val="0"/>
      <w:marTop w:val="0"/>
      <w:marBottom w:val="0"/>
      <w:divBdr>
        <w:top w:val="none" w:sz="0" w:space="0" w:color="auto"/>
        <w:left w:val="none" w:sz="0" w:space="0" w:color="auto"/>
        <w:bottom w:val="none" w:sz="0" w:space="0" w:color="auto"/>
        <w:right w:val="none" w:sz="0" w:space="0" w:color="auto"/>
      </w:divBdr>
    </w:div>
    <w:div w:id="216090412">
      <w:bodyDiv w:val="1"/>
      <w:marLeft w:val="0"/>
      <w:marRight w:val="0"/>
      <w:marTop w:val="0"/>
      <w:marBottom w:val="0"/>
      <w:divBdr>
        <w:top w:val="none" w:sz="0" w:space="0" w:color="auto"/>
        <w:left w:val="none" w:sz="0" w:space="0" w:color="auto"/>
        <w:bottom w:val="none" w:sz="0" w:space="0" w:color="auto"/>
        <w:right w:val="none" w:sz="0" w:space="0" w:color="auto"/>
      </w:divBdr>
    </w:div>
    <w:div w:id="257640667">
      <w:bodyDiv w:val="1"/>
      <w:marLeft w:val="0"/>
      <w:marRight w:val="0"/>
      <w:marTop w:val="0"/>
      <w:marBottom w:val="0"/>
      <w:divBdr>
        <w:top w:val="none" w:sz="0" w:space="0" w:color="auto"/>
        <w:left w:val="none" w:sz="0" w:space="0" w:color="auto"/>
        <w:bottom w:val="none" w:sz="0" w:space="0" w:color="auto"/>
        <w:right w:val="none" w:sz="0" w:space="0" w:color="auto"/>
      </w:divBdr>
    </w:div>
    <w:div w:id="291717017">
      <w:bodyDiv w:val="1"/>
      <w:marLeft w:val="0"/>
      <w:marRight w:val="0"/>
      <w:marTop w:val="0"/>
      <w:marBottom w:val="0"/>
      <w:divBdr>
        <w:top w:val="none" w:sz="0" w:space="0" w:color="auto"/>
        <w:left w:val="none" w:sz="0" w:space="0" w:color="auto"/>
        <w:bottom w:val="none" w:sz="0" w:space="0" w:color="auto"/>
        <w:right w:val="none" w:sz="0" w:space="0" w:color="auto"/>
      </w:divBdr>
    </w:div>
    <w:div w:id="401487040">
      <w:bodyDiv w:val="1"/>
      <w:marLeft w:val="0"/>
      <w:marRight w:val="0"/>
      <w:marTop w:val="0"/>
      <w:marBottom w:val="0"/>
      <w:divBdr>
        <w:top w:val="none" w:sz="0" w:space="0" w:color="auto"/>
        <w:left w:val="none" w:sz="0" w:space="0" w:color="auto"/>
        <w:bottom w:val="none" w:sz="0" w:space="0" w:color="auto"/>
        <w:right w:val="none" w:sz="0" w:space="0" w:color="auto"/>
      </w:divBdr>
    </w:div>
    <w:div w:id="608782549">
      <w:bodyDiv w:val="1"/>
      <w:marLeft w:val="0"/>
      <w:marRight w:val="0"/>
      <w:marTop w:val="0"/>
      <w:marBottom w:val="0"/>
      <w:divBdr>
        <w:top w:val="none" w:sz="0" w:space="0" w:color="auto"/>
        <w:left w:val="none" w:sz="0" w:space="0" w:color="auto"/>
        <w:bottom w:val="none" w:sz="0" w:space="0" w:color="auto"/>
        <w:right w:val="none" w:sz="0" w:space="0" w:color="auto"/>
      </w:divBdr>
    </w:div>
    <w:div w:id="772019635">
      <w:bodyDiv w:val="1"/>
      <w:marLeft w:val="0"/>
      <w:marRight w:val="0"/>
      <w:marTop w:val="0"/>
      <w:marBottom w:val="0"/>
      <w:divBdr>
        <w:top w:val="none" w:sz="0" w:space="0" w:color="auto"/>
        <w:left w:val="none" w:sz="0" w:space="0" w:color="auto"/>
        <w:bottom w:val="none" w:sz="0" w:space="0" w:color="auto"/>
        <w:right w:val="none" w:sz="0" w:space="0" w:color="auto"/>
      </w:divBdr>
    </w:div>
    <w:div w:id="948392785">
      <w:bodyDiv w:val="1"/>
      <w:marLeft w:val="0"/>
      <w:marRight w:val="0"/>
      <w:marTop w:val="0"/>
      <w:marBottom w:val="0"/>
      <w:divBdr>
        <w:top w:val="none" w:sz="0" w:space="0" w:color="auto"/>
        <w:left w:val="none" w:sz="0" w:space="0" w:color="auto"/>
        <w:bottom w:val="none" w:sz="0" w:space="0" w:color="auto"/>
        <w:right w:val="none" w:sz="0" w:space="0" w:color="auto"/>
      </w:divBdr>
    </w:div>
    <w:div w:id="1423987066">
      <w:bodyDiv w:val="1"/>
      <w:marLeft w:val="0"/>
      <w:marRight w:val="0"/>
      <w:marTop w:val="0"/>
      <w:marBottom w:val="0"/>
      <w:divBdr>
        <w:top w:val="none" w:sz="0" w:space="0" w:color="auto"/>
        <w:left w:val="none" w:sz="0" w:space="0" w:color="auto"/>
        <w:bottom w:val="none" w:sz="0" w:space="0" w:color="auto"/>
        <w:right w:val="none" w:sz="0" w:space="0" w:color="auto"/>
      </w:divBdr>
    </w:div>
    <w:div w:id="1830435723">
      <w:bodyDiv w:val="1"/>
      <w:marLeft w:val="0"/>
      <w:marRight w:val="0"/>
      <w:marTop w:val="0"/>
      <w:marBottom w:val="0"/>
      <w:divBdr>
        <w:top w:val="none" w:sz="0" w:space="0" w:color="auto"/>
        <w:left w:val="none" w:sz="0" w:space="0" w:color="auto"/>
        <w:bottom w:val="none" w:sz="0" w:space="0" w:color="auto"/>
        <w:right w:val="none" w:sz="0" w:space="0" w:color="auto"/>
      </w:divBdr>
    </w:div>
    <w:div w:id="20766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7C91BD-2F8E-EC43-B781-19796814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kun8</dc:creator>
  <cp:keywords/>
  <dc:description/>
  <cp:lastModifiedBy>Marvin So</cp:lastModifiedBy>
  <cp:revision>4</cp:revision>
  <dcterms:created xsi:type="dcterms:W3CDTF">2019-04-11T14:51:00Z</dcterms:created>
  <dcterms:modified xsi:type="dcterms:W3CDTF">2019-04-11T18:45:00Z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http://www.zotero.org/styles/clinical-infectious-diseases</vt:lpwstr>
  </property>
  <property fmtid="{D5CDD505-2E9C-101B-9397-08002B2CF9AE}" pid="15" name="Mendeley Recent Style Name 6_1">
    <vt:lpwstr>Clinical Infectious Diseases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fe97bfa7-f34b-360b-86ed-e8f6b428cf90</vt:lpwstr>
  </property>
  <property fmtid="{D5CDD505-2E9C-101B-9397-08002B2CF9AE}" pid="24" name="Mendeley Citation Style_1">
    <vt:lpwstr>http://www.zotero.org/styles/apa</vt:lpwstr>
  </property>
</Properties>
</file>