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45A3" w14:textId="0B15717B" w:rsidR="00E83C1F" w:rsidRPr="001E0147" w:rsidRDefault="00E475C7" w:rsidP="001E0147">
      <w:pPr>
        <w:pStyle w:val="Kop2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E0147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 xml:space="preserve">Online Data </w:t>
      </w:r>
      <w:r w:rsidR="00C66F62" w:rsidRPr="001E0147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Supplement</w:t>
      </w:r>
    </w:p>
    <w:p w14:paraId="482E1244" w14:textId="77777777" w:rsidR="00384752" w:rsidRPr="001E0147" w:rsidRDefault="00384752" w:rsidP="001E0147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68DF8B45" w14:textId="18DD16E3" w:rsidR="00DB7604" w:rsidRPr="001E0147" w:rsidRDefault="007266D9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T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his </w:t>
      </w:r>
      <w:r w:rsidR="00270EA1" w:rsidRPr="001E0147">
        <w:rPr>
          <w:rFonts w:ascii="Times New Roman" w:hAnsi="Times New Roman"/>
          <w:sz w:val="24"/>
          <w:szCs w:val="24"/>
          <w:lang w:val="en-GB"/>
        </w:rPr>
        <w:t>supplement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7604" w:rsidRPr="001E0147">
        <w:rPr>
          <w:rFonts w:ascii="Times New Roman" w:hAnsi="Times New Roman"/>
          <w:sz w:val="24"/>
          <w:szCs w:val="24"/>
          <w:lang w:val="en-GB"/>
        </w:rPr>
        <w:t>describes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in detail how the </w:t>
      </w:r>
      <w:r w:rsidR="002D6356" w:rsidRPr="001E0147">
        <w:rPr>
          <w:rFonts w:ascii="Times New Roman" w:hAnsi="Times New Roman"/>
          <w:sz w:val="24"/>
          <w:szCs w:val="24"/>
          <w:lang w:val="en-GB"/>
        </w:rPr>
        <w:t>Reverse Triage Tool of Leuven [</w:t>
      </w:r>
      <w:r w:rsidR="00CE149B" w:rsidRPr="001E0147">
        <w:rPr>
          <w:rFonts w:ascii="Times New Roman" w:hAnsi="Times New Roman"/>
          <w:sz w:val="24"/>
          <w:szCs w:val="24"/>
          <w:lang w:val="en-GB"/>
        </w:rPr>
        <w:t>RTTL</w:t>
      </w:r>
      <w:r w:rsidR="002D6356" w:rsidRPr="001E0147">
        <w:rPr>
          <w:rFonts w:ascii="Times New Roman" w:hAnsi="Times New Roman"/>
          <w:sz w:val="24"/>
          <w:szCs w:val="24"/>
          <w:lang w:val="en-GB"/>
        </w:rPr>
        <w:t>]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7604" w:rsidRPr="001E0147">
        <w:rPr>
          <w:rFonts w:ascii="Times New Roman" w:hAnsi="Times New Roman"/>
          <w:sz w:val="24"/>
          <w:szCs w:val="24"/>
          <w:lang w:val="en-GB"/>
        </w:rPr>
        <w:t xml:space="preserve">software 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>was developed.</w:t>
      </w:r>
      <w:r w:rsidR="00930B74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7604" w:rsidRPr="001E0147">
        <w:rPr>
          <w:rFonts w:ascii="Times New Roman" w:hAnsi="Times New Roman"/>
          <w:sz w:val="24"/>
          <w:szCs w:val="24"/>
          <w:lang w:val="en-GB"/>
        </w:rPr>
        <w:t>First, we describe</w:t>
      </w:r>
      <w:r w:rsidR="00755D66" w:rsidRPr="001E0147">
        <w:rPr>
          <w:rFonts w:ascii="Times New Roman" w:hAnsi="Times New Roman"/>
          <w:sz w:val="24"/>
          <w:szCs w:val="24"/>
          <w:lang w:val="en-GB"/>
        </w:rPr>
        <w:t xml:space="preserve"> the Critical Interventions </w:t>
      </w:r>
      <w:r w:rsidR="002D6356" w:rsidRPr="001E0147">
        <w:rPr>
          <w:rFonts w:ascii="Times New Roman" w:hAnsi="Times New Roman"/>
          <w:sz w:val="24"/>
          <w:szCs w:val="24"/>
          <w:lang w:val="en-GB"/>
        </w:rPr>
        <w:t>[</w:t>
      </w:r>
      <w:r w:rsidR="00755D66" w:rsidRPr="001E0147">
        <w:rPr>
          <w:rFonts w:ascii="Times New Roman" w:hAnsi="Times New Roman"/>
          <w:sz w:val="24"/>
          <w:szCs w:val="24"/>
          <w:lang w:val="en-GB"/>
        </w:rPr>
        <w:t>CI</w:t>
      </w:r>
      <w:r w:rsidR="002D6356" w:rsidRPr="001E0147">
        <w:rPr>
          <w:rFonts w:ascii="Times New Roman" w:hAnsi="Times New Roman"/>
          <w:sz w:val="24"/>
          <w:szCs w:val="24"/>
          <w:lang w:val="en-GB"/>
        </w:rPr>
        <w:t>]</w:t>
      </w:r>
      <w:r w:rsidR="00AE322F" w:rsidRPr="001E0147">
        <w:rPr>
          <w:rFonts w:ascii="Times New Roman" w:hAnsi="Times New Roman"/>
          <w:sz w:val="24"/>
          <w:szCs w:val="24"/>
          <w:lang w:val="en-GB"/>
        </w:rPr>
        <w:t xml:space="preserve"> of Kelen, Kraus, and McCarthy</w:t>
      </w:r>
      <w:r w:rsidR="00860C82" w:rsidRPr="001E014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755D66" w:rsidRPr="001E0147">
        <w:rPr>
          <w:rFonts w:ascii="Times New Roman" w:hAnsi="Times New Roman"/>
          <w:sz w:val="24"/>
          <w:szCs w:val="24"/>
          <w:lang w:val="en-GB"/>
        </w:rPr>
        <w:t xml:space="preserve"> that were retained without adjustment, then we discuss</w:t>
      </w:r>
      <w:r w:rsidR="00DB7604" w:rsidRPr="001E0147">
        <w:rPr>
          <w:rFonts w:ascii="Times New Roman" w:hAnsi="Times New Roman"/>
          <w:sz w:val="24"/>
          <w:szCs w:val="24"/>
          <w:lang w:val="en-GB"/>
        </w:rPr>
        <w:t xml:space="preserve"> the reasoning for various </w:t>
      </w:r>
      <w:r w:rsidR="00755D66" w:rsidRPr="001E0147">
        <w:rPr>
          <w:rFonts w:ascii="Times New Roman" w:hAnsi="Times New Roman"/>
          <w:sz w:val="24"/>
          <w:szCs w:val="24"/>
          <w:lang w:val="en-GB"/>
        </w:rPr>
        <w:t>CI</w:t>
      </w:r>
      <w:r w:rsidR="00DB7604" w:rsidRPr="001E0147">
        <w:rPr>
          <w:rFonts w:ascii="Times New Roman" w:hAnsi="Times New Roman"/>
          <w:sz w:val="24"/>
          <w:szCs w:val="24"/>
          <w:lang w:val="en-GB"/>
        </w:rPr>
        <w:t xml:space="preserve"> omiss</w:t>
      </w:r>
      <w:r w:rsidR="00930B74" w:rsidRPr="001E0147">
        <w:rPr>
          <w:rFonts w:ascii="Times New Roman" w:hAnsi="Times New Roman"/>
          <w:sz w:val="24"/>
          <w:szCs w:val="24"/>
          <w:lang w:val="en-GB"/>
        </w:rPr>
        <w:t>ions</w:t>
      </w:r>
      <w:r w:rsidR="00755D66" w:rsidRPr="001E0147">
        <w:rPr>
          <w:rFonts w:ascii="Times New Roman" w:hAnsi="Times New Roman"/>
          <w:sz w:val="24"/>
          <w:szCs w:val="24"/>
          <w:lang w:val="en-GB"/>
        </w:rPr>
        <w:t xml:space="preserve"> and last the CIs that were adjusted.</w:t>
      </w:r>
      <w:r w:rsidR="00930B74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55D66" w:rsidRPr="001E0147">
        <w:rPr>
          <w:rFonts w:ascii="Times New Roman" w:hAnsi="Times New Roman"/>
          <w:sz w:val="24"/>
          <w:szCs w:val="24"/>
          <w:lang w:val="en-GB"/>
        </w:rPr>
        <w:t xml:space="preserve"> Some additional criteria were also drafted.</w:t>
      </w:r>
    </w:p>
    <w:p w14:paraId="7BC4F318" w14:textId="77777777" w:rsidR="00DB7604" w:rsidRPr="001E0147" w:rsidRDefault="00DB7604" w:rsidP="001E0147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58B66A75" w14:textId="0FB31A95" w:rsidR="00930B74" w:rsidRPr="001E0147" w:rsidRDefault="00C9761B" w:rsidP="001E0147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E0147">
        <w:rPr>
          <w:rFonts w:ascii="Times New Roman" w:hAnsi="Times New Roman"/>
          <w:b/>
          <w:sz w:val="24"/>
          <w:szCs w:val="24"/>
          <w:lang w:val="en-GB"/>
        </w:rPr>
        <w:t>Full</w:t>
      </w:r>
      <w:r w:rsidR="00755D66" w:rsidRPr="001E0147">
        <w:rPr>
          <w:rFonts w:ascii="Times New Roman" w:hAnsi="Times New Roman"/>
          <w:b/>
          <w:sz w:val="24"/>
          <w:szCs w:val="24"/>
          <w:lang w:val="en-GB"/>
        </w:rPr>
        <w:t>y retained</w:t>
      </w:r>
      <w:r w:rsidRPr="001E0147">
        <w:rPr>
          <w:rFonts w:ascii="Times New Roman" w:hAnsi="Times New Roman"/>
          <w:b/>
          <w:sz w:val="24"/>
          <w:szCs w:val="24"/>
          <w:lang w:val="en-GB"/>
        </w:rPr>
        <w:t xml:space="preserve"> CI </w:t>
      </w:r>
    </w:p>
    <w:p w14:paraId="16976B50" w14:textId="3FEEF0FB" w:rsidR="002A4A69" w:rsidRPr="001E0147" w:rsidRDefault="00B846E4" w:rsidP="001E014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The first two CI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s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, CPR and intubation, are 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so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criti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cal that when</w:t>
      </w:r>
      <w:r w:rsidR="00D9070A"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patie</w:t>
      </w:r>
      <w:r w:rsidR="00D9070A" w:rsidRPr="001E0147">
        <w:rPr>
          <w:rFonts w:ascii="Times New Roman" w:hAnsi="Times New Roman"/>
          <w:sz w:val="24"/>
          <w:szCs w:val="24"/>
          <w:lang w:val="en-GB"/>
        </w:rPr>
        <w:t xml:space="preserve">nt 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is expected to need or continue to need these CIs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in the next 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72 hours, the patient is closely monitored in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an ICU. Also </w:t>
      </w:r>
      <w:r w:rsidR="000167E1" w:rsidRPr="001E0147">
        <w:rPr>
          <w:rFonts w:ascii="Times New Roman" w:hAnsi="Times New Roman"/>
          <w:sz w:val="24"/>
          <w:szCs w:val="24"/>
          <w:lang w:val="en-GB"/>
        </w:rPr>
        <w:t xml:space="preserve">intracranial pressure monitoring (CI 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0167E1" w:rsidRPr="001E0147">
        <w:rPr>
          <w:rFonts w:ascii="Times New Roman" w:hAnsi="Times New Roman"/>
          <w:sz w:val="24"/>
          <w:szCs w:val="24"/>
          <w:lang w:val="en-GB"/>
        </w:rPr>
        <w:t xml:space="preserve">8) and arterial lines (CI 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0167E1" w:rsidRPr="001E0147">
        <w:rPr>
          <w:rFonts w:ascii="Times New Roman" w:hAnsi="Times New Roman"/>
          <w:sz w:val="24"/>
          <w:szCs w:val="24"/>
          <w:lang w:val="en-GB"/>
        </w:rPr>
        <w:t>24)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 xml:space="preserve"> are never used outside an intensive care setting. Given these considerations, we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decided to 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exclude all patients admitted to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any ICU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 xml:space="preserve"> in building filters for the RTTL. N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>eedless to say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these patients will be to</w:t>
      </w:r>
      <w:r w:rsidR="007266D9" w:rsidRPr="001E0147">
        <w:rPr>
          <w:rFonts w:ascii="Times New Roman" w:hAnsi="Times New Roman"/>
          <w:sz w:val="24"/>
          <w:szCs w:val="24"/>
          <w:lang w:val="en-GB"/>
        </w:rPr>
        <w:t>o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critically ill to be moved</w:t>
      </w:r>
      <w:r w:rsidR="007266D9" w:rsidRPr="001E0147">
        <w:rPr>
          <w:rFonts w:ascii="Times New Roman" w:hAnsi="Times New Roman"/>
          <w:sz w:val="24"/>
          <w:szCs w:val="24"/>
          <w:lang w:val="en-GB"/>
        </w:rPr>
        <w:t xml:space="preserve"> or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 discharged</w:t>
      </w:r>
      <w:r w:rsidR="0010407B" w:rsidRPr="001E0147">
        <w:rPr>
          <w:rFonts w:ascii="Times New Roman" w:hAnsi="Times New Roman"/>
          <w:sz w:val="24"/>
          <w:szCs w:val="24"/>
          <w:lang w:val="en-GB"/>
        </w:rPr>
        <w:t xml:space="preserve"> anyway</w:t>
      </w:r>
      <w:r w:rsidR="00A55D33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Because the burn 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centre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 o</w:t>
      </w:r>
      <w:r w:rsidR="00D9070A" w:rsidRPr="001E0147">
        <w:rPr>
          <w:rFonts w:ascii="Times New Roman" w:hAnsi="Times New Roman"/>
          <w:sz w:val="24"/>
          <w:szCs w:val="24"/>
          <w:lang w:val="en-GB"/>
        </w:rPr>
        <w:t>f UZ Leuven is classified as an ICU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F5A65" w:rsidRPr="001E0147">
        <w:rPr>
          <w:rFonts w:ascii="Times New Roman" w:hAnsi="Times New Roman"/>
          <w:sz w:val="24"/>
          <w:szCs w:val="24"/>
          <w:lang w:val="en-GB"/>
        </w:rPr>
        <w:t>we also excluded heavily burned patients</w:t>
      </w:r>
      <w:r w:rsidR="00AE322F" w:rsidRPr="001E0147">
        <w:rPr>
          <w:rFonts w:ascii="Times New Roman" w:hAnsi="Times New Roman"/>
          <w:sz w:val="24"/>
          <w:szCs w:val="24"/>
          <w:lang w:val="en-GB"/>
        </w:rPr>
        <w:t xml:space="preserve"> (CI #7)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. If the </w:t>
      </w:r>
      <w:r w:rsidR="00BC5B7D" w:rsidRPr="001E0147">
        <w:rPr>
          <w:rFonts w:ascii="Times New Roman" w:hAnsi="Times New Roman"/>
          <w:sz w:val="24"/>
          <w:szCs w:val="24"/>
          <w:lang w:val="en-GB"/>
        </w:rPr>
        <w:t xml:space="preserve">severity of 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burns </w:t>
      </w:r>
      <w:r w:rsidR="00BC5B7D" w:rsidRPr="001E0147">
        <w:rPr>
          <w:rFonts w:ascii="Times New Roman" w:hAnsi="Times New Roman"/>
          <w:sz w:val="24"/>
          <w:szCs w:val="24"/>
          <w:lang w:val="en-GB"/>
        </w:rPr>
        <w:t>is</w:t>
      </w:r>
      <w:r w:rsidR="001F5A65" w:rsidRPr="001E0147">
        <w:rPr>
          <w:rFonts w:ascii="Times New Roman" w:hAnsi="Times New Roman"/>
          <w:sz w:val="24"/>
          <w:szCs w:val="24"/>
          <w:lang w:val="en-GB"/>
        </w:rPr>
        <w:t xml:space="preserve"> not serious enough to require that</w:t>
      </w:r>
      <w:r w:rsidR="00D9070A"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 patient </w:t>
      </w:r>
      <w:r w:rsidR="001F5A65" w:rsidRPr="001E0147">
        <w:rPr>
          <w:rFonts w:ascii="Times New Roman" w:hAnsi="Times New Roman"/>
          <w:sz w:val="24"/>
          <w:szCs w:val="24"/>
          <w:lang w:val="en-GB"/>
        </w:rPr>
        <w:t>remain in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 the ICU</w:t>
      </w:r>
      <w:r w:rsidR="002C27C4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1F5A65" w:rsidRPr="001E0147">
        <w:rPr>
          <w:rFonts w:ascii="Times New Roman" w:hAnsi="Times New Roman"/>
          <w:sz w:val="24"/>
          <w:szCs w:val="24"/>
          <w:lang w:val="en-GB"/>
        </w:rPr>
        <w:t xml:space="preserve"> in the event of an MCI, such patient could be </w:t>
      </w:r>
      <w:r w:rsidR="00E74AB4" w:rsidRPr="001E0147">
        <w:rPr>
          <w:rFonts w:ascii="Times New Roman" w:hAnsi="Times New Roman"/>
          <w:sz w:val="24"/>
          <w:szCs w:val="24"/>
          <w:lang w:val="en-GB"/>
        </w:rPr>
        <w:t xml:space="preserve">discharged </w:t>
      </w:r>
      <w:r w:rsidR="001F5A65" w:rsidRPr="001E0147">
        <w:rPr>
          <w:rFonts w:ascii="Times New Roman" w:hAnsi="Times New Roman"/>
          <w:sz w:val="24"/>
          <w:szCs w:val="24"/>
          <w:lang w:val="en-GB"/>
        </w:rPr>
        <w:t>following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 a multi</w:t>
      </w:r>
      <w:r w:rsidR="001F5A65" w:rsidRPr="001E0147">
        <w:rPr>
          <w:rFonts w:ascii="Times New Roman" w:hAnsi="Times New Roman"/>
          <w:sz w:val="24"/>
          <w:szCs w:val="24"/>
          <w:lang w:val="en-GB"/>
        </w:rPr>
        <w:t>disciplinary reassessment. W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ound care can then </w:t>
      </w:r>
      <w:r w:rsidR="00C76E94" w:rsidRPr="001E0147">
        <w:rPr>
          <w:rFonts w:ascii="Times New Roman" w:hAnsi="Times New Roman"/>
          <w:sz w:val="24"/>
          <w:szCs w:val="24"/>
          <w:lang w:val="en-GB"/>
        </w:rPr>
        <w:t xml:space="preserve">potentially </w:t>
      </w:r>
      <w:r w:rsidR="001F5A65" w:rsidRPr="001E0147">
        <w:rPr>
          <w:rFonts w:ascii="Times New Roman" w:hAnsi="Times New Roman"/>
          <w:sz w:val="24"/>
          <w:szCs w:val="24"/>
          <w:lang w:val="en-GB"/>
        </w:rPr>
        <w:t>be done</w:t>
      </w:r>
      <w:r w:rsidR="008D6E32" w:rsidRPr="001E0147">
        <w:rPr>
          <w:rFonts w:ascii="Times New Roman" w:hAnsi="Times New Roman"/>
          <w:sz w:val="24"/>
          <w:szCs w:val="24"/>
          <w:lang w:val="en-GB"/>
        </w:rPr>
        <w:t xml:space="preserve"> by home nursing companies. 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Patients </w:t>
      </w:r>
      <w:r w:rsidR="009B0E3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with respiratory insufficiency, 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who need non-invasive positive pressure ventilation (CI </w:t>
      </w:r>
      <w:r w:rsidR="001F5A65" w:rsidRPr="001E0147">
        <w:rPr>
          <w:rFonts w:ascii="Times New Roman" w:hAnsi="Times New Roman"/>
          <w:color w:val="000000"/>
          <w:sz w:val="24"/>
          <w:szCs w:val="24"/>
          <w:lang w:val="en-GB"/>
        </w:rPr>
        <w:t>#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>11)</w:t>
      </w:r>
      <w:r w:rsidR="009B0E37" w:rsidRPr="001E014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9B0E3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are </w:t>
      </w:r>
      <w:r w:rsidR="003F7066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mostly </w:t>
      </w:r>
      <w:r w:rsidR="001F5A65" w:rsidRPr="001E0147">
        <w:rPr>
          <w:rFonts w:ascii="Times New Roman" w:hAnsi="Times New Roman"/>
          <w:color w:val="000000"/>
          <w:sz w:val="24"/>
          <w:szCs w:val="24"/>
          <w:lang w:val="en-GB"/>
        </w:rPr>
        <w:t>admitted to our Medical ICU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B and therefore </w:t>
      </w:r>
      <w:r w:rsidR="001F5A65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are </w:t>
      </w:r>
      <w:r w:rsidR="00002379" w:rsidRPr="001E0147">
        <w:rPr>
          <w:rFonts w:ascii="Times New Roman" w:hAnsi="Times New Roman"/>
          <w:color w:val="000000"/>
          <w:sz w:val="24"/>
          <w:szCs w:val="24"/>
          <w:lang w:val="en-GB"/>
        </w:rPr>
        <w:t>also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9B0E3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excluded. 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>W</w:t>
      </w:r>
      <w:r w:rsidR="001F5A65" w:rsidRPr="001E0147">
        <w:rPr>
          <w:rFonts w:ascii="Times New Roman" w:hAnsi="Times New Roman"/>
          <w:color w:val="000000"/>
          <w:sz w:val="24"/>
          <w:szCs w:val="24"/>
          <w:lang w:val="en-GB"/>
        </w:rPr>
        <w:t>hen patients are not admitted to the Medical ICU</w:t>
      </w:r>
      <w:r w:rsidR="002A4A69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B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>, non-invasive positive pressur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e ventilation ref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ers primarily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to the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use of CPAP masks to reduce sleep </w:t>
      </w:r>
      <w:r w:rsidR="003A52E1" w:rsidRPr="001E0147">
        <w:rPr>
          <w:rFonts w:ascii="Times New Roman" w:hAnsi="Times New Roman"/>
          <w:color w:val="000000"/>
          <w:sz w:val="24"/>
          <w:szCs w:val="24"/>
          <w:lang w:val="en-GB"/>
        </w:rPr>
        <w:t>apnea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which</w:t>
      </w:r>
      <w:r w:rsidR="001732A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is not a reason to 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hold off 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on 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a multidisciplinary reassessment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for early discharge in the event 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of a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n MCI. L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ast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ly,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A4A69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also 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thrombolytic therapy </w:t>
      </w:r>
      <w:r w:rsidR="00E83C1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(CI 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#12)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fall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under the exclusion criterion of being a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dmitted to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a</w:t>
      </w:r>
      <w:r w:rsidR="0063106B" w:rsidRPr="001E0147">
        <w:rPr>
          <w:rFonts w:ascii="Times New Roman" w:hAnsi="Times New Roman"/>
          <w:color w:val="000000"/>
          <w:sz w:val="24"/>
          <w:szCs w:val="24"/>
          <w:lang w:val="en-GB"/>
        </w:rPr>
        <w:t>n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ICU. When 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Kelen, Kraus and McCarthy</w:t>
      </w:r>
      <w:r w:rsidR="00860C82" w:rsidRPr="001E0147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1</w:t>
      </w:r>
      <w:r w:rsidR="00C7201E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published their research, thr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ombolytic therapy was the 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gold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standard for the treatment of a </w:t>
      </w:r>
      <w:r w:rsidR="00002379" w:rsidRPr="001E0147">
        <w:rPr>
          <w:rFonts w:ascii="Times New Roman" w:hAnsi="Times New Roman"/>
          <w:color w:val="000000"/>
          <w:sz w:val="24"/>
          <w:szCs w:val="24"/>
          <w:lang w:val="en-GB"/>
        </w:rPr>
        <w:t>STEMI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but nowadays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thrombolytic therapy is 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reserved mostly for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treat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ment of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ischemic </w:t>
      </w:r>
      <w:r w:rsidR="00002379" w:rsidRPr="001E0147">
        <w:rPr>
          <w:rFonts w:ascii="Times New Roman" w:hAnsi="Times New Roman"/>
          <w:color w:val="000000"/>
          <w:sz w:val="24"/>
          <w:szCs w:val="24"/>
          <w:lang w:val="en-GB"/>
        </w:rPr>
        <w:t>stroke</w:t>
      </w:r>
      <w:r w:rsidR="0063106B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002379" w:rsidRPr="001E0147">
        <w:rPr>
          <w:rFonts w:ascii="Times New Roman" w:hAnsi="Times New Roman"/>
          <w:color w:val="000000"/>
          <w:sz w:val="24"/>
          <w:szCs w:val="24"/>
          <w:lang w:val="en-GB"/>
        </w:rPr>
        <w:t>As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the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se patients will be admitted to 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the neuro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logical high-</w:t>
      </w:r>
      <w:r w:rsidR="00C76E94" w:rsidRPr="001E0147">
        <w:rPr>
          <w:rFonts w:ascii="Times New Roman" w:hAnsi="Times New Roman"/>
          <w:color w:val="000000"/>
          <w:sz w:val="24"/>
          <w:szCs w:val="24"/>
          <w:lang w:val="en-GB"/>
        </w:rPr>
        <w:t>care unit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>, they are excluded according to</w:t>
      </w:r>
      <w:r w:rsidR="00E83C1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the </w:t>
      </w:r>
      <w:r w:rsidR="007A7F07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ICU </w:t>
      </w:r>
      <w:r w:rsidR="00E83C1F" w:rsidRPr="001E0147">
        <w:rPr>
          <w:rFonts w:ascii="Times New Roman" w:hAnsi="Times New Roman"/>
          <w:color w:val="000000"/>
          <w:sz w:val="24"/>
          <w:szCs w:val="24"/>
          <w:lang w:val="en-GB"/>
        </w:rPr>
        <w:t>exclusion criterio</w:t>
      </w:r>
      <w:r w:rsidR="005F1262" w:rsidRPr="001E0147">
        <w:rPr>
          <w:rFonts w:ascii="Times New Roman" w:hAnsi="Times New Roman"/>
          <w:color w:val="000000"/>
          <w:sz w:val="24"/>
          <w:szCs w:val="24"/>
          <w:lang w:val="en-GB"/>
        </w:rPr>
        <w:t>n mentioned above.</w:t>
      </w:r>
    </w:p>
    <w:p w14:paraId="5250005C" w14:textId="77777777" w:rsidR="005F1262" w:rsidRPr="001E0147" w:rsidRDefault="00E83C1F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 xml:space="preserve">Patients who need dialysis (CI 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#9), are admitted to the</w:t>
      </w:r>
      <w:r w:rsidR="00FA7220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>nephrology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 xml:space="preserve"> ward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. These patients need dialysis but are only admitted 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to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the hospital because of additional problems. Other patients who 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need</w:t>
      </w:r>
      <w:r w:rsidR="00FA7220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dialysis and do not have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7220" w:rsidRPr="001E0147">
        <w:rPr>
          <w:rFonts w:ascii="Times New Roman" w:hAnsi="Times New Roman"/>
          <w:sz w:val="24"/>
          <w:szCs w:val="24"/>
          <w:lang w:val="en-GB"/>
        </w:rPr>
        <w:t xml:space="preserve">these 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additional problems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visit the dialysis ward on a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ambulant basis and therefore do not occupy beds. </w:t>
      </w:r>
      <w:r w:rsidR="00FA7220" w:rsidRPr="001E0147">
        <w:rPr>
          <w:rFonts w:ascii="Times New Roman" w:hAnsi="Times New Roman"/>
          <w:sz w:val="24"/>
          <w:szCs w:val="24"/>
          <w:lang w:val="en-GB"/>
        </w:rPr>
        <w:t>The reason we exclude all patients ad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mitted to</w:t>
      </w:r>
      <w:r w:rsidR="00FA7220" w:rsidRPr="001E0147">
        <w:rPr>
          <w:rFonts w:ascii="Times New Roman" w:hAnsi="Times New Roman"/>
          <w:sz w:val="24"/>
          <w:szCs w:val="24"/>
          <w:lang w:val="en-GB"/>
        </w:rPr>
        <w:t xml:space="preserve"> nephrology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 xml:space="preserve"> wards</w:t>
      </w:r>
      <w:r w:rsidR="00FA7220" w:rsidRPr="001E0147">
        <w:rPr>
          <w:rFonts w:ascii="Times New Roman" w:hAnsi="Times New Roman"/>
          <w:sz w:val="24"/>
          <w:szCs w:val="24"/>
          <w:lang w:val="en-GB"/>
        </w:rPr>
        <w:t xml:space="preserve"> is </w:t>
      </w:r>
      <w:r w:rsidR="007A7F07" w:rsidRPr="001E0147">
        <w:rPr>
          <w:rFonts w:ascii="Times New Roman" w:hAnsi="Times New Roman"/>
          <w:sz w:val="24"/>
          <w:szCs w:val="24"/>
          <w:lang w:val="en-GB"/>
        </w:rPr>
        <w:t>because of the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 xml:space="preserve"> high</w:t>
      </w:r>
      <w:r w:rsidR="004D2F6C" w:rsidRPr="001E0147">
        <w:rPr>
          <w:rFonts w:ascii="Times New Roman" w:hAnsi="Times New Roman"/>
          <w:sz w:val="24"/>
          <w:szCs w:val="24"/>
          <w:lang w:val="en-GB"/>
        </w:rPr>
        <w:t>-</w:t>
      </w:r>
      <w:r w:rsidR="00FA7220" w:rsidRPr="001E0147">
        <w:rPr>
          <w:rFonts w:ascii="Times New Roman" w:hAnsi="Times New Roman"/>
          <w:sz w:val="24"/>
          <w:szCs w:val="24"/>
          <w:lang w:val="en-GB"/>
        </w:rPr>
        <w:t>care burden.</w:t>
      </w:r>
    </w:p>
    <w:p w14:paraId="5906A45E" w14:textId="77777777" w:rsidR="005F1262" w:rsidRPr="001E0147" w:rsidRDefault="0096404D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 xml:space="preserve">Patients who require psychiatric monitoring (CI </w:t>
      </w:r>
      <w:r w:rsidR="00BD4C22" w:rsidRPr="001E0147">
        <w:rPr>
          <w:rFonts w:ascii="Times New Roman" w:hAnsi="Times New Roman"/>
          <w:sz w:val="24"/>
          <w:szCs w:val="24"/>
          <w:lang w:val="en-GB"/>
        </w:rPr>
        <w:t>#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15) </w:t>
      </w:r>
      <w:r w:rsidR="008F4BBE" w:rsidRPr="001E0147">
        <w:rPr>
          <w:rFonts w:ascii="Times New Roman" w:hAnsi="Times New Roman"/>
          <w:sz w:val="24"/>
          <w:szCs w:val="24"/>
          <w:lang w:val="en-GB"/>
        </w:rPr>
        <w:t xml:space="preserve">are excluded </w:t>
      </w:r>
      <w:r w:rsidR="00BD4C22" w:rsidRPr="001E0147">
        <w:rPr>
          <w:rFonts w:ascii="Times New Roman" w:hAnsi="Times New Roman"/>
          <w:sz w:val="24"/>
          <w:szCs w:val="24"/>
          <w:lang w:val="en-GB"/>
        </w:rPr>
        <w:t xml:space="preserve">as they are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hospitalized</w:t>
      </w:r>
      <w:r w:rsidR="00BD4C22" w:rsidRPr="001E0147">
        <w:rPr>
          <w:rFonts w:ascii="Times New Roman" w:hAnsi="Times New Roman"/>
          <w:sz w:val="24"/>
          <w:szCs w:val="24"/>
          <w:lang w:val="en-GB"/>
        </w:rPr>
        <w:t xml:space="preserve"> in psychiatric units.</w:t>
      </w:r>
      <w:r w:rsidR="008F4BBE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D4C22" w:rsidRPr="001E0147">
        <w:rPr>
          <w:rFonts w:ascii="Times New Roman" w:hAnsi="Times New Roman"/>
          <w:sz w:val="24"/>
          <w:szCs w:val="24"/>
          <w:lang w:val="en-GB"/>
        </w:rPr>
        <w:t>They are admitted to protect them from harming him or herself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or society</w:t>
      </w:r>
      <w:r w:rsidR="00BD4C22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and therefore </w:t>
      </w:r>
      <w:r w:rsidR="008F4BBE" w:rsidRPr="001E0147">
        <w:rPr>
          <w:rFonts w:ascii="Times New Roman" w:hAnsi="Times New Roman"/>
          <w:sz w:val="24"/>
          <w:szCs w:val="24"/>
          <w:lang w:val="en-GB"/>
        </w:rPr>
        <w:t xml:space="preserve">cannot be discharged early. </w:t>
      </w:r>
    </w:p>
    <w:p w14:paraId="2245777B" w14:textId="6EDC9EA9" w:rsidR="00037D77" w:rsidRPr="001E0147" w:rsidRDefault="00BD4C22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Women who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are about to give birth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 xml:space="preserve"> by vaginal delivery (CI </w:t>
      </w:r>
      <w:r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>23)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are</w:t>
      </w:r>
      <w:r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by definitio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>n</w:t>
      </w:r>
      <w:r w:rsidRPr="001E0147">
        <w:rPr>
          <w:rFonts w:ascii="Times New Roman" w:hAnsi="Times New Roman"/>
          <w:sz w:val="24"/>
          <w:szCs w:val="24"/>
          <w:lang w:val="en-GB"/>
        </w:rPr>
        <w:t>, admitted to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 xml:space="preserve"> the delivery room. Therefore</w:t>
      </w:r>
      <w:r w:rsidRPr="001E0147">
        <w:rPr>
          <w:rFonts w:ascii="Times New Roman" w:hAnsi="Times New Roman"/>
          <w:sz w:val="24"/>
          <w:szCs w:val="24"/>
          <w:lang w:val="en-GB"/>
        </w:rPr>
        <w:t>, these women are excluded because they are hospitalized in the delivery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 xml:space="preserve"> unit. </w:t>
      </w:r>
      <w:r w:rsidRPr="001E0147">
        <w:rPr>
          <w:rFonts w:ascii="Times New Roman" w:hAnsi="Times New Roman"/>
          <w:sz w:val="24"/>
          <w:szCs w:val="24"/>
          <w:lang w:val="en-GB"/>
        </w:rPr>
        <w:t>Mothers who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have given birth by vaginal delivery, 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>should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be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 xml:space="preserve"> reassessed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in a multidisciplinary manner in the event that an MCI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 xml:space="preserve"> occur</w:t>
      </w:r>
      <w:r w:rsidRPr="001E0147">
        <w:rPr>
          <w:rFonts w:ascii="Times New Roman" w:hAnsi="Times New Roman"/>
          <w:sz w:val="24"/>
          <w:szCs w:val="24"/>
          <w:lang w:val="en-GB"/>
        </w:rPr>
        <w:t>s on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the day of delivery. For this reason, the maternity ward was not retained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in construction of the RTTL software.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>By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 xml:space="preserve"> contrast</w:t>
      </w:r>
      <w:r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the unit w</w:t>
      </w:r>
      <w:r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ere women are monitored </w:t>
      </w:r>
      <w:r w:rsidR="00006859" w:rsidRPr="001E0147">
        <w:rPr>
          <w:rFonts w:ascii="Times New Roman" w:hAnsi="Times New Roman"/>
          <w:sz w:val="24"/>
          <w:szCs w:val="24"/>
          <w:lang w:val="en-GB"/>
        </w:rPr>
        <w:t>for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a complicated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 xml:space="preserve"> pregnancy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 xml:space="preserve"> is retained. This is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 xml:space="preserve"> because 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>these patients may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 xml:space="preserve"> need a caesarean section (CI 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 xml:space="preserve">4) 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>with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>in the next 72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>ours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>Patients who have undergone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a caesarean section, a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>re excluded by their presence in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the operating room less than 48 hours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 xml:space="preserve"> prior to the MCI event; this is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indicated </w:t>
      </w:r>
      <w:r w:rsidR="00CF2391" w:rsidRPr="001E0147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8E4F0F" w:rsidRPr="001E0147">
        <w:rPr>
          <w:rFonts w:ascii="Times New Roman" w:hAnsi="Times New Roman"/>
          <w:sz w:val="24"/>
          <w:szCs w:val="24"/>
          <w:lang w:val="en-GB"/>
        </w:rPr>
        <w:t>the next exclusion criterion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>.</w:t>
      </w:r>
    </w:p>
    <w:p w14:paraId="4D21B6E7" w14:textId="1595EAFB" w:rsidR="00826607" w:rsidRPr="001E0147" w:rsidRDefault="00CF2391" w:rsidP="001E0147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Kelen, Kraus and McCarthy</w:t>
      </w:r>
      <w:r w:rsidR="00860C82" w:rsidRPr="001E014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C7201E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6769" w:rsidRPr="001E0147">
        <w:rPr>
          <w:rFonts w:ascii="Times New Roman" w:hAnsi="Times New Roman"/>
          <w:sz w:val="24"/>
          <w:szCs w:val="24"/>
          <w:lang w:val="en-GB"/>
        </w:rPr>
        <w:t>did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not further elaborate on the details of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1FDB" w:rsidRPr="001E0147">
        <w:rPr>
          <w:rFonts w:ascii="Times New Roman" w:hAnsi="Times New Roman"/>
          <w:sz w:val="24"/>
          <w:szCs w:val="24"/>
          <w:lang w:val="en-GB"/>
        </w:rPr>
        <w:t xml:space="preserve">CI </w:t>
      </w:r>
      <w:r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361FDB" w:rsidRPr="001E0147">
        <w:rPr>
          <w:rFonts w:ascii="Times New Roman" w:hAnsi="Times New Roman"/>
          <w:sz w:val="24"/>
          <w:szCs w:val="24"/>
          <w:lang w:val="en-GB"/>
        </w:rPr>
        <w:t>14,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‘oth</w:t>
      </w:r>
      <w:r w:rsidR="00361FDB" w:rsidRPr="001E0147">
        <w:rPr>
          <w:rFonts w:ascii="Times New Roman" w:hAnsi="Times New Roman"/>
          <w:sz w:val="24"/>
          <w:szCs w:val="24"/>
          <w:lang w:val="en-GB"/>
        </w:rPr>
        <w:t>er invasive procedure</w:t>
      </w:r>
      <w:r w:rsidRPr="001E0147">
        <w:rPr>
          <w:rFonts w:ascii="Times New Roman" w:hAnsi="Times New Roman"/>
          <w:sz w:val="24"/>
          <w:szCs w:val="24"/>
          <w:lang w:val="en-GB"/>
        </w:rPr>
        <w:t>’. Therefore, we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decided to group all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possible invasive procedures according to location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>: endoscopy, intervention</w:t>
      </w:r>
      <w:r w:rsidRPr="001E0147">
        <w:rPr>
          <w:rFonts w:ascii="Times New Roman" w:hAnsi="Times New Roman"/>
          <w:sz w:val="24"/>
          <w:szCs w:val="24"/>
          <w:lang w:val="en-GB"/>
        </w:rPr>
        <w:t>al radiology and</w:t>
      </w:r>
      <w:r w:rsidR="0007448B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>operating room. If a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patient underwent a </w:t>
      </w:r>
      <w:r w:rsidRPr="001E0147">
        <w:rPr>
          <w:rFonts w:ascii="Times New Roman" w:hAnsi="Times New Roman"/>
          <w:sz w:val="24"/>
          <w:szCs w:val="24"/>
          <w:lang w:val="en-GB"/>
        </w:rPr>
        <w:t>procedure at one of these locations 48 hours prior to the MCI,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regardless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the specific nature of the procedure,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>patient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>is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excluded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as a candidate for early discharge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>As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we cannot </w:t>
      </w:r>
      <w:r w:rsidRPr="001E0147">
        <w:rPr>
          <w:rFonts w:ascii="Times New Roman" w:hAnsi="Times New Roman"/>
          <w:sz w:val="24"/>
          <w:szCs w:val="24"/>
          <w:lang w:val="en-GB"/>
        </w:rPr>
        <w:lastRenderedPageBreak/>
        <w:t>foresee whether a patient might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 xml:space="preserve"> need an invasive procedure 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with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>in the next 72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ours post-MCI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 xml:space="preserve"> we decided to narrow the time window to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 xml:space="preserve"> 48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ours. We reached consensus on the situation in which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>ny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 xml:space="preserve"> patient who 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had undergone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 xml:space="preserve"> an invasive procedure less than 48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ours before an MCI, would not be eligible for early discharge</w:t>
      </w:r>
      <w:r w:rsidR="00DA1E61" w:rsidRPr="001E0147">
        <w:rPr>
          <w:rFonts w:ascii="Times New Roman" w:hAnsi="Times New Roman"/>
          <w:sz w:val="24"/>
          <w:szCs w:val="24"/>
          <w:lang w:val="en-GB"/>
        </w:rPr>
        <w:t>.</w:t>
      </w:r>
    </w:p>
    <w:p w14:paraId="16A51E54" w14:textId="731838BE" w:rsidR="00B71232" w:rsidRPr="001E0147" w:rsidRDefault="00DA1E61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 xml:space="preserve">Critical Intervention 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#16</w:t>
      </w:r>
      <w:r w:rsidR="00D9070A" w:rsidRPr="001E0147">
        <w:rPr>
          <w:rFonts w:ascii="Times New Roman" w:hAnsi="Times New Roman"/>
          <w:sz w:val="24"/>
          <w:szCs w:val="24"/>
          <w:lang w:val="en-GB"/>
        </w:rPr>
        <w:t xml:space="preserve">, heart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catheterization</w:t>
      </w:r>
      <w:r w:rsidRPr="001E0147">
        <w:rPr>
          <w:rFonts w:ascii="Times New Roman" w:hAnsi="Times New Roman"/>
          <w:sz w:val="24"/>
          <w:szCs w:val="24"/>
          <w:lang w:val="en-GB"/>
        </w:rPr>
        <w:t>, is covered by no less than th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ree exclusion criteria. To begin, all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catheterizations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 xml:space="preserve"> take place in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the interventional radiology 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centre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. All patients 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>who were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there for an invasive procedure in 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the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48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ours prior to an MCI, are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excluded by the criterion we just discussed. Subsequently these p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atients end up being admi</w:t>
      </w:r>
      <w:r w:rsidR="00861425" w:rsidRPr="001E0147">
        <w:rPr>
          <w:rFonts w:ascii="Times New Roman" w:hAnsi="Times New Roman"/>
          <w:sz w:val="24"/>
          <w:szCs w:val="24"/>
          <w:lang w:val="en-GB"/>
        </w:rPr>
        <w:t>tted to the coronary care unit [CCU]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 xml:space="preserve"> where they are excluded because they </w:t>
      </w:r>
      <w:r w:rsidR="001156C9" w:rsidRPr="001E0147">
        <w:rPr>
          <w:rFonts w:ascii="Times New Roman" w:hAnsi="Times New Roman"/>
          <w:sz w:val="24"/>
          <w:szCs w:val="24"/>
          <w:lang w:val="en-GB"/>
        </w:rPr>
        <w:t xml:space="preserve">stay 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in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>n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ICU. Even patients who sign in at the emergency departm</w:t>
      </w:r>
      <w:r w:rsidR="00861425" w:rsidRPr="001E0147">
        <w:rPr>
          <w:rFonts w:ascii="Times New Roman" w:hAnsi="Times New Roman"/>
          <w:sz w:val="24"/>
          <w:szCs w:val="24"/>
          <w:lang w:val="en-GB"/>
        </w:rPr>
        <w:t>ent [ED]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with retrosternal chest pain, who pot</w:t>
      </w:r>
      <w:r w:rsidR="00D9070A" w:rsidRPr="001E0147">
        <w:rPr>
          <w:rFonts w:ascii="Times New Roman" w:hAnsi="Times New Roman"/>
          <w:sz w:val="24"/>
          <w:szCs w:val="24"/>
          <w:lang w:val="en-GB"/>
        </w:rPr>
        <w:t xml:space="preserve">entially need a heart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catheterization</w:t>
      </w:r>
      <w:r w:rsidR="00826607" w:rsidRPr="001E0147">
        <w:rPr>
          <w:rFonts w:ascii="Times New Roman" w:hAnsi="Times New Roman"/>
          <w:sz w:val="24"/>
          <w:szCs w:val="24"/>
          <w:lang w:val="en-GB"/>
        </w:rPr>
        <w:t>, are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excluded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, because they will never be in the ED for longer than 6 hours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>. This exclus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ion criterion was not derived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from the </w:t>
      </w:r>
      <w:r w:rsidR="001156C9" w:rsidRPr="001E0147">
        <w:rPr>
          <w:rFonts w:ascii="Times New Roman" w:hAnsi="Times New Roman"/>
          <w:sz w:val="24"/>
          <w:szCs w:val="24"/>
          <w:lang w:val="en-GB"/>
        </w:rPr>
        <w:t xml:space="preserve">original 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CI list, but 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>added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 xml:space="preserve"> it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to the </w:t>
      </w:r>
      <w:r w:rsidR="00CE149B" w:rsidRPr="001E0147">
        <w:rPr>
          <w:rFonts w:ascii="Times New Roman" w:hAnsi="Times New Roman"/>
          <w:sz w:val="24"/>
          <w:szCs w:val="24"/>
          <w:lang w:val="en-GB"/>
        </w:rPr>
        <w:t>RTTL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.</w:t>
      </w:r>
      <w:r w:rsidR="008264CD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Along these same lines, every patient who needs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 a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thoracentesis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 (CI 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>17) or a paracentes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>i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s (CI 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#22) will always have been in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 the interventional radiology 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>unit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 and therefore</w:t>
      </w:r>
      <w:r w:rsidR="0066561F" w:rsidRPr="001E0147">
        <w:rPr>
          <w:rFonts w:ascii="Times New Roman" w:hAnsi="Times New Roman"/>
          <w:sz w:val="24"/>
          <w:szCs w:val="24"/>
          <w:lang w:val="en-GB"/>
        </w:rPr>
        <w:t>, are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 excluded by the same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 xml:space="preserve"> reasoning as that explained for using criterion 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CI 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>#14</w:t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>.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ab/>
      </w:r>
      <w:r w:rsidR="00037D77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0553" w:rsidRPr="001E0147">
        <w:rPr>
          <w:rFonts w:ascii="Times New Roman" w:hAnsi="Times New Roman"/>
          <w:sz w:val="24"/>
          <w:szCs w:val="24"/>
          <w:lang w:val="en-GB"/>
        </w:rPr>
        <w:br/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>A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major surgical procedure or operation (CI 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>3) has been translated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 xml:space="preserve"> for our purposes in the RTTL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as a surgical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 xml:space="preserve"> intervention lasting more than 90 minutes. All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patient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>s who need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to undergo surgery that t</w:t>
      </w:r>
      <w:r w:rsidR="00002379" w:rsidRPr="001E0147">
        <w:rPr>
          <w:rFonts w:ascii="Times New Roman" w:hAnsi="Times New Roman"/>
          <w:sz w:val="24"/>
          <w:szCs w:val="24"/>
          <w:lang w:val="en-GB"/>
        </w:rPr>
        <w:t>akes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 xml:space="preserve"> more than 90 minutes are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excluded by this criterio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>n. Moreover, these patients are also excluded by their presence in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the operating room less than 48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312AC4" w:rsidRPr="001E0147">
        <w:rPr>
          <w:rFonts w:ascii="Times New Roman" w:hAnsi="Times New Roman"/>
          <w:sz w:val="24"/>
          <w:szCs w:val="24"/>
          <w:lang w:val="en-GB"/>
        </w:rPr>
        <w:t>ours prior to the MCI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. The cancellation of elective procedures is also a way of augmenting surge capacity but is a </w:t>
      </w:r>
      <w:r w:rsidR="008E4B6D" w:rsidRPr="001E0147">
        <w:rPr>
          <w:rFonts w:ascii="Times New Roman" w:hAnsi="Times New Roman"/>
          <w:sz w:val="24"/>
          <w:szCs w:val="24"/>
          <w:lang w:val="en-GB"/>
        </w:rPr>
        <w:t>component that stands on its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4B6D" w:rsidRPr="001E0147">
        <w:rPr>
          <w:rFonts w:ascii="Times New Roman" w:hAnsi="Times New Roman"/>
          <w:sz w:val="24"/>
          <w:szCs w:val="24"/>
          <w:lang w:val="en-GB"/>
        </w:rPr>
        <w:t>own</w:t>
      </w:r>
      <w:r w:rsidR="002B1D90" w:rsidRPr="001E0147">
        <w:rPr>
          <w:rFonts w:ascii="Times New Roman" w:hAnsi="Times New Roman"/>
          <w:sz w:val="24"/>
          <w:szCs w:val="24"/>
          <w:lang w:val="en-GB"/>
        </w:rPr>
        <w:t xml:space="preserve"> and is not part of the reverse triage process.</w:t>
      </w:r>
      <w:r w:rsidR="008E4B6D" w:rsidRPr="001E0147">
        <w:rPr>
          <w:rFonts w:ascii="Times New Roman" w:hAnsi="Times New Roman"/>
          <w:sz w:val="24"/>
          <w:szCs w:val="24"/>
          <w:lang w:val="en-GB"/>
        </w:rPr>
        <w:t xml:space="preserve"> Therefore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8E4B6D" w:rsidRPr="001E0147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CE149B" w:rsidRPr="001E0147">
        <w:rPr>
          <w:rFonts w:ascii="Times New Roman" w:hAnsi="Times New Roman"/>
          <w:sz w:val="24"/>
          <w:szCs w:val="24"/>
          <w:lang w:val="en-GB"/>
        </w:rPr>
        <w:t>RTTL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does</w:t>
      </w:r>
      <w:r w:rsidR="008E4B6D" w:rsidRPr="001E0147">
        <w:rPr>
          <w:rFonts w:ascii="Times New Roman" w:hAnsi="Times New Roman"/>
          <w:sz w:val="24"/>
          <w:szCs w:val="24"/>
          <w:lang w:val="en-GB"/>
        </w:rPr>
        <w:t xml:space="preserve"> not take future elective surgeries into account. </w:t>
      </w:r>
    </w:p>
    <w:p w14:paraId="0C630580" w14:textId="18395D12" w:rsidR="001772D0" w:rsidRPr="001E0147" w:rsidRDefault="00366FA6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Oxygen-dependency</w:t>
      </w:r>
      <w:r w:rsidR="001936F2" w:rsidRPr="001E0147">
        <w:rPr>
          <w:rFonts w:ascii="Times New Roman" w:hAnsi="Times New Roman"/>
          <w:sz w:val="24"/>
          <w:szCs w:val="24"/>
          <w:lang w:val="en-GB"/>
        </w:rPr>
        <w:t xml:space="preserve"> (CI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1936F2" w:rsidRPr="001E0147">
        <w:rPr>
          <w:rFonts w:ascii="Times New Roman" w:hAnsi="Times New Roman"/>
          <w:sz w:val="24"/>
          <w:szCs w:val="24"/>
          <w:lang w:val="en-GB"/>
        </w:rPr>
        <w:t>6)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is </w:t>
      </w:r>
      <w:r w:rsidR="001936F2" w:rsidRPr="001E0147">
        <w:rPr>
          <w:rFonts w:ascii="Times New Roman" w:hAnsi="Times New Roman"/>
          <w:sz w:val="24"/>
          <w:szCs w:val="24"/>
          <w:lang w:val="en-GB"/>
        </w:rPr>
        <w:t xml:space="preserve">translated into the </w:t>
      </w:r>
      <w:r w:rsidR="00CE149B" w:rsidRPr="001E0147">
        <w:rPr>
          <w:rFonts w:ascii="Times New Roman" w:hAnsi="Times New Roman"/>
          <w:sz w:val="24"/>
          <w:szCs w:val="24"/>
          <w:lang w:val="en-GB"/>
        </w:rPr>
        <w:t>RTTL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if it exceeds a</w:t>
      </w:r>
      <w:r w:rsidR="001936F2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threshold of 5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liters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of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oxygen per minute.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This makes sense, since a patient needing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less than 5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liters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oxygen per 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lastRenderedPageBreak/>
        <w:t>minute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, can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be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safely 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>transferred to another location where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bottles of oxygen can be prepositioned for disaster preparedness. Th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>ereby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the CI can continue after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the patient is 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>discharge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d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from the hospital and would not be withdrawn. </w:t>
      </w:r>
      <w:r w:rsidR="001936F2" w:rsidRPr="001E0147">
        <w:rPr>
          <w:rFonts w:ascii="Times New Roman" w:hAnsi="Times New Roman"/>
          <w:sz w:val="24"/>
          <w:szCs w:val="24"/>
          <w:lang w:val="en-GB"/>
        </w:rPr>
        <w:t>Additionally,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if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a patient needs more than 5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liters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oxygen per minute, the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n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r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espiratory insufficiency is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considered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to be large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enough to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keep him in the hospital in the event</w:t>
      </w:r>
      <w:r w:rsidR="00B71232" w:rsidRPr="001E0147">
        <w:rPr>
          <w:rFonts w:ascii="Times New Roman" w:hAnsi="Times New Roman"/>
          <w:sz w:val="24"/>
          <w:szCs w:val="24"/>
          <w:lang w:val="en-GB"/>
        </w:rPr>
        <w:t xml:space="preserve"> of a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n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 xml:space="preserve"> MCI.</w:t>
      </w:r>
    </w:p>
    <w:p w14:paraId="5A2D479C" w14:textId="1ECCC950" w:rsidR="00366FA6" w:rsidRPr="001E0147" w:rsidRDefault="00366FA6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The need for blood transfusion</w:t>
      </w:r>
      <w:r w:rsidR="00D230F5" w:rsidRPr="001E0147">
        <w:rPr>
          <w:rFonts w:ascii="Times New Roman" w:hAnsi="Times New Roman"/>
          <w:sz w:val="24"/>
          <w:szCs w:val="24"/>
          <w:lang w:val="en-GB"/>
        </w:rPr>
        <w:t xml:space="preserve"> (CI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D230F5" w:rsidRPr="001E0147">
        <w:rPr>
          <w:rFonts w:ascii="Times New Roman" w:hAnsi="Times New Roman"/>
          <w:sz w:val="24"/>
          <w:szCs w:val="24"/>
          <w:lang w:val="en-GB"/>
        </w:rPr>
        <w:t>13)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is indicated by the concentration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the patient’s blood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haemoglobin</w:t>
      </w:r>
      <w:r w:rsidRPr="001E0147">
        <w:rPr>
          <w:rFonts w:ascii="Times New Roman" w:hAnsi="Times New Roman"/>
          <w:sz w:val="24"/>
          <w:szCs w:val="24"/>
          <w:lang w:val="en-GB"/>
        </w:rPr>
        <w:t>.</w:t>
      </w:r>
      <w:r w:rsidR="00B23E66" w:rsidRPr="001E0147">
        <w:rPr>
          <w:rFonts w:ascii="Times New Roman" w:hAnsi="Times New Roman"/>
          <w:sz w:val="24"/>
          <w:szCs w:val="24"/>
          <w:lang w:val="en-GB"/>
        </w:rPr>
        <w:t xml:space="preserve"> Initially, the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haemoglobin</w:t>
      </w:r>
      <w:r w:rsidR="00B23E66" w:rsidRPr="001E0147">
        <w:rPr>
          <w:rFonts w:ascii="Times New Roman" w:hAnsi="Times New Roman"/>
          <w:sz w:val="24"/>
          <w:szCs w:val="24"/>
          <w:lang w:val="en-GB"/>
        </w:rPr>
        <w:t xml:space="preserve"> threshold of 7 g/dl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was chosen to exclude patients from early discharge. However, 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IT 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department faced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difficulties trying to integrate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>this criterion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>into the</w:t>
      </w:r>
      <w:r w:rsidR="00DB00AB" w:rsidRPr="001E0147">
        <w:rPr>
          <w:rFonts w:ascii="Times New Roman" w:hAnsi="Times New Roman"/>
          <w:sz w:val="24"/>
          <w:szCs w:val="24"/>
          <w:lang w:val="en-GB"/>
        </w:rPr>
        <w:t xml:space="preserve"> Health Electronic Record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00AB" w:rsidRPr="001E0147">
        <w:rPr>
          <w:rFonts w:ascii="Times New Roman" w:hAnsi="Times New Roman"/>
          <w:sz w:val="24"/>
          <w:szCs w:val="24"/>
          <w:lang w:val="en-GB"/>
        </w:rPr>
        <w:t>[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>HER</w:t>
      </w:r>
      <w:r w:rsidR="00DB00AB" w:rsidRPr="001E0147">
        <w:rPr>
          <w:rFonts w:ascii="Times New Roman" w:hAnsi="Times New Roman"/>
          <w:sz w:val="24"/>
          <w:szCs w:val="24"/>
          <w:lang w:val="en-GB"/>
        </w:rPr>
        <w:t>]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 of the study hospital.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Given that no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patient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from the</w:t>
      </w:r>
      <w:r w:rsidR="00B23E66" w:rsidRPr="001E0147">
        <w:rPr>
          <w:rFonts w:ascii="Times New Roman" w:hAnsi="Times New Roman"/>
          <w:sz w:val="24"/>
          <w:szCs w:val="24"/>
          <w:lang w:val="en-GB"/>
        </w:rPr>
        <w:t xml:space="preserve"> random group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>had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such 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low 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haemoglobin</w:t>
      </w:r>
      <w:r w:rsidR="00397FAD" w:rsidRPr="001E0147">
        <w:rPr>
          <w:rFonts w:ascii="Times New Roman" w:hAnsi="Times New Roman"/>
          <w:sz w:val="24"/>
          <w:szCs w:val="24"/>
          <w:lang w:val="en-GB"/>
        </w:rPr>
        <w:t xml:space="preserve"> concentration</w:t>
      </w:r>
      <w:r w:rsidRPr="001E0147">
        <w:rPr>
          <w:rFonts w:ascii="Times New Roman" w:hAnsi="Times New Roman"/>
          <w:sz w:val="24"/>
          <w:szCs w:val="24"/>
          <w:lang w:val="en-GB"/>
        </w:rPr>
        <w:t>, an alte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rnative parameter was sought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>. Consensus was reached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to exclude patients 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who 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received</w:t>
      </w:r>
      <w:r w:rsidR="00B23E66" w:rsidRPr="001E0147">
        <w:rPr>
          <w:rFonts w:ascii="Times New Roman" w:hAnsi="Times New Roman"/>
          <w:sz w:val="24"/>
          <w:szCs w:val="24"/>
          <w:lang w:val="en-GB"/>
        </w:rPr>
        <w:t xml:space="preserve"> a transfusion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less than 48 ho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urs prior to the MCI,</w:t>
      </w:r>
      <w:r w:rsidR="00B23E66" w:rsidRPr="001E0147">
        <w:rPr>
          <w:rFonts w:ascii="Times New Roman" w:hAnsi="Times New Roman"/>
          <w:sz w:val="24"/>
          <w:szCs w:val="24"/>
          <w:lang w:val="en-GB"/>
        </w:rPr>
        <w:t xml:space="preserve"> because the probability 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of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 develop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ing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 a negative outcome, like a transfusion reaction, within the subsequent 72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ours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wa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>s considered. This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parameter 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could be verified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by 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the registration of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blood pr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>oducts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 xml:space="preserve"> administered</w:t>
      </w:r>
      <w:r w:rsidR="001772D0" w:rsidRPr="001E0147">
        <w:rPr>
          <w:rFonts w:ascii="Times New Roman" w:hAnsi="Times New Roman"/>
          <w:sz w:val="24"/>
          <w:szCs w:val="24"/>
          <w:lang w:val="en-GB"/>
        </w:rPr>
        <w:t xml:space="preserve"> in the transfusion tool of the HER. </w:t>
      </w:r>
    </w:p>
    <w:p w14:paraId="162123C9" w14:textId="137D5027" w:rsidR="00366FA6" w:rsidRPr="001E0147" w:rsidRDefault="00366FA6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Regarding wound care</w:t>
      </w:r>
      <w:r w:rsidR="00402131" w:rsidRPr="001E0147">
        <w:rPr>
          <w:rFonts w:ascii="Times New Roman" w:hAnsi="Times New Roman"/>
          <w:sz w:val="24"/>
          <w:szCs w:val="24"/>
          <w:lang w:val="en-GB"/>
        </w:rPr>
        <w:t xml:space="preserve"> (CI </w:t>
      </w:r>
      <w:r w:rsidR="00832FC7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402131" w:rsidRPr="001E0147">
        <w:rPr>
          <w:rFonts w:ascii="Times New Roman" w:hAnsi="Times New Roman"/>
          <w:sz w:val="24"/>
          <w:szCs w:val="24"/>
          <w:lang w:val="en-GB"/>
        </w:rPr>
        <w:t>18)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02131" w:rsidRPr="001E0147">
        <w:rPr>
          <w:rFonts w:ascii="Times New Roman" w:hAnsi="Times New Roman"/>
          <w:sz w:val="24"/>
          <w:szCs w:val="24"/>
          <w:lang w:val="en-GB"/>
        </w:rPr>
        <w:t>which a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gain was not further elaborated on by Kelen, Kraus, and McCarthy</w:t>
      </w:r>
      <w:r w:rsidR="00860C82" w:rsidRPr="001E014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, the presence of stage 3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(necrosis of the skin and </w:t>
      </w:r>
      <w:r w:rsidR="00402131" w:rsidRPr="001E0147">
        <w:rPr>
          <w:rFonts w:ascii="Times New Roman" w:hAnsi="Times New Roman"/>
          <w:sz w:val="24"/>
          <w:szCs w:val="24"/>
          <w:lang w:val="en-GB"/>
        </w:rPr>
        <w:t>subcutis</w:t>
      </w:r>
      <w:r w:rsidRPr="001E0147">
        <w:rPr>
          <w:rFonts w:ascii="Times New Roman" w:hAnsi="Times New Roman"/>
          <w:sz w:val="24"/>
          <w:szCs w:val="24"/>
          <w:lang w:val="en-GB"/>
        </w:rPr>
        <w:t>) and  stage 4 (necrosis affecting the muscles or bones)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 xml:space="preserve"> decubitus wounds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02131" w:rsidRPr="001E0147">
        <w:rPr>
          <w:rFonts w:ascii="Times New Roman" w:hAnsi="Times New Roman"/>
          <w:sz w:val="24"/>
          <w:szCs w:val="24"/>
          <w:lang w:val="en-GB"/>
        </w:rPr>
        <w:t>were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considered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 xml:space="preserve"> as reasons necessitating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further admissi</w:t>
      </w:r>
      <w:r w:rsidR="00D9070A" w:rsidRPr="001E0147">
        <w:rPr>
          <w:rFonts w:ascii="Times New Roman" w:hAnsi="Times New Roman"/>
          <w:sz w:val="24"/>
          <w:szCs w:val="24"/>
          <w:lang w:val="en-GB"/>
        </w:rPr>
        <w:t>on and treatment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. Patients with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these wounds are therefore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 xml:space="preserve"> excluded by the RTTL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filter.</w:t>
      </w:r>
    </w:p>
    <w:p w14:paraId="76884B63" w14:textId="2ADEAD7B" w:rsidR="00AF7DEE" w:rsidRPr="001E0147" w:rsidRDefault="006D0C1E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At the Universi</w:t>
      </w:r>
      <w:r w:rsidR="002D4093" w:rsidRPr="001E0147">
        <w:rPr>
          <w:rFonts w:ascii="Times New Roman" w:hAnsi="Times New Roman"/>
          <w:sz w:val="24"/>
          <w:szCs w:val="24"/>
          <w:lang w:val="en-GB"/>
        </w:rPr>
        <w:t>ty Hospitals of Leuven, the Katz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-scale is used to measure the amount of support needed for </w:t>
      </w:r>
      <w:r w:rsidR="002D4093" w:rsidRPr="001E0147">
        <w:rPr>
          <w:rFonts w:ascii="Times New Roman" w:hAnsi="Times New Roman"/>
          <w:sz w:val="24"/>
          <w:szCs w:val="24"/>
          <w:lang w:val="en-GB"/>
        </w:rPr>
        <w:t>the Activities of Daily Living [ADL]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(CI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#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28).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It should be noted that</w:t>
      </w:r>
      <w:r w:rsidR="00C65917" w:rsidRPr="001E0147">
        <w:rPr>
          <w:rFonts w:ascii="Times New Roman" w:hAnsi="Times New Roman"/>
          <w:sz w:val="24"/>
          <w:szCs w:val="24"/>
          <w:lang w:val="en-GB"/>
        </w:rPr>
        <w:t xml:space="preserve"> this scale is </w:t>
      </w:r>
      <w:r w:rsidR="00C65917" w:rsidRPr="001E0147">
        <w:rPr>
          <w:rFonts w:ascii="Times New Roman" w:hAnsi="Times New Roman"/>
          <w:i/>
          <w:sz w:val="24"/>
          <w:szCs w:val="24"/>
          <w:lang w:val="en-GB"/>
        </w:rPr>
        <w:t xml:space="preserve">not </w:t>
      </w:r>
      <w:r w:rsidR="00C65917" w:rsidRPr="001E0147">
        <w:rPr>
          <w:rFonts w:ascii="Times New Roman" w:hAnsi="Times New Roman"/>
          <w:sz w:val="24"/>
          <w:szCs w:val="24"/>
          <w:lang w:val="en-GB"/>
        </w:rPr>
        <w:t>the same as the Katz Index of Independence in Activities of Daily Living</w:t>
      </w:r>
      <w:r w:rsidR="00860C82" w:rsidRPr="001E0147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C65917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C65917" w:rsidRPr="001E014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 xml:space="preserve">commonly </w:t>
      </w:r>
      <w:r w:rsidR="00C65917" w:rsidRPr="001E0147">
        <w:rPr>
          <w:rFonts w:ascii="Times New Roman" w:hAnsi="Times New Roman"/>
          <w:sz w:val="24"/>
          <w:szCs w:val="24"/>
          <w:lang w:val="en-GB"/>
        </w:rPr>
        <w:t>u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sed in the US</w:t>
      </w:r>
      <w:r w:rsidR="00C65917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>The Katz</w:t>
      </w:r>
      <w:r w:rsidR="002D4093" w:rsidRPr="001E0147">
        <w:rPr>
          <w:rFonts w:ascii="Times New Roman" w:hAnsi="Times New Roman"/>
          <w:sz w:val="24"/>
          <w:szCs w:val="24"/>
          <w:lang w:val="en-GB"/>
        </w:rPr>
        <w:t>-</w:t>
      </w:r>
      <w:r w:rsidR="00B6669D" w:rsidRPr="001E0147">
        <w:rPr>
          <w:rFonts w:ascii="Times New Roman" w:hAnsi="Times New Roman"/>
          <w:sz w:val="24"/>
          <w:szCs w:val="24"/>
          <w:lang w:val="en-GB"/>
        </w:rPr>
        <w:t>scale used in Belgium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consists of six physical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 xml:space="preserve"> domains within the ADL</w:t>
      </w:r>
      <w:r w:rsidR="00154BEA" w:rsidRPr="001E0147">
        <w:rPr>
          <w:rFonts w:ascii="Times New Roman" w:hAnsi="Times New Roman"/>
          <w:sz w:val="24"/>
          <w:szCs w:val="24"/>
          <w:lang w:val="en-GB"/>
        </w:rPr>
        <w:t xml:space="preserve"> (to wash themselves, to dress themselves, to transfer or move themselves, visiting the toilet, continence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154BEA" w:rsidRPr="001E0147">
        <w:rPr>
          <w:rFonts w:ascii="Times New Roman" w:hAnsi="Times New Roman"/>
          <w:sz w:val="24"/>
          <w:szCs w:val="24"/>
          <w:lang w:val="en-GB"/>
        </w:rPr>
        <w:t xml:space="preserve"> and to eat by themselves)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, each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 xml:space="preserve">with a possible score 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ranging from </w:t>
      </w:r>
      <w:r w:rsidRPr="001E0147">
        <w:rPr>
          <w:rFonts w:ascii="Times New Roman" w:hAnsi="Times New Roman"/>
          <w:sz w:val="24"/>
          <w:szCs w:val="24"/>
          <w:lang w:val="en-GB"/>
        </w:rPr>
        <w:t>one to four.</w:t>
      </w:r>
      <w:r w:rsidR="00557D01" w:rsidRPr="001E0147">
        <w:rPr>
          <w:rFonts w:ascii="Times New Roman" w:hAnsi="Times New Roman"/>
          <w:sz w:val="24"/>
          <w:szCs w:val="24"/>
          <w:lang w:val="en-GB"/>
        </w:rPr>
        <w:t xml:space="preserve"> The higher the score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on an item, the greater is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 xml:space="preserve">patient’s 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>dependence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. Patients are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 xml:space="preserve"> excluded 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if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 xml:space="preserve"> they score a three or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higher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 xml:space="preserve">on at least one item, 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 xml:space="preserve">indicating that </w:t>
      </w:r>
      <w:r w:rsidR="00F3695D" w:rsidRPr="001E0147">
        <w:rPr>
          <w:rFonts w:ascii="Times New Roman" w:hAnsi="Times New Roman"/>
          <w:sz w:val="24"/>
          <w:szCs w:val="24"/>
          <w:lang w:val="en-GB"/>
        </w:rPr>
        <w:t xml:space="preserve">they require partial or complete assistance in that domain. </w:t>
      </w:r>
    </w:p>
    <w:p w14:paraId="619271F0" w14:textId="77777777" w:rsidR="00AF7DEE" w:rsidRPr="001E0147" w:rsidRDefault="00AF7DEE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264A2BD" w14:textId="21D0D225" w:rsidR="003C243B" w:rsidRPr="001E0147" w:rsidRDefault="00C83FB5" w:rsidP="001E014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E0147">
        <w:rPr>
          <w:rFonts w:ascii="Times New Roman" w:hAnsi="Times New Roman"/>
          <w:b/>
          <w:sz w:val="24"/>
          <w:szCs w:val="24"/>
          <w:lang w:val="en-GB"/>
        </w:rPr>
        <w:t xml:space="preserve">Omitted CI </w:t>
      </w:r>
    </w:p>
    <w:p w14:paraId="09518A5C" w14:textId="21C7C784" w:rsidR="00617D9D" w:rsidRPr="001E0147" w:rsidRDefault="00E63996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The need for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 parenteral nutrition (CI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21) 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or parenteral pain medication (CI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#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27) were 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decided not </w:t>
      </w:r>
      <w:r w:rsidR="00EE1C80" w:rsidRPr="001E0147">
        <w:rPr>
          <w:rFonts w:ascii="Times New Roman" w:hAnsi="Times New Roman"/>
          <w:sz w:val="24"/>
          <w:szCs w:val="24"/>
          <w:lang w:val="en-GB"/>
        </w:rPr>
        <w:t xml:space="preserve">to be </w:t>
      </w:r>
      <w:r w:rsidR="009F3823" w:rsidRPr="001E0147">
        <w:rPr>
          <w:rFonts w:ascii="Times New Roman" w:hAnsi="Times New Roman"/>
          <w:sz w:val="24"/>
          <w:szCs w:val="24"/>
          <w:lang w:val="en-GB"/>
        </w:rPr>
        <w:t xml:space="preserve">crucial 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enough to keep these </w:t>
      </w:r>
      <w:r w:rsidR="006C1A1D" w:rsidRPr="001E0147">
        <w:rPr>
          <w:rFonts w:ascii="Times New Roman" w:hAnsi="Times New Roman"/>
          <w:sz w:val="24"/>
          <w:szCs w:val="24"/>
          <w:lang w:val="en-GB"/>
        </w:rPr>
        <w:t>patients in the hospital in the event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 of a MCI</w:t>
      </w:r>
      <w:r w:rsidR="0018451E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 without a multidisciplinary reassessment. When necessary, parenteral nutrition can be continued at home or at other locations outside the h</w:t>
      </w:r>
      <w:r w:rsidRPr="001E0147">
        <w:rPr>
          <w:rFonts w:ascii="Times New Roman" w:hAnsi="Times New Roman"/>
          <w:sz w:val="24"/>
          <w:szCs w:val="24"/>
          <w:lang w:val="en-GB"/>
        </w:rPr>
        <w:t>ospital</w:t>
      </w:r>
      <w:r w:rsidR="0018451E" w:rsidRPr="001E0147">
        <w:rPr>
          <w:rFonts w:ascii="Times New Roman" w:hAnsi="Times New Roman"/>
          <w:sz w:val="24"/>
          <w:szCs w:val="24"/>
          <w:lang w:val="en-GB"/>
        </w:rPr>
        <w:t>. This reasoning applies also to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other ways of administrating pain medication (intramuscular, subcutaneous or transdermal) o</w:t>
      </w:r>
      <w:r w:rsidR="0018451E" w:rsidRPr="001E0147">
        <w:rPr>
          <w:rFonts w:ascii="Times New Roman" w:hAnsi="Times New Roman"/>
          <w:sz w:val="24"/>
          <w:szCs w:val="24"/>
          <w:lang w:val="en-GB"/>
        </w:rPr>
        <w:t>utside the hospital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in disaster situations.</w:t>
      </w:r>
    </w:p>
    <w:p w14:paraId="1BE60378" w14:textId="298FCCFB" w:rsidR="008760B2" w:rsidRPr="001E0147" w:rsidRDefault="00E63996" w:rsidP="001E0147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T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>he need for a l</w:t>
      </w:r>
      <w:r w:rsidR="00154BEA" w:rsidRPr="001E0147">
        <w:rPr>
          <w:rFonts w:ascii="Times New Roman" w:hAnsi="Times New Roman"/>
          <w:sz w:val="24"/>
          <w:szCs w:val="24"/>
          <w:lang w:val="en-GB"/>
        </w:rPr>
        <w:t>umbar puncture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 (CI 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#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>25)</w:t>
      </w:r>
      <w:r w:rsidR="00154BEA" w:rsidRPr="001E0147">
        <w:rPr>
          <w:rFonts w:ascii="Times New Roman" w:hAnsi="Times New Roman"/>
          <w:sz w:val="24"/>
          <w:szCs w:val="24"/>
          <w:lang w:val="en-GB"/>
        </w:rPr>
        <w:t xml:space="preserve"> is </w:t>
      </w:r>
      <w:r w:rsidRPr="001E0147">
        <w:rPr>
          <w:rFonts w:ascii="Times New Roman" w:hAnsi="Times New Roman"/>
          <w:sz w:val="24"/>
          <w:szCs w:val="24"/>
          <w:lang w:val="en-GB"/>
        </w:rPr>
        <w:t>a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n</w:t>
      </w:r>
      <w:r w:rsidR="00154BEA" w:rsidRPr="001E0147">
        <w:rPr>
          <w:rFonts w:ascii="Times New Roman" w:hAnsi="Times New Roman"/>
          <w:sz w:val="24"/>
          <w:szCs w:val="24"/>
          <w:lang w:val="en-GB"/>
        </w:rPr>
        <w:t xml:space="preserve"> intervention that 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we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 tried to integrate into the HER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 xml:space="preserve"> of the study hospital but 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not technically</w:t>
      </w:r>
      <w:r w:rsidR="00617D9D" w:rsidRPr="001E0147">
        <w:rPr>
          <w:rFonts w:ascii="Times New Roman" w:hAnsi="Times New Roman"/>
          <w:sz w:val="24"/>
          <w:szCs w:val="24"/>
          <w:lang w:val="en-GB"/>
        </w:rPr>
        <w:t xml:space="preserve"> feasible. </w:t>
      </w:r>
    </w:p>
    <w:p w14:paraId="0CB78F34" w14:textId="77777777" w:rsidR="00AF7DEE" w:rsidRPr="001E0147" w:rsidRDefault="00AF7DEE" w:rsidP="001E0147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75EE34E0" w14:textId="590A150D" w:rsidR="00AF7DEE" w:rsidRPr="001E0147" w:rsidRDefault="009F3823" w:rsidP="001E014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E0147">
        <w:rPr>
          <w:rFonts w:ascii="Times New Roman" w:hAnsi="Times New Roman"/>
          <w:b/>
          <w:sz w:val="24"/>
          <w:szCs w:val="24"/>
          <w:lang w:val="en-GB"/>
        </w:rPr>
        <w:t>A</w:t>
      </w:r>
      <w:r w:rsidR="00C9761B" w:rsidRPr="001E0147">
        <w:rPr>
          <w:rFonts w:ascii="Times New Roman" w:hAnsi="Times New Roman"/>
          <w:b/>
          <w:sz w:val="24"/>
          <w:szCs w:val="24"/>
          <w:lang w:val="en-GB"/>
        </w:rPr>
        <w:t xml:space="preserve">djusted CI </w:t>
      </w:r>
    </w:p>
    <w:p w14:paraId="15DC8A6D" w14:textId="3C2CF3BB" w:rsidR="008760B2" w:rsidRPr="001E0147" w:rsidRDefault="00084327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Now w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e discuss t</w:t>
      </w:r>
      <w:r w:rsidR="00D915D6" w:rsidRPr="001E0147">
        <w:rPr>
          <w:rFonts w:ascii="Times New Roman" w:hAnsi="Times New Roman"/>
          <w:sz w:val="24"/>
          <w:szCs w:val="24"/>
          <w:lang w:val="en-GB"/>
        </w:rPr>
        <w:t>he CI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s</w:t>
      </w:r>
      <w:r w:rsidR="00D915D6" w:rsidRPr="001E0147">
        <w:rPr>
          <w:rFonts w:ascii="Times New Roman" w:hAnsi="Times New Roman"/>
          <w:sz w:val="24"/>
          <w:szCs w:val="24"/>
          <w:lang w:val="en-GB"/>
        </w:rPr>
        <w:t xml:space="preserve"> that were 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>adjusted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32CC5" w:rsidRPr="001E0147">
        <w:rPr>
          <w:rFonts w:ascii="Times New Roman" w:hAnsi="Times New Roman"/>
          <w:sz w:val="24"/>
          <w:szCs w:val="24"/>
          <w:lang w:val="en-GB"/>
        </w:rPr>
        <w:t>because they were covered by already existing excl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usion criteria. No new criteria</w:t>
      </w:r>
      <w:r w:rsidR="00532CC5" w:rsidRPr="001E0147">
        <w:rPr>
          <w:rFonts w:ascii="Times New Roman" w:hAnsi="Times New Roman"/>
          <w:sz w:val="24"/>
          <w:szCs w:val="24"/>
          <w:lang w:val="en-GB"/>
        </w:rPr>
        <w:t xml:space="preserve"> were created for these CI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s</w:t>
      </w:r>
      <w:r w:rsidR="00532CC5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34977DB" w14:textId="4C4E289A" w:rsidR="009620FC" w:rsidRPr="001E0147" w:rsidRDefault="007839E7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 xml:space="preserve">The need 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for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intravenous</w:t>
      </w:r>
      <w:r w:rsidR="002D4093" w:rsidRPr="001E0147">
        <w:rPr>
          <w:rFonts w:ascii="Times New Roman" w:hAnsi="Times New Roman"/>
          <w:sz w:val="24"/>
          <w:szCs w:val="24"/>
          <w:lang w:val="en-GB"/>
        </w:rPr>
        <w:t xml:space="preserve"> [IV]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administration of medication, fluids or vasopressors (CI 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#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5) is one 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 xml:space="preserve">example of </w:t>
      </w:r>
      <w:r w:rsidR="003C243B" w:rsidRPr="001E0147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C</w:t>
      </w:r>
      <w:r w:rsidR="003C243B" w:rsidRPr="001E0147">
        <w:rPr>
          <w:rFonts w:ascii="Times New Roman" w:hAnsi="Times New Roman"/>
          <w:sz w:val="24"/>
          <w:szCs w:val="24"/>
          <w:lang w:val="en-GB"/>
        </w:rPr>
        <w:t>I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 xml:space="preserve"> that fall</w:t>
      </w:r>
      <w:r w:rsidR="003C243B" w:rsidRPr="001E0147">
        <w:rPr>
          <w:rFonts w:ascii="Times New Roman" w:hAnsi="Times New Roman"/>
          <w:sz w:val="24"/>
          <w:szCs w:val="24"/>
          <w:lang w:val="en-GB"/>
        </w:rPr>
        <w:t>s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 xml:space="preserve"> into this adjusted group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9761B" w:rsidRPr="001E0147">
        <w:rPr>
          <w:rFonts w:ascii="Times New Roman" w:hAnsi="Times New Roman"/>
          <w:sz w:val="24"/>
          <w:szCs w:val="24"/>
          <w:lang w:val="en-GB"/>
        </w:rPr>
        <w:t>First</w:t>
      </w:r>
      <w:r w:rsidR="00440A8E" w:rsidRPr="001E0147">
        <w:rPr>
          <w:rFonts w:ascii="Times New Roman" w:hAnsi="Times New Roman"/>
          <w:sz w:val="24"/>
          <w:szCs w:val="24"/>
          <w:lang w:val="en-GB"/>
        </w:rPr>
        <w:t xml:space="preserve">, patients who are administered vasopressors </w:t>
      </w:r>
      <w:r w:rsidR="008760B2" w:rsidRPr="001E0147">
        <w:rPr>
          <w:rFonts w:ascii="Times New Roman" w:hAnsi="Times New Roman"/>
          <w:sz w:val="24"/>
          <w:szCs w:val="24"/>
          <w:lang w:val="en-GB"/>
        </w:rPr>
        <w:t>need an arterial line for invasive blo</w:t>
      </w:r>
      <w:r w:rsidR="00440A8E" w:rsidRPr="001E0147">
        <w:rPr>
          <w:rFonts w:ascii="Times New Roman" w:hAnsi="Times New Roman"/>
          <w:sz w:val="24"/>
          <w:szCs w:val="24"/>
          <w:lang w:val="en-GB"/>
        </w:rPr>
        <w:t>od pressure monitoring and therefore need to be cared for in</w:t>
      </w:r>
      <w:r w:rsidR="008760B2"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n</w:t>
      </w:r>
      <w:r w:rsidR="008760B2" w:rsidRPr="001E0147">
        <w:rPr>
          <w:rFonts w:ascii="Times New Roman" w:hAnsi="Times New Roman"/>
          <w:sz w:val="24"/>
          <w:szCs w:val="24"/>
          <w:lang w:val="en-GB"/>
        </w:rPr>
        <w:t xml:space="preserve"> ICU. </w:t>
      </w:r>
      <w:r w:rsidR="0074567A" w:rsidRPr="001E0147">
        <w:rPr>
          <w:rFonts w:ascii="Times New Roman" w:hAnsi="Times New Roman"/>
          <w:sz w:val="24"/>
          <w:szCs w:val="24"/>
          <w:lang w:val="en-GB"/>
        </w:rPr>
        <w:t>So these two already existing exclusion criteria will cover the patients who need IV vasopressor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 xml:space="preserve"> administration</w:t>
      </w:r>
      <w:r w:rsidR="0074567A" w:rsidRPr="001E0147">
        <w:rPr>
          <w:rFonts w:ascii="Times New Roman" w:hAnsi="Times New Roman"/>
          <w:sz w:val="24"/>
          <w:szCs w:val="24"/>
          <w:lang w:val="en-GB"/>
        </w:rPr>
        <w:t>.</w:t>
      </w:r>
      <w:r w:rsidR="0091284E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567A" w:rsidRPr="001E0147">
        <w:rPr>
          <w:rFonts w:ascii="Times New Roman" w:hAnsi="Times New Roman"/>
          <w:sz w:val="24"/>
          <w:szCs w:val="24"/>
          <w:lang w:val="en-GB"/>
        </w:rPr>
        <w:t xml:space="preserve">Furthermore, 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>we d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id not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find administration of IV medication</w:t>
      </w:r>
      <w:r w:rsidR="00440A8E" w:rsidRPr="001E0147">
        <w:rPr>
          <w:rFonts w:ascii="Times New Roman" w:hAnsi="Times New Roman"/>
          <w:sz w:val="24"/>
          <w:szCs w:val="24"/>
          <w:lang w:val="en-GB"/>
        </w:rPr>
        <w:t xml:space="preserve">s or fluids </w:t>
      </w:r>
      <w:r w:rsidR="003C243B" w:rsidRPr="001E0147">
        <w:rPr>
          <w:rFonts w:ascii="Times New Roman" w:hAnsi="Times New Roman"/>
          <w:sz w:val="24"/>
          <w:szCs w:val="24"/>
          <w:lang w:val="en-GB"/>
        </w:rPr>
        <w:t xml:space="preserve">crucial </w:t>
      </w:r>
      <w:r w:rsidR="00A2387D" w:rsidRPr="001E0147">
        <w:rPr>
          <w:rFonts w:ascii="Times New Roman" w:hAnsi="Times New Roman"/>
          <w:sz w:val="24"/>
          <w:szCs w:val="24"/>
          <w:lang w:val="en-GB"/>
        </w:rPr>
        <w:t>enough to allow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these patients </w:t>
      </w:r>
      <w:r w:rsidR="00A2387D" w:rsidRPr="001E0147">
        <w:rPr>
          <w:rFonts w:ascii="Times New Roman" w:hAnsi="Times New Roman"/>
          <w:sz w:val="24"/>
          <w:szCs w:val="24"/>
          <w:lang w:val="en-GB"/>
        </w:rPr>
        <w:t>to stay in the hospital during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a MCI, without a multidisciplinary reassessment of the</w:t>
      </w:r>
      <w:r w:rsidR="0091284E" w:rsidRPr="001E0147">
        <w:rPr>
          <w:rFonts w:ascii="Times New Roman" w:hAnsi="Times New Roman"/>
          <w:sz w:val="24"/>
          <w:szCs w:val="24"/>
          <w:lang w:val="en-GB"/>
        </w:rPr>
        <w:t>ir need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s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. Many patients still </w:t>
      </w:r>
      <w:r w:rsidR="0091284E" w:rsidRPr="001E0147">
        <w:rPr>
          <w:rFonts w:ascii="Times New Roman" w:hAnsi="Times New Roman"/>
          <w:sz w:val="24"/>
          <w:szCs w:val="24"/>
          <w:lang w:val="en-GB"/>
        </w:rPr>
        <w:t>receive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an IV maintenance infusion of</w:t>
      </w:r>
      <w:r w:rsidR="0091284E" w:rsidRPr="001E0147">
        <w:rPr>
          <w:rFonts w:ascii="Times New Roman" w:hAnsi="Times New Roman"/>
          <w:sz w:val="24"/>
          <w:szCs w:val="24"/>
          <w:lang w:val="en-GB"/>
        </w:rPr>
        <w:t xml:space="preserve"> isotonic 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fluids the day they are getting discharged by </w:t>
      </w:r>
      <w:r w:rsidR="00F56076" w:rsidRPr="001E0147">
        <w:rPr>
          <w:rFonts w:ascii="Times New Roman" w:hAnsi="Times New Roman"/>
          <w:sz w:val="24"/>
          <w:szCs w:val="24"/>
          <w:lang w:val="en-GB"/>
        </w:rPr>
        <w:t>a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normal discharge procedure. This will then also be stopped abruptly. The same</w:t>
      </w:r>
      <w:r w:rsidR="008A4B05" w:rsidRPr="001E0147">
        <w:rPr>
          <w:rFonts w:ascii="Times New Roman" w:hAnsi="Times New Roman"/>
          <w:sz w:val="24"/>
          <w:szCs w:val="24"/>
          <w:lang w:val="en-GB"/>
        </w:rPr>
        <w:t xml:space="preserve"> is true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for IV medication, the multidisciplinary discharge team can still decide if the need for IV medicat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ion is still great</w:t>
      </w:r>
      <w:r w:rsidR="003C243B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 or if the patient can 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safely switch to oral treatment</w:t>
      </w:r>
      <w:r w:rsidR="009620FC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1CDD554" w14:textId="514880A1" w:rsidR="00E63996" w:rsidRPr="001E0147" w:rsidRDefault="00D915D6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The po</w:t>
      </w:r>
      <w:r w:rsidR="00AE1126" w:rsidRPr="001E0147">
        <w:rPr>
          <w:rFonts w:ascii="Times New Roman" w:hAnsi="Times New Roman"/>
          <w:sz w:val="24"/>
          <w:szCs w:val="24"/>
          <w:lang w:val="en-GB"/>
        </w:rPr>
        <w:t xml:space="preserve">tential need for a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thoracotom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y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(CI 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#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10) </w:t>
      </w:r>
      <w:r w:rsidR="007839E7" w:rsidRPr="001E0147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another CI that </w:t>
      </w:r>
      <w:r w:rsidR="003C243B" w:rsidRPr="001E0147">
        <w:rPr>
          <w:rFonts w:ascii="Times New Roman" w:hAnsi="Times New Roman"/>
          <w:sz w:val="24"/>
          <w:szCs w:val="24"/>
          <w:lang w:val="en-GB"/>
        </w:rPr>
        <w:t xml:space="preserve">needed 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to be evaluated for possible adjustment</w:t>
      </w:r>
      <w:r w:rsidR="007839E7" w:rsidRPr="001E0147">
        <w:rPr>
          <w:rFonts w:ascii="Times New Roman" w:hAnsi="Times New Roman"/>
          <w:sz w:val="24"/>
          <w:szCs w:val="24"/>
          <w:lang w:val="en-GB"/>
        </w:rPr>
        <w:t>.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 consensus was rea</w:t>
      </w:r>
      <w:r w:rsidR="00AE1126" w:rsidRPr="001E0147">
        <w:rPr>
          <w:rFonts w:ascii="Times New Roman" w:hAnsi="Times New Roman"/>
          <w:sz w:val="24"/>
          <w:szCs w:val="24"/>
          <w:lang w:val="en-GB"/>
        </w:rPr>
        <w:t xml:space="preserve">ched that having 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received </w:t>
      </w:r>
      <w:r w:rsidR="00AE1126" w:rsidRPr="001E0147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thoracotom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y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more than 48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ours prior</w:t>
      </w:r>
      <w:r w:rsidR="00830429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in combination with lack of a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req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uirement to stay in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B978D4" w:rsidRPr="001E0147">
        <w:rPr>
          <w:rFonts w:ascii="Times New Roman" w:hAnsi="Times New Roman"/>
          <w:sz w:val="24"/>
          <w:szCs w:val="24"/>
          <w:lang w:val="en-GB"/>
        </w:rPr>
        <w:t>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ICU, is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not </w:t>
      </w:r>
      <w:r w:rsidR="003C243B" w:rsidRPr="001E0147">
        <w:rPr>
          <w:rFonts w:ascii="Times New Roman" w:hAnsi="Times New Roman"/>
          <w:sz w:val="24"/>
          <w:szCs w:val="24"/>
          <w:lang w:val="en-GB"/>
        </w:rPr>
        <w:t xml:space="preserve">crucial </w:t>
      </w:r>
      <w:r w:rsidR="00AE1126" w:rsidRPr="001E0147">
        <w:rPr>
          <w:rFonts w:ascii="Times New Roman" w:hAnsi="Times New Roman"/>
          <w:sz w:val="24"/>
          <w:szCs w:val="24"/>
          <w:lang w:val="en-GB"/>
        </w:rPr>
        <w:t>enough to let a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patient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stay in the hospital during an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MCI without a proper multidisciplinary reassessment to </w:t>
      </w:r>
      <w:r w:rsidR="002D4093" w:rsidRPr="001E0147">
        <w:rPr>
          <w:rFonts w:ascii="Times New Roman" w:hAnsi="Times New Roman"/>
          <w:sz w:val="24"/>
          <w:szCs w:val="24"/>
          <w:lang w:val="en-GB"/>
        </w:rPr>
        <w:t>re-evaluate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necessity of the</w:t>
      </w:r>
      <w:r w:rsidR="00AE112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thoracotom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y</w:t>
      </w:r>
      <w:r w:rsidRPr="001E0147">
        <w:rPr>
          <w:rFonts w:ascii="Times New Roman" w:hAnsi="Times New Roman"/>
          <w:sz w:val="24"/>
          <w:szCs w:val="24"/>
          <w:lang w:val="en-GB"/>
        </w:rPr>
        <w:t>. On the other hand</w:t>
      </w:r>
      <w:r w:rsidR="00B978D4" w:rsidRPr="001E0147">
        <w:rPr>
          <w:rFonts w:ascii="Times New Roman" w:hAnsi="Times New Roman"/>
          <w:sz w:val="24"/>
          <w:szCs w:val="24"/>
          <w:lang w:val="en-GB"/>
        </w:rPr>
        <w:t>,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patien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ts who</w:t>
      </w:r>
      <w:r w:rsidR="00AE1126" w:rsidRPr="001E0147">
        <w:rPr>
          <w:rFonts w:ascii="Times New Roman" w:hAnsi="Times New Roman"/>
          <w:sz w:val="24"/>
          <w:szCs w:val="24"/>
          <w:lang w:val="en-GB"/>
        </w:rPr>
        <w:t xml:space="preserve"> need a 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thoracotom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y</w:t>
      </w:r>
      <w:r w:rsidRPr="001E0147">
        <w:rPr>
          <w:rFonts w:ascii="Times New Roman" w:hAnsi="Times New Roman"/>
          <w:sz w:val="24"/>
          <w:szCs w:val="24"/>
          <w:lang w:val="en-GB"/>
        </w:rPr>
        <w:t>, will be upgraded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in care. Those patients will,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therefore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, be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excluded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on the bases of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having a</w:t>
      </w:r>
      <w:r w:rsidR="00B978D4" w:rsidRPr="001E0147">
        <w:rPr>
          <w:rFonts w:ascii="Times New Roman" w:hAnsi="Times New Roman"/>
          <w:sz w:val="24"/>
          <w:szCs w:val="24"/>
          <w:lang w:val="en-GB"/>
        </w:rPr>
        <w:t>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intervention less than 48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7F1B6D" w:rsidRPr="001E0147">
        <w:rPr>
          <w:rFonts w:ascii="Times New Roman" w:hAnsi="Times New Roman"/>
          <w:sz w:val="24"/>
          <w:szCs w:val="24"/>
          <w:lang w:val="en-GB"/>
        </w:rPr>
        <w:t>ours prior to the MCI,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 as well by their presence in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B978D4" w:rsidRPr="001E0147">
        <w:rPr>
          <w:rFonts w:ascii="Times New Roman" w:hAnsi="Times New Roman"/>
          <w:sz w:val="24"/>
          <w:szCs w:val="24"/>
          <w:lang w:val="en-GB"/>
        </w:rPr>
        <w:t>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ICU afterwards. </w:t>
      </w:r>
    </w:p>
    <w:p w14:paraId="2B7C88BC" w14:textId="4F4CC073" w:rsidR="00D915D6" w:rsidRPr="001E0147" w:rsidRDefault="006B6DA8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 xml:space="preserve">The need for, or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currently 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having a central line (CI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#19)</w:t>
      </w:r>
      <w:r w:rsidR="00830429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 is another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CI that h</w:t>
      </w:r>
      <w:r w:rsidR="00830429" w:rsidRPr="001E0147">
        <w:rPr>
          <w:rFonts w:ascii="Times New Roman" w:hAnsi="Times New Roman"/>
          <w:sz w:val="24"/>
          <w:szCs w:val="24"/>
          <w:lang w:val="en-GB"/>
        </w:rPr>
        <w:t>is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 covered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in the already existing exclusion criteria.</w:t>
      </w:r>
      <w:r w:rsidR="00F85AC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78D4" w:rsidRPr="001E0147">
        <w:rPr>
          <w:rFonts w:ascii="Times New Roman" w:hAnsi="Times New Roman"/>
          <w:sz w:val="24"/>
          <w:szCs w:val="24"/>
          <w:lang w:val="en-GB"/>
        </w:rPr>
        <w:t>As</w:t>
      </w:r>
      <w:r w:rsidR="00D666D7" w:rsidRPr="001E0147">
        <w:rPr>
          <w:rFonts w:ascii="Times New Roman" w:hAnsi="Times New Roman"/>
          <w:sz w:val="24"/>
          <w:szCs w:val="24"/>
          <w:lang w:val="en-GB"/>
        </w:rPr>
        <w:t xml:space="preserve"> all central lines are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performed in the surgical day 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centre</w:t>
      </w:r>
      <w:r w:rsidR="00D666D7" w:rsidRPr="001E0147">
        <w:rPr>
          <w:rFonts w:ascii="Times New Roman" w:hAnsi="Times New Roman"/>
          <w:sz w:val="24"/>
          <w:szCs w:val="24"/>
          <w:lang w:val="en-GB"/>
        </w:rPr>
        <w:t xml:space="preserve"> (ambulant patients) or in</w:t>
      </w:r>
      <w:r w:rsidR="00AE1126" w:rsidRPr="001E0147">
        <w:rPr>
          <w:rFonts w:ascii="Times New Roman" w:hAnsi="Times New Roman"/>
          <w:sz w:val="24"/>
          <w:szCs w:val="24"/>
          <w:lang w:val="en-GB"/>
        </w:rPr>
        <w:t xml:space="preserve"> the operating rooms (</w:t>
      </w:r>
      <w:r w:rsidR="003A52E1" w:rsidRPr="001E0147">
        <w:rPr>
          <w:rFonts w:ascii="Times New Roman" w:hAnsi="Times New Roman"/>
          <w:sz w:val="24"/>
          <w:szCs w:val="24"/>
          <w:lang w:val="en-GB"/>
        </w:rPr>
        <w:t>hospitalized</w:t>
      </w:r>
      <w:r w:rsidR="00D666D7" w:rsidRPr="001E0147">
        <w:rPr>
          <w:rFonts w:ascii="Times New Roman" w:hAnsi="Times New Roman"/>
          <w:sz w:val="24"/>
          <w:szCs w:val="24"/>
          <w:lang w:val="en-GB"/>
        </w:rPr>
        <w:t xml:space="preserve"> patients),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these patients were excluded because</w:t>
      </w:r>
      <w:r w:rsidR="00D666D7" w:rsidRPr="001E0147">
        <w:rPr>
          <w:rFonts w:ascii="Times New Roman" w:hAnsi="Times New Roman"/>
          <w:sz w:val="24"/>
          <w:szCs w:val="24"/>
          <w:lang w:val="en-GB"/>
        </w:rPr>
        <w:t xml:space="preserve"> they are only in the hospital for one day (additional criterion) or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were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 in the operating rooms less than 48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>h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ours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 before the MCI occurred. When the patient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had 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received a central line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sometime 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>in the past (e.g.</w:t>
      </w:r>
      <w:r w:rsidR="00830429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Port-a-</w:t>
      </w:r>
      <w:r w:rsidR="002B5BA6">
        <w:rPr>
          <w:rFonts w:ascii="Times New Roman" w:hAnsi="Times New Roman"/>
          <w:sz w:val="24"/>
          <w:szCs w:val="24"/>
          <w:lang w:val="en-GB"/>
        </w:rPr>
        <w:t>C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ath</w:t>
      </w:r>
      <w:r w:rsidR="00FE2234" w:rsidRPr="001E0147">
        <w:rPr>
          <w:rFonts w:ascii="Times New Roman" w:hAnsi="Times New Roman"/>
          <w:sz w:val="24"/>
          <w:szCs w:val="24"/>
          <w:vertAlign w:val="superscript"/>
          <w:lang w:val="en-GB"/>
        </w:rPr>
        <w:t>®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 Smiths Medical</w:t>
      </w:r>
      <w:r w:rsidR="00C7201E" w:rsidRPr="001E0147">
        <w:rPr>
          <w:rFonts w:ascii="Times New Roman" w:hAnsi="Times New Roman"/>
          <w:sz w:val="24"/>
          <w:szCs w:val="24"/>
          <w:lang w:val="en-GB"/>
        </w:rPr>
        <w:t>, Zave</w:t>
      </w:r>
      <w:r w:rsidR="00B978D4" w:rsidRPr="001E0147">
        <w:rPr>
          <w:rFonts w:ascii="Times New Roman" w:hAnsi="Times New Roman"/>
          <w:sz w:val="24"/>
          <w:szCs w:val="24"/>
          <w:lang w:val="en-GB"/>
        </w:rPr>
        <w:t>n</w:t>
      </w:r>
      <w:r w:rsidR="00C7201E" w:rsidRPr="001E0147">
        <w:rPr>
          <w:rFonts w:ascii="Times New Roman" w:hAnsi="Times New Roman"/>
          <w:sz w:val="24"/>
          <w:szCs w:val="24"/>
          <w:lang w:val="en-GB"/>
        </w:rPr>
        <w:t>tem, Belgium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) it 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>count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s only as a CI when it is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 being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performed contemporaneously with the MCI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. If this is the 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>case, the same considerations that applied for CI #5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 apply</w:t>
      </w:r>
      <w:r w:rsidR="00FE2234" w:rsidRPr="001E0147">
        <w:rPr>
          <w:rFonts w:ascii="Times New Roman" w:hAnsi="Times New Roman"/>
          <w:sz w:val="24"/>
          <w:szCs w:val="24"/>
          <w:lang w:val="en-GB"/>
        </w:rPr>
        <w:t xml:space="preserve"> here</w:t>
      </w:r>
      <w:r w:rsidR="00515B3C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F6235D7" w14:textId="4E7FED12" w:rsidR="00EA5D7F" w:rsidRPr="001E0147" w:rsidRDefault="00FE2234" w:rsidP="001E014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1E0147">
        <w:rPr>
          <w:rFonts w:ascii="Times New Roman" w:hAnsi="Times New Roman"/>
          <w:color w:val="000000"/>
          <w:sz w:val="24"/>
          <w:szCs w:val="24"/>
          <w:lang w:val="en-GB"/>
        </w:rPr>
        <w:t>Another</w:t>
      </w:r>
      <w:r w:rsidR="001C4C0B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adjusted </w:t>
      </w:r>
      <w:r w:rsidR="001C4C0B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CI is 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r w:rsidR="001C4C0B" w:rsidRPr="001E0147">
        <w:rPr>
          <w:rFonts w:ascii="Times New Roman" w:hAnsi="Times New Roman"/>
          <w:color w:val="000000"/>
          <w:sz w:val="24"/>
          <w:szCs w:val="24"/>
          <w:lang w:val="en-GB"/>
        </w:rPr>
        <w:t>incision and drainage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>”</w:t>
      </w:r>
      <w:r w:rsidR="001C4C0B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830429" w:rsidRPr="001E0147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1C4C0B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CI </w:t>
      </w:r>
      <w:r w:rsidRPr="001E0147">
        <w:rPr>
          <w:rFonts w:ascii="Times New Roman" w:hAnsi="Times New Roman"/>
          <w:color w:val="000000"/>
          <w:sz w:val="24"/>
          <w:szCs w:val="24"/>
          <w:lang w:val="en-GB"/>
        </w:rPr>
        <w:t>#</w:t>
      </w:r>
      <w:r w:rsidR="001C4C0B" w:rsidRPr="001E0147">
        <w:rPr>
          <w:rFonts w:ascii="Times New Roman" w:hAnsi="Times New Roman"/>
          <w:color w:val="000000"/>
          <w:sz w:val="24"/>
          <w:szCs w:val="24"/>
          <w:lang w:val="en-GB"/>
        </w:rPr>
        <w:t>20</w:t>
      </w:r>
      <w:r w:rsidR="00830429" w:rsidRPr="001E0147">
        <w:rPr>
          <w:rFonts w:ascii="Times New Roman" w:hAnsi="Times New Roman"/>
          <w:color w:val="000000"/>
          <w:sz w:val="24"/>
          <w:szCs w:val="24"/>
          <w:lang w:val="en-GB"/>
        </w:rPr>
        <w:t>)</w:t>
      </w:r>
      <w:r w:rsidR="001C4C0B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901575" w:rsidRPr="001E0147">
        <w:rPr>
          <w:rFonts w:ascii="Times New Roman" w:hAnsi="Times New Roman"/>
          <w:color w:val="000000"/>
          <w:sz w:val="24"/>
          <w:szCs w:val="24"/>
          <w:lang w:val="en-GB"/>
        </w:rPr>
        <w:t>Again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901575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this CI missed further clarification and was therefore defined as the presence of a drainage system somewhere 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>in</w:t>
      </w:r>
      <w:r w:rsidR="00901575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the body</w:t>
      </w:r>
      <w:r w:rsidR="002F1060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901575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other than the cranium (cerebral bolt) or </w:t>
      </w:r>
      <w:r w:rsidR="00AE1126" w:rsidRPr="001E0147">
        <w:rPr>
          <w:rFonts w:ascii="Times New Roman" w:hAnsi="Times New Roman"/>
          <w:color w:val="000000"/>
          <w:sz w:val="24"/>
          <w:szCs w:val="24"/>
          <w:lang w:val="en-GB"/>
        </w:rPr>
        <w:t>thorax (</w:t>
      </w:r>
      <w:r w:rsidR="005F1262" w:rsidRPr="001E0147">
        <w:rPr>
          <w:rFonts w:ascii="Times New Roman" w:hAnsi="Times New Roman"/>
          <w:color w:val="000000"/>
          <w:sz w:val="24"/>
          <w:szCs w:val="24"/>
          <w:lang w:val="en-GB"/>
        </w:rPr>
        <w:t>thoracotomy</w:t>
      </w:r>
      <w:r w:rsidR="00114532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). </w:t>
      </w:r>
      <w:r w:rsidR="00BF2A69" w:rsidRPr="001E0147">
        <w:rPr>
          <w:rFonts w:ascii="Times New Roman" w:hAnsi="Times New Roman"/>
          <w:color w:val="000000"/>
          <w:sz w:val="24"/>
          <w:szCs w:val="24"/>
          <w:lang w:val="en-GB"/>
        </w:rPr>
        <w:t>Again</w:t>
      </w:r>
      <w:r w:rsidR="002F1060" w:rsidRPr="001E0147">
        <w:rPr>
          <w:rFonts w:ascii="Times New Roman" w:hAnsi="Times New Roman"/>
          <w:color w:val="000000"/>
          <w:sz w:val="24"/>
          <w:szCs w:val="24"/>
          <w:lang w:val="en-GB"/>
        </w:rPr>
        <w:t>, the presence of one or multiple drains</w:t>
      </w:r>
      <w:r w:rsidR="00BF2A69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is</w:t>
      </w:r>
      <w:r w:rsidR="00114532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consider</w:t>
      </w:r>
      <w:r w:rsidR="00BF2A69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ed insufficiently </w:t>
      </w:r>
      <w:r w:rsidR="00830429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crucial </w:t>
      </w:r>
      <w:r w:rsidR="00114532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to exclude 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>a</w:t>
      </w:r>
      <w:r w:rsidR="00114532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patient from a multidisciplinary reassessment. Nevertheless </w:t>
      </w:r>
      <w:r w:rsidR="00BF2A69" w:rsidRPr="001E0147">
        <w:rPr>
          <w:rFonts w:ascii="Times New Roman" w:hAnsi="Times New Roman"/>
          <w:color w:val="000000"/>
          <w:sz w:val="24"/>
          <w:szCs w:val="24"/>
          <w:lang w:val="en-GB"/>
        </w:rPr>
        <w:t>these patients are</w:t>
      </w:r>
      <w:r w:rsidR="00164D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>excluded when the drain procedure was done</w:t>
      </w:r>
      <w:r w:rsidR="00164D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in the operating, endoscopy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164D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or interve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>ntional radiology rooms less tha</w:t>
      </w:r>
      <w:r w:rsidR="00164D94" w:rsidRPr="001E0147">
        <w:rPr>
          <w:rFonts w:ascii="Times New Roman" w:hAnsi="Times New Roman"/>
          <w:color w:val="000000"/>
          <w:sz w:val="24"/>
          <w:szCs w:val="24"/>
          <w:lang w:val="en-GB"/>
        </w:rPr>
        <w:t>n 48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64D94" w:rsidRPr="001E0147">
        <w:rPr>
          <w:rFonts w:ascii="Times New Roman" w:hAnsi="Times New Roman"/>
          <w:color w:val="000000"/>
          <w:sz w:val="24"/>
          <w:szCs w:val="24"/>
          <w:lang w:val="en-GB"/>
        </w:rPr>
        <w:t>h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>ours</w:t>
      </w:r>
      <w:r w:rsidR="00164D9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before the MCI.</w:t>
      </w:r>
    </w:p>
    <w:p w14:paraId="4ADE3A48" w14:textId="6B50752E" w:rsidR="00830429" w:rsidRPr="001E0147" w:rsidRDefault="003C7E8B" w:rsidP="001E014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 xml:space="preserve">Cardiac monitoring (CI </w:t>
      </w:r>
      <w:r w:rsidR="009B79EE" w:rsidRPr="001E0147">
        <w:rPr>
          <w:rFonts w:ascii="Times New Roman" w:hAnsi="Times New Roman"/>
          <w:sz w:val="24"/>
          <w:szCs w:val="24"/>
          <w:lang w:val="en-GB"/>
        </w:rPr>
        <w:t>#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26) is the last adjusted CI. </w:t>
      </w:r>
      <w:r w:rsidR="009B79EE" w:rsidRPr="001E0147">
        <w:rPr>
          <w:rFonts w:ascii="Times New Roman" w:hAnsi="Times New Roman"/>
          <w:sz w:val="24"/>
          <w:szCs w:val="24"/>
          <w:lang w:val="en-GB"/>
        </w:rPr>
        <w:t>The authors found that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needing cardiac monitoring </w:t>
      </w:r>
      <w:r w:rsidR="009B79EE" w:rsidRPr="001E0147">
        <w:rPr>
          <w:rFonts w:ascii="Times New Roman" w:hAnsi="Times New Roman"/>
          <w:sz w:val="24"/>
          <w:szCs w:val="24"/>
          <w:lang w:val="en-GB"/>
        </w:rPr>
        <w:t xml:space="preserve">is not </w:t>
      </w:r>
      <w:r w:rsidR="00830429" w:rsidRPr="001E0147">
        <w:rPr>
          <w:rFonts w:ascii="Times New Roman" w:hAnsi="Times New Roman"/>
          <w:sz w:val="24"/>
          <w:szCs w:val="24"/>
          <w:lang w:val="en-GB"/>
        </w:rPr>
        <w:t xml:space="preserve">crucial </w:t>
      </w:r>
      <w:r w:rsidRPr="001E0147">
        <w:rPr>
          <w:rFonts w:ascii="Times New Roman" w:hAnsi="Times New Roman"/>
          <w:sz w:val="24"/>
          <w:szCs w:val="24"/>
          <w:lang w:val="en-GB"/>
        </w:rPr>
        <w:t>enough to exclude the patient from a multidi</w:t>
      </w:r>
      <w:r w:rsidR="009B79EE" w:rsidRPr="001E0147">
        <w:rPr>
          <w:rFonts w:ascii="Times New Roman" w:hAnsi="Times New Roman"/>
          <w:sz w:val="24"/>
          <w:szCs w:val="24"/>
          <w:lang w:val="en-GB"/>
        </w:rPr>
        <w:t>sciplinary reassessment during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9B79EE" w:rsidRPr="001E0147">
        <w:rPr>
          <w:rFonts w:ascii="Times New Roman" w:hAnsi="Times New Roman"/>
          <w:sz w:val="24"/>
          <w:szCs w:val="24"/>
          <w:lang w:val="en-GB"/>
        </w:rPr>
        <w:t>n MCI. Depending on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the context of the individual situation of the patient</w:t>
      </w:r>
      <w:r w:rsidR="00EA5D7F" w:rsidRPr="001E0147">
        <w:rPr>
          <w:rFonts w:ascii="Times New Roman" w:hAnsi="Times New Roman"/>
          <w:sz w:val="24"/>
          <w:szCs w:val="24"/>
          <w:lang w:val="en-GB"/>
        </w:rPr>
        <w:t>,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he</w:t>
      </w:r>
      <w:r w:rsidR="009B79EE" w:rsidRPr="001E0147">
        <w:rPr>
          <w:rFonts w:ascii="Times New Roman" w:hAnsi="Times New Roman"/>
          <w:sz w:val="24"/>
          <w:szCs w:val="24"/>
          <w:lang w:val="en-GB"/>
        </w:rPr>
        <w:t xml:space="preserve"> or she can go home with a H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olter monitor or can be transferred to another location outside the hospital with </w:t>
      </w:r>
      <w:r w:rsidR="00EA5D7F" w:rsidRPr="001E0147">
        <w:rPr>
          <w:rFonts w:ascii="Times New Roman" w:hAnsi="Times New Roman"/>
          <w:sz w:val="24"/>
          <w:szCs w:val="24"/>
          <w:lang w:val="en-GB"/>
        </w:rPr>
        <w:t xml:space="preserve">portable monitoring. 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If cardiac problems are of 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such a 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>nature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that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the likelihood of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develop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ing a </w:t>
      </w:r>
      <w:r w:rsidR="002D4093" w:rsidRPr="001E0147">
        <w:rPr>
          <w:rFonts w:ascii="Times New Roman" w:hAnsi="Times New Roman"/>
          <w:color w:val="000000"/>
          <w:sz w:val="24"/>
          <w:szCs w:val="24"/>
          <w:lang w:val="en-GB"/>
        </w:rPr>
        <w:t>Consequential Medical Event [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>CME</w:t>
      </w:r>
      <w:r w:rsidR="002D4093" w:rsidRPr="001E0147">
        <w:rPr>
          <w:rFonts w:ascii="Times New Roman" w:hAnsi="Times New Roman"/>
          <w:color w:val="000000"/>
          <w:sz w:val="24"/>
          <w:szCs w:val="24"/>
          <w:lang w:val="en-GB"/>
        </w:rPr>
        <w:t>]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within the next 72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>h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>ours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>if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cardiac monitoring were to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be withdrawn, this p</w:t>
      </w:r>
      <w:r w:rsidR="00AE1126" w:rsidRPr="001E0147">
        <w:rPr>
          <w:rFonts w:ascii="Times New Roman" w:hAnsi="Times New Roman"/>
          <w:color w:val="000000"/>
          <w:sz w:val="24"/>
          <w:szCs w:val="24"/>
          <w:lang w:val="en-GB"/>
        </w:rPr>
        <w:t>atient should stay at a medium care unit or ICU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>. He then wil</w:t>
      </w:r>
      <w:r w:rsidR="009B79EE" w:rsidRPr="001E0147">
        <w:rPr>
          <w:rFonts w:ascii="Times New Roman" w:hAnsi="Times New Roman"/>
          <w:color w:val="000000"/>
          <w:sz w:val="24"/>
          <w:szCs w:val="24"/>
          <w:lang w:val="en-GB"/>
        </w:rPr>
        <w:t>l be excluded by his presence in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a</w:t>
      </w:r>
      <w:r w:rsidR="00B978D4" w:rsidRPr="001E0147">
        <w:rPr>
          <w:rFonts w:ascii="Times New Roman" w:hAnsi="Times New Roman"/>
          <w:color w:val="000000"/>
          <w:sz w:val="24"/>
          <w:szCs w:val="24"/>
          <w:lang w:val="en-GB"/>
        </w:rPr>
        <w:t>n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ICU.</w:t>
      </w:r>
    </w:p>
    <w:p w14:paraId="08AC6624" w14:textId="77777777" w:rsidR="00AF7DEE" w:rsidRPr="001E0147" w:rsidRDefault="00AF7DEE" w:rsidP="001E014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1993A244" w14:textId="0A3A9A70" w:rsidR="00830429" w:rsidRPr="001E0147" w:rsidRDefault="00830429" w:rsidP="001E0147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1E0147">
        <w:rPr>
          <w:rFonts w:ascii="Times New Roman" w:hAnsi="Times New Roman"/>
          <w:b/>
          <w:color w:val="000000"/>
          <w:sz w:val="24"/>
          <w:szCs w:val="24"/>
          <w:lang w:val="en-GB"/>
        </w:rPr>
        <w:t>Additional criteria</w:t>
      </w:r>
    </w:p>
    <w:p w14:paraId="7D811E09" w14:textId="61AC2692" w:rsidR="00A65A4D" w:rsidRPr="001E0147" w:rsidRDefault="009B79EE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color w:val="000000"/>
          <w:sz w:val="24"/>
          <w:szCs w:val="24"/>
          <w:lang w:val="en-GB"/>
        </w:rPr>
        <w:t>Besides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translation of the 28 CI</w:t>
      </w:r>
      <w:r w:rsidRPr="001E0147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EA5D7F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 of </w:t>
      </w:r>
      <w:r w:rsidRPr="001E0147">
        <w:rPr>
          <w:rFonts w:ascii="Times New Roman" w:hAnsi="Times New Roman"/>
          <w:color w:val="000000"/>
          <w:sz w:val="24"/>
          <w:szCs w:val="24"/>
          <w:lang w:val="en-GB"/>
        </w:rPr>
        <w:t>Kelen, Kraus and McCarthy</w:t>
      </w:r>
      <w:r w:rsidR="00860C82" w:rsidRPr="001E0147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1</w:t>
      </w:r>
      <w:r w:rsidR="00C7201E" w:rsidRPr="001E0147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EA5D7F" w:rsidRPr="001E0147">
        <w:rPr>
          <w:rFonts w:ascii="Times New Roman" w:hAnsi="Times New Roman"/>
          <w:sz w:val="24"/>
          <w:szCs w:val="24"/>
          <w:lang w:val="en-GB"/>
        </w:rPr>
        <w:t xml:space="preserve">some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additional</w:t>
      </w:r>
      <w:r w:rsidR="00EA5D7F" w:rsidRPr="001E0147">
        <w:rPr>
          <w:rFonts w:ascii="Times New Roman" w:hAnsi="Times New Roman"/>
          <w:sz w:val="24"/>
          <w:szCs w:val="24"/>
          <w:lang w:val="en-GB"/>
        </w:rPr>
        <w:t xml:space="preserve"> criteria were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created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and integrated into the RTTL software</w:t>
      </w:r>
      <w:r w:rsidR="00EA5D7F" w:rsidRPr="001E01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1E0147">
        <w:rPr>
          <w:rFonts w:ascii="Times New Roman" w:hAnsi="Times New Roman"/>
          <w:sz w:val="24"/>
          <w:szCs w:val="24"/>
          <w:lang w:val="en-GB"/>
        </w:rPr>
        <w:t>First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, other campuses of the tertiary academic hospital UZ Leuven were excluded because they did not belong to the study population. Next, p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>atients present at the hospital for ambulant investigations or a consultation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>and th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erefore not occupying beds) were</w:t>
      </w:r>
      <w:r w:rsidR="00D55772" w:rsidRPr="001E0147">
        <w:rPr>
          <w:rFonts w:ascii="Times New Roman" w:hAnsi="Times New Roman"/>
          <w:sz w:val="24"/>
          <w:szCs w:val="24"/>
          <w:lang w:val="en-GB"/>
        </w:rPr>
        <w:t xml:space="preserve"> also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excluded.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Also p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atients admitted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for day surgery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were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excluded, because </w:t>
      </w:r>
      <w:r w:rsidRPr="001E0147">
        <w:rPr>
          <w:rFonts w:ascii="Times New Roman" w:hAnsi="Times New Roman"/>
          <w:sz w:val="24"/>
          <w:szCs w:val="24"/>
          <w:lang w:val="en-GB"/>
        </w:rPr>
        <w:t>those beds would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4EC3" w:rsidRPr="001E0147">
        <w:rPr>
          <w:rFonts w:ascii="Times New Roman" w:hAnsi="Times New Roman"/>
          <w:sz w:val="24"/>
          <w:szCs w:val="24"/>
          <w:lang w:val="en-GB"/>
        </w:rPr>
        <w:t xml:space="preserve">be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empty </w:t>
      </w:r>
      <w:r w:rsidR="00084327" w:rsidRPr="001E0147">
        <w:rPr>
          <w:rFonts w:ascii="Times New Roman" w:hAnsi="Times New Roman"/>
          <w:sz w:val="24"/>
          <w:szCs w:val="24"/>
          <w:lang w:val="en-GB"/>
        </w:rPr>
        <w:t>after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 the normal di</w:t>
      </w:r>
      <w:r w:rsidRPr="001E0147">
        <w:rPr>
          <w:rFonts w:ascii="Times New Roman" w:hAnsi="Times New Roman"/>
          <w:sz w:val="24"/>
          <w:szCs w:val="24"/>
          <w:lang w:val="en-GB"/>
        </w:rPr>
        <w:t>scharge procedure contemporaneous with the unfolding of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 the MCI. </w:t>
      </w:r>
      <w:r w:rsidR="00BB4EC3" w:rsidRPr="001E0147">
        <w:rPr>
          <w:rFonts w:ascii="Times New Roman" w:hAnsi="Times New Roman"/>
          <w:sz w:val="24"/>
          <w:szCs w:val="24"/>
          <w:lang w:val="en-GB"/>
        </w:rPr>
        <w:t>P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atients</w:t>
      </w:r>
      <w:r w:rsidRPr="001E0147">
        <w:rPr>
          <w:rFonts w:ascii="Times New Roman" w:hAnsi="Times New Roman"/>
          <w:sz w:val="24"/>
          <w:szCs w:val="24"/>
          <w:lang w:val="en-GB"/>
        </w:rPr>
        <w:t xml:space="preserve"> present in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 ED </w:t>
      </w:r>
      <w:r w:rsidR="00BB4EC3" w:rsidRPr="001E0147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less than 6 hours </w:t>
      </w:r>
      <w:r w:rsidRPr="001E0147">
        <w:rPr>
          <w:rFonts w:ascii="Times New Roman" w:hAnsi="Times New Roman"/>
          <w:sz w:val="24"/>
          <w:szCs w:val="24"/>
          <w:lang w:val="en-GB"/>
        </w:rPr>
        <w:t>would also not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C6CEB" w:rsidRPr="001E0147">
        <w:rPr>
          <w:rFonts w:ascii="Times New Roman" w:hAnsi="Times New Roman"/>
          <w:sz w:val="24"/>
          <w:szCs w:val="24"/>
          <w:lang w:val="en-GB"/>
        </w:rPr>
        <w:t xml:space="preserve">be 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>occupy</w:t>
      </w:r>
      <w:r w:rsidRPr="001E0147">
        <w:rPr>
          <w:rFonts w:ascii="Times New Roman" w:hAnsi="Times New Roman"/>
          <w:sz w:val="24"/>
          <w:szCs w:val="24"/>
          <w:lang w:val="en-GB"/>
        </w:rPr>
        <w:t>ing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beds</w:t>
      </w:r>
      <w:r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BB4EC3" w:rsidRPr="001E0147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>were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 xml:space="preserve"> therefore</w:t>
      </w:r>
      <w:r w:rsidR="00BB4EC3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3D6F" w:rsidRPr="001E0147">
        <w:rPr>
          <w:rFonts w:ascii="Times New Roman" w:hAnsi="Times New Roman"/>
          <w:sz w:val="24"/>
          <w:szCs w:val="24"/>
          <w:lang w:val="en-GB"/>
        </w:rPr>
        <w:t xml:space="preserve">excluded. 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>T</w:t>
      </w:r>
      <w:r w:rsidR="00A65A4D" w:rsidRPr="001E0147">
        <w:rPr>
          <w:rFonts w:ascii="Times New Roman" w:hAnsi="Times New Roman"/>
          <w:sz w:val="24"/>
          <w:szCs w:val="24"/>
          <w:lang w:val="en-GB"/>
        </w:rPr>
        <w:t xml:space="preserve">he </w:t>
      </w:r>
      <w:r w:rsidR="005F1262" w:rsidRPr="001E0147">
        <w:rPr>
          <w:rFonts w:ascii="Times New Roman" w:hAnsi="Times New Roman"/>
          <w:sz w:val="24"/>
          <w:szCs w:val="24"/>
          <w:lang w:val="en-GB"/>
        </w:rPr>
        <w:t>haematological</w:t>
      </w:r>
      <w:r w:rsidR="00A65A4D" w:rsidRPr="001E0147">
        <w:rPr>
          <w:rFonts w:ascii="Times New Roman" w:hAnsi="Times New Roman"/>
          <w:sz w:val="24"/>
          <w:szCs w:val="24"/>
          <w:lang w:val="en-GB"/>
        </w:rPr>
        <w:t xml:space="preserve"> isolation ward and the ne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>onatology unit were also</w:t>
      </w:r>
      <w:r w:rsidR="00A65A4D" w:rsidRPr="001E0147">
        <w:rPr>
          <w:rFonts w:ascii="Times New Roman" w:hAnsi="Times New Roman"/>
          <w:sz w:val="24"/>
          <w:szCs w:val="24"/>
          <w:lang w:val="en-GB"/>
        </w:rPr>
        <w:t xml:space="preserve"> excluded because they care for patients who need specific care. Finall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>y, some patients are admitted to</w:t>
      </w:r>
      <w:r w:rsidR="00A65A4D" w:rsidRPr="001E0147">
        <w:rPr>
          <w:rFonts w:ascii="Times New Roman" w:hAnsi="Times New Roman"/>
          <w:sz w:val="24"/>
          <w:szCs w:val="24"/>
          <w:lang w:val="en-GB"/>
        </w:rPr>
        <w:t xml:space="preserve"> units where they are daily discharged (e.g.</w:t>
      </w:r>
      <w:r w:rsidR="000C6CEB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A65A4D" w:rsidRPr="001E0147">
        <w:rPr>
          <w:rFonts w:ascii="Times New Roman" w:hAnsi="Times New Roman"/>
          <w:sz w:val="24"/>
          <w:szCs w:val="24"/>
          <w:lang w:val="en-GB"/>
        </w:rPr>
        <w:t xml:space="preserve"> sleep laboratory unit)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A65A4D" w:rsidRPr="001E0147">
        <w:rPr>
          <w:rFonts w:ascii="Times New Roman" w:hAnsi="Times New Roman"/>
          <w:sz w:val="24"/>
          <w:szCs w:val="24"/>
          <w:lang w:val="en-GB"/>
        </w:rPr>
        <w:t xml:space="preserve"> and some units do not represent 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>an actual bed (e.g.</w:t>
      </w:r>
      <w:r w:rsidR="009B3612" w:rsidRPr="001E0147">
        <w:rPr>
          <w:rFonts w:ascii="Times New Roman" w:hAnsi="Times New Roman"/>
          <w:sz w:val="24"/>
          <w:szCs w:val="24"/>
          <w:lang w:val="en-GB"/>
        </w:rPr>
        <w:t>,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 xml:space="preserve"> the morgue</w:t>
      </w:r>
      <w:r w:rsidR="00A65A4D" w:rsidRPr="001E0147">
        <w:rPr>
          <w:rFonts w:ascii="Times New Roman" w:hAnsi="Times New Roman"/>
          <w:sz w:val="24"/>
          <w:szCs w:val="24"/>
          <w:lang w:val="en-GB"/>
        </w:rPr>
        <w:t xml:space="preserve">). </w:t>
      </w:r>
    </w:p>
    <w:p w14:paraId="0F177C9A" w14:textId="0CFEA1A8" w:rsidR="001C6622" w:rsidRPr="001E0147" w:rsidRDefault="0051146B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The additional table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 xml:space="preserve"> presents</w:t>
      </w:r>
      <w:r w:rsidR="00384752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>an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 xml:space="preserve"> overview of the translation of the 28 CIs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A923DA" w:rsidRPr="001E0147">
        <w:rPr>
          <w:rFonts w:ascii="Times New Roman" w:hAnsi="Times New Roman"/>
          <w:sz w:val="24"/>
          <w:szCs w:val="24"/>
          <w:lang w:val="en-GB"/>
        </w:rPr>
        <w:t>Kelen, Kraus and McCarthy</w:t>
      </w:r>
      <w:r w:rsidR="00860C82" w:rsidRPr="001E014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C7201E" w:rsidRPr="001E01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6FA6" w:rsidRPr="001E0147">
        <w:rPr>
          <w:rFonts w:ascii="Times New Roman" w:hAnsi="Times New Roman"/>
          <w:sz w:val="24"/>
          <w:szCs w:val="24"/>
          <w:lang w:val="en-GB"/>
        </w:rPr>
        <w:t xml:space="preserve">into the </w:t>
      </w:r>
      <w:r w:rsidR="00CE149B" w:rsidRPr="001E0147">
        <w:rPr>
          <w:rFonts w:ascii="Times New Roman" w:hAnsi="Times New Roman"/>
          <w:sz w:val="24"/>
          <w:szCs w:val="24"/>
          <w:lang w:val="en-GB"/>
        </w:rPr>
        <w:t>RTTL</w:t>
      </w:r>
      <w:r w:rsidR="00384752" w:rsidRPr="001E0147">
        <w:rPr>
          <w:rFonts w:ascii="Times New Roman" w:hAnsi="Times New Roman"/>
          <w:sz w:val="24"/>
          <w:szCs w:val="24"/>
          <w:lang w:val="en-GB"/>
        </w:rPr>
        <w:t>.</w:t>
      </w:r>
    </w:p>
    <w:p w14:paraId="7A15C3DF" w14:textId="77777777" w:rsidR="001C6622" w:rsidRPr="001E0147" w:rsidRDefault="001C6622" w:rsidP="001E01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811B168" w14:textId="0E955808" w:rsidR="0051146B" w:rsidRPr="001E0147" w:rsidRDefault="0051146B" w:rsidP="001E014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1E0147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References </w:t>
      </w:r>
    </w:p>
    <w:p w14:paraId="094D65C2" w14:textId="34E8026F" w:rsidR="0051146B" w:rsidRPr="001E0147" w:rsidRDefault="0051146B" w:rsidP="001E0147">
      <w:pPr>
        <w:pStyle w:val="Lijstalinea"/>
        <w:numPr>
          <w:ilvl w:val="0"/>
          <w:numId w:val="2"/>
        </w:numPr>
        <w:suppressAutoHyphens w:val="0"/>
        <w:autoSpaceDN/>
        <w:spacing w:after="120" w:line="480" w:lineRule="auto"/>
        <w:contextualSpacing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</w:rPr>
        <w:t xml:space="preserve">Kelen GD, Kraus CK, McCarthy ML, et al. </w:t>
      </w:r>
      <w:r w:rsidRPr="001E0147">
        <w:rPr>
          <w:rFonts w:ascii="Times New Roman" w:hAnsi="Times New Roman"/>
          <w:sz w:val="24"/>
          <w:szCs w:val="24"/>
          <w:lang w:val="en-GB"/>
        </w:rPr>
        <w:t>Inpatient disposition classification for the creation of hospital surge capacity: a multiphase study. Lancet. 2006;368(9551):1984-1990.</w:t>
      </w:r>
    </w:p>
    <w:p w14:paraId="43B23ABC" w14:textId="2B424B7C" w:rsidR="00860C82" w:rsidRPr="001E0147" w:rsidRDefault="00FF1187" w:rsidP="001E0147">
      <w:pPr>
        <w:pStyle w:val="Lijstalinea"/>
        <w:numPr>
          <w:ilvl w:val="0"/>
          <w:numId w:val="2"/>
        </w:numPr>
        <w:suppressAutoHyphens w:val="0"/>
        <w:autoSpaceDN/>
        <w:spacing w:after="120" w:line="480" w:lineRule="auto"/>
        <w:contextualSpacing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1E0147">
        <w:rPr>
          <w:rFonts w:ascii="Times New Roman" w:hAnsi="Times New Roman"/>
          <w:sz w:val="24"/>
          <w:szCs w:val="24"/>
          <w:lang w:val="en-GB"/>
        </w:rPr>
        <w:t>Katz S, Downs TD, Cash HR, et al. Progress in development of the index of ADL. Gerontologist. 1970;10:20-30.</w:t>
      </w:r>
    </w:p>
    <w:p w14:paraId="2D283E7F" w14:textId="77777777" w:rsidR="0051146B" w:rsidRPr="001E0147" w:rsidRDefault="0051146B" w:rsidP="001E0147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3A97E7D" w14:textId="2450904C" w:rsidR="0051146B" w:rsidRPr="001E0147" w:rsidRDefault="0051146B" w:rsidP="001E0147">
      <w:pPr>
        <w:tabs>
          <w:tab w:val="left" w:pos="3444"/>
        </w:tabs>
        <w:spacing w:line="480" w:lineRule="auto"/>
        <w:rPr>
          <w:rFonts w:ascii="Times New Roman" w:hAnsi="Times New Roman"/>
          <w:sz w:val="24"/>
          <w:szCs w:val="24"/>
          <w:lang w:val="en-GB"/>
        </w:rPr>
        <w:sectPr w:rsidR="0051146B" w:rsidRPr="001E0147" w:rsidSect="005232B3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7582050" w14:textId="7EAEB11F" w:rsidR="00366FA6" w:rsidRPr="001E0147" w:rsidRDefault="0051146B" w:rsidP="001E0147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E0147">
        <w:rPr>
          <w:rFonts w:ascii="Times New Roman" w:hAnsi="Times New Roman"/>
          <w:b/>
          <w:sz w:val="24"/>
          <w:szCs w:val="24"/>
          <w:lang w:val="en-GB"/>
        </w:rPr>
        <w:t>Additional Table</w:t>
      </w:r>
      <w:r w:rsidR="00CB1558" w:rsidRPr="001E0147">
        <w:rPr>
          <w:rFonts w:ascii="Times New Roman" w:hAnsi="Times New Roman"/>
          <w:b/>
          <w:sz w:val="24"/>
          <w:szCs w:val="24"/>
          <w:lang w:val="en-GB"/>
        </w:rPr>
        <w:t>: Translation of the original CI</w:t>
      </w:r>
      <w:r w:rsidR="00A923DA" w:rsidRPr="001E0147">
        <w:rPr>
          <w:rFonts w:ascii="Times New Roman" w:hAnsi="Times New Roman"/>
          <w:b/>
          <w:sz w:val="24"/>
          <w:szCs w:val="24"/>
          <w:lang w:val="en-GB"/>
        </w:rPr>
        <w:t>s into the RTTL.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B1E54" w:rsidRPr="001E0147" w14:paraId="72E7BA55" w14:textId="77777777" w:rsidTr="00C63394">
        <w:tc>
          <w:tcPr>
            <w:tcW w:w="4644" w:type="dxa"/>
            <w:shd w:val="clear" w:color="auto" w:fill="9CC2E5" w:themeFill="accent1" w:themeFillTint="99"/>
          </w:tcPr>
          <w:p w14:paraId="312FE0EF" w14:textId="7A0FB539" w:rsidR="003B1E54" w:rsidRPr="001E0147" w:rsidRDefault="003B1E54" w:rsidP="001E014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Retained Critical Interventions</w:t>
            </w:r>
            <w:r w:rsidR="002B107B"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14:paraId="7ADC5CF9" w14:textId="47A83CA0" w:rsidR="003B1E54" w:rsidRPr="001E0147" w:rsidRDefault="003B1E54" w:rsidP="001E014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Translation </w:t>
            </w:r>
            <w:r w:rsidR="002B107B"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into </w:t>
            </w:r>
            <w:r w:rsidR="00C63394"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RTTL</w:t>
            </w:r>
          </w:p>
        </w:tc>
      </w:tr>
      <w:tr w:rsidR="00366FA6" w:rsidRPr="001E0147" w14:paraId="7ECE098A" w14:textId="77777777" w:rsidTr="00C63394">
        <w:tc>
          <w:tcPr>
            <w:tcW w:w="4644" w:type="dxa"/>
          </w:tcPr>
          <w:p w14:paraId="3EE45513" w14:textId="3F30CEB7" w:rsidR="00366FA6" w:rsidRPr="001E0147" w:rsidRDefault="00366FA6" w:rsidP="001E0147">
            <w:pPr>
              <w:tabs>
                <w:tab w:val="left" w:pos="426"/>
              </w:tabs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CPR or defibrillation</w:t>
            </w:r>
          </w:p>
          <w:p w14:paraId="58A0A007" w14:textId="4997CB78" w:rsidR="00366FA6" w:rsidRPr="001E0147" w:rsidRDefault="00366FA6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Intubation or airway management</w:t>
            </w:r>
          </w:p>
          <w:p w14:paraId="0ED9A920" w14:textId="6BC4465B" w:rsidR="00366FA6" w:rsidRPr="001E0147" w:rsidRDefault="005F1262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Burn care</w:t>
            </w:r>
          </w:p>
          <w:p w14:paraId="4F39EF90" w14:textId="1A3AB4EF" w:rsidR="00366FA6" w:rsidRPr="001E0147" w:rsidRDefault="005F1262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Cerebral bolt</w:t>
            </w:r>
          </w:p>
          <w:p w14:paraId="7CA85754" w14:textId="02855F46" w:rsidR="00366FA6" w:rsidRPr="001E0147" w:rsidRDefault="005F1262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Non-invasive PPV</w:t>
            </w:r>
          </w:p>
          <w:p w14:paraId="41C35484" w14:textId="54EFF8AC" w:rsidR="008E59EB" w:rsidRPr="001E0147" w:rsidRDefault="005F1262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8E59EB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Thrombolytic therapy</w:t>
            </w:r>
          </w:p>
          <w:p w14:paraId="4E8CEF48" w14:textId="4D2B2570" w:rsidR="00366FA6" w:rsidRPr="001E0147" w:rsidRDefault="005F1262" w:rsidP="001E0147">
            <w:pPr>
              <w:tabs>
                <w:tab w:val="left" w:pos="426"/>
              </w:tabs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Arterial line</w:t>
            </w:r>
          </w:p>
        </w:tc>
        <w:tc>
          <w:tcPr>
            <w:tcW w:w="4820" w:type="dxa"/>
          </w:tcPr>
          <w:p w14:paraId="0FC47520" w14:textId="63E7DB0E" w:rsidR="00366FA6" w:rsidRPr="001E0147" w:rsidRDefault="00366FA6" w:rsidP="001E014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Patient</w:t>
            </w:r>
            <w:r w:rsidR="00A923DA" w:rsidRPr="001E01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admitted to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ICU.</w:t>
            </w:r>
          </w:p>
        </w:tc>
      </w:tr>
      <w:tr w:rsidR="00366FA6" w:rsidRPr="001E0147" w14:paraId="2D4505A8" w14:textId="77777777" w:rsidTr="00C63394">
        <w:tc>
          <w:tcPr>
            <w:tcW w:w="4644" w:type="dxa"/>
          </w:tcPr>
          <w:p w14:paraId="4150E6D3" w14:textId="0E84A1C9" w:rsidR="00366FA6" w:rsidRPr="001E0147" w:rsidRDefault="005F1262" w:rsidP="001E0147">
            <w:pPr>
              <w:tabs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Dialysis</w:t>
            </w:r>
          </w:p>
        </w:tc>
        <w:tc>
          <w:tcPr>
            <w:tcW w:w="4820" w:type="dxa"/>
          </w:tcPr>
          <w:p w14:paraId="57B3F183" w14:textId="23E44E64" w:rsidR="00366FA6" w:rsidRPr="001E0147" w:rsidRDefault="00366FA6" w:rsidP="001E0147">
            <w:pPr>
              <w:suppressAutoHyphens w:val="0"/>
              <w:autoSpaceDN/>
              <w:spacing w:before="120" w:after="120" w:line="48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Patient is admitted at the </w:t>
            </w:r>
            <w:r w:rsidR="00CB1558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nephrology-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d</w:t>
            </w:r>
            <w:r w:rsidR="00A65A4D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ialysis ward</w:t>
            </w:r>
          </w:p>
        </w:tc>
      </w:tr>
      <w:tr w:rsidR="00366FA6" w:rsidRPr="001E0147" w14:paraId="47BEBE3F" w14:textId="77777777" w:rsidTr="00C63394">
        <w:trPr>
          <w:trHeight w:val="342"/>
        </w:trPr>
        <w:tc>
          <w:tcPr>
            <w:tcW w:w="4644" w:type="dxa"/>
          </w:tcPr>
          <w:p w14:paraId="4BF6DA6B" w14:textId="514F3E13" w:rsidR="00366FA6" w:rsidRPr="001E0147" w:rsidRDefault="005F1262" w:rsidP="001E0147">
            <w:pPr>
              <w:tabs>
                <w:tab w:val="left" w:pos="393"/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Psychiatric monitoring</w:t>
            </w:r>
          </w:p>
        </w:tc>
        <w:tc>
          <w:tcPr>
            <w:tcW w:w="4820" w:type="dxa"/>
          </w:tcPr>
          <w:p w14:paraId="58261349" w14:textId="040F2256" w:rsidR="00366FA6" w:rsidRPr="001E0147" w:rsidRDefault="00366FA6" w:rsidP="001E0147">
            <w:pPr>
              <w:suppressAutoHyphens w:val="0"/>
              <w:autoSpaceDN/>
              <w:spacing w:before="120" w:after="0" w:line="48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</w:t>
            </w:r>
            <w:r w:rsidR="008F4BBE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atient is admitted at the 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acute p</w:t>
            </w:r>
            <w:r w:rsidR="00A65A4D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sychiatry ward</w:t>
            </w:r>
          </w:p>
        </w:tc>
      </w:tr>
      <w:tr w:rsidR="00366FA6" w:rsidRPr="001E0147" w14:paraId="47968500" w14:textId="77777777" w:rsidTr="00C63394">
        <w:trPr>
          <w:trHeight w:val="529"/>
        </w:trPr>
        <w:tc>
          <w:tcPr>
            <w:tcW w:w="4644" w:type="dxa"/>
          </w:tcPr>
          <w:p w14:paraId="2A71DF4E" w14:textId="42B3AEE5" w:rsidR="00A65A4D" w:rsidRPr="001E0147" w:rsidRDefault="00366FA6" w:rsidP="001E0147">
            <w:pPr>
              <w:tabs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Vaginal delivery</w:t>
            </w:r>
          </w:p>
        </w:tc>
        <w:tc>
          <w:tcPr>
            <w:tcW w:w="4820" w:type="dxa"/>
          </w:tcPr>
          <w:p w14:paraId="6D907558" w14:textId="77777777" w:rsidR="00366FA6" w:rsidRPr="001E0147" w:rsidRDefault="00366FA6" w:rsidP="001E0147">
            <w:pPr>
              <w:suppressAutoHyphens w:val="0"/>
              <w:autoSpaceDN/>
              <w:spacing w:before="120" w:after="0" w:line="48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Patient is admitted at the</w:t>
            </w:r>
          </w:p>
          <w:p w14:paraId="59F2B225" w14:textId="77777777" w:rsidR="00366FA6" w:rsidRPr="001E0147" w:rsidRDefault="00366FA6" w:rsidP="001E0147">
            <w:pPr>
              <w:pStyle w:val="Lijstalinea"/>
              <w:numPr>
                <w:ilvl w:val="0"/>
                <w:numId w:val="1"/>
              </w:numPr>
              <w:suppressAutoHyphens w:val="0"/>
              <w:autoSpaceDN/>
              <w:spacing w:after="0" w:line="48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elivery room</w:t>
            </w:r>
          </w:p>
          <w:p w14:paraId="4EA914F9" w14:textId="77777777" w:rsidR="00366FA6" w:rsidRPr="001E0147" w:rsidRDefault="00366FA6" w:rsidP="001E0147">
            <w:pPr>
              <w:pStyle w:val="Lijstalinea"/>
              <w:numPr>
                <w:ilvl w:val="0"/>
                <w:numId w:val="1"/>
              </w:numPr>
              <w:suppressAutoHyphens w:val="0"/>
              <w:autoSpaceDN/>
              <w:spacing w:after="120" w:line="48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Complicated pregnancy unit</w:t>
            </w:r>
          </w:p>
        </w:tc>
      </w:tr>
      <w:tr w:rsidR="00366FA6" w:rsidRPr="001E0147" w14:paraId="4EDE67B5" w14:textId="77777777" w:rsidTr="00C63394">
        <w:tc>
          <w:tcPr>
            <w:tcW w:w="4644" w:type="dxa"/>
          </w:tcPr>
          <w:p w14:paraId="0CA1706A" w14:textId="5B713F33" w:rsidR="008E4F0F" w:rsidRPr="001E0147" w:rsidRDefault="00C63394" w:rsidP="001E0147">
            <w:pPr>
              <w:tabs>
                <w:tab w:val="left" w:pos="426"/>
              </w:tabs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8E4F0F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Caesarean section</w:t>
            </w:r>
          </w:p>
          <w:p w14:paraId="74792418" w14:textId="666E90A5" w:rsidR="00366FA6" w:rsidRPr="001E0147" w:rsidRDefault="00366FA6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Other invasive procedure</w:t>
            </w:r>
          </w:p>
          <w:p w14:paraId="666A976A" w14:textId="73C5DC00" w:rsidR="003B1E54" w:rsidRPr="001E0147" w:rsidRDefault="005F1262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A923DA" w:rsidRPr="001E01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Cardiac </w:t>
            </w:r>
            <w:r w:rsidR="003A52E1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catheterization</w:t>
            </w:r>
          </w:p>
          <w:p w14:paraId="42EB4A45" w14:textId="1E801BCB" w:rsidR="003B1E54" w:rsidRPr="001E0147" w:rsidRDefault="005F1262" w:rsidP="001E0147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0B3681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Thoracocentes</w:t>
            </w:r>
            <w:r w:rsidR="001E0147">
              <w:rPr>
                <w:rFonts w:ascii="Times New Roman" w:hAnsi="Times New Roman"/>
                <w:sz w:val="24"/>
                <w:szCs w:val="24"/>
                <w:lang w:val="en-GB"/>
              </w:rPr>
              <w:t>is</w:t>
            </w:r>
          </w:p>
          <w:p w14:paraId="414D05FB" w14:textId="4C0233DE" w:rsidR="00366FA6" w:rsidRPr="001E0147" w:rsidRDefault="005F1262" w:rsidP="001E0147">
            <w:pPr>
              <w:tabs>
                <w:tab w:val="left" w:pos="426"/>
              </w:tabs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1E54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Paracentesis</w:t>
            </w:r>
          </w:p>
        </w:tc>
        <w:tc>
          <w:tcPr>
            <w:tcW w:w="4820" w:type="dxa"/>
          </w:tcPr>
          <w:p w14:paraId="223FB086" w14:textId="2BA20691" w:rsidR="00366FA6" w:rsidRPr="001E0147" w:rsidRDefault="00366FA6" w:rsidP="001E0147">
            <w:pPr>
              <w:suppressAutoHyphens w:val="0"/>
              <w:autoSpaceDN/>
              <w:spacing w:before="120" w:after="120" w:line="48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Patient underwent an interve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ntion  less than 48 hours ago in</w:t>
            </w: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the unit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prior to the MCI</w:t>
            </w:r>
          </w:p>
          <w:p w14:paraId="0063D78E" w14:textId="77777777" w:rsidR="00366FA6" w:rsidRPr="001E0147" w:rsidRDefault="00366FA6" w:rsidP="001E0147">
            <w:pPr>
              <w:pStyle w:val="Lijstalinea"/>
              <w:numPr>
                <w:ilvl w:val="0"/>
                <w:numId w:val="1"/>
              </w:numPr>
              <w:suppressAutoHyphens w:val="0"/>
              <w:autoSpaceDN/>
              <w:spacing w:after="0" w:line="48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Endoscopy</w:t>
            </w:r>
          </w:p>
          <w:p w14:paraId="11511205" w14:textId="77777777" w:rsidR="00366FA6" w:rsidRPr="001E0147" w:rsidRDefault="00366FA6" w:rsidP="001E0147">
            <w:pPr>
              <w:pStyle w:val="Lijstalinea"/>
              <w:numPr>
                <w:ilvl w:val="0"/>
                <w:numId w:val="1"/>
              </w:numPr>
              <w:suppressAutoHyphens w:val="0"/>
              <w:autoSpaceDN/>
              <w:spacing w:after="0" w:line="48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Interventional radiology</w:t>
            </w:r>
          </w:p>
          <w:p w14:paraId="6E2CFC78" w14:textId="77777777" w:rsidR="00366FA6" w:rsidRPr="001E0147" w:rsidRDefault="00366FA6" w:rsidP="001E0147">
            <w:pPr>
              <w:pStyle w:val="Lijstalinea"/>
              <w:numPr>
                <w:ilvl w:val="0"/>
                <w:numId w:val="1"/>
              </w:numPr>
              <w:suppressAutoHyphens w:val="0"/>
              <w:autoSpaceDN/>
              <w:spacing w:after="0" w:line="48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Operating room</w:t>
            </w:r>
          </w:p>
        </w:tc>
      </w:tr>
      <w:tr w:rsidR="00366FA6" w:rsidRPr="001E0147" w14:paraId="2EE9B239" w14:textId="77777777" w:rsidTr="00C63394">
        <w:tc>
          <w:tcPr>
            <w:tcW w:w="4644" w:type="dxa"/>
          </w:tcPr>
          <w:p w14:paraId="453D6E2F" w14:textId="7EF55C3E" w:rsidR="00366FA6" w:rsidRPr="001E0147" w:rsidRDefault="005F1262" w:rsidP="001E0147">
            <w:pPr>
              <w:tabs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Major surgical procedure or operation</w:t>
            </w:r>
          </w:p>
        </w:tc>
        <w:tc>
          <w:tcPr>
            <w:tcW w:w="4820" w:type="dxa"/>
          </w:tcPr>
          <w:p w14:paraId="60B8DC56" w14:textId="708FB32E" w:rsidR="00366FA6" w:rsidRPr="001E0147" w:rsidRDefault="00366FA6" w:rsidP="001E0147">
            <w:pPr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Patient underwent a surgical intervention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that took more than 90 minutes</w:t>
            </w:r>
          </w:p>
        </w:tc>
      </w:tr>
      <w:tr w:rsidR="00366FA6" w:rsidRPr="001E0147" w14:paraId="378329C0" w14:textId="77777777" w:rsidTr="00C63394">
        <w:tc>
          <w:tcPr>
            <w:tcW w:w="4644" w:type="dxa"/>
          </w:tcPr>
          <w:p w14:paraId="56670C86" w14:textId="4BFA5DB1" w:rsidR="00366FA6" w:rsidRPr="001E0147" w:rsidRDefault="005F1262" w:rsidP="001E0147">
            <w:pPr>
              <w:tabs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Oxygen dependent</w:t>
            </w:r>
          </w:p>
        </w:tc>
        <w:tc>
          <w:tcPr>
            <w:tcW w:w="4820" w:type="dxa"/>
          </w:tcPr>
          <w:p w14:paraId="4A584606" w14:textId="50ECA633" w:rsidR="00366FA6" w:rsidRPr="001E0147" w:rsidRDefault="00366FA6" w:rsidP="001E0147">
            <w:pPr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Patient needs more than 5 </w:t>
            </w:r>
            <w:r w:rsidR="003A52E1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liters</w:t>
            </w: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of oxygen per minute</w:t>
            </w:r>
          </w:p>
        </w:tc>
      </w:tr>
      <w:tr w:rsidR="00366FA6" w:rsidRPr="001E0147" w14:paraId="55D22E24" w14:textId="77777777" w:rsidTr="00C63394">
        <w:tc>
          <w:tcPr>
            <w:tcW w:w="4644" w:type="dxa"/>
          </w:tcPr>
          <w:p w14:paraId="3DE56EDC" w14:textId="2AC98C5D" w:rsidR="00366FA6" w:rsidRPr="001E0147" w:rsidRDefault="005F1262" w:rsidP="001E0147">
            <w:pPr>
              <w:tabs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Transfusion</w:t>
            </w:r>
          </w:p>
        </w:tc>
        <w:tc>
          <w:tcPr>
            <w:tcW w:w="4820" w:type="dxa"/>
          </w:tcPr>
          <w:p w14:paraId="25DACC09" w14:textId="4C681A6B" w:rsidR="00366FA6" w:rsidRPr="001E0147" w:rsidRDefault="00366FA6" w:rsidP="001E0147">
            <w:pPr>
              <w:suppressAutoHyphens w:val="0"/>
              <w:autoSpaceDN/>
              <w:spacing w:before="120" w:after="120" w:line="48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Patient underwent a tr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ansfusion less than 48 hours prior to the MCI</w:t>
            </w:r>
          </w:p>
        </w:tc>
      </w:tr>
      <w:tr w:rsidR="00366FA6" w:rsidRPr="001E0147" w14:paraId="2A00CE02" w14:textId="77777777" w:rsidTr="00C63394">
        <w:tc>
          <w:tcPr>
            <w:tcW w:w="4644" w:type="dxa"/>
            <w:tcBorders>
              <w:bottom w:val="single" w:sz="4" w:space="0" w:color="auto"/>
            </w:tcBorders>
          </w:tcPr>
          <w:p w14:paraId="7B40EFBE" w14:textId="323A698C" w:rsidR="00366FA6" w:rsidRPr="001E0147" w:rsidRDefault="005F1262" w:rsidP="001E0147">
            <w:pPr>
              <w:tabs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Wound care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53A55F8" w14:textId="33DEAC9E" w:rsidR="00366FA6" w:rsidRPr="001E0147" w:rsidRDefault="00366FA6" w:rsidP="001E0147">
            <w:pPr>
              <w:suppressAutoHyphens w:val="0"/>
              <w:autoSpaceDN/>
              <w:spacing w:before="120" w:after="120" w:line="48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Patient has a 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stage 3 or 4 decubitus wound</w:t>
            </w:r>
          </w:p>
        </w:tc>
      </w:tr>
      <w:tr w:rsidR="00366FA6" w:rsidRPr="001E0147" w14:paraId="584CCFC7" w14:textId="77777777" w:rsidTr="00C63394">
        <w:tc>
          <w:tcPr>
            <w:tcW w:w="4644" w:type="dxa"/>
            <w:tcBorders>
              <w:bottom w:val="single" w:sz="4" w:space="0" w:color="auto"/>
            </w:tcBorders>
          </w:tcPr>
          <w:p w14:paraId="7BEBDE11" w14:textId="00A11E98" w:rsidR="00366FA6" w:rsidRPr="001E0147" w:rsidRDefault="005F1262" w:rsidP="001E0147">
            <w:pPr>
              <w:tabs>
                <w:tab w:val="left" w:pos="426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66FA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Support for ADL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ED18E4C" w14:textId="5305B18F" w:rsidR="003B1E54" w:rsidRPr="001E0147" w:rsidRDefault="00366FA6" w:rsidP="001E0147">
            <w:pPr>
              <w:spacing w:before="120" w:after="12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Patient scores higher than 2 on one of the</w:t>
            </w:r>
            <w:r w:rsidR="00A923DA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6 components of the Katz-scale for ADL</w:t>
            </w:r>
          </w:p>
        </w:tc>
      </w:tr>
      <w:tr w:rsidR="000B3681" w:rsidRPr="001E0147" w14:paraId="1F0CDAEA" w14:textId="77777777" w:rsidTr="00C63394">
        <w:tc>
          <w:tcPr>
            <w:tcW w:w="464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4C1982A9" w14:textId="0DD0677A" w:rsidR="000B3681" w:rsidRPr="001E0147" w:rsidRDefault="000B3681" w:rsidP="001E0147">
            <w:pPr>
              <w:tabs>
                <w:tab w:val="left" w:pos="426"/>
              </w:tabs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Omitted Critical Interventions</w:t>
            </w:r>
            <w:r w:rsidR="00CB1558"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48953486" w14:textId="72A2858A" w:rsidR="000B3681" w:rsidRPr="001E0147" w:rsidRDefault="000B3681" w:rsidP="001E0147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Adjusted Critical Interventions</w:t>
            </w:r>
            <w:r w:rsidR="00CB1558"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*</w:t>
            </w:r>
          </w:p>
        </w:tc>
      </w:tr>
      <w:tr w:rsidR="003B1E54" w:rsidRPr="001E0147" w14:paraId="2236631C" w14:textId="77777777" w:rsidTr="00C63394">
        <w:trPr>
          <w:trHeight w:val="2034"/>
        </w:trPr>
        <w:tc>
          <w:tcPr>
            <w:tcW w:w="4644" w:type="dxa"/>
          </w:tcPr>
          <w:p w14:paraId="534CB888" w14:textId="10F82561" w:rsidR="003B1E54" w:rsidRPr="001E0147" w:rsidRDefault="003B1E54" w:rsidP="001E0147">
            <w:pPr>
              <w:tabs>
                <w:tab w:val="left" w:pos="426"/>
              </w:tabs>
              <w:spacing w:before="120" w:after="12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Parenteral nutrition</w:t>
            </w:r>
          </w:p>
          <w:p w14:paraId="3A9CEB6D" w14:textId="234B726D" w:rsidR="003B1E54" w:rsidRPr="001E0147" w:rsidRDefault="003B1E54" w:rsidP="001E0147">
            <w:pPr>
              <w:tabs>
                <w:tab w:val="left" w:pos="426"/>
              </w:tabs>
              <w:spacing w:after="12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Lumbar puncture</w:t>
            </w:r>
          </w:p>
          <w:p w14:paraId="097CE62F" w14:textId="3E1B91C3" w:rsidR="003B1E54" w:rsidRPr="001E0147" w:rsidRDefault="003B1E54" w:rsidP="001E0147">
            <w:pPr>
              <w:tabs>
                <w:tab w:val="left" w:pos="426"/>
              </w:tabs>
              <w:spacing w:after="12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Parenteral pain medication</w:t>
            </w:r>
          </w:p>
        </w:tc>
        <w:tc>
          <w:tcPr>
            <w:tcW w:w="4820" w:type="dxa"/>
          </w:tcPr>
          <w:p w14:paraId="520730FB" w14:textId="3736721A" w:rsidR="000B3681" w:rsidRPr="001E0147" w:rsidRDefault="000B3681" w:rsidP="001E0147">
            <w:pPr>
              <w:tabs>
                <w:tab w:val="left" w:pos="343"/>
              </w:tabs>
              <w:spacing w:after="12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Intravenous </w:t>
            </w:r>
            <w:r w:rsidR="002B107B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vaso</w:t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pressors and fluid</w:t>
            </w:r>
          </w:p>
          <w:p w14:paraId="5600EB7C" w14:textId="1CB69798" w:rsidR="002E1F62" w:rsidRPr="001E0147" w:rsidRDefault="00384752" w:rsidP="001E0147">
            <w:pPr>
              <w:tabs>
                <w:tab w:val="left" w:pos="343"/>
              </w:tabs>
              <w:spacing w:after="12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4D6ED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Thoraco</w:t>
            </w:r>
            <w:bookmarkStart w:id="0" w:name="_GoBack"/>
            <w:bookmarkEnd w:id="0"/>
            <w:r w:rsidR="004D6ED6" w:rsidRPr="001E0147">
              <w:rPr>
                <w:rFonts w:ascii="Times New Roman" w:hAnsi="Times New Roman"/>
                <w:sz w:val="24"/>
                <w:szCs w:val="24"/>
                <w:lang w:val="en-GB"/>
              </w:rPr>
              <w:t>tomy</w:t>
            </w:r>
          </w:p>
          <w:p w14:paraId="78EEDFFA" w14:textId="61E8546C" w:rsidR="000B3681" w:rsidRPr="001E0147" w:rsidRDefault="000B3681" w:rsidP="001E0147">
            <w:pPr>
              <w:tabs>
                <w:tab w:val="left" w:pos="343"/>
              </w:tabs>
              <w:spacing w:after="12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Central line</w:t>
            </w:r>
          </w:p>
          <w:p w14:paraId="7F136F01" w14:textId="5593A13F" w:rsidR="000B3681" w:rsidRPr="001E0147" w:rsidRDefault="000B3681" w:rsidP="001E0147">
            <w:pPr>
              <w:tabs>
                <w:tab w:val="left" w:pos="343"/>
              </w:tabs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Incision and drainage</w:t>
            </w:r>
          </w:p>
          <w:p w14:paraId="7D28D312" w14:textId="0F5478A0" w:rsidR="003B1E54" w:rsidRPr="001E0147" w:rsidRDefault="000B3681" w:rsidP="001E0147">
            <w:pPr>
              <w:tabs>
                <w:tab w:val="left" w:pos="343"/>
              </w:tabs>
              <w:spacing w:after="120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  <w:r w:rsidR="005F1262" w:rsidRPr="001E01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E0147">
              <w:rPr>
                <w:rFonts w:ascii="Times New Roman" w:hAnsi="Times New Roman"/>
                <w:sz w:val="24"/>
                <w:szCs w:val="24"/>
                <w:lang w:val="en-GB"/>
              </w:rPr>
              <w:t>Cardiac monitoring</w:t>
            </w:r>
          </w:p>
        </w:tc>
      </w:tr>
      <w:tr w:rsidR="0050401C" w:rsidRPr="001E0147" w14:paraId="288C74E7" w14:textId="77777777" w:rsidTr="005232B3">
        <w:trPr>
          <w:trHeight w:val="232"/>
        </w:trPr>
        <w:tc>
          <w:tcPr>
            <w:tcW w:w="9464" w:type="dxa"/>
            <w:gridSpan w:val="2"/>
            <w:shd w:val="clear" w:color="auto" w:fill="9CC2E5" w:themeFill="accent1" w:themeFillTint="99"/>
          </w:tcPr>
          <w:p w14:paraId="499D09C4" w14:textId="4DF5F1BB" w:rsidR="003B1E54" w:rsidRPr="001E0147" w:rsidRDefault="003B1E54" w:rsidP="001E0147">
            <w:pPr>
              <w:spacing w:before="120" w:after="12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Additions to the </w:t>
            </w:r>
            <w:r w:rsidR="00CE149B" w:rsidRPr="001E01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RTTL</w:t>
            </w:r>
          </w:p>
        </w:tc>
      </w:tr>
      <w:tr w:rsidR="0050401C" w:rsidRPr="001E0147" w14:paraId="2D41AF45" w14:textId="77777777" w:rsidTr="005232B3">
        <w:trPr>
          <w:trHeight w:val="232"/>
        </w:trPr>
        <w:tc>
          <w:tcPr>
            <w:tcW w:w="9464" w:type="dxa"/>
            <w:gridSpan w:val="2"/>
            <w:shd w:val="clear" w:color="auto" w:fill="FFFFFF" w:themeFill="background1"/>
          </w:tcPr>
          <w:p w14:paraId="6BA82934" w14:textId="1FCB473E" w:rsidR="003B1E54" w:rsidRPr="001E0147" w:rsidRDefault="003B1E54" w:rsidP="001E0147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Patient is admitted at another campus </w:t>
            </w:r>
            <w:r w:rsidR="00D91DB4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other </w:t>
            </w: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than </w:t>
            </w:r>
            <w:r w:rsidR="00D91DB4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the UZ Leuven, Gasthuisberg campus</w:t>
            </w:r>
          </w:p>
        </w:tc>
      </w:tr>
      <w:tr w:rsidR="0050401C" w:rsidRPr="001E0147" w14:paraId="75BA1DAC" w14:textId="77777777" w:rsidTr="005232B3">
        <w:trPr>
          <w:trHeight w:val="232"/>
        </w:trPr>
        <w:tc>
          <w:tcPr>
            <w:tcW w:w="9464" w:type="dxa"/>
            <w:gridSpan w:val="2"/>
            <w:shd w:val="clear" w:color="auto" w:fill="FFFFFF" w:themeFill="background1"/>
          </w:tcPr>
          <w:p w14:paraId="75987B2B" w14:textId="781D3276" w:rsidR="003B1E54" w:rsidRPr="001E0147" w:rsidRDefault="003B1E54" w:rsidP="001E0147">
            <w:pPr>
              <w:spacing w:before="120" w:after="12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Patient is present at the hospital for an ambulan</w:t>
            </w:r>
            <w:r w:rsidR="00D91DB4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t investigation or consultation</w:t>
            </w:r>
          </w:p>
        </w:tc>
      </w:tr>
      <w:tr w:rsidR="0050401C" w:rsidRPr="001E0147" w14:paraId="1AF988BE" w14:textId="77777777" w:rsidTr="005232B3">
        <w:trPr>
          <w:trHeight w:val="232"/>
        </w:trPr>
        <w:tc>
          <w:tcPr>
            <w:tcW w:w="9464" w:type="dxa"/>
            <w:gridSpan w:val="2"/>
            <w:shd w:val="clear" w:color="auto" w:fill="FFFFFF" w:themeFill="background1"/>
          </w:tcPr>
          <w:p w14:paraId="1862A250" w14:textId="2D252360" w:rsidR="003B1E54" w:rsidRPr="001E0147" w:rsidRDefault="003B1E54" w:rsidP="001E0147">
            <w:pPr>
              <w:spacing w:before="120" w:after="12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Patient is admitted t</w:t>
            </w:r>
            <w:r w:rsidR="00D91DB4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o the hospital for only one day</w:t>
            </w:r>
          </w:p>
        </w:tc>
      </w:tr>
      <w:tr w:rsidR="0050401C" w:rsidRPr="001E0147" w14:paraId="6814661B" w14:textId="77777777" w:rsidTr="005232B3">
        <w:trPr>
          <w:trHeight w:val="232"/>
        </w:trPr>
        <w:tc>
          <w:tcPr>
            <w:tcW w:w="9464" w:type="dxa"/>
            <w:gridSpan w:val="2"/>
            <w:shd w:val="clear" w:color="auto" w:fill="FFFFFF" w:themeFill="background1"/>
          </w:tcPr>
          <w:p w14:paraId="709D92C4" w14:textId="765C8306" w:rsidR="003B1E54" w:rsidRPr="001E0147" w:rsidRDefault="003B1E54" w:rsidP="001E0147">
            <w:pPr>
              <w:spacing w:before="120" w:after="12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Patient is present at the </w:t>
            </w:r>
            <w:r w:rsidR="009B2E6E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ED</w:t>
            </w:r>
            <w:r w:rsidR="00D91DB4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for less than 6 hours</w:t>
            </w:r>
          </w:p>
        </w:tc>
      </w:tr>
      <w:tr w:rsidR="0050401C" w:rsidRPr="001E0147" w14:paraId="35F16FA9" w14:textId="77777777" w:rsidTr="005232B3">
        <w:trPr>
          <w:trHeight w:val="232"/>
        </w:trPr>
        <w:tc>
          <w:tcPr>
            <w:tcW w:w="9464" w:type="dxa"/>
            <w:gridSpan w:val="2"/>
            <w:shd w:val="clear" w:color="auto" w:fill="FFFFFF" w:themeFill="background1"/>
          </w:tcPr>
          <w:p w14:paraId="33F415B4" w14:textId="49EA3F99" w:rsidR="003B1E54" w:rsidRPr="001E0147" w:rsidRDefault="003B1E54" w:rsidP="001E0147">
            <w:pPr>
              <w:spacing w:before="120" w:after="12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Patient is present at the neonatology</w:t>
            </w:r>
            <w:r w:rsidR="00740D7C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unit</w:t>
            </w: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, </w:t>
            </w:r>
            <w:r w:rsidR="004D6ED6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haematological</w:t>
            </w: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isolation</w:t>
            </w:r>
            <w:r w:rsidR="00740D7C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 ward</w:t>
            </w:r>
            <w:r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, sleep laboratory </w:t>
            </w:r>
            <w:r w:rsidR="00740D7C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 xml:space="preserve">unit </w:t>
            </w:r>
            <w:r w:rsidR="00D91DB4" w:rsidRPr="001E0147"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  <w:t>or morgue</w:t>
            </w:r>
          </w:p>
        </w:tc>
      </w:tr>
    </w:tbl>
    <w:p w14:paraId="33B70B72" w14:textId="77777777" w:rsidR="001E0147" w:rsidRDefault="001E0147" w:rsidP="001E0147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nl-BE"/>
        </w:rPr>
      </w:pPr>
    </w:p>
    <w:p w14:paraId="610B7BCD" w14:textId="73705144" w:rsidR="00FC0B0B" w:rsidRPr="001E0147" w:rsidRDefault="00CB1558" w:rsidP="001E0147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nl-BE"/>
        </w:rPr>
      </w:pPr>
      <w:r w:rsidRPr="001E0147">
        <w:rPr>
          <w:rFonts w:ascii="Times New Roman" w:eastAsia="Times New Roman" w:hAnsi="Times New Roman"/>
          <w:sz w:val="24"/>
          <w:szCs w:val="24"/>
          <w:lang w:val="en-GB" w:eastAsia="nl-BE"/>
        </w:rPr>
        <w:t>ADL, Activities of daily life; CME, consequential medical event; CPR, cardiopulmonary resuscitation; PPV, positive pressure ventilation. * Number to the left of each entry is the original CI identification</w:t>
      </w:r>
    </w:p>
    <w:sectPr w:rsidR="00FC0B0B" w:rsidRPr="001E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21C93" w14:textId="77777777" w:rsidR="005F1262" w:rsidRDefault="005F1262" w:rsidP="00961FF1">
      <w:pPr>
        <w:spacing w:after="0" w:line="240" w:lineRule="auto"/>
      </w:pPr>
      <w:r>
        <w:separator/>
      </w:r>
    </w:p>
  </w:endnote>
  <w:endnote w:type="continuationSeparator" w:id="0">
    <w:p w14:paraId="475A2F74" w14:textId="77777777" w:rsidR="005F1262" w:rsidRDefault="005F1262" w:rsidP="0096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488331"/>
      <w:docPartObj>
        <w:docPartGallery w:val="Page Numbers (Bottom of Page)"/>
        <w:docPartUnique/>
      </w:docPartObj>
    </w:sdtPr>
    <w:sdtEndPr/>
    <w:sdtContent>
      <w:p w14:paraId="13CEDB95" w14:textId="7DA346F2" w:rsidR="005F1262" w:rsidRDefault="005F12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A6" w:rsidRPr="002B5BA6">
          <w:rPr>
            <w:noProof/>
            <w:lang w:val="nl-NL"/>
          </w:rPr>
          <w:t>10</w:t>
        </w:r>
        <w:r>
          <w:fldChar w:fldCharType="end"/>
        </w:r>
      </w:p>
    </w:sdtContent>
  </w:sdt>
  <w:p w14:paraId="1FC786EA" w14:textId="77777777" w:rsidR="005F1262" w:rsidRDefault="005F12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0172" w14:textId="77777777" w:rsidR="005F1262" w:rsidRDefault="005F1262" w:rsidP="00961FF1">
      <w:pPr>
        <w:spacing w:after="0" w:line="240" w:lineRule="auto"/>
      </w:pPr>
      <w:r>
        <w:separator/>
      </w:r>
    </w:p>
  </w:footnote>
  <w:footnote w:type="continuationSeparator" w:id="0">
    <w:p w14:paraId="1423EA20" w14:textId="77777777" w:rsidR="005F1262" w:rsidRDefault="005F1262" w:rsidP="0096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44C"/>
    <w:multiLevelType w:val="hybridMultilevel"/>
    <w:tmpl w:val="0B48224A"/>
    <w:lvl w:ilvl="0" w:tplc="B6D81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70E4"/>
    <w:multiLevelType w:val="hybridMultilevel"/>
    <w:tmpl w:val="B45CB5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A6"/>
    <w:rsid w:val="00002379"/>
    <w:rsid w:val="00006859"/>
    <w:rsid w:val="000167E1"/>
    <w:rsid w:val="00037D77"/>
    <w:rsid w:val="000726DE"/>
    <w:rsid w:val="0007448B"/>
    <w:rsid w:val="00084327"/>
    <w:rsid w:val="00096769"/>
    <w:rsid w:val="000B3681"/>
    <w:rsid w:val="000C6CEB"/>
    <w:rsid w:val="0010407B"/>
    <w:rsid w:val="00114532"/>
    <w:rsid w:val="001156C9"/>
    <w:rsid w:val="00154BEA"/>
    <w:rsid w:val="00164D94"/>
    <w:rsid w:val="00167476"/>
    <w:rsid w:val="001732A0"/>
    <w:rsid w:val="001772D0"/>
    <w:rsid w:val="0018451E"/>
    <w:rsid w:val="001936F2"/>
    <w:rsid w:val="001C4C0B"/>
    <w:rsid w:val="001C6622"/>
    <w:rsid w:val="001E0147"/>
    <w:rsid w:val="001F5A65"/>
    <w:rsid w:val="00270EA1"/>
    <w:rsid w:val="0027157F"/>
    <w:rsid w:val="002A4A69"/>
    <w:rsid w:val="002B107B"/>
    <w:rsid w:val="002B1D90"/>
    <w:rsid w:val="002B5BA6"/>
    <w:rsid w:val="002B7A4A"/>
    <w:rsid w:val="002C27C4"/>
    <w:rsid w:val="002D4093"/>
    <w:rsid w:val="002D6356"/>
    <w:rsid w:val="002E1F62"/>
    <w:rsid w:val="002F1060"/>
    <w:rsid w:val="00312AC4"/>
    <w:rsid w:val="00317363"/>
    <w:rsid w:val="00361FDB"/>
    <w:rsid w:val="00366FA6"/>
    <w:rsid w:val="00384752"/>
    <w:rsid w:val="00397FAD"/>
    <w:rsid w:val="003A52E1"/>
    <w:rsid w:val="003B1E54"/>
    <w:rsid w:val="003B2702"/>
    <w:rsid w:val="003C243B"/>
    <w:rsid w:val="003C7E8B"/>
    <w:rsid w:val="003F7066"/>
    <w:rsid w:val="00402131"/>
    <w:rsid w:val="00440A8E"/>
    <w:rsid w:val="004A3643"/>
    <w:rsid w:val="004D2F6C"/>
    <w:rsid w:val="004D6ED6"/>
    <w:rsid w:val="0050401C"/>
    <w:rsid w:val="0051146B"/>
    <w:rsid w:val="00515B3C"/>
    <w:rsid w:val="00516576"/>
    <w:rsid w:val="005232B3"/>
    <w:rsid w:val="0052574E"/>
    <w:rsid w:val="00532CC5"/>
    <w:rsid w:val="00557D01"/>
    <w:rsid w:val="005D31EC"/>
    <w:rsid w:val="005E3512"/>
    <w:rsid w:val="005F1262"/>
    <w:rsid w:val="005F4A79"/>
    <w:rsid w:val="00617D9D"/>
    <w:rsid w:val="0063106B"/>
    <w:rsid w:val="0066561F"/>
    <w:rsid w:val="00682BFD"/>
    <w:rsid w:val="006A5430"/>
    <w:rsid w:val="006B6DA8"/>
    <w:rsid w:val="006C1A1D"/>
    <w:rsid w:val="006C6D9D"/>
    <w:rsid w:val="006D0C1E"/>
    <w:rsid w:val="007266D9"/>
    <w:rsid w:val="00740D7C"/>
    <w:rsid w:val="0074567A"/>
    <w:rsid w:val="00755D66"/>
    <w:rsid w:val="007768D0"/>
    <w:rsid w:val="007839E7"/>
    <w:rsid w:val="007A7F07"/>
    <w:rsid w:val="007C0E83"/>
    <w:rsid w:val="007F1B6D"/>
    <w:rsid w:val="008264CD"/>
    <w:rsid w:val="00826607"/>
    <w:rsid w:val="00830429"/>
    <w:rsid w:val="00832FC7"/>
    <w:rsid w:val="00843F3E"/>
    <w:rsid w:val="00860C82"/>
    <w:rsid w:val="00861425"/>
    <w:rsid w:val="008760B2"/>
    <w:rsid w:val="008A4B05"/>
    <w:rsid w:val="008C4E1B"/>
    <w:rsid w:val="008D6E32"/>
    <w:rsid w:val="008E4B6D"/>
    <w:rsid w:val="008E4F0F"/>
    <w:rsid w:val="008E59EB"/>
    <w:rsid w:val="008F4BBE"/>
    <w:rsid w:val="00901575"/>
    <w:rsid w:val="0091284E"/>
    <w:rsid w:val="00930B74"/>
    <w:rsid w:val="00961FF1"/>
    <w:rsid w:val="009620FC"/>
    <w:rsid w:val="0096404D"/>
    <w:rsid w:val="009B0E37"/>
    <w:rsid w:val="009B2E6E"/>
    <w:rsid w:val="009B3612"/>
    <w:rsid w:val="009B79EE"/>
    <w:rsid w:val="009C551D"/>
    <w:rsid w:val="009F3823"/>
    <w:rsid w:val="00A2387D"/>
    <w:rsid w:val="00A55D33"/>
    <w:rsid w:val="00A65A4D"/>
    <w:rsid w:val="00A923DA"/>
    <w:rsid w:val="00AE1126"/>
    <w:rsid w:val="00AE322F"/>
    <w:rsid w:val="00AF0553"/>
    <w:rsid w:val="00AF7DEE"/>
    <w:rsid w:val="00B23E66"/>
    <w:rsid w:val="00B24579"/>
    <w:rsid w:val="00B46DC2"/>
    <w:rsid w:val="00B6669D"/>
    <w:rsid w:val="00B71232"/>
    <w:rsid w:val="00B846E4"/>
    <w:rsid w:val="00B978D4"/>
    <w:rsid w:val="00BB4EC3"/>
    <w:rsid w:val="00BC5B7D"/>
    <w:rsid w:val="00BD4C22"/>
    <w:rsid w:val="00BE75F2"/>
    <w:rsid w:val="00BF2A69"/>
    <w:rsid w:val="00C167D0"/>
    <w:rsid w:val="00C63394"/>
    <w:rsid w:val="00C658D9"/>
    <w:rsid w:val="00C65917"/>
    <w:rsid w:val="00C66F62"/>
    <w:rsid w:val="00C7201E"/>
    <w:rsid w:val="00C73D6F"/>
    <w:rsid w:val="00C76E94"/>
    <w:rsid w:val="00C83FB5"/>
    <w:rsid w:val="00C9761B"/>
    <w:rsid w:val="00CB1558"/>
    <w:rsid w:val="00CB2806"/>
    <w:rsid w:val="00CC7D9E"/>
    <w:rsid w:val="00CE149B"/>
    <w:rsid w:val="00CF2391"/>
    <w:rsid w:val="00D230F5"/>
    <w:rsid w:val="00D55772"/>
    <w:rsid w:val="00D634C9"/>
    <w:rsid w:val="00D666D7"/>
    <w:rsid w:val="00D9070A"/>
    <w:rsid w:val="00D915D6"/>
    <w:rsid w:val="00D91DB4"/>
    <w:rsid w:val="00DA1E61"/>
    <w:rsid w:val="00DA3F8E"/>
    <w:rsid w:val="00DB00AB"/>
    <w:rsid w:val="00DB7604"/>
    <w:rsid w:val="00DE1D77"/>
    <w:rsid w:val="00DF4B45"/>
    <w:rsid w:val="00E135FE"/>
    <w:rsid w:val="00E475C7"/>
    <w:rsid w:val="00E63996"/>
    <w:rsid w:val="00E74AB4"/>
    <w:rsid w:val="00E83C1F"/>
    <w:rsid w:val="00EA5D7F"/>
    <w:rsid w:val="00EE1C80"/>
    <w:rsid w:val="00EF4436"/>
    <w:rsid w:val="00F0009C"/>
    <w:rsid w:val="00F3695D"/>
    <w:rsid w:val="00F36C8A"/>
    <w:rsid w:val="00F56076"/>
    <w:rsid w:val="00F630F9"/>
    <w:rsid w:val="00F85AC6"/>
    <w:rsid w:val="00F961C4"/>
    <w:rsid w:val="00FA7220"/>
    <w:rsid w:val="00FB5877"/>
    <w:rsid w:val="00FC0B0B"/>
    <w:rsid w:val="00FE2234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0E0A"/>
  <w15:docId w15:val="{82521198-FCC8-4C54-BFCF-B8B56692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66F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11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6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66F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66FA6"/>
    <w:pPr>
      <w:ind w:left="720"/>
    </w:pPr>
  </w:style>
  <w:style w:type="table" w:styleId="Tabelraster">
    <w:name w:val="Table Grid"/>
    <w:basedOn w:val="Standaardtabel"/>
    <w:uiPriority w:val="59"/>
    <w:rsid w:val="00366FA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847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47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4752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47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4752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752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FF1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6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FF1"/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11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snonlinkmetadata">
    <w:name w:val="abs_nonlink_metadata"/>
    <w:basedOn w:val="Standaardalinea-lettertype"/>
    <w:rsid w:val="0051146B"/>
  </w:style>
  <w:style w:type="character" w:customStyle="1" w:styleId="mixed-citation">
    <w:name w:val="mixed-citation"/>
    <w:basedOn w:val="Standaardalinea-lettertype"/>
    <w:rsid w:val="0051146B"/>
  </w:style>
  <w:style w:type="character" w:customStyle="1" w:styleId="ref-journal">
    <w:name w:val="ref-journal"/>
    <w:basedOn w:val="Standaardalinea-lettertype"/>
    <w:rsid w:val="0051146B"/>
  </w:style>
  <w:style w:type="character" w:customStyle="1" w:styleId="ref-vol">
    <w:name w:val="ref-vol"/>
    <w:basedOn w:val="Standaardalinea-lettertype"/>
    <w:rsid w:val="0051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51B0-45B1-4242-B3F6-4CC5274F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CE2002AA</Template>
  <TotalTime>634</TotalTime>
  <Pages>11</Pages>
  <Words>2582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Pollaris</dc:creator>
  <cp:keywords/>
  <dc:description/>
  <cp:lastModifiedBy>Lea Van Roelen</cp:lastModifiedBy>
  <cp:revision>52</cp:revision>
  <cp:lastPrinted>2016-10-27T10:06:00Z</cp:lastPrinted>
  <dcterms:created xsi:type="dcterms:W3CDTF">2016-10-24T17:03:00Z</dcterms:created>
  <dcterms:modified xsi:type="dcterms:W3CDTF">2017-03-15T15:14:00Z</dcterms:modified>
</cp:coreProperties>
</file>