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CC" w:rsidRPr="000E603A" w:rsidRDefault="00744DCC" w:rsidP="00744DCC">
      <w:pPr>
        <w:jc w:val="center"/>
        <w:rPr>
          <w:rFonts w:asciiTheme="majorBidi" w:hAnsiTheme="majorBidi" w:cstheme="majorBidi"/>
          <w:b/>
          <w:bCs/>
          <w:sz w:val="24"/>
          <w:szCs w:val="24"/>
        </w:rPr>
      </w:pPr>
      <w:r w:rsidRPr="000E603A">
        <w:rPr>
          <w:rFonts w:asciiTheme="majorBidi" w:hAnsiTheme="majorBidi" w:cstheme="majorBidi"/>
          <w:b/>
          <w:bCs/>
          <w:sz w:val="24"/>
          <w:szCs w:val="24"/>
        </w:rPr>
        <w:t>Supp</w:t>
      </w:r>
      <w:r w:rsidR="00914A05">
        <w:rPr>
          <w:rFonts w:asciiTheme="majorBidi" w:hAnsiTheme="majorBidi" w:cstheme="majorBidi"/>
          <w:b/>
          <w:bCs/>
          <w:sz w:val="24"/>
          <w:szCs w:val="24"/>
        </w:rPr>
        <w:t xml:space="preserve">lementary </w:t>
      </w:r>
      <w:bookmarkStart w:id="0" w:name="_GoBack"/>
      <w:bookmarkEnd w:id="0"/>
      <w:r w:rsidRPr="000E603A">
        <w:rPr>
          <w:rFonts w:asciiTheme="majorBidi" w:hAnsiTheme="majorBidi" w:cstheme="majorBidi"/>
          <w:b/>
          <w:bCs/>
          <w:sz w:val="24"/>
          <w:szCs w:val="24"/>
        </w:rPr>
        <w:t>Material</w:t>
      </w:r>
    </w:p>
    <w:p w:rsidR="00744DCC" w:rsidRPr="000E603A" w:rsidRDefault="00744DCC" w:rsidP="00744DCC">
      <w:pPr>
        <w:rPr>
          <w:rFonts w:asciiTheme="majorBidi" w:hAnsiTheme="majorBidi" w:cstheme="majorBidi"/>
          <w:b/>
          <w:bCs/>
          <w:sz w:val="24"/>
          <w:szCs w:val="24"/>
        </w:rPr>
      </w:pPr>
      <w:r w:rsidRPr="000E603A">
        <w:rPr>
          <w:rFonts w:asciiTheme="majorBidi" w:hAnsiTheme="majorBidi" w:cstheme="majorBidi"/>
          <w:b/>
          <w:bCs/>
          <w:sz w:val="24"/>
          <w:szCs w:val="24"/>
        </w:rPr>
        <w:t xml:space="preserve">Inter-regional system collection and utilization data implementation </w:t>
      </w:r>
    </w:p>
    <w:p w:rsidR="00744DCC" w:rsidRPr="005E6EDC" w:rsidRDefault="00744DCC" w:rsidP="009348C7">
      <w:pPr>
        <w:rPr>
          <w:rFonts w:asciiTheme="majorBidi" w:hAnsiTheme="majorBidi" w:cstheme="majorBidi"/>
        </w:rPr>
      </w:pPr>
      <w:r w:rsidRPr="005E6EDC">
        <w:rPr>
          <w:rFonts w:asciiTheme="majorBidi" w:hAnsiTheme="majorBidi" w:cstheme="majorBidi"/>
        </w:rPr>
        <w:t xml:space="preserve">The US inter-regional blood supply model divides the US into four regions East, South, Midwest and West according to America’s Blood Centers (ABC) </w:t>
      </w:r>
      <w:r w:rsidR="000E603A" w:rsidRPr="005E6EDC">
        <w:rPr>
          <w:rFonts w:asciiTheme="majorBidi" w:hAnsiTheme="majorBidi" w:cstheme="majorBidi"/>
        </w:rPr>
        <w:t>spotlight report</w:t>
      </w:r>
      <w:r w:rsidR="009348C7">
        <w:rPr>
          <w:rFonts w:asciiTheme="majorBidi" w:hAnsiTheme="majorBidi" w:cstheme="majorBidi"/>
        </w:rPr>
        <w:fldChar w:fldCharType="begin"/>
      </w:r>
      <w:r w:rsidR="009348C7">
        <w:rPr>
          <w:rFonts w:asciiTheme="majorBidi" w:hAnsiTheme="majorBidi" w:cstheme="majorBidi"/>
        </w:rPr>
        <w:instrText xml:space="preserve"> ADDIN EN.CITE &lt;EndNote&gt;&lt;Cite&gt;&lt;Year&gt;2014&lt;/Year&gt;&lt;RecNum&gt;60&lt;/RecNum&gt;&lt;DisplayText&gt;&lt;style face="superscript"&gt;1&lt;/style&gt;&lt;/DisplayText&gt;&lt;record&gt;&lt;rec-number&gt;60&lt;/rec-number&gt;&lt;foreign-keys&gt;&lt;key app="EN" db-id="stzwdtp99p5ep5ee0r7vew0ofr2swrf9papr" timestamp="1439982047"&gt;60&lt;/key&gt;&lt;/foreign-keys&gt;&lt;ref-type name="Web Page"&gt;12&lt;/ref-type&gt;&lt;contributors&gt;&lt;/contributors&gt;&lt;titles&gt;&lt;title&gt;America&amp;apos;s Blood Centers website&lt;/title&gt;&lt;/titles&gt;&lt;volume&gt;2014&lt;/volume&gt;&lt;number&gt;5/28/2014&lt;/number&gt;&lt;dates&gt;&lt;year&gt;2014&lt;/year&gt;&lt;pub-dates&gt;&lt;date&gt;5/28/2014&lt;/date&gt;&lt;/pub-dates&gt;&lt;/dates&gt;&lt;label&gt;ANON2014B&lt;/label&gt;&lt;urls&gt;&lt;related-urls&gt;&lt;url&gt;&lt;style face="underline" font="default" size="100%"&gt;http://www.americasblood.org/stoplight.aspx&lt;/style&gt;&lt;/url&gt;&lt;/related-urls&gt;&lt;/urls&gt;&lt;/record&gt;&lt;/Cite&gt;&lt;/EndNote&gt;</w:instrText>
      </w:r>
      <w:r w:rsidR="009348C7">
        <w:rPr>
          <w:rFonts w:asciiTheme="majorBidi" w:hAnsiTheme="majorBidi" w:cstheme="majorBidi"/>
        </w:rPr>
        <w:fldChar w:fldCharType="separate"/>
      </w:r>
      <w:r w:rsidR="009348C7" w:rsidRPr="009348C7">
        <w:rPr>
          <w:rFonts w:asciiTheme="majorBidi" w:hAnsiTheme="majorBidi" w:cstheme="majorBidi"/>
          <w:noProof/>
          <w:vertAlign w:val="superscript"/>
        </w:rPr>
        <w:t>1</w:t>
      </w:r>
      <w:r w:rsidR="009348C7">
        <w:rPr>
          <w:rFonts w:asciiTheme="majorBidi" w:hAnsiTheme="majorBidi" w:cstheme="majorBidi"/>
        </w:rPr>
        <w:fldChar w:fldCharType="end"/>
      </w:r>
      <w:r w:rsidR="000E603A" w:rsidRPr="005E6EDC">
        <w:rPr>
          <w:rFonts w:asciiTheme="majorBidi" w:hAnsiTheme="majorBidi" w:cstheme="majorBidi"/>
        </w:rPr>
        <w:t xml:space="preserve"> </w:t>
      </w:r>
      <w:r w:rsidRPr="005E6EDC">
        <w:rPr>
          <w:rFonts w:asciiTheme="majorBidi" w:hAnsiTheme="majorBidi" w:cstheme="majorBidi"/>
        </w:rPr>
        <w:t xml:space="preserve">with 20%, 24%, 25% and 31% of the national blood collected by each region, respectively. In 2010, it is estimated that 15,721,000 blood </w:t>
      </w:r>
      <w:r w:rsidR="00307480">
        <w:rPr>
          <w:rFonts w:asciiTheme="majorBidi" w:hAnsiTheme="majorBidi" w:cstheme="majorBidi"/>
        </w:rPr>
        <w:t xml:space="preserve">units </w:t>
      </w:r>
      <w:r w:rsidRPr="005E6EDC">
        <w:rPr>
          <w:rFonts w:asciiTheme="majorBidi" w:hAnsiTheme="majorBidi" w:cstheme="majorBidi"/>
        </w:rPr>
        <w:t xml:space="preserve">were collected in the US (NBCUS 2011). We, then, </w:t>
      </w:r>
      <w:r w:rsidR="000E603A" w:rsidRPr="005E6EDC">
        <w:rPr>
          <w:rFonts w:asciiTheme="majorBidi" w:hAnsiTheme="majorBidi" w:cstheme="majorBidi"/>
        </w:rPr>
        <w:t xml:space="preserve">estimated </w:t>
      </w:r>
      <w:r w:rsidRPr="005E6EDC">
        <w:rPr>
          <w:rFonts w:asciiTheme="majorBidi" w:hAnsiTheme="majorBidi" w:cstheme="majorBidi"/>
        </w:rPr>
        <w:t xml:space="preserve">the average daily blood units collected </w:t>
      </w:r>
      <w:r w:rsidR="00A314A8">
        <w:rPr>
          <w:rFonts w:asciiTheme="majorBidi" w:hAnsiTheme="majorBidi" w:cstheme="majorBidi"/>
        </w:rPr>
        <w:t>at</w:t>
      </w:r>
      <w:r w:rsidR="000E603A" w:rsidRPr="005E6EDC">
        <w:rPr>
          <w:rFonts w:asciiTheme="majorBidi" w:hAnsiTheme="majorBidi" w:cstheme="majorBidi"/>
        </w:rPr>
        <w:t xml:space="preserve"> about </w:t>
      </w:r>
      <w:r w:rsidRPr="005E6EDC">
        <w:rPr>
          <w:rFonts w:asciiTheme="majorBidi" w:hAnsiTheme="majorBidi" w:cstheme="majorBidi"/>
        </w:rPr>
        <w:t xml:space="preserve">43,071 units (15,721,000/365). To obtain the number of units collected at each region, </w:t>
      </w:r>
      <w:r w:rsidR="000E603A" w:rsidRPr="005E6EDC">
        <w:rPr>
          <w:rFonts w:asciiTheme="majorBidi" w:hAnsiTheme="majorBidi" w:cstheme="majorBidi"/>
        </w:rPr>
        <w:t xml:space="preserve">we distributed </w:t>
      </w:r>
      <w:r w:rsidRPr="005E6EDC">
        <w:rPr>
          <w:rFonts w:asciiTheme="majorBidi" w:hAnsiTheme="majorBidi" w:cstheme="majorBidi"/>
        </w:rPr>
        <w:t>the national daily blood collected among the regions according to the percentages shown above. For the same regions we obtained the percentages of blood utilized in each region from the Centers for Medicare and Medicaid 25%, 21%, 20% and 34%</w:t>
      </w:r>
    </w:p>
    <w:p w:rsidR="00FF77F6" w:rsidRPr="00FF77F6" w:rsidRDefault="00FF77F6" w:rsidP="00FF77F6"/>
    <w:p w:rsidR="00FF77F6" w:rsidRDefault="00FF77F6" w:rsidP="00FF77F6"/>
    <w:p w:rsidR="00323875" w:rsidRDefault="00323875">
      <w:r>
        <w:br w:type="page"/>
      </w:r>
    </w:p>
    <w:p w:rsidR="00391754" w:rsidRDefault="00391754" w:rsidP="00391754">
      <w:r>
        <w:rPr>
          <w:rFonts w:cstheme="majorBidi"/>
          <w:noProof/>
        </w:rPr>
        <w:lastRenderedPageBreak/>
        <w:drawing>
          <wp:inline distT="0" distB="0" distL="0" distR="0" wp14:anchorId="2389EC59" wp14:editId="7D3CE4E6">
            <wp:extent cx="5943600" cy="1925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ntPopulationHbBelowThresho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25955"/>
                    </a:xfrm>
                    <a:prstGeom prst="rect">
                      <a:avLst/>
                    </a:prstGeom>
                  </pic:spPr>
                </pic:pic>
              </a:graphicData>
            </a:graphic>
          </wp:inline>
        </w:drawing>
      </w:r>
    </w:p>
    <w:p w:rsidR="00391754" w:rsidRDefault="00391754" w:rsidP="00350575">
      <w:pPr>
        <w:pStyle w:val="Caption"/>
      </w:pPr>
      <w:r>
        <w:t xml:space="preserve">Figure </w:t>
      </w:r>
      <w:r w:rsidR="00350575">
        <w:t>S1</w:t>
      </w:r>
      <w:r>
        <w:t xml:space="preserve"> (a) Cumulative probability function (CDF) for casualties at day 1, 25 and 40 with hemoglobin 6 to 20</w:t>
      </w:r>
      <w:r w:rsidR="0057052C">
        <w:t xml:space="preserve"> g/DL</w:t>
      </w:r>
      <w:r>
        <w:t>, (b) the percentage of casualties with hemoglobin lower than a threshold of 8 g/</w:t>
      </w:r>
      <w:proofErr w:type="spellStart"/>
      <w:r>
        <w:t>dL</w:t>
      </w:r>
      <w:proofErr w:type="spellEnd"/>
      <w:r>
        <w:t xml:space="preserve"> (red) and 10 g/</w:t>
      </w:r>
      <w:proofErr w:type="spellStart"/>
      <w:r>
        <w:t>dL</w:t>
      </w:r>
      <w:proofErr w:type="spellEnd"/>
      <w:r>
        <w:t xml:space="preserve"> (blue).  </w:t>
      </w:r>
    </w:p>
    <w:p w:rsidR="00744DCC" w:rsidRDefault="00744DCC" w:rsidP="00744DCC"/>
    <w:p w:rsidR="00744DCC" w:rsidRPr="00B62C96" w:rsidRDefault="00744DCC" w:rsidP="009348C7">
      <w:pPr>
        <w:rPr>
          <w:rFonts w:asciiTheme="majorBidi" w:hAnsiTheme="majorBidi" w:cstheme="majorBidi"/>
        </w:rPr>
      </w:pPr>
      <w:r w:rsidRPr="00B62C96">
        <w:rPr>
          <w:rFonts w:asciiTheme="majorBidi" w:hAnsiTheme="majorBidi" w:cstheme="majorBidi"/>
        </w:rPr>
        <w:t>Figure S1a shows the cumula</w:t>
      </w:r>
      <w:r w:rsidR="00E45D1C" w:rsidRPr="00B62C96">
        <w:rPr>
          <w:rFonts w:asciiTheme="majorBidi" w:hAnsiTheme="majorBidi" w:cstheme="majorBidi"/>
        </w:rPr>
        <w:t>tive probability function for three normal distributions of hemoglobin levels at days 1, 25 and 40 post</w:t>
      </w:r>
      <w:r w:rsidR="0057052C">
        <w:rPr>
          <w:rFonts w:asciiTheme="majorBidi" w:hAnsiTheme="majorBidi" w:cstheme="majorBidi"/>
        </w:rPr>
        <w:t>-</w:t>
      </w:r>
      <w:r w:rsidR="00E45D1C" w:rsidRPr="00B62C96">
        <w:rPr>
          <w:rFonts w:asciiTheme="majorBidi" w:hAnsiTheme="majorBidi" w:cstheme="majorBidi"/>
        </w:rPr>
        <w:t xml:space="preserve">event. On day </w:t>
      </w:r>
      <w:r w:rsidR="0057052C">
        <w:rPr>
          <w:rFonts w:asciiTheme="majorBidi" w:hAnsiTheme="majorBidi" w:cstheme="majorBidi"/>
        </w:rPr>
        <w:t>1</w:t>
      </w:r>
      <w:r w:rsidR="00E45D1C" w:rsidRPr="00B62C96">
        <w:rPr>
          <w:rFonts w:asciiTheme="majorBidi" w:hAnsiTheme="majorBidi" w:cstheme="majorBidi"/>
        </w:rPr>
        <w:t>, we assume</w:t>
      </w:r>
      <w:r w:rsidR="00A314A8">
        <w:rPr>
          <w:rFonts w:asciiTheme="majorBidi" w:hAnsiTheme="majorBidi" w:cstheme="majorBidi"/>
        </w:rPr>
        <w:t>d</w:t>
      </w:r>
      <w:r w:rsidR="00E45D1C" w:rsidRPr="00B62C96">
        <w:rPr>
          <w:rFonts w:asciiTheme="majorBidi" w:hAnsiTheme="majorBidi" w:cstheme="majorBidi"/>
        </w:rPr>
        <w:t xml:space="preserve"> the hemoglobin level of the casualties is normally distributed with a mean of 13.5 g/</w:t>
      </w:r>
      <w:proofErr w:type="spellStart"/>
      <w:r w:rsidR="00E45D1C" w:rsidRPr="00B62C96">
        <w:rPr>
          <w:rFonts w:asciiTheme="majorBidi" w:hAnsiTheme="majorBidi" w:cstheme="majorBidi"/>
        </w:rPr>
        <w:t>dL</w:t>
      </w:r>
      <w:proofErr w:type="spellEnd"/>
      <w:r w:rsidR="00E45D1C" w:rsidRPr="00B62C96">
        <w:rPr>
          <w:rFonts w:asciiTheme="majorBidi" w:hAnsiTheme="majorBidi" w:cstheme="majorBidi"/>
        </w:rPr>
        <w:t xml:space="preserve"> and standard deviation of 1.48 g/</w:t>
      </w:r>
      <w:proofErr w:type="spellStart"/>
      <w:r w:rsidR="00E45D1C" w:rsidRPr="00B62C96">
        <w:rPr>
          <w:rFonts w:asciiTheme="majorBidi" w:hAnsiTheme="majorBidi" w:cstheme="majorBidi"/>
        </w:rPr>
        <w:t>dL</w:t>
      </w:r>
      <w:proofErr w:type="spellEnd"/>
      <w:r w:rsidR="00B62C96" w:rsidRPr="00B62C96">
        <w:rPr>
          <w:rFonts w:asciiTheme="majorBidi" w:hAnsiTheme="majorBidi" w:cstheme="majorBidi"/>
        </w:rPr>
        <w:t xml:space="preserve"> (blue </w:t>
      </w:r>
      <w:r w:rsidR="00A314A8">
        <w:rPr>
          <w:rFonts w:asciiTheme="majorBidi" w:hAnsiTheme="majorBidi" w:cstheme="majorBidi"/>
        </w:rPr>
        <w:t>curve</w:t>
      </w:r>
      <w:r w:rsidR="00B62C96" w:rsidRPr="00B62C96">
        <w:rPr>
          <w:rFonts w:asciiTheme="majorBidi" w:hAnsiTheme="majorBidi" w:cstheme="majorBidi"/>
        </w:rPr>
        <w:t>)</w:t>
      </w:r>
      <w:r w:rsidR="00E45D1C" w:rsidRPr="00B62C96">
        <w:rPr>
          <w:rFonts w:asciiTheme="majorBidi" w:hAnsiTheme="majorBidi" w:cstheme="majorBidi"/>
        </w:rPr>
        <w:t>, s</w:t>
      </w:r>
      <w:r w:rsidR="0057052C">
        <w:rPr>
          <w:rFonts w:asciiTheme="majorBidi" w:hAnsiTheme="majorBidi" w:cstheme="majorBidi"/>
        </w:rPr>
        <w:t xml:space="preserve">ame as that one reported for the </w:t>
      </w:r>
      <w:r w:rsidR="00E45D1C" w:rsidRPr="00B62C96">
        <w:rPr>
          <w:rFonts w:asciiTheme="majorBidi" w:hAnsiTheme="majorBidi" w:cstheme="majorBidi"/>
        </w:rPr>
        <w:t>US population.</w:t>
      </w:r>
      <w:r w:rsidR="009348C7">
        <w:rPr>
          <w:rFonts w:asciiTheme="majorBidi" w:hAnsiTheme="majorBidi" w:cstheme="majorBidi"/>
        </w:rPr>
        <w:fldChar w:fldCharType="begin"/>
      </w:r>
      <w:r w:rsidR="009348C7">
        <w:rPr>
          <w:rFonts w:asciiTheme="majorBidi" w:hAnsiTheme="majorBidi" w:cstheme="majorBidi"/>
        </w:rPr>
        <w:instrText xml:space="preserve"> ADDIN EN.CITE &lt;EndNote&gt;&lt;Cite&gt;&lt;Year&gt;2011-2012&lt;/Year&gt;&lt;RecNum&gt;106&lt;/RecNum&gt;&lt;DisplayText&gt;&lt;style face="superscript"&gt;2&lt;/style&gt;&lt;/DisplayText&gt;&lt;record&gt;&lt;rec-number&gt;106&lt;/rec-number&gt;&lt;foreign-keys&gt;&lt;key app="EN" db-id="stzwdtp99p5ep5ee0r7vew0ofr2swrf9papr" timestamp="1450727596"&gt;106&lt;/key&gt;&lt;/foreign-keys&gt;&lt;ref-type name="Dataset"&gt;59&lt;/ref-type&gt;&lt;contributors&gt;&lt;/contributors&gt;&lt;titles&gt;&lt;title&gt;Centers for Disease Control and Prevention (CDC). National Center for Health Statistics (NCHS). National Health and Nutrition Examination Survey Data. Hyattsville, MD: U.S. Department of Health and Human Services, Centers for Disease Control and Prevention&lt;/title&gt;&lt;/titles&gt;&lt;dates&gt;&lt;year&gt;2011-2012&lt;/year&gt;&lt;/dates&gt;&lt;urls&gt;&lt;related-urls&gt;&lt;url&gt;http://wwwn.cdc.gov/Nchs/Nhanes/Search/DataPage.aspx?Component=Laboratory&amp;amp;CycleBeginYear=2011&lt;/url&gt;&lt;/related-urls&gt;&lt;/urls&gt;&lt;/record&gt;&lt;/Cite&gt;&lt;/EndNote&gt;</w:instrText>
      </w:r>
      <w:r w:rsidR="009348C7">
        <w:rPr>
          <w:rFonts w:asciiTheme="majorBidi" w:hAnsiTheme="majorBidi" w:cstheme="majorBidi"/>
        </w:rPr>
        <w:fldChar w:fldCharType="separate"/>
      </w:r>
      <w:r w:rsidR="009348C7" w:rsidRPr="009348C7">
        <w:rPr>
          <w:rFonts w:asciiTheme="majorBidi" w:hAnsiTheme="majorBidi" w:cstheme="majorBidi"/>
          <w:noProof/>
          <w:vertAlign w:val="superscript"/>
        </w:rPr>
        <w:t>2</w:t>
      </w:r>
      <w:r w:rsidR="009348C7">
        <w:rPr>
          <w:rFonts w:asciiTheme="majorBidi" w:hAnsiTheme="majorBidi" w:cstheme="majorBidi"/>
        </w:rPr>
        <w:fldChar w:fldCharType="end"/>
      </w:r>
      <w:r w:rsidR="00E45D1C" w:rsidRPr="00B62C96">
        <w:rPr>
          <w:rFonts w:asciiTheme="majorBidi" w:hAnsiTheme="majorBidi" w:cstheme="majorBidi"/>
        </w:rPr>
        <w:t xml:space="preserve"> </w:t>
      </w:r>
      <w:r w:rsidR="00E8326B" w:rsidRPr="00B62C96">
        <w:rPr>
          <w:rFonts w:asciiTheme="majorBidi" w:hAnsiTheme="majorBidi" w:cstheme="majorBidi"/>
        </w:rPr>
        <w:t>Due to senescence, the hemoglobin of this cohort diminishes at a rate of 1/120 (0.83%)</w:t>
      </w:r>
      <w:r w:rsidR="00B62C96" w:rsidRPr="00B62C96">
        <w:rPr>
          <w:rFonts w:asciiTheme="majorBidi" w:hAnsiTheme="majorBidi" w:cstheme="majorBidi"/>
        </w:rPr>
        <w:t xml:space="preserve"> everyday</w:t>
      </w:r>
      <w:r w:rsidR="00E8326B" w:rsidRPr="00B62C96">
        <w:rPr>
          <w:rFonts w:asciiTheme="majorBidi" w:hAnsiTheme="majorBidi" w:cstheme="majorBidi"/>
        </w:rPr>
        <w:t>, therefore, after 25 days the mean hemoglobin level of the cohort of casualties</w:t>
      </w:r>
      <w:r w:rsidR="00B62C96" w:rsidRPr="00B62C96">
        <w:rPr>
          <w:rFonts w:asciiTheme="majorBidi" w:hAnsiTheme="majorBidi" w:cstheme="majorBidi"/>
        </w:rPr>
        <w:t xml:space="preserve"> is =</w:t>
      </w:r>
      <w:r w:rsidR="00E8326B" w:rsidRPr="00B62C96">
        <w:rPr>
          <w:rFonts w:asciiTheme="majorBidi" w:hAnsiTheme="majorBidi" w:cstheme="majorBidi"/>
        </w:rPr>
        <w:t>13.5 – (</w:t>
      </w:r>
      <w:r w:rsidR="00B62C96" w:rsidRPr="00B62C96">
        <w:rPr>
          <w:rFonts w:asciiTheme="majorBidi" w:hAnsiTheme="majorBidi" w:cstheme="majorBidi"/>
        </w:rPr>
        <w:t>25/120*13.5) = 10.687 g/</w:t>
      </w:r>
      <w:proofErr w:type="spellStart"/>
      <w:r w:rsidR="00B62C96" w:rsidRPr="00B62C96">
        <w:rPr>
          <w:rFonts w:asciiTheme="majorBidi" w:hAnsiTheme="majorBidi" w:cstheme="majorBidi"/>
        </w:rPr>
        <w:t>dL</w:t>
      </w:r>
      <w:proofErr w:type="spellEnd"/>
      <w:r w:rsidR="00B62C96" w:rsidRPr="00B62C96">
        <w:rPr>
          <w:rFonts w:asciiTheme="majorBidi" w:hAnsiTheme="majorBidi" w:cstheme="majorBidi"/>
        </w:rPr>
        <w:t xml:space="preserve"> (green </w:t>
      </w:r>
      <w:r w:rsidR="00A314A8">
        <w:rPr>
          <w:rFonts w:asciiTheme="majorBidi" w:hAnsiTheme="majorBidi" w:cstheme="majorBidi"/>
        </w:rPr>
        <w:t>curve</w:t>
      </w:r>
      <w:r w:rsidR="00B62C96" w:rsidRPr="00B62C96">
        <w:rPr>
          <w:rFonts w:asciiTheme="majorBidi" w:hAnsiTheme="majorBidi" w:cstheme="majorBidi"/>
        </w:rPr>
        <w:t>). At day 40, the mean hemoglobin is 9 g/</w:t>
      </w:r>
      <w:proofErr w:type="spellStart"/>
      <w:r w:rsidR="00B62C96" w:rsidRPr="00B62C96">
        <w:rPr>
          <w:rFonts w:asciiTheme="majorBidi" w:hAnsiTheme="majorBidi" w:cstheme="majorBidi"/>
        </w:rPr>
        <w:t>dL</w:t>
      </w:r>
      <w:proofErr w:type="spellEnd"/>
      <w:r w:rsidR="00B62C96" w:rsidRPr="00B62C96">
        <w:rPr>
          <w:rFonts w:asciiTheme="majorBidi" w:hAnsiTheme="majorBidi" w:cstheme="majorBidi"/>
        </w:rPr>
        <w:t xml:space="preserve"> (red </w:t>
      </w:r>
      <w:r w:rsidR="00A314A8">
        <w:rPr>
          <w:rFonts w:asciiTheme="majorBidi" w:hAnsiTheme="majorBidi" w:cstheme="majorBidi"/>
        </w:rPr>
        <w:t>curve</w:t>
      </w:r>
      <w:r w:rsidR="00B62C96" w:rsidRPr="00B62C96">
        <w:rPr>
          <w:rFonts w:asciiTheme="majorBidi" w:hAnsiTheme="majorBidi" w:cstheme="majorBidi"/>
        </w:rPr>
        <w:t>). Each of these lines shows the probability of someone having hemoglobin equal to or less than a certain value. For example, if the threshold we are interested in is 8 g/</w:t>
      </w:r>
      <w:proofErr w:type="spellStart"/>
      <w:r w:rsidR="00B62C96" w:rsidRPr="00B62C96">
        <w:rPr>
          <w:rFonts w:asciiTheme="majorBidi" w:hAnsiTheme="majorBidi" w:cstheme="majorBidi"/>
        </w:rPr>
        <w:t>dL</w:t>
      </w:r>
      <w:proofErr w:type="spellEnd"/>
      <w:r w:rsidR="00B62C96" w:rsidRPr="00B62C96">
        <w:rPr>
          <w:rFonts w:asciiTheme="majorBidi" w:hAnsiTheme="majorBidi" w:cstheme="majorBidi"/>
        </w:rPr>
        <w:t>, a vertical line at 8 intersects with the three lines provide the probability of someone having hemoglobin of 8 g/</w:t>
      </w:r>
      <w:proofErr w:type="spellStart"/>
      <w:r w:rsidR="00B62C96" w:rsidRPr="00B62C96">
        <w:rPr>
          <w:rFonts w:asciiTheme="majorBidi" w:hAnsiTheme="majorBidi" w:cstheme="majorBidi"/>
        </w:rPr>
        <w:t>dL</w:t>
      </w:r>
      <w:proofErr w:type="spellEnd"/>
      <w:r w:rsidR="00B62C96" w:rsidRPr="00B62C96">
        <w:rPr>
          <w:rFonts w:asciiTheme="majorBidi" w:hAnsiTheme="majorBidi" w:cstheme="majorBidi"/>
        </w:rPr>
        <w:t xml:space="preserve"> or less.  </w:t>
      </w:r>
      <w:r w:rsidR="00B62C96">
        <w:rPr>
          <w:rFonts w:asciiTheme="majorBidi" w:hAnsiTheme="majorBidi" w:cstheme="majorBidi"/>
        </w:rPr>
        <w:t xml:space="preserve">We can generate a curve </w:t>
      </w:r>
      <w:r w:rsidR="0057052C">
        <w:rPr>
          <w:rFonts w:asciiTheme="majorBidi" w:hAnsiTheme="majorBidi" w:cstheme="majorBidi"/>
        </w:rPr>
        <w:t xml:space="preserve">for </w:t>
      </w:r>
      <w:r w:rsidR="00B62C96">
        <w:rPr>
          <w:rFonts w:asciiTheme="majorBidi" w:hAnsiTheme="majorBidi" w:cstheme="majorBidi"/>
        </w:rPr>
        <w:t xml:space="preserve">each day from day 1 to day 40, from which we can obtain the </w:t>
      </w:r>
      <w:r w:rsidR="00A314A8">
        <w:rPr>
          <w:rFonts w:asciiTheme="majorBidi" w:hAnsiTheme="majorBidi" w:cstheme="majorBidi"/>
        </w:rPr>
        <w:t xml:space="preserve">daily </w:t>
      </w:r>
      <w:r w:rsidR="00B62C96">
        <w:rPr>
          <w:rFonts w:asciiTheme="majorBidi" w:hAnsiTheme="majorBidi" w:cstheme="majorBidi"/>
        </w:rPr>
        <w:t xml:space="preserve">percentage of casualties falling under </w:t>
      </w:r>
      <w:r w:rsidR="00D46C7A">
        <w:rPr>
          <w:rFonts w:asciiTheme="majorBidi" w:hAnsiTheme="majorBidi" w:cstheme="majorBidi"/>
        </w:rPr>
        <w:t xml:space="preserve">the threshold and </w:t>
      </w:r>
      <w:r w:rsidR="00A314A8">
        <w:rPr>
          <w:rFonts w:asciiTheme="majorBidi" w:hAnsiTheme="majorBidi" w:cstheme="majorBidi"/>
        </w:rPr>
        <w:t xml:space="preserve">that </w:t>
      </w:r>
      <w:r w:rsidR="00D46C7A">
        <w:rPr>
          <w:rFonts w:asciiTheme="majorBidi" w:hAnsiTheme="majorBidi" w:cstheme="majorBidi"/>
        </w:rPr>
        <w:t>might need transfusion. If we subtract the daily percentage of casualties below the preset threshold (8 g/</w:t>
      </w:r>
      <w:proofErr w:type="spellStart"/>
      <w:r w:rsidR="00D46C7A">
        <w:rPr>
          <w:rFonts w:asciiTheme="majorBidi" w:hAnsiTheme="majorBidi" w:cstheme="majorBidi"/>
        </w:rPr>
        <w:t>dL</w:t>
      </w:r>
      <w:proofErr w:type="spellEnd"/>
      <w:r w:rsidR="00D46C7A">
        <w:rPr>
          <w:rFonts w:asciiTheme="majorBidi" w:hAnsiTheme="majorBidi" w:cstheme="majorBidi"/>
        </w:rPr>
        <w:t xml:space="preserve"> in this case) we compute the daily increments of casualties that need transfusion as shown in Figure S1b.</w:t>
      </w:r>
    </w:p>
    <w:p w:rsidR="00391754" w:rsidRDefault="00391754">
      <w:r>
        <w:br w:type="page"/>
      </w:r>
    </w:p>
    <w:p w:rsidR="00391754" w:rsidRDefault="00391754" w:rsidP="00391754">
      <w:pPr>
        <w:spacing w:after="80" w:line="240" w:lineRule="auto"/>
        <w:rPr>
          <w:rFonts w:cstheme="majorBidi"/>
        </w:rPr>
      </w:pPr>
    </w:p>
    <w:p w:rsidR="00391754" w:rsidRDefault="00391754" w:rsidP="009348C7">
      <w:pPr>
        <w:pStyle w:val="Caption"/>
        <w:keepNext/>
      </w:pPr>
      <w:bookmarkStart w:id="1" w:name="_Ref436150173"/>
      <w:r>
        <w:t xml:space="preserve">Table </w:t>
      </w:r>
      <w:bookmarkEnd w:id="1"/>
      <w:r w:rsidR="00770602">
        <w:t>S1</w:t>
      </w:r>
      <w:r>
        <w:t xml:space="preserve"> Additional daily demand of RBC units (from day 1 to day 40 post event) corresponding to the 50</w:t>
      </w:r>
      <w:r w:rsidRPr="003F55C5">
        <w:rPr>
          <w:vertAlign w:val="superscript"/>
        </w:rPr>
        <w:t>th</w:t>
      </w:r>
      <w:r>
        <w:t xml:space="preserve"> and 95</w:t>
      </w:r>
      <w:r w:rsidRPr="003F55C5">
        <w:rPr>
          <w:vertAlign w:val="superscript"/>
        </w:rPr>
        <w:t>th</w:t>
      </w:r>
      <w:r>
        <w:t xml:space="preserve"> percentile estimated casualties reported by Knebel et al.</w:t>
      </w:r>
      <w:r>
        <w:fldChar w:fldCharType="begin"/>
      </w:r>
      <w:r w:rsidR="009348C7">
        <w:instrText xml:space="preserve"> ADDIN EN.CITE &lt;EndNote&gt;&lt;Cite&gt;&lt;Author&gt;Knebel&lt;/Author&gt;&lt;Year&gt;2011&lt;/Year&gt;&lt;RecNum&gt;52&lt;/RecNum&gt;&lt;DisplayText&gt;&lt;style face="superscript"&gt;3&lt;/style&gt;&lt;/DisplayText&gt;&lt;record&gt;&lt;rec-number&gt;52&lt;/rec-number&gt;&lt;foreign-keys&gt;&lt;key app="EN" db-id="stzwdtp99p5ep5ee0r7vew0ofr2swrf9papr" timestamp="1439982047"&gt;52&lt;/key&gt;&lt;/foreign-keys&gt;&lt;ref-type name="Journal Article"&gt;17&lt;/ref-type&gt;&lt;contributors&gt;&lt;authors&gt;&lt;author&gt;Knebel, Ann R.&lt;/author&gt;&lt;author&gt;Coleman, C.Norman&lt;/author&gt;&lt;author&gt;Cliffer, Kenneth D.&lt;/author&gt;&lt;author&gt;Murrain-Hill, Paula&lt;/author&gt;&lt;author&gt;McNally, Richard&lt;/author&gt;&lt;author&gt;Oancea, Victor&lt;/author&gt;&lt;author&gt;Jacobs, Jimmie&lt;/author&gt;&lt;author&gt;Buddemeier, Brooke&lt;/author&gt;&lt;author&gt;Hick, John L.&lt;/author&gt;&lt;author&gt;Weinstock, David M.&lt;/author&gt;&lt;/authors&gt;&lt;/contributors&gt;&lt;titles&gt;&lt;title&gt;Allocation of scarce resources after a nuclear detonation: setting the context&lt;/title&gt;&lt;secondary-title&gt;Disaster. medicine and public health preparedness&lt;/secondary-title&gt;&lt;/titles&gt;&lt;periodical&gt;&lt;full-title&gt;Disaster. medicine and public health preparedness&lt;/full-title&gt;&lt;/periodical&gt;&lt;pages&gt;S20-S31&lt;/pages&gt;&lt;volume&gt;5&lt;/volume&gt;&lt;number&gt;S1&lt;/number&gt;&lt;reprint-edition&gt;Not in File&lt;/reprint-edition&gt;&lt;dates&gt;&lt;year&gt;2011&lt;/year&gt;&lt;pub-dates&gt;&lt;date&gt;2011&lt;/date&gt;&lt;/pub-dates&gt;&lt;/dates&gt;&lt;isbn&gt;1938-744X&lt;/isbn&gt;&lt;label&gt;KNEBEL2011&lt;/label&gt;&lt;urls&gt;&lt;/urls&gt;&lt;/record&gt;&lt;/Cite&gt;&lt;/EndNote&gt;</w:instrText>
      </w:r>
      <w:r>
        <w:fldChar w:fldCharType="separate"/>
      </w:r>
      <w:r w:rsidR="009348C7" w:rsidRPr="009348C7">
        <w:rPr>
          <w:noProof/>
          <w:vertAlign w:val="superscript"/>
        </w:rPr>
        <w:t>3</w:t>
      </w:r>
      <w:r>
        <w:fldChar w:fldCharType="end"/>
      </w:r>
      <w:r>
        <w:t xml:space="preserve"> and used in our MC1 and MC2 simulated scenarios.</w:t>
      </w:r>
    </w:p>
    <w:tbl>
      <w:tblPr>
        <w:tblW w:w="8593" w:type="dxa"/>
        <w:jc w:val="center"/>
        <w:tblInd w:w="93" w:type="dxa"/>
        <w:tblBorders>
          <w:top w:val="single" w:sz="4" w:space="0" w:color="auto"/>
          <w:bottom w:val="single" w:sz="4" w:space="0" w:color="auto"/>
        </w:tblBorders>
        <w:tblLook w:val="04A0" w:firstRow="1" w:lastRow="0" w:firstColumn="1" w:lastColumn="0" w:noHBand="0" w:noVBand="1"/>
      </w:tblPr>
      <w:tblGrid>
        <w:gridCol w:w="763"/>
        <w:gridCol w:w="1720"/>
        <w:gridCol w:w="1691"/>
        <w:gridCol w:w="960"/>
        <w:gridCol w:w="1720"/>
        <w:gridCol w:w="1739"/>
      </w:tblGrid>
      <w:tr w:rsidR="00391754" w:rsidRPr="00E91C39" w:rsidTr="00D87A39">
        <w:trPr>
          <w:trHeight w:val="1304"/>
          <w:jc w:val="center"/>
        </w:trPr>
        <w:tc>
          <w:tcPr>
            <w:tcW w:w="763" w:type="dxa"/>
            <w:tcBorders>
              <w:top w:val="single" w:sz="4" w:space="0" w:color="auto"/>
              <w:bottom w:val="single" w:sz="4" w:space="0" w:color="auto"/>
            </w:tcBorders>
            <w:shd w:val="clear" w:color="auto" w:fill="D9D9D9" w:themeFill="background1" w:themeFillShade="D9"/>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day</w:t>
            </w:r>
          </w:p>
        </w:tc>
        <w:tc>
          <w:tcPr>
            <w:tcW w:w="1720" w:type="dxa"/>
            <w:tcBorders>
              <w:top w:val="single" w:sz="4" w:space="0" w:color="auto"/>
              <w:bottom w:val="single" w:sz="4" w:space="0" w:color="auto"/>
            </w:tcBorders>
            <w:shd w:val="clear" w:color="auto" w:fill="D9D9D9" w:themeFill="background1" w:themeFillShade="D9"/>
            <w:vAlign w:val="center"/>
            <w:hideMark/>
          </w:tcPr>
          <w:p w:rsidR="00A314A8" w:rsidRDefault="00391754" w:rsidP="00BB41A5">
            <w:pPr>
              <w:spacing w:after="0" w:line="240" w:lineRule="auto"/>
              <w:jc w:val="center"/>
              <w:rPr>
                <w:rFonts w:ascii="Times New Roman" w:eastAsia="Times New Roman" w:hAnsi="Times New Roman"/>
                <w:color w:val="000000"/>
              </w:rPr>
            </w:pPr>
            <w:r w:rsidRPr="003F55C5">
              <w:rPr>
                <w:rFonts w:ascii="Times New Roman" w:eastAsia="Times New Roman" w:hAnsi="Times New Roman"/>
                <w:color w:val="000000"/>
              </w:rPr>
              <w:t xml:space="preserve">Daily </w:t>
            </w:r>
            <w:r w:rsidR="00A314A8">
              <w:rPr>
                <w:rFonts w:ascii="Times New Roman" w:eastAsia="Times New Roman" w:hAnsi="Times New Roman"/>
                <w:color w:val="000000"/>
              </w:rPr>
              <w:t xml:space="preserve">demand of </w:t>
            </w:r>
            <w:r w:rsidRPr="003F55C5">
              <w:rPr>
                <w:rFonts w:ascii="Times New Roman" w:eastAsia="Times New Roman" w:hAnsi="Times New Roman"/>
                <w:color w:val="000000"/>
              </w:rPr>
              <w:t xml:space="preserve">RBC units </w:t>
            </w:r>
          </w:p>
          <w:p w:rsidR="00391754" w:rsidRPr="00BB41A5" w:rsidRDefault="00391754" w:rsidP="00BB41A5">
            <w:pPr>
              <w:spacing w:after="0" w:line="240" w:lineRule="auto"/>
              <w:jc w:val="center"/>
              <w:rPr>
                <w:rFonts w:ascii="Times New Roman" w:eastAsia="Times New Roman" w:hAnsi="Times New Roman"/>
                <w:color w:val="000000"/>
                <w:sz w:val="20"/>
                <w:szCs w:val="20"/>
              </w:rPr>
            </w:pPr>
            <w:r w:rsidRPr="00BB41A5">
              <w:rPr>
                <w:rFonts w:ascii="Times New Roman" w:eastAsia="Times New Roman" w:hAnsi="Times New Roman"/>
                <w:color w:val="000000"/>
                <w:sz w:val="20"/>
                <w:szCs w:val="20"/>
              </w:rPr>
              <w:t>(50</w:t>
            </w:r>
            <w:r w:rsidRPr="00BB41A5">
              <w:rPr>
                <w:rFonts w:ascii="Times New Roman" w:eastAsia="Times New Roman" w:hAnsi="Times New Roman"/>
                <w:color w:val="000000"/>
                <w:sz w:val="20"/>
                <w:szCs w:val="20"/>
                <w:vertAlign w:val="superscript"/>
              </w:rPr>
              <w:t>th</w:t>
            </w:r>
            <w:r w:rsidRPr="00BB41A5">
              <w:rPr>
                <w:rFonts w:ascii="Times New Roman" w:eastAsia="Times New Roman" w:hAnsi="Times New Roman"/>
                <w:color w:val="000000"/>
                <w:sz w:val="20"/>
                <w:szCs w:val="20"/>
              </w:rPr>
              <w:t xml:space="preserve"> percentile IND)</w:t>
            </w:r>
          </w:p>
        </w:tc>
        <w:tc>
          <w:tcPr>
            <w:tcW w:w="1691"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391754" w:rsidRPr="003F55C5" w:rsidRDefault="00391754" w:rsidP="00BB41A5">
            <w:pPr>
              <w:spacing w:after="0" w:line="240" w:lineRule="auto"/>
              <w:jc w:val="center"/>
              <w:rPr>
                <w:rFonts w:ascii="Times New Roman" w:eastAsia="Times New Roman" w:hAnsi="Times New Roman"/>
                <w:color w:val="000000"/>
              </w:rPr>
            </w:pPr>
            <w:r w:rsidRPr="003F55C5">
              <w:rPr>
                <w:rFonts w:ascii="Times New Roman" w:eastAsia="Times New Roman" w:hAnsi="Times New Roman"/>
                <w:color w:val="000000"/>
              </w:rPr>
              <w:t xml:space="preserve">Daily </w:t>
            </w:r>
            <w:r w:rsidR="00A314A8">
              <w:rPr>
                <w:rFonts w:ascii="Times New Roman" w:eastAsia="Times New Roman" w:hAnsi="Times New Roman"/>
                <w:color w:val="000000"/>
              </w:rPr>
              <w:t xml:space="preserve">demand of </w:t>
            </w:r>
            <w:r w:rsidRPr="003F55C5">
              <w:rPr>
                <w:rFonts w:ascii="Times New Roman" w:eastAsia="Times New Roman" w:hAnsi="Times New Roman"/>
                <w:color w:val="000000"/>
              </w:rPr>
              <w:t xml:space="preserve">RBC units  </w:t>
            </w:r>
            <w:r w:rsidRPr="00BB41A5">
              <w:rPr>
                <w:rFonts w:ascii="Times New Roman" w:eastAsia="Times New Roman" w:hAnsi="Times New Roman"/>
                <w:color w:val="000000"/>
                <w:sz w:val="20"/>
                <w:szCs w:val="20"/>
              </w:rPr>
              <w:t>(95</w:t>
            </w:r>
            <w:r w:rsidRPr="00BB41A5">
              <w:rPr>
                <w:rFonts w:ascii="Times New Roman" w:eastAsia="Times New Roman" w:hAnsi="Times New Roman"/>
                <w:color w:val="000000"/>
                <w:sz w:val="20"/>
                <w:szCs w:val="20"/>
                <w:vertAlign w:val="superscript"/>
              </w:rPr>
              <w:t>th</w:t>
            </w:r>
            <w:r w:rsidRPr="00BB41A5">
              <w:rPr>
                <w:rFonts w:ascii="Times New Roman" w:eastAsia="Times New Roman" w:hAnsi="Times New Roman"/>
                <w:color w:val="000000"/>
                <w:sz w:val="20"/>
                <w:szCs w:val="20"/>
              </w:rPr>
              <w:t xml:space="preserve"> percentile IND)</w:t>
            </w:r>
          </w:p>
        </w:tc>
        <w:tc>
          <w:tcPr>
            <w:tcW w:w="96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391754" w:rsidRPr="003F55C5" w:rsidRDefault="00391754" w:rsidP="00BB41A5">
            <w:pPr>
              <w:spacing w:after="0" w:line="240" w:lineRule="auto"/>
              <w:jc w:val="center"/>
              <w:rPr>
                <w:rFonts w:ascii="Times New Roman" w:eastAsia="Times New Roman" w:hAnsi="Times New Roman"/>
                <w:color w:val="000000"/>
              </w:rPr>
            </w:pPr>
            <w:r w:rsidRPr="003F55C5">
              <w:rPr>
                <w:rFonts w:ascii="Times New Roman" w:eastAsia="Times New Roman" w:hAnsi="Times New Roman"/>
                <w:color w:val="000000"/>
              </w:rPr>
              <w:t>day</w:t>
            </w:r>
          </w:p>
        </w:tc>
        <w:tc>
          <w:tcPr>
            <w:tcW w:w="1720" w:type="dxa"/>
            <w:tcBorders>
              <w:top w:val="single" w:sz="4" w:space="0" w:color="auto"/>
              <w:bottom w:val="single" w:sz="4" w:space="0" w:color="auto"/>
            </w:tcBorders>
            <w:shd w:val="clear" w:color="auto" w:fill="D9D9D9" w:themeFill="background1" w:themeFillShade="D9"/>
            <w:vAlign w:val="center"/>
            <w:hideMark/>
          </w:tcPr>
          <w:p w:rsidR="00391754" w:rsidRPr="003F55C5" w:rsidRDefault="00391754" w:rsidP="00A314A8">
            <w:pPr>
              <w:spacing w:after="0" w:line="240" w:lineRule="auto"/>
              <w:jc w:val="center"/>
              <w:rPr>
                <w:rFonts w:ascii="Times New Roman" w:eastAsia="Times New Roman" w:hAnsi="Times New Roman"/>
                <w:color w:val="000000"/>
              </w:rPr>
            </w:pPr>
            <w:r w:rsidRPr="003F55C5">
              <w:rPr>
                <w:rFonts w:ascii="Times New Roman" w:eastAsia="Times New Roman" w:hAnsi="Times New Roman"/>
                <w:color w:val="000000"/>
              </w:rPr>
              <w:t xml:space="preserve">Daily </w:t>
            </w:r>
            <w:r w:rsidR="00A314A8">
              <w:rPr>
                <w:rFonts w:ascii="Times New Roman" w:eastAsia="Times New Roman" w:hAnsi="Times New Roman"/>
                <w:color w:val="000000"/>
              </w:rPr>
              <w:t xml:space="preserve">demand of </w:t>
            </w:r>
            <w:r w:rsidRPr="003F55C5">
              <w:rPr>
                <w:rFonts w:ascii="Times New Roman" w:eastAsia="Times New Roman" w:hAnsi="Times New Roman"/>
                <w:color w:val="000000"/>
              </w:rPr>
              <w:t xml:space="preserve">RBC units  </w:t>
            </w:r>
            <w:r w:rsidRPr="00BB41A5">
              <w:rPr>
                <w:rFonts w:ascii="Times New Roman" w:eastAsia="Times New Roman" w:hAnsi="Times New Roman"/>
                <w:color w:val="000000"/>
                <w:sz w:val="20"/>
                <w:szCs w:val="20"/>
              </w:rPr>
              <w:t>(50</w:t>
            </w:r>
            <w:r w:rsidRPr="00BB41A5">
              <w:rPr>
                <w:rFonts w:ascii="Times New Roman" w:eastAsia="Times New Roman" w:hAnsi="Times New Roman"/>
                <w:color w:val="000000"/>
                <w:sz w:val="20"/>
                <w:szCs w:val="20"/>
                <w:vertAlign w:val="superscript"/>
              </w:rPr>
              <w:t>th</w:t>
            </w:r>
            <w:r w:rsidRPr="00BB41A5">
              <w:rPr>
                <w:rFonts w:ascii="Times New Roman" w:eastAsia="Times New Roman" w:hAnsi="Times New Roman"/>
                <w:color w:val="000000"/>
                <w:sz w:val="20"/>
                <w:szCs w:val="20"/>
              </w:rPr>
              <w:t xml:space="preserve"> percentile IND)</w:t>
            </w:r>
          </w:p>
        </w:tc>
        <w:tc>
          <w:tcPr>
            <w:tcW w:w="1739" w:type="dxa"/>
            <w:tcBorders>
              <w:top w:val="single" w:sz="4" w:space="0" w:color="auto"/>
              <w:bottom w:val="single" w:sz="4" w:space="0" w:color="auto"/>
            </w:tcBorders>
            <w:shd w:val="clear" w:color="auto" w:fill="D9D9D9" w:themeFill="background1" w:themeFillShade="D9"/>
            <w:vAlign w:val="center"/>
            <w:hideMark/>
          </w:tcPr>
          <w:p w:rsidR="00391754" w:rsidRPr="003F55C5" w:rsidRDefault="00391754" w:rsidP="00A314A8">
            <w:pPr>
              <w:spacing w:after="0" w:line="240" w:lineRule="auto"/>
              <w:jc w:val="center"/>
              <w:rPr>
                <w:rFonts w:ascii="Times New Roman" w:eastAsia="Times New Roman" w:hAnsi="Times New Roman"/>
                <w:color w:val="000000"/>
              </w:rPr>
            </w:pPr>
            <w:r w:rsidRPr="003F55C5">
              <w:rPr>
                <w:rFonts w:ascii="Times New Roman" w:eastAsia="Times New Roman" w:hAnsi="Times New Roman"/>
                <w:color w:val="000000"/>
              </w:rPr>
              <w:t xml:space="preserve">Daily </w:t>
            </w:r>
            <w:r w:rsidR="00A314A8">
              <w:rPr>
                <w:rFonts w:ascii="Times New Roman" w:eastAsia="Times New Roman" w:hAnsi="Times New Roman"/>
                <w:color w:val="000000"/>
              </w:rPr>
              <w:t xml:space="preserve">demand of </w:t>
            </w:r>
            <w:r w:rsidRPr="003F55C5">
              <w:rPr>
                <w:rFonts w:ascii="Times New Roman" w:eastAsia="Times New Roman" w:hAnsi="Times New Roman"/>
                <w:color w:val="000000"/>
              </w:rPr>
              <w:t xml:space="preserve">RBC units </w:t>
            </w:r>
            <w:r w:rsidRPr="00BB41A5">
              <w:rPr>
                <w:rFonts w:ascii="Times New Roman" w:eastAsia="Times New Roman" w:hAnsi="Times New Roman"/>
                <w:color w:val="000000"/>
                <w:sz w:val="20"/>
                <w:szCs w:val="20"/>
              </w:rPr>
              <w:t>(95</w:t>
            </w:r>
            <w:r w:rsidRPr="00BB41A5">
              <w:rPr>
                <w:rFonts w:ascii="Times New Roman" w:eastAsia="Times New Roman" w:hAnsi="Times New Roman"/>
                <w:color w:val="000000"/>
                <w:sz w:val="20"/>
                <w:szCs w:val="20"/>
                <w:vertAlign w:val="superscript"/>
              </w:rPr>
              <w:t>th</w:t>
            </w:r>
            <w:r w:rsidRPr="00BB41A5">
              <w:rPr>
                <w:rFonts w:ascii="Times New Roman" w:eastAsia="Times New Roman" w:hAnsi="Times New Roman"/>
                <w:color w:val="000000"/>
                <w:sz w:val="20"/>
                <w:szCs w:val="20"/>
              </w:rPr>
              <w:t xml:space="preserve"> percentile IND)</w:t>
            </w:r>
          </w:p>
        </w:tc>
      </w:tr>
      <w:tr w:rsidR="00391754" w:rsidRPr="00E91C39" w:rsidTr="00D87A39">
        <w:trPr>
          <w:trHeight w:val="300"/>
          <w:jc w:val="center"/>
        </w:trPr>
        <w:tc>
          <w:tcPr>
            <w:tcW w:w="763" w:type="dxa"/>
            <w:tcBorders>
              <w:top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w:t>
            </w:r>
          </w:p>
        </w:tc>
        <w:tc>
          <w:tcPr>
            <w:tcW w:w="1720" w:type="dxa"/>
            <w:tcBorders>
              <w:top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12800</w:t>
            </w:r>
          </w:p>
        </w:tc>
        <w:tc>
          <w:tcPr>
            <w:tcW w:w="1691" w:type="dxa"/>
            <w:tcBorders>
              <w:top w:val="single" w:sz="4" w:space="0" w:color="auto"/>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90400</w:t>
            </w:r>
          </w:p>
        </w:tc>
        <w:tc>
          <w:tcPr>
            <w:tcW w:w="960" w:type="dxa"/>
            <w:tcBorders>
              <w:top w:val="single" w:sz="4" w:space="0" w:color="auto"/>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21</w:t>
            </w:r>
          </w:p>
        </w:tc>
        <w:tc>
          <w:tcPr>
            <w:tcW w:w="1720" w:type="dxa"/>
            <w:tcBorders>
              <w:top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2419</w:t>
            </w:r>
          </w:p>
        </w:tc>
        <w:tc>
          <w:tcPr>
            <w:tcW w:w="1739" w:type="dxa"/>
            <w:tcBorders>
              <w:top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9877</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12805</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90420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22</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2220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9106</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0</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23</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2021</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8350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214</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866</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24</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1822</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7604</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428</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1727</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25</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1628</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6873</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647</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2583</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26</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1434</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6162</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7</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861</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3450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27</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1245</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5461</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1075</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4311</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28</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1056</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4775</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1289</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5172</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29</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867</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4108</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1503</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6043</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30</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683</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3457</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11</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1722</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6909</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31</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504</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2821</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1936</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7780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32</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320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2200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13</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2155</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8656</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33</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360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2450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14</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2369</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9537</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34</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395</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2715</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15</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2588</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10418</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35</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435</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2985</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16</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2807</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11310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36</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480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3265</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17</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3026</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12206</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37</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520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3550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18</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3036</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12251</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38</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560</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3840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19</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2827</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11450</w:t>
            </w:r>
          </w:p>
        </w:tc>
        <w:tc>
          <w:tcPr>
            <w:tcW w:w="960" w:type="dxa"/>
            <w:tcBorders>
              <w:lef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39</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605</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4130</w:t>
            </w:r>
          </w:p>
        </w:tc>
      </w:tr>
      <w:tr w:rsidR="00391754" w:rsidRPr="00E91C39" w:rsidTr="00D87A39">
        <w:trPr>
          <w:trHeight w:val="300"/>
          <w:jc w:val="center"/>
        </w:trPr>
        <w:tc>
          <w:tcPr>
            <w:tcW w:w="763"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20</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2623</w:t>
            </w:r>
          </w:p>
        </w:tc>
        <w:tc>
          <w:tcPr>
            <w:tcW w:w="1691" w:type="dxa"/>
            <w:tcBorders>
              <w:right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10658</w:t>
            </w:r>
          </w:p>
        </w:tc>
        <w:tc>
          <w:tcPr>
            <w:tcW w:w="960" w:type="dxa"/>
            <w:tcBorders>
              <w:left w:val="single" w:sz="4" w:space="0" w:color="auto"/>
              <w:bottom w:val="single" w:sz="4" w:space="0" w:color="auto"/>
            </w:tcBorders>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40</w:t>
            </w:r>
          </w:p>
        </w:tc>
        <w:tc>
          <w:tcPr>
            <w:tcW w:w="1720"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645</w:t>
            </w:r>
          </w:p>
        </w:tc>
        <w:tc>
          <w:tcPr>
            <w:tcW w:w="1739" w:type="dxa"/>
            <w:shd w:val="clear" w:color="auto" w:fill="auto"/>
            <w:noWrap/>
            <w:vAlign w:val="center"/>
            <w:hideMark/>
          </w:tcPr>
          <w:p w:rsidR="00391754" w:rsidRPr="003F55C5" w:rsidRDefault="00391754" w:rsidP="00D87A39">
            <w:pPr>
              <w:spacing w:after="0" w:line="240" w:lineRule="auto"/>
              <w:jc w:val="right"/>
              <w:rPr>
                <w:rFonts w:ascii="Times New Roman" w:eastAsia="Times New Roman" w:hAnsi="Times New Roman"/>
                <w:color w:val="000000"/>
              </w:rPr>
            </w:pPr>
            <w:r w:rsidRPr="003F55C5">
              <w:rPr>
                <w:rFonts w:ascii="Times New Roman" w:eastAsia="Times New Roman" w:hAnsi="Times New Roman"/>
                <w:color w:val="000000"/>
              </w:rPr>
              <w:t>4415</w:t>
            </w:r>
          </w:p>
        </w:tc>
      </w:tr>
    </w:tbl>
    <w:p w:rsidR="00391754" w:rsidRDefault="00391754" w:rsidP="00FF77F6"/>
    <w:p w:rsidR="002B5709" w:rsidRPr="005E6EDC" w:rsidRDefault="002B5709" w:rsidP="005E6EDC">
      <w:pPr>
        <w:spacing w:line="240" w:lineRule="auto"/>
        <w:jc w:val="both"/>
        <w:rPr>
          <w:rFonts w:asciiTheme="majorBidi" w:hAnsiTheme="majorBidi" w:cstheme="majorBidi"/>
        </w:rPr>
      </w:pPr>
      <w:r w:rsidRPr="005E6EDC">
        <w:rPr>
          <w:rFonts w:asciiTheme="majorBidi" w:hAnsiTheme="majorBidi" w:cstheme="majorBidi"/>
        </w:rPr>
        <w:t xml:space="preserve">The </w:t>
      </w:r>
      <w:r w:rsidR="00974635">
        <w:rPr>
          <w:rFonts w:asciiTheme="majorBidi" w:hAnsiTheme="majorBidi" w:cstheme="majorBidi"/>
        </w:rPr>
        <w:t xml:space="preserve">estimated daily demand </w:t>
      </w:r>
      <w:r w:rsidRPr="005E6EDC">
        <w:rPr>
          <w:rFonts w:asciiTheme="majorBidi" w:hAnsiTheme="majorBidi" w:cstheme="majorBidi"/>
        </w:rPr>
        <w:t xml:space="preserve">of additional RBC units is </w:t>
      </w:r>
      <w:r w:rsidR="00974635" w:rsidRPr="005E6EDC">
        <w:rPr>
          <w:rFonts w:ascii="Times New Roman" w:hAnsi="Times New Roman" w:cs="Times New Roman"/>
        </w:rPr>
        <w:t>obtained as the sum of the demand derived for each type of injury considered, such as</w:t>
      </w:r>
      <w:r w:rsidR="003718A7">
        <w:rPr>
          <w:rFonts w:ascii="Times New Roman" w:hAnsi="Times New Roman" w:cs="Times New Roman"/>
        </w:rPr>
        <w:t xml:space="preserve"> </w:t>
      </w:r>
      <w:r w:rsidRPr="005E6EDC">
        <w:rPr>
          <w:rFonts w:asciiTheme="majorBidi" w:hAnsiTheme="majorBidi" w:cstheme="majorBidi"/>
        </w:rPr>
        <w:t xml:space="preserve">trauma, radiation injury and combined injury. </w:t>
      </w:r>
      <w:r w:rsidR="00974635">
        <w:rPr>
          <w:rFonts w:asciiTheme="majorBidi" w:hAnsiTheme="majorBidi" w:cstheme="majorBidi"/>
        </w:rPr>
        <w:t xml:space="preserve">Only trauma and combined injuries </w:t>
      </w:r>
      <w:r w:rsidRPr="005E6EDC">
        <w:rPr>
          <w:rFonts w:asciiTheme="majorBidi" w:hAnsiTheme="majorBidi" w:cstheme="majorBidi"/>
        </w:rPr>
        <w:t>contribute</w:t>
      </w:r>
      <w:r w:rsidR="00974635">
        <w:rPr>
          <w:rFonts w:asciiTheme="majorBidi" w:hAnsiTheme="majorBidi" w:cstheme="majorBidi"/>
        </w:rPr>
        <w:t>d</w:t>
      </w:r>
      <w:r w:rsidRPr="005E6EDC">
        <w:rPr>
          <w:rFonts w:asciiTheme="majorBidi" w:hAnsiTheme="majorBidi" w:cstheme="majorBidi"/>
        </w:rPr>
        <w:t xml:space="preserve"> to the additional </w:t>
      </w:r>
      <w:r w:rsidR="00974635">
        <w:rPr>
          <w:rFonts w:asciiTheme="majorBidi" w:hAnsiTheme="majorBidi" w:cstheme="majorBidi"/>
        </w:rPr>
        <w:t xml:space="preserve">demand of </w:t>
      </w:r>
      <w:r w:rsidR="00A314A8">
        <w:rPr>
          <w:rFonts w:asciiTheme="majorBidi" w:hAnsiTheme="majorBidi" w:cstheme="majorBidi"/>
        </w:rPr>
        <w:t>RBC</w:t>
      </w:r>
      <w:r w:rsidRPr="005E6EDC">
        <w:rPr>
          <w:rFonts w:asciiTheme="majorBidi" w:hAnsiTheme="majorBidi" w:cstheme="majorBidi"/>
        </w:rPr>
        <w:t xml:space="preserve"> units in day 1 and </w:t>
      </w:r>
      <w:r w:rsidR="00974635">
        <w:rPr>
          <w:rFonts w:asciiTheme="majorBidi" w:hAnsiTheme="majorBidi" w:cstheme="majorBidi"/>
        </w:rPr>
        <w:t>2</w:t>
      </w:r>
      <w:r w:rsidRPr="005E6EDC">
        <w:rPr>
          <w:rFonts w:asciiTheme="majorBidi" w:hAnsiTheme="majorBidi" w:cstheme="majorBidi"/>
        </w:rPr>
        <w:t>. A</w:t>
      </w:r>
      <w:r w:rsidR="00974635">
        <w:rPr>
          <w:rFonts w:asciiTheme="majorBidi" w:hAnsiTheme="majorBidi" w:cstheme="majorBidi"/>
        </w:rPr>
        <w:t>s</w:t>
      </w:r>
      <w:r w:rsidRPr="005E6EDC">
        <w:rPr>
          <w:rFonts w:asciiTheme="majorBidi" w:hAnsiTheme="majorBidi" w:cstheme="majorBidi"/>
        </w:rPr>
        <w:t xml:space="preserve"> </w:t>
      </w:r>
      <w:proofErr w:type="gramStart"/>
      <w:r w:rsidR="00974635">
        <w:rPr>
          <w:rFonts w:asciiTheme="majorBidi" w:hAnsiTheme="majorBidi" w:cstheme="majorBidi"/>
        </w:rPr>
        <w:t xml:space="preserve">described </w:t>
      </w:r>
      <w:r w:rsidRPr="005E6EDC">
        <w:rPr>
          <w:rFonts w:asciiTheme="majorBidi" w:hAnsiTheme="majorBidi" w:cstheme="majorBidi"/>
        </w:rPr>
        <w:t xml:space="preserve"> in</w:t>
      </w:r>
      <w:proofErr w:type="gramEnd"/>
      <w:r w:rsidRPr="005E6EDC">
        <w:rPr>
          <w:rFonts w:asciiTheme="majorBidi" w:hAnsiTheme="majorBidi" w:cstheme="majorBidi"/>
        </w:rPr>
        <w:t xml:space="preserve"> the manuscript, 8% of the </w:t>
      </w:r>
      <w:r w:rsidR="00A314A8">
        <w:rPr>
          <w:rFonts w:asciiTheme="majorBidi" w:hAnsiTheme="majorBidi" w:cstheme="majorBidi"/>
        </w:rPr>
        <w:t xml:space="preserve">potential casualties from </w:t>
      </w:r>
      <w:r w:rsidRPr="005E6EDC">
        <w:rPr>
          <w:rFonts w:asciiTheme="majorBidi" w:hAnsiTheme="majorBidi" w:cstheme="majorBidi"/>
        </w:rPr>
        <w:t xml:space="preserve">trauma and combined injury </w:t>
      </w:r>
      <w:r w:rsidR="005E6EDC">
        <w:rPr>
          <w:rFonts w:asciiTheme="majorBidi" w:hAnsiTheme="majorBidi" w:cstheme="majorBidi"/>
        </w:rPr>
        <w:t xml:space="preserve">potential </w:t>
      </w:r>
      <w:r w:rsidRPr="005E6EDC">
        <w:rPr>
          <w:rFonts w:asciiTheme="majorBidi" w:hAnsiTheme="majorBidi" w:cstheme="majorBidi"/>
        </w:rPr>
        <w:t xml:space="preserve">casualties are assumed to require transfusion. </w:t>
      </w:r>
      <w:r w:rsidR="005E6EDC">
        <w:rPr>
          <w:rFonts w:asciiTheme="majorBidi" w:hAnsiTheme="majorBidi" w:cstheme="majorBidi"/>
        </w:rPr>
        <w:t xml:space="preserve">We assumed </w:t>
      </w:r>
      <w:r w:rsidR="00A314A8">
        <w:rPr>
          <w:rFonts w:asciiTheme="majorBidi" w:hAnsiTheme="majorBidi" w:cstheme="majorBidi"/>
        </w:rPr>
        <w:t xml:space="preserve">that </w:t>
      </w:r>
      <w:r w:rsidR="005E6EDC">
        <w:rPr>
          <w:rFonts w:asciiTheme="majorBidi" w:hAnsiTheme="majorBidi" w:cstheme="majorBidi"/>
        </w:rPr>
        <w:t>5 RBC units</w:t>
      </w:r>
      <w:r w:rsidR="00141D57" w:rsidRPr="00B025C5">
        <w:rPr>
          <w:rFonts w:asciiTheme="majorBidi" w:hAnsiTheme="majorBidi" w:cstheme="majorBidi"/>
          <w:vertAlign w:val="superscript"/>
        </w:rPr>
        <w:t>8</w:t>
      </w:r>
      <w:r w:rsidR="005E6EDC">
        <w:rPr>
          <w:rFonts w:asciiTheme="majorBidi" w:hAnsiTheme="majorBidi" w:cstheme="majorBidi"/>
        </w:rPr>
        <w:t xml:space="preserve"> would be transfused for e</w:t>
      </w:r>
      <w:r w:rsidRPr="005E6EDC">
        <w:rPr>
          <w:rFonts w:asciiTheme="majorBidi" w:hAnsiTheme="majorBidi" w:cstheme="majorBidi"/>
        </w:rPr>
        <w:t xml:space="preserve">ach </w:t>
      </w:r>
      <w:r w:rsidR="005E6EDC">
        <w:rPr>
          <w:rFonts w:asciiTheme="majorBidi" w:hAnsiTheme="majorBidi" w:cstheme="majorBidi"/>
        </w:rPr>
        <w:t xml:space="preserve">potential </w:t>
      </w:r>
      <w:r w:rsidRPr="005E6EDC">
        <w:rPr>
          <w:rFonts w:asciiTheme="majorBidi" w:hAnsiTheme="majorBidi" w:cstheme="majorBidi"/>
        </w:rPr>
        <w:t>moderate trauma casualty</w:t>
      </w:r>
      <w:r w:rsidR="005E6EDC">
        <w:rPr>
          <w:rFonts w:asciiTheme="majorBidi" w:hAnsiTheme="majorBidi" w:cstheme="majorBidi"/>
        </w:rPr>
        <w:t>, while 10 RBC</w:t>
      </w:r>
      <w:r w:rsidR="00A314A8">
        <w:rPr>
          <w:rFonts w:asciiTheme="majorBidi" w:hAnsiTheme="majorBidi" w:cstheme="majorBidi"/>
        </w:rPr>
        <w:t xml:space="preserve"> unit</w:t>
      </w:r>
      <w:r w:rsidR="005E6EDC">
        <w:rPr>
          <w:rFonts w:asciiTheme="majorBidi" w:hAnsiTheme="majorBidi" w:cstheme="majorBidi"/>
        </w:rPr>
        <w:t xml:space="preserve">s for each potential </w:t>
      </w:r>
      <w:r w:rsidRPr="005E6EDC">
        <w:rPr>
          <w:rFonts w:asciiTheme="majorBidi" w:hAnsiTheme="majorBidi" w:cstheme="majorBidi"/>
        </w:rPr>
        <w:t>severe trauma casualt</w:t>
      </w:r>
      <w:r w:rsidR="005E6EDC">
        <w:rPr>
          <w:rFonts w:asciiTheme="majorBidi" w:hAnsiTheme="majorBidi" w:cstheme="majorBidi"/>
        </w:rPr>
        <w:t>y</w:t>
      </w:r>
      <w:r w:rsidR="00141D57" w:rsidRPr="00B025C5">
        <w:rPr>
          <w:rFonts w:asciiTheme="majorBidi" w:hAnsiTheme="majorBidi" w:cstheme="majorBidi"/>
          <w:vertAlign w:val="superscript"/>
        </w:rPr>
        <w:t>7</w:t>
      </w:r>
      <w:r w:rsidRPr="005E6EDC">
        <w:rPr>
          <w:rFonts w:asciiTheme="majorBidi" w:hAnsiTheme="majorBidi" w:cstheme="majorBidi"/>
        </w:rPr>
        <w:t xml:space="preserve">. </w:t>
      </w:r>
    </w:p>
    <w:p w:rsidR="002B5709" w:rsidRDefault="002B5709">
      <w:r>
        <w:br w:type="page"/>
      </w:r>
    </w:p>
    <w:p w:rsidR="00391754" w:rsidRDefault="00391754" w:rsidP="009348C7">
      <w:r>
        <w:rPr>
          <w:noProof/>
        </w:rPr>
        <w:drawing>
          <wp:inline distT="0" distB="0" distL="0" distR="0" wp14:anchorId="19DE5CFE" wp14:editId="02A23C0B">
            <wp:extent cx="5943600" cy="18670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4AAC.tmp"/>
                    <pic:cNvPicPr/>
                  </pic:nvPicPr>
                  <pic:blipFill rotWithShape="1">
                    <a:blip r:embed="rId7">
                      <a:extLst>
                        <a:ext uri="{28A0092B-C50C-407E-A947-70E740481C1C}">
                          <a14:useLocalDpi xmlns:a14="http://schemas.microsoft.com/office/drawing/2010/main" val="0"/>
                        </a:ext>
                      </a:extLst>
                    </a:blip>
                    <a:srcRect l="13284" t="36327" r="11070" b="19805"/>
                    <a:stretch/>
                  </pic:blipFill>
                  <pic:spPr bwMode="auto">
                    <a:xfrm>
                      <a:off x="0" y="0"/>
                      <a:ext cx="5943600" cy="1867044"/>
                    </a:xfrm>
                    <a:prstGeom prst="rect">
                      <a:avLst/>
                    </a:prstGeom>
                    <a:ln>
                      <a:noFill/>
                    </a:ln>
                    <a:extLst>
                      <a:ext uri="{53640926-AAD7-44D8-BBD7-CCE9431645EC}">
                        <a14:shadowObscured xmlns:a14="http://schemas.microsoft.com/office/drawing/2010/main"/>
                      </a:ext>
                    </a:extLst>
                  </pic:spPr>
                </pic:pic>
              </a:graphicData>
            </a:graphic>
          </wp:inline>
        </w:drawing>
      </w:r>
      <w:bookmarkStart w:id="2" w:name="_Ref436156767"/>
      <w:r w:rsidRPr="00074256">
        <w:t xml:space="preserve"> </w:t>
      </w:r>
      <w:r w:rsidRPr="00EC080E">
        <w:rPr>
          <w:rFonts w:ascii="Times New Roman" w:eastAsia="Calibri" w:hAnsi="Times New Roman" w:cs="Times New Roman"/>
          <w:sz w:val="20"/>
          <w:szCs w:val="20"/>
        </w:rPr>
        <w:t xml:space="preserve">Figure </w:t>
      </w:r>
      <w:r w:rsidR="00770602">
        <w:rPr>
          <w:rFonts w:ascii="Times New Roman" w:eastAsia="Calibri" w:hAnsi="Times New Roman" w:cs="Times New Roman"/>
          <w:sz w:val="20"/>
          <w:szCs w:val="20"/>
        </w:rPr>
        <w:t>S2</w:t>
      </w:r>
      <w:bookmarkEnd w:id="2"/>
      <w:r w:rsidRPr="00EC080E">
        <w:rPr>
          <w:rFonts w:ascii="Times New Roman" w:eastAsia="Calibri" w:hAnsi="Times New Roman" w:cs="Times New Roman"/>
          <w:sz w:val="20"/>
          <w:szCs w:val="20"/>
        </w:rPr>
        <w:t xml:space="preserve"> (a) Rates of elective surger</w:t>
      </w:r>
      <w:r w:rsidR="00B309F3">
        <w:rPr>
          <w:rFonts w:ascii="Times New Roman" w:eastAsia="Calibri" w:hAnsi="Times New Roman" w:cs="Times New Roman"/>
          <w:sz w:val="20"/>
          <w:szCs w:val="20"/>
        </w:rPr>
        <w:t>ies</w:t>
      </w:r>
      <w:r w:rsidRPr="00EC080E">
        <w:rPr>
          <w:rFonts w:ascii="Times New Roman" w:eastAsia="Calibri" w:hAnsi="Times New Roman" w:cs="Times New Roman"/>
          <w:sz w:val="20"/>
          <w:szCs w:val="20"/>
        </w:rPr>
        <w:t xml:space="preserve"> per 1000 Medicare beneficiaries across the US: national rate (0.0336</w:t>
      </w:r>
      <w:r w:rsidR="00B309F3">
        <w:rPr>
          <w:rFonts w:ascii="Times New Roman" w:eastAsia="Calibri" w:hAnsi="Times New Roman" w:cs="Times New Roman"/>
          <w:sz w:val="20"/>
          <w:szCs w:val="20"/>
        </w:rPr>
        <w:t>, white</w:t>
      </w:r>
      <w:proofErr w:type="gramStart"/>
      <w:r w:rsidRPr="00EC080E">
        <w:rPr>
          <w:rFonts w:ascii="Times New Roman" w:eastAsia="Calibri" w:hAnsi="Times New Roman" w:cs="Times New Roman"/>
          <w:sz w:val="20"/>
          <w:szCs w:val="20"/>
        </w:rPr>
        <w:t>) ,</w:t>
      </w:r>
      <w:proofErr w:type="gramEnd"/>
      <w:r w:rsidRPr="00EC080E">
        <w:rPr>
          <w:rFonts w:ascii="Times New Roman" w:eastAsia="Calibri" w:hAnsi="Times New Roman" w:cs="Times New Roman"/>
          <w:sz w:val="20"/>
          <w:szCs w:val="20"/>
        </w:rPr>
        <w:t xml:space="preserve"> states with higher rates (red), states with lower rates (blue). (b) Percentages of blood utilized for transfusion during elective surgeries among the US regions according to the ABC’s </w:t>
      </w:r>
      <w:r w:rsidRPr="0028485F">
        <w:rPr>
          <w:rFonts w:ascii="Times New Roman" w:eastAsia="Calibri" w:hAnsi="Times New Roman" w:cs="Times New Roman"/>
          <w:sz w:val="20"/>
          <w:szCs w:val="20"/>
        </w:rPr>
        <w:t>subdivision</w:t>
      </w:r>
      <w:r w:rsidR="009348C7" w:rsidRPr="0028485F">
        <w:rPr>
          <w:rFonts w:ascii="Times New Roman" w:eastAsia="Calibri" w:hAnsi="Times New Roman" w:cs="Times New Roman"/>
          <w:sz w:val="20"/>
          <w:szCs w:val="20"/>
        </w:rPr>
        <w:fldChar w:fldCharType="begin"/>
      </w:r>
      <w:r w:rsidR="009348C7" w:rsidRPr="0028485F">
        <w:rPr>
          <w:rFonts w:ascii="Times New Roman" w:eastAsia="Calibri" w:hAnsi="Times New Roman" w:cs="Times New Roman"/>
          <w:sz w:val="20"/>
          <w:szCs w:val="20"/>
        </w:rPr>
        <w:instrText xml:space="preserve"> ADDIN EN.CITE &lt;EndNote&gt;&lt;Cite&gt;&lt;Year&gt;2014&lt;/Year&gt;&lt;RecNum&gt;60&lt;/RecNum&gt;&lt;DisplayText&gt;&lt;style face="superscript"&gt;1&lt;/style&gt;&lt;/DisplayText&gt;&lt;record&gt;&lt;rec-number&gt;60&lt;/rec-number&gt;&lt;foreign-keys&gt;&lt;key app="EN" db-id="stzwdtp99p5ep5ee0r7vew0ofr2swrf9papr" timestamp="1439982047"&gt;60&lt;/key&gt;&lt;/foreign-keys&gt;&lt;ref-type name="Web Page"&gt;12&lt;/ref-type&gt;&lt;contributors&gt;&lt;/contributors&gt;&lt;titles&gt;&lt;title&gt;America&amp;apos;s Blood Centers website&lt;/title&gt;&lt;/titles&gt;&lt;volume&gt;2014&lt;/volume&gt;&lt;number&gt;5/28/2014&lt;/number&gt;&lt;dates&gt;&lt;year&gt;2014&lt;/year&gt;&lt;pub-dates&gt;&lt;date&gt;5/28/2014&lt;/date&gt;&lt;/pub-dates&gt;&lt;/dates&gt;&lt;label&gt;ANON2014B&lt;/label&gt;&lt;urls&gt;&lt;related-urls&gt;&lt;url&gt;&lt;style face="underline" font="default" size="100%"&gt;http://www.americasblood.org/stoplight.aspx&lt;/style&gt;&lt;/url&gt;&lt;/related-urls&gt;&lt;/urls&gt;&lt;/record&gt;&lt;/Cite&gt;&lt;/EndNote&gt;</w:instrText>
      </w:r>
      <w:r w:rsidR="009348C7" w:rsidRPr="0028485F">
        <w:rPr>
          <w:rFonts w:ascii="Times New Roman" w:eastAsia="Calibri" w:hAnsi="Times New Roman" w:cs="Times New Roman"/>
          <w:sz w:val="20"/>
          <w:szCs w:val="20"/>
        </w:rPr>
        <w:fldChar w:fldCharType="separate"/>
      </w:r>
      <w:r w:rsidR="009348C7" w:rsidRPr="0028485F">
        <w:rPr>
          <w:rFonts w:ascii="Times New Roman" w:eastAsia="Calibri" w:hAnsi="Times New Roman" w:cs="Times New Roman"/>
          <w:noProof/>
          <w:sz w:val="20"/>
          <w:szCs w:val="20"/>
          <w:vertAlign w:val="superscript"/>
        </w:rPr>
        <w:t>1</w:t>
      </w:r>
      <w:r w:rsidR="009348C7" w:rsidRPr="0028485F">
        <w:rPr>
          <w:rFonts w:ascii="Times New Roman" w:eastAsia="Calibri" w:hAnsi="Times New Roman" w:cs="Times New Roman"/>
          <w:sz w:val="20"/>
          <w:szCs w:val="20"/>
        </w:rPr>
        <w:fldChar w:fldCharType="end"/>
      </w:r>
      <w:r w:rsidRPr="0028485F">
        <w:rPr>
          <w:rFonts w:ascii="Times New Roman" w:eastAsia="Calibri" w:hAnsi="Times New Roman" w:cs="Times New Roman"/>
          <w:sz w:val="20"/>
          <w:szCs w:val="20"/>
        </w:rPr>
        <w:t>:</w:t>
      </w:r>
      <w:r w:rsidRPr="00EC080E">
        <w:rPr>
          <w:rFonts w:ascii="Times New Roman" w:eastAsia="Calibri" w:hAnsi="Times New Roman" w:cs="Times New Roman"/>
          <w:sz w:val="20"/>
          <w:szCs w:val="20"/>
        </w:rPr>
        <w:t xml:space="preserve"> East, Midwest, South and West.</w:t>
      </w:r>
      <w:r w:rsidR="00EC080E">
        <w:t xml:space="preserve"> </w:t>
      </w:r>
    </w:p>
    <w:p w:rsidR="008839F5" w:rsidRDefault="008839F5" w:rsidP="00A91C0A"/>
    <w:p w:rsidR="008839F5" w:rsidRPr="00BB41A5" w:rsidRDefault="008839F5" w:rsidP="00A91C0A">
      <w:pPr>
        <w:rPr>
          <w:rFonts w:ascii="Times New Roman" w:hAnsi="Times New Roman" w:cs="Times New Roman"/>
        </w:rPr>
      </w:pPr>
      <w:r w:rsidRPr="000B2AB6">
        <w:rPr>
          <w:rFonts w:ascii="Times New Roman" w:hAnsi="Times New Roman" w:cs="Times New Roman"/>
        </w:rPr>
        <w:t xml:space="preserve">For example, for the East we obtained a rate of 0.029 surgeries per 1000 Medicare beneficiaries, while the US rate is 0.0336. We calculated the percentage of BTES in the East by multiplying the national BTES rate by the ratio East-to-US, 50%*0.029/0.0336 = 44%. Similarly, we calculated the percentage of BTES for the South, West and Midwest, as </w:t>
      </w:r>
      <w:r w:rsidRPr="00BB41A5">
        <w:rPr>
          <w:rFonts w:ascii="Times New Roman" w:hAnsi="Times New Roman" w:cs="Times New Roman"/>
        </w:rPr>
        <w:t xml:space="preserve">52%, 55% and 46%, respectively. </w:t>
      </w:r>
    </w:p>
    <w:p w:rsidR="00770602" w:rsidRDefault="00391754" w:rsidP="00770602">
      <w:r>
        <w:br w:type="page"/>
      </w:r>
    </w:p>
    <w:p w:rsidR="00770602" w:rsidRDefault="00770602" w:rsidP="00770602">
      <w:pPr>
        <w:keepNext/>
        <w:keepLines/>
        <w:spacing w:before="480" w:after="0"/>
        <w:outlineLvl w:val="0"/>
        <w:rPr>
          <w:rFonts w:ascii="Times New Roman" w:eastAsiaTheme="majorEastAsia" w:hAnsi="Times New Roman" w:cstheme="majorBidi"/>
          <w:b/>
          <w:bCs/>
          <w:sz w:val="24"/>
          <w:szCs w:val="24"/>
        </w:rPr>
      </w:pPr>
      <w:r w:rsidRPr="00770602">
        <w:rPr>
          <w:rFonts w:ascii="Times New Roman" w:eastAsiaTheme="majorEastAsia" w:hAnsi="Times New Roman" w:cstheme="majorBidi"/>
          <w:b/>
          <w:bCs/>
          <w:sz w:val="24"/>
          <w:szCs w:val="24"/>
        </w:rPr>
        <w:t>Linear Mixed Model for Pandemic Influenza in the US</w:t>
      </w:r>
    </w:p>
    <w:p w:rsidR="00770602" w:rsidRPr="00770602" w:rsidRDefault="00770602" w:rsidP="00770602">
      <w:pPr>
        <w:keepNext/>
        <w:keepLines/>
        <w:spacing w:before="480" w:after="0"/>
        <w:outlineLvl w:val="0"/>
        <w:rPr>
          <w:rFonts w:ascii="Times New Roman" w:eastAsiaTheme="majorEastAsia" w:hAnsi="Times New Roman" w:cstheme="majorBidi"/>
          <w:b/>
          <w:bCs/>
          <w:sz w:val="24"/>
          <w:szCs w:val="24"/>
        </w:rPr>
      </w:pPr>
    </w:p>
    <w:tbl>
      <w:tblPr>
        <w:tblW w:w="7455" w:type="dxa"/>
        <w:jc w:val="center"/>
        <w:tblCellMar>
          <w:left w:w="0" w:type="dxa"/>
          <w:right w:w="0" w:type="dxa"/>
        </w:tblCellMar>
        <w:tblLook w:val="0600" w:firstRow="0" w:lastRow="0" w:firstColumn="0" w:lastColumn="0" w:noHBand="1" w:noVBand="1"/>
      </w:tblPr>
      <w:tblGrid>
        <w:gridCol w:w="2648"/>
        <w:gridCol w:w="2908"/>
        <w:gridCol w:w="1899"/>
      </w:tblGrid>
      <w:tr w:rsidR="00770602" w:rsidRPr="00770602" w:rsidTr="00D87A39">
        <w:trPr>
          <w:trHeight w:val="376"/>
          <w:jc w:val="center"/>
        </w:trPr>
        <w:tc>
          <w:tcPr>
            <w:tcW w:w="7455" w:type="dxa"/>
            <w:gridSpan w:val="3"/>
            <w:tcBorders>
              <w:top w:val="single" w:sz="4" w:space="0" w:color="auto"/>
              <w:bottom w:val="single" w:sz="4" w:space="0" w:color="auto"/>
            </w:tcBorders>
            <w:shd w:val="clear" w:color="auto" w:fill="auto"/>
            <w:tcMar>
              <w:top w:w="72" w:type="dxa"/>
              <w:left w:w="144" w:type="dxa"/>
              <w:bottom w:w="72" w:type="dxa"/>
              <w:right w:w="144" w:type="dxa"/>
            </w:tcMar>
            <w:vAlign w:val="center"/>
          </w:tcPr>
          <w:p w:rsidR="00770602" w:rsidRPr="00770602" w:rsidRDefault="00770602" w:rsidP="00770602">
            <w:pPr>
              <w:spacing w:after="0" w:line="240" w:lineRule="auto"/>
              <w:jc w:val="center"/>
              <w:rPr>
                <w:rFonts w:asciiTheme="majorBidi" w:eastAsia="Times New Roman" w:hAnsiTheme="majorBidi" w:cstheme="majorBidi"/>
                <w:color w:val="000000" w:themeColor="text1"/>
                <w:kern w:val="24"/>
                <w:sz w:val="20"/>
                <w:szCs w:val="20"/>
              </w:rPr>
            </w:pPr>
            <w:r w:rsidRPr="00770602">
              <w:rPr>
                <w:rFonts w:asciiTheme="majorBidi" w:hAnsiTheme="majorBidi" w:cstheme="majorBidi"/>
              </w:rPr>
              <w:t xml:space="preserve">Table S2 Summary of the </w:t>
            </w:r>
            <w:r w:rsidRPr="00770602">
              <w:rPr>
                <w:rFonts w:asciiTheme="majorBidi" w:hAnsiTheme="majorBidi" w:cstheme="majorBidi"/>
                <w:i/>
                <w:iCs/>
              </w:rPr>
              <w:t>M</w:t>
            </w:r>
            <w:r w:rsidRPr="00770602">
              <w:rPr>
                <w:rFonts w:asciiTheme="majorBidi" w:hAnsiTheme="majorBidi" w:cstheme="majorBidi"/>
                <w:i/>
                <w:iCs/>
                <w:vertAlign w:val="subscript"/>
              </w:rPr>
              <w:t>2</w:t>
            </w:r>
            <w:r w:rsidRPr="00770602">
              <w:rPr>
                <w:rFonts w:asciiTheme="majorBidi" w:hAnsiTheme="majorBidi" w:cstheme="majorBidi"/>
              </w:rPr>
              <w:t xml:space="preserve"> model showing the effect of the </w:t>
            </w:r>
            <w:r w:rsidRPr="00770602">
              <w:rPr>
                <w:rFonts w:asciiTheme="majorBidi" w:hAnsiTheme="majorBidi" w:cstheme="majorBidi"/>
                <w:i/>
                <w:iCs/>
              </w:rPr>
              <w:t>region</w:t>
            </w:r>
            <w:r w:rsidRPr="00770602">
              <w:rPr>
                <w:rFonts w:asciiTheme="majorBidi" w:hAnsiTheme="majorBidi" w:cstheme="majorBidi"/>
              </w:rPr>
              <w:t xml:space="preserve"> term on the Influenza activity </w:t>
            </w:r>
            <w:r w:rsidRPr="00770602">
              <w:rPr>
                <w:rFonts w:asciiTheme="majorBidi" w:hAnsiTheme="majorBidi" w:cstheme="majorBidi"/>
                <w:i/>
                <w:iCs/>
              </w:rPr>
              <w:t>level</w:t>
            </w:r>
            <w:r w:rsidRPr="00770602">
              <w:rPr>
                <w:rFonts w:asciiTheme="majorBidi" w:hAnsiTheme="majorBidi" w:cstheme="majorBidi"/>
              </w:rPr>
              <w:t>.</w:t>
            </w:r>
          </w:p>
        </w:tc>
      </w:tr>
      <w:tr w:rsidR="00770602" w:rsidRPr="00770602" w:rsidTr="00D87A39">
        <w:trPr>
          <w:trHeight w:val="368"/>
          <w:jc w:val="center"/>
        </w:trPr>
        <w:tc>
          <w:tcPr>
            <w:tcW w:w="2648" w:type="dxa"/>
            <w:tcBorders>
              <w:top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Effect</w:t>
            </w:r>
          </w:p>
        </w:tc>
        <w:tc>
          <w:tcPr>
            <w:tcW w:w="2908" w:type="dxa"/>
            <w:tcBorders>
              <w:top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Estimate (±SE)</w:t>
            </w:r>
          </w:p>
        </w:tc>
        <w:tc>
          <w:tcPr>
            <w:tcW w:w="1899" w:type="dxa"/>
            <w:tcBorders>
              <w:top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i/>
                <w:iCs/>
                <w:sz w:val="20"/>
                <w:szCs w:val="20"/>
              </w:rPr>
            </w:pPr>
            <w:proofErr w:type="spellStart"/>
            <w:r w:rsidRPr="00770602">
              <w:rPr>
                <w:rFonts w:asciiTheme="majorBidi" w:eastAsia="Times New Roman" w:hAnsiTheme="majorBidi" w:cstheme="majorBidi"/>
                <w:i/>
                <w:iCs/>
                <w:color w:val="000000" w:themeColor="text1"/>
                <w:kern w:val="24"/>
                <w:sz w:val="20"/>
                <w:szCs w:val="20"/>
              </w:rPr>
              <w:t>Pr</w:t>
            </w:r>
            <w:proofErr w:type="spellEnd"/>
            <w:r w:rsidRPr="00770602">
              <w:rPr>
                <w:rFonts w:asciiTheme="majorBidi" w:eastAsia="Times New Roman" w:hAnsiTheme="majorBidi" w:cstheme="majorBidi"/>
                <w:i/>
                <w:iCs/>
                <w:color w:val="000000" w:themeColor="text1"/>
                <w:kern w:val="24"/>
                <w:sz w:val="20"/>
                <w:szCs w:val="20"/>
              </w:rPr>
              <w:t xml:space="preserve"> &gt; |t|</w:t>
            </w:r>
          </w:p>
        </w:tc>
      </w:tr>
      <w:tr w:rsidR="00770602" w:rsidRPr="00770602" w:rsidTr="00D87A39">
        <w:trPr>
          <w:trHeight w:val="396"/>
          <w:jc w:val="center"/>
        </w:trPr>
        <w:tc>
          <w:tcPr>
            <w:tcW w:w="264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Week</w:t>
            </w:r>
            <w:r w:rsidRPr="00770602">
              <w:rPr>
                <w:rFonts w:asciiTheme="majorBidi" w:eastAsia="Times New Roman" w:hAnsiTheme="majorBidi" w:cstheme="majorBidi"/>
                <w:color w:val="000000" w:themeColor="text1"/>
                <w:kern w:val="24"/>
                <w:sz w:val="20"/>
                <w:szCs w:val="20"/>
                <w:vertAlign w:val="superscript"/>
              </w:rPr>
              <w:t>2</w:t>
            </w:r>
          </w:p>
        </w:tc>
        <w:tc>
          <w:tcPr>
            <w:tcW w:w="290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-0.00100 (0.000350)</w:t>
            </w:r>
          </w:p>
        </w:tc>
        <w:tc>
          <w:tcPr>
            <w:tcW w:w="1899"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0.0044</w:t>
            </w:r>
          </w:p>
        </w:tc>
      </w:tr>
      <w:tr w:rsidR="00770602" w:rsidRPr="00770602" w:rsidTr="00D87A39">
        <w:trPr>
          <w:trHeight w:val="433"/>
          <w:jc w:val="center"/>
        </w:trPr>
        <w:tc>
          <w:tcPr>
            <w:tcW w:w="264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Region-Midwest</w:t>
            </w:r>
          </w:p>
        </w:tc>
        <w:tc>
          <w:tcPr>
            <w:tcW w:w="290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1.1948 (0.02688)</w:t>
            </w:r>
          </w:p>
        </w:tc>
        <w:tc>
          <w:tcPr>
            <w:tcW w:w="1899"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&lt;.0001</w:t>
            </w:r>
          </w:p>
        </w:tc>
      </w:tr>
      <w:tr w:rsidR="00770602" w:rsidRPr="00770602" w:rsidTr="00D87A39">
        <w:trPr>
          <w:trHeight w:val="433"/>
          <w:jc w:val="center"/>
        </w:trPr>
        <w:tc>
          <w:tcPr>
            <w:tcW w:w="264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Region-South</w:t>
            </w:r>
          </w:p>
        </w:tc>
        <w:tc>
          <w:tcPr>
            <w:tcW w:w="290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1.1330 (0.03583)</w:t>
            </w:r>
          </w:p>
        </w:tc>
        <w:tc>
          <w:tcPr>
            <w:tcW w:w="1899"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&lt;.0001</w:t>
            </w:r>
          </w:p>
        </w:tc>
      </w:tr>
      <w:tr w:rsidR="00770602" w:rsidRPr="00770602" w:rsidTr="00D87A39">
        <w:trPr>
          <w:trHeight w:val="433"/>
          <w:jc w:val="center"/>
        </w:trPr>
        <w:tc>
          <w:tcPr>
            <w:tcW w:w="264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Region-West</w:t>
            </w:r>
          </w:p>
        </w:tc>
        <w:tc>
          <w:tcPr>
            <w:tcW w:w="2908"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1.1908 (0.03000)</w:t>
            </w:r>
          </w:p>
        </w:tc>
        <w:tc>
          <w:tcPr>
            <w:tcW w:w="1899" w:type="dxa"/>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&lt;.0001</w:t>
            </w:r>
          </w:p>
        </w:tc>
      </w:tr>
      <w:tr w:rsidR="00770602" w:rsidRPr="00770602" w:rsidTr="00D87A39">
        <w:trPr>
          <w:trHeight w:val="433"/>
          <w:jc w:val="center"/>
        </w:trPr>
        <w:tc>
          <w:tcPr>
            <w:tcW w:w="2648" w:type="dxa"/>
            <w:tcBorders>
              <w:bottom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 xml:space="preserve">Region-East </w:t>
            </w:r>
            <w:r w:rsidRPr="00770602">
              <w:rPr>
                <w:rFonts w:asciiTheme="majorBidi" w:eastAsia="Times New Roman" w:hAnsiTheme="majorBidi" w:cstheme="majorBidi"/>
                <w:color w:val="000000" w:themeColor="text1"/>
                <w:kern w:val="24"/>
                <w:sz w:val="20"/>
                <w:szCs w:val="20"/>
                <w:vertAlign w:val="superscript"/>
              </w:rPr>
              <w:t>†</w:t>
            </w:r>
          </w:p>
        </w:tc>
        <w:tc>
          <w:tcPr>
            <w:tcW w:w="2908" w:type="dxa"/>
            <w:tcBorders>
              <w:bottom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1.1278 (0.02542)</w:t>
            </w:r>
          </w:p>
        </w:tc>
        <w:tc>
          <w:tcPr>
            <w:tcW w:w="1899" w:type="dxa"/>
            <w:tcBorders>
              <w:bottom w:val="single" w:sz="4" w:space="0" w:color="auto"/>
            </w:tcBorders>
            <w:shd w:val="clear" w:color="auto" w:fill="auto"/>
            <w:tcMar>
              <w:top w:w="72" w:type="dxa"/>
              <w:left w:w="144" w:type="dxa"/>
              <w:bottom w:w="72" w:type="dxa"/>
              <w:right w:w="144" w:type="dxa"/>
            </w:tcMar>
            <w:vAlign w:val="center"/>
            <w:hideMark/>
          </w:tcPr>
          <w:p w:rsidR="00770602" w:rsidRPr="00770602" w:rsidRDefault="00770602" w:rsidP="00770602">
            <w:pPr>
              <w:spacing w:after="0" w:line="240" w:lineRule="auto"/>
              <w:jc w:val="center"/>
              <w:rPr>
                <w:rFonts w:asciiTheme="majorBidi" w:eastAsia="Times New Roman" w:hAnsiTheme="majorBidi" w:cstheme="majorBidi"/>
                <w:sz w:val="20"/>
                <w:szCs w:val="20"/>
              </w:rPr>
            </w:pPr>
            <w:r w:rsidRPr="00770602">
              <w:rPr>
                <w:rFonts w:asciiTheme="majorBidi" w:eastAsia="Times New Roman" w:hAnsiTheme="majorBidi" w:cstheme="majorBidi"/>
                <w:color w:val="000000" w:themeColor="text1"/>
                <w:kern w:val="24"/>
                <w:sz w:val="20"/>
                <w:szCs w:val="20"/>
              </w:rPr>
              <w:t>&lt;.0001</w:t>
            </w:r>
          </w:p>
        </w:tc>
      </w:tr>
    </w:tbl>
    <w:p w:rsidR="00770602" w:rsidRPr="00770602" w:rsidRDefault="00770602" w:rsidP="00770602">
      <w:pPr>
        <w:spacing w:line="480" w:lineRule="auto"/>
        <w:jc w:val="both"/>
        <w:rPr>
          <w:rFonts w:asciiTheme="majorBidi" w:hAnsiTheme="majorBidi" w:cstheme="majorBidi"/>
        </w:rPr>
      </w:pPr>
      <w:r w:rsidRPr="00770602">
        <w:rPr>
          <w:rFonts w:asciiTheme="majorBidi" w:eastAsia="Times New Roman" w:hAnsiTheme="majorBidi" w:cstheme="majorBidi"/>
          <w:color w:val="000000" w:themeColor="text1"/>
          <w:kern w:val="24"/>
          <w:sz w:val="20"/>
          <w:szCs w:val="20"/>
          <w:vertAlign w:val="superscript"/>
        </w:rPr>
        <w:t>†</w:t>
      </w:r>
      <w:r w:rsidRPr="00770602">
        <w:rPr>
          <w:rFonts w:asciiTheme="majorBidi" w:hAnsiTheme="majorBidi" w:cstheme="majorBidi"/>
        </w:rPr>
        <w:t xml:space="preserve"> Reference categorical variable.</w:t>
      </w:r>
    </w:p>
    <w:p w:rsidR="00770602" w:rsidRPr="00770602" w:rsidRDefault="00770602" w:rsidP="00770602">
      <w:pPr>
        <w:spacing w:line="480" w:lineRule="auto"/>
        <w:jc w:val="both"/>
        <w:rPr>
          <w:rFonts w:asciiTheme="majorBidi" w:hAnsiTheme="majorBidi" w:cstheme="majorBidi"/>
        </w:rPr>
      </w:pPr>
      <w:r w:rsidRPr="00770602">
        <w:rPr>
          <w:rFonts w:asciiTheme="majorBidi" w:hAnsiTheme="majorBidi" w:cstheme="majorBidi"/>
        </w:rPr>
        <w:t>We started with a simple model, M</w:t>
      </w:r>
      <w:r w:rsidRPr="00770602">
        <w:rPr>
          <w:rFonts w:asciiTheme="majorBidi" w:hAnsiTheme="majorBidi" w:cstheme="majorBidi"/>
          <w:vertAlign w:val="subscript"/>
        </w:rPr>
        <w:t>1</w:t>
      </w:r>
      <w:r w:rsidRPr="00770602">
        <w:rPr>
          <w:rFonts w:asciiTheme="majorBidi" w:hAnsiTheme="majorBidi" w:cstheme="majorBidi"/>
        </w:rPr>
        <w:t xml:space="preserve">, where the Influenza activity log of </w:t>
      </w:r>
      <w:r w:rsidRPr="00770602">
        <w:rPr>
          <w:rFonts w:asciiTheme="majorBidi" w:hAnsiTheme="majorBidi" w:cstheme="majorBidi"/>
          <w:i/>
          <w:iCs/>
        </w:rPr>
        <w:t xml:space="preserve">level </w:t>
      </w:r>
      <w:r w:rsidRPr="00770602">
        <w:rPr>
          <w:rFonts w:asciiTheme="majorBidi" w:hAnsiTheme="majorBidi" w:cstheme="majorBidi"/>
        </w:rPr>
        <w:t xml:space="preserve">is a function of the square of the </w:t>
      </w:r>
      <w:r w:rsidRPr="00770602">
        <w:rPr>
          <w:rFonts w:asciiTheme="majorBidi" w:hAnsiTheme="majorBidi" w:cstheme="majorBidi"/>
          <w:i/>
          <w:iCs/>
        </w:rPr>
        <w:t>week</w:t>
      </w:r>
      <w:r w:rsidRPr="00770602">
        <w:rPr>
          <w:rFonts w:asciiTheme="majorBidi" w:hAnsiTheme="majorBidi" w:cstheme="majorBidi"/>
        </w:rPr>
        <w:t xml:space="preserve">. Afterwards, in model </w:t>
      </w:r>
      <w:r w:rsidRPr="00770602">
        <w:rPr>
          <w:rFonts w:asciiTheme="majorBidi" w:hAnsiTheme="majorBidi" w:cstheme="majorBidi"/>
          <w:i/>
          <w:iCs/>
        </w:rPr>
        <w:t>M</w:t>
      </w:r>
      <w:r w:rsidRPr="00770602">
        <w:rPr>
          <w:rFonts w:asciiTheme="majorBidi" w:hAnsiTheme="majorBidi" w:cstheme="majorBidi"/>
          <w:i/>
          <w:iCs/>
          <w:vertAlign w:val="subscript"/>
        </w:rPr>
        <w:t>2</w:t>
      </w:r>
      <w:r w:rsidRPr="00770602">
        <w:rPr>
          <w:rFonts w:asciiTheme="majorBidi" w:hAnsiTheme="majorBidi" w:cstheme="majorBidi"/>
          <w:vertAlign w:val="subscript"/>
        </w:rPr>
        <w:t>,</w:t>
      </w:r>
      <w:r w:rsidRPr="00770602">
        <w:rPr>
          <w:rFonts w:asciiTheme="majorBidi" w:hAnsiTheme="majorBidi" w:cstheme="majorBidi"/>
        </w:rPr>
        <w:t xml:space="preserve"> we investigated the spatial effect by including a </w:t>
      </w:r>
      <w:r w:rsidRPr="00770602">
        <w:rPr>
          <w:rFonts w:asciiTheme="majorBidi" w:hAnsiTheme="majorBidi" w:cstheme="majorBidi"/>
          <w:i/>
          <w:iCs/>
        </w:rPr>
        <w:t>region</w:t>
      </w:r>
      <w:r w:rsidRPr="00770602">
        <w:rPr>
          <w:rFonts w:asciiTheme="majorBidi" w:hAnsiTheme="majorBidi" w:cstheme="majorBidi"/>
        </w:rPr>
        <w:t xml:space="preserve"> term to the model formula. We obtained better fit statistics for </w:t>
      </w:r>
      <w:r w:rsidRPr="00770602">
        <w:rPr>
          <w:rFonts w:asciiTheme="majorBidi" w:hAnsiTheme="majorBidi" w:cstheme="majorBidi"/>
          <w:i/>
          <w:iCs/>
        </w:rPr>
        <w:t>M</w:t>
      </w:r>
      <w:r w:rsidRPr="00770602">
        <w:rPr>
          <w:rFonts w:asciiTheme="majorBidi" w:hAnsiTheme="majorBidi" w:cstheme="majorBidi"/>
          <w:i/>
          <w:iCs/>
          <w:vertAlign w:val="subscript"/>
        </w:rPr>
        <w:t>2</w:t>
      </w:r>
      <w:r w:rsidRPr="00770602">
        <w:rPr>
          <w:rFonts w:asciiTheme="majorBidi" w:hAnsiTheme="majorBidi" w:cstheme="majorBidi"/>
        </w:rPr>
        <w:t xml:space="preserve"> compared to </w:t>
      </w:r>
      <w:r w:rsidRPr="00770602">
        <w:rPr>
          <w:rFonts w:asciiTheme="majorBidi" w:hAnsiTheme="majorBidi" w:cstheme="majorBidi"/>
          <w:i/>
          <w:iCs/>
        </w:rPr>
        <w:t>M</w:t>
      </w:r>
      <w:r w:rsidRPr="00770602">
        <w:rPr>
          <w:rFonts w:asciiTheme="majorBidi" w:hAnsiTheme="majorBidi" w:cstheme="majorBidi"/>
          <w:i/>
          <w:iCs/>
          <w:vertAlign w:val="subscript"/>
        </w:rPr>
        <w:t>1</w:t>
      </w:r>
      <w:r w:rsidRPr="00770602">
        <w:rPr>
          <w:rFonts w:asciiTheme="majorBidi" w:hAnsiTheme="majorBidi" w:cstheme="majorBidi"/>
        </w:rPr>
        <w:t xml:space="preserve">. Additionally, the Null Model Likelihood Ratio Test and Type 3 Tests of Fixed Effects were significant; demonstrating that the addition of the </w:t>
      </w:r>
      <w:r w:rsidRPr="00770602">
        <w:rPr>
          <w:rFonts w:asciiTheme="majorBidi" w:hAnsiTheme="majorBidi" w:cstheme="majorBidi"/>
          <w:i/>
          <w:iCs/>
        </w:rPr>
        <w:t>region</w:t>
      </w:r>
      <w:r w:rsidRPr="00770602">
        <w:rPr>
          <w:rFonts w:asciiTheme="majorBidi" w:hAnsiTheme="majorBidi" w:cstheme="majorBidi"/>
        </w:rPr>
        <w:t xml:space="preserve"> term enhanced the regression model.</w:t>
      </w:r>
    </w:p>
    <w:p w:rsidR="00770602" w:rsidRPr="00770602" w:rsidRDefault="00770602" w:rsidP="00770602">
      <w:pPr>
        <w:spacing w:line="480" w:lineRule="auto"/>
        <w:jc w:val="both"/>
        <w:rPr>
          <w:rFonts w:asciiTheme="majorBidi" w:hAnsiTheme="majorBidi" w:cstheme="majorBidi"/>
          <w:i/>
          <w:iCs/>
        </w:rPr>
      </w:pPr>
      <w:r w:rsidRPr="00770602">
        <w:rPr>
          <w:rFonts w:asciiTheme="majorBidi" w:hAnsiTheme="majorBidi" w:cstheme="majorBidi"/>
          <w:i/>
          <w:iCs/>
        </w:rPr>
        <w:t>M</w:t>
      </w:r>
      <w:r w:rsidRPr="00770602">
        <w:rPr>
          <w:rFonts w:asciiTheme="majorBidi" w:hAnsiTheme="majorBidi" w:cstheme="majorBidi"/>
          <w:i/>
          <w:iCs/>
          <w:vertAlign w:val="subscript"/>
        </w:rPr>
        <w:t>1</w:t>
      </w:r>
    </w:p>
    <w:p w:rsidR="00770602" w:rsidRPr="00770602" w:rsidRDefault="00770602" w:rsidP="00770602">
      <w:pPr>
        <w:spacing w:line="480" w:lineRule="auto"/>
        <w:jc w:val="both"/>
        <w:rPr>
          <w:rFonts w:asciiTheme="majorBidi" w:hAnsiTheme="majorBidi" w:cstheme="majorBidi"/>
        </w:rPr>
      </w:pPr>
      <w:r w:rsidRPr="00770602">
        <w:rPr>
          <w:rFonts w:asciiTheme="majorBidi" w:hAnsiTheme="majorBidi" w:cstheme="majorBidi"/>
        </w:rPr>
        <w:t>Formula: log-level ~ week</w:t>
      </w:r>
      <w:r w:rsidRPr="00770602">
        <w:rPr>
          <w:rFonts w:asciiTheme="majorBidi" w:hAnsiTheme="majorBidi" w:cstheme="majorBidi"/>
          <w:vertAlign w:val="superscript"/>
        </w:rPr>
        <w:t>2</w:t>
      </w:r>
    </w:p>
    <w:p w:rsidR="00770602" w:rsidRPr="00770602" w:rsidRDefault="00770602" w:rsidP="00770602">
      <w:pPr>
        <w:spacing w:line="480" w:lineRule="auto"/>
        <w:jc w:val="both"/>
        <w:rPr>
          <w:rFonts w:asciiTheme="majorBidi" w:hAnsiTheme="majorBidi" w:cstheme="majorBidi"/>
          <w:i/>
          <w:iCs/>
        </w:rPr>
      </w:pPr>
      <w:r w:rsidRPr="00770602">
        <w:rPr>
          <w:rFonts w:asciiTheme="majorBidi" w:hAnsiTheme="majorBidi" w:cstheme="majorBidi"/>
          <w:i/>
          <w:iCs/>
        </w:rPr>
        <w:t>M</w:t>
      </w:r>
      <w:r w:rsidRPr="00770602">
        <w:rPr>
          <w:rFonts w:asciiTheme="majorBidi" w:hAnsiTheme="majorBidi" w:cstheme="majorBidi"/>
          <w:i/>
          <w:iCs/>
          <w:vertAlign w:val="subscript"/>
        </w:rPr>
        <w:t>2</w:t>
      </w:r>
    </w:p>
    <w:p w:rsidR="00770602" w:rsidRPr="00770602" w:rsidRDefault="00770602" w:rsidP="00770602">
      <w:pPr>
        <w:spacing w:line="480" w:lineRule="auto"/>
        <w:jc w:val="both"/>
        <w:rPr>
          <w:rFonts w:asciiTheme="majorBidi" w:hAnsiTheme="majorBidi" w:cstheme="majorBidi"/>
        </w:rPr>
      </w:pPr>
      <w:r w:rsidRPr="00770602">
        <w:rPr>
          <w:rFonts w:asciiTheme="majorBidi" w:hAnsiTheme="majorBidi" w:cstheme="majorBidi"/>
        </w:rPr>
        <w:t>Formula: log-level ~ week</w:t>
      </w:r>
      <w:r w:rsidRPr="00770602">
        <w:rPr>
          <w:rFonts w:asciiTheme="majorBidi" w:hAnsiTheme="majorBidi" w:cstheme="majorBidi"/>
          <w:vertAlign w:val="superscript"/>
        </w:rPr>
        <w:t>2</w:t>
      </w:r>
      <w:r w:rsidRPr="00770602">
        <w:rPr>
          <w:rFonts w:asciiTheme="majorBidi" w:hAnsiTheme="majorBidi" w:cstheme="majorBidi"/>
        </w:rPr>
        <w:t xml:space="preserve"> + region | state (region)</w:t>
      </w:r>
    </w:p>
    <w:p w:rsidR="00770602" w:rsidRPr="00770602" w:rsidRDefault="00770602" w:rsidP="00770602">
      <w:pPr>
        <w:spacing w:line="480" w:lineRule="auto"/>
        <w:jc w:val="both"/>
        <w:rPr>
          <w:rFonts w:asciiTheme="majorBidi" w:hAnsiTheme="majorBidi" w:cstheme="majorBidi"/>
        </w:rPr>
      </w:pPr>
      <w:r w:rsidRPr="00770602">
        <w:rPr>
          <w:rFonts w:asciiTheme="majorBidi" w:hAnsiTheme="majorBidi" w:cstheme="majorBidi"/>
        </w:rPr>
        <w:t>Log-level for each state is a linear function in the week squared and the region, where the state is nested in the region.</w:t>
      </w:r>
    </w:p>
    <w:p w:rsidR="00391754" w:rsidRDefault="00391754"/>
    <w:p w:rsidR="003C4D22" w:rsidRDefault="003C4D22" w:rsidP="003C4D22">
      <w:pPr>
        <w:jc w:val="center"/>
      </w:pPr>
    </w:p>
    <w:p w:rsidR="00CE49D6" w:rsidRPr="007D51D8" w:rsidRDefault="00CE49D6" w:rsidP="001301D4">
      <w:r w:rsidRPr="00A34599">
        <w:rPr>
          <w:noProof/>
        </w:rPr>
        <w:drawing>
          <wp:inline distT="0" distB="0" distL="0" distR="0" wp14:anchorId="149475D1" wp14:editId="1E789D1B">
            <wp:extent cx="5943600" cy="2648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48358"/>
                    </a:xfrm>
                    <a:prstGeom prst="rect">
                      <a:avLst/>
                    </a:prstGeom>
                    <a:noFill/>
                    <a:ln>
                      <a:noFill/>
                    </a:ln>
                  </pic:spPr>
                </pic:pic>
              </a:graphicData>
            </a:graphic>
          </wp:inline>
        </w:drawing>
      </w:r>
    </w:p>
    <w:p w:rsidR="00CE49D6" w:rsidRDefault="00CE49D6" w:rsidP="00CE49D6">
      <w:pPr>
        <w:pStyle w:val="Caption"/>
        <w:jc w:val="left"/>
        <w:rPr>
          <w:noProof/>
        </w:rPr>
      </w:pPr>
      <w:r>
        <w:t>Figure S</w:t>
      </w:r>
      <w:r w:rsidR="00FA1EA2">
        <w:t>3</w:t>
      </w:r>
      <w:r>
        <w:t xml:space="preserve"> Heat map for the average daily change of blood transfers </w:t>
      </w:r>
      <w:r>
        <w:rPr>
          <w:noProof/>
        </w:rPr>
        <w:t>within and among regions for East impacted scenarios</w:t>
      </w:r>
      <w:r w:rsidR="003B302E">
        <w:rPr>
          <w:noProof/>
        </w:rPr>
        <w:t xml:space="preserve">, </w:t>
      </w:r>
      <w:r>
        <w:rPr>
          <w:noProof/>
        </w:rPr>
        <w:t xml:space="preserve"> MC1</w:t>
      </w:r>
      <w:r w:rsidRPr="00261A61">
        <w:rPr>
          <w:noProof/>
          <w:vertAlign w:val="subscript"/>
        </w:rPr>
        <w:t>E</w:t>
      </w:r>
      <w:r>
        <w:rPr>
          <w:noProof/>
        </w:rPr>
        <w:t xml:space="preserve"> </w:t>
      </w:r>
      <w:r w:rsidR="000C2366">
        <w:rPr>
          <w:noProof/>
        </w:rPr>
        <w:t xml:space="preserve">(a) </w:t>
      </w:r>
      <w:r>
        <w:rPr>
          <w:noProof/>
        </w:rPr>
        <w:t>and MC2</w:t>
      </w:r>
      <w:r w:rsidRPr="00261A61">
        <w:rPr>
          <w:noProof/>
          <w:vertAlign w:val="subscript"/>
        </w:rPr>
        <w:t>E</w:t>
      </w:r>
      <w:r>
        <w:rPr>
          <w:noProof/>
        </w:rPr>
        <w:t xml:space="preserve"> </w:t>
      </w:r>
      <w:r w:rsidR="003B302E">
        <w:rPr>
          <w:noProof/>
        </w:rPr>
        <w:t xml:space="preserve">and </w:t>
      </w:r>
      <w:r w:rsidR="000C2366">
        <w:rPr>
          <w:noProof/>
        </w:rPr>
        <w:t>(b)</w:t>
      </w:r>
      <w:r w:rsidR="003B302E">
        <w:rPr>
          <w:noProof/>
        </w:rPr>
        <w:t xml:space="preserve"> </w:t>
      </w:r>
      <w:r>
        <w:rPr>
          <w:noProof/>
        </w:rPr>
        <w:t>South impacted scenarios, MC1</w:t>
      </w:r>
      <w:r w:rsidRPr="00261A61">
        <w:rPr>
          <w:noProof/>
          <w:vertAlign w:val="subscript"/>
        </w:rPr>
        <w:t>S</w:t>
      </w:r>
      <w:r>
        <w:rPr>
          <w:noProof/>
        </w:rPr>
        <w:t xml:space="preserve"> </w:t>
      </w:r>
      <w:r w:rsidR="000C2366">
        <w:rPr>
          <w:noProof/>
        </w:rPr>
        <w:t xml:space="preserve">(c) </w:t>
      </w:r>
      <w:r>
        <w:rPr>
          <w:noProof/>
        </w:rPr>
        <w:t>and MC2</w:t>
      </w:r>
      <w:r w:rsidRPr="00261A61">
        <w:rPr>
          <w:noProof/>
          <w:vertAlign w:val="subscript"/>
        </w:rPr>
        <w:t>S</w:t>
      </w:r>
      <w:r w:rsidR="000C2366">
        <w:rPr>
          <w:noProof/>
          <w:vertAlign w:val="subscript"/>
        </w:rPr>
        <w:t xml:space="preserve"> </w:t>
      </w:r>
      <w:r w:rsidR="000C2366" w:rsidRPr="00B025C5">
        <w:rPr>
          <w:noProof/>
        </w:rPr>
        <w:t>(d)</w:t>
      </w:r>
      <w:r w:rsidRPr="000C2366">
        <w:rPr>
          <w:noProof/>
        </w:rPr>
        <w:t xml:space="preserve"> </w:t>
      </w:r>
      <w:r>
        <w:rPr>
          <w:noProof/>
        </w:rPr>
        <w:t xml:space="preserve">with respect to baseline. Red shades means </w:t>
      </w:r>
      <w:r w:rsidR="00D847F8">
        <w:rPr>
          <w:noProof/>
        </w:rPr>
        <w:t xml:space="preserve">an </w:t>
      </w:r>
      <w:r>
        <w:rPr>
          <w:noProof/>
        </w:rPr>
        <w:t xml:space="preserve">increase in transfer with respect to baseline, while blue shades indicate less units transferred compared to baseline. </w:t>
      </w:r>
      <w:r w:rsidR="003B302E">
        <w:rPr>
          <w:noProof/>
        </w:rPr>
        <w:t>C</w:t>
      </w:r>
      <w:r>
        <w:rPr>
          <w:noProof/>
        </w:rPr>
        <w:t>hange =  MC</w:t>
      </w:r>
      <w:r w:rsidRPr="003F55C5">
        <w:rPr>
          <w:noProof/>
          <w:vertAlign w:val="subscript"/>
        </w:rPr>
        <w:t>i</w:t>
      </w:r>
      <w:r>
        <w:rPr>
          <w:noProof/>
        </w:rPr>
        <w:t xml:space="preserve">- Baseline, where i=1,2, 3 and 4, referring to MC1, MC2. </w:t>
      </w:r>
    </w:p>
    <w:p w:rsidR="003C4D22" w:rsidRPr="00E42152" w:rsidRDefault="003C4D22" w:rsidP="00290CB0">
      <w:pPr>
        <w:pStyle w:val="Caption"/>
        <w:spacing w:line="360" w:lineRule="auto"/>
        <w:jc w:val="left"/>
        <w:rPr>
          <w:sz w:val="18"/>
          <w:szCs w:val="18"/>
        </w:rPr>
      </w:pPr>
    </w:p>
    <w:p w:rsidR="001301D4" w:rsidRDefault="001301D4">
      <w:r>
        <w:br w:type="page"/>
      </w:r>
    </w:p>
    <w:p w:rsidR="001301D4" w:rsidRDefault="001301D4" w:rsidP="001301D4">
      <w:pPr>
        <w:pStyle w:val="Caption"/>
        <w:spacing w:line="360" w:lineRule="auto"/>
        <w:jc w:val="center"/>
        <w:rPr>
          <w:sz w:val="18"/>
          <w:szCs w:val="18"/>
        </w:rPr>
      </w:pPr>
      <w:r>
        <w:rPr>
          <w:noProof/>
          <w:sz w:val="18"/>
          <w:szCs w:val="18"/>
        </w:rPr>
        <w:drawing>
          <wp:inline distT="0" distB="0" distL="0" distR="0" wp14:anchorId="6C7984BC" wp14:editId="0CE62479">
            <wp:extent cx="5250873" cy="381189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3411" cy="3813741"/>
                    </a:xfrm>
                    <a:prstGeom prst="rect">
                      <a:avLst/>
                    </a:prstGeom>
                    <a:noFill/>
                  </pic:spPr>
                </pic:pic>
              </a:graphicData>
            </a:graphic>
          </wp:inline>
        </w:drawing>
      </w:r>
    </w:p>
    <w:p w:rsidR="001301D4" w:rsidRPr="00CF1C84" w:rsidRDefault="001301D4" w:rsidP="001301D4">
      <w:pPr>
        <w:pStyle w:val="Caption"/>
        <w:spacing w:line="360" w:lineRule="auto"/>
        <w:jc w:val="left"/>
        <w:rPr>
          <w:sz w:val="18"/>
          <w:szCs w:val="18"/>
        </w:rPr>
      </w:pPr>
      <w:r w:rsidRPr="00CF1C84">
        <w:rPr>
          <w:sz w:val="18"/>
          <w:szCs w:val="18"/>
        </w:rPr>
        <w:t>Figure S4 Annual Average Daily number of RBC units in total supply (left axis) and percent reduction (right axis) among scenarios MC1</w:t>
      </w:r>
      <w:r w:rsidRPr="00B0621F">
        <w:rPr>
          <w:sz w:val="18"/>
          <w:szCs w:val="18"/>
          <w:vertAlign w:val="subscript"/>
        </w:rPr>
        <w:t>E</w:t>
      </w:r>
      <w:r w:rsidR="003B302E">
        <w:rPr>
          <w:sz w:val="18"/>
          <w:szCs w:val="18"/>
          <w:vertAlign w:val="subscript"/>
        </w:rPr>
        <w:t xml:space="preserve"> </w:t>
      </w:r>
      <w:r w:rsidR="003B302E">
        <w:rPr>
          <w:sz w:val="18"/>
          <w:szCs w:val="18"/>
        </w:rPr>
        <w:t>versus</w:t>
      </w:r>
      <w:r w:rsidRPr="00B0621F">
        <w:rPr>
          <w:sz w:val="18"/>
          <w:szCs w:val="18"/>
        </w:rPr>
        <w:t xml:space="preserve"> </w:t>
      </w:r>
      <w:r w:rsidR="003B302E" w:rsidRPr="00B0621F">
        <w:rPr>
          <w:sz w:val="18"/>
          <w:szCs w:val="18"/>
        </w:rPr>
        <w:t>MC</w:t>
      </w:r>
      <w:r w:rsidR="00A05EF9">
        <w:rPr>
          <w:sz w:val="18"/>
          <w:szCs w:val="18"/>
        </w:rPr>
        <w:t>1</w:t>
      </w:r>
      <w:r w:rsidR="003B302E">
        <w:rPr>
          <w:sz w:val="18"/>
          <w:szCs w:val="18"/>
          <w:vertAlign w:val="subscript"/>
        </w:rPr>
        <w:t>S</w:t>
      </w:r>
      <w:r w:rsidR="00A05EF9">
        <w:rPr>
          <w:sz w:val="18"/>
          <w:szCs w:val="18"/>
          <w:vertAlign w:val="subscript"/>
        </w:rPr>
        <w:t xml:space="preserve"> </w:t>
      </w:r>
      <w:r w:rsidR="00A05EF9">
        <w:rPr>
          <w:sz w:val="18"/>
          <w:szCs w:val="18"/>
        </w:rPr>
        <w:t xml:space="preserve">and </w:t>
      </w:r>
      <w:r w:rsidR="00A05EF9" w:rsidRPr="00B0621F">
        <w:rPr>
          <w:sz w:val="18"/>
          <w:szCs w:val="18"/>
        </w:rPr>
        <w:t>MC</w:t>
      </w:r>
      <w:r w:rsidR="00A05EF9">
        <w:rPr>
          <w:sz w:val="18"/>
          <w:szCs w:val="18"/>
        </w:rPr>
        <w:t>2</w:t>
      </w:r>
      <w:r w:rsidR="00A05EF9">
        <w:rPr>
          <w:sz w:val="18"/>
          <w:szCs w:val="18"/>
          <w:vertAlign w:val="subscript"/>
        </w:rPr>
        <w:t>E</w:t>
      </w:r>
      <w:r w:rsidR="00A05EF9" w:rsidRPr="00B0621F">
        <w:rPr>
          <w:sz w:val="18"/>
          <w:szCs w:val="18"/>
        </w:rPr>
        <w:t xml:space="preserve"> </w:t>
      </w:r>
      <w:r w:rsidR="00A05EF9">
        <w:rPr>
          <w:sz w:val="18"/>
          <w:szCs w:val="18"/>
        </w:rPr>
        <w:t xml:space="preserve">versus </w:t>
      </w:r>
      <w:r w:rsidRPr="00B0621F">
        <w:rPr>
          <w:sz w:val="18"/>
          <w:szCs w:val="18"/>
        </w:rPr>
        <w:t>MC2</w:t>
      </w:r>
      <w:r w:rsidRPr="00B0621F">
        <w:rPr>
          <w:sz w:val="18"/>
          <w:szCs w:val="18"/>
          <w:vertAlign w:val="subscript"/>
        </w:rPr>
        <w:t>S</w:t>
      </w:r>
      <w:r w:rsidRPr="00B0621F">
        <w:rPr>
          <w:sz w:val="18"/>
          <w:szCs w:val="18"/>
        </w:rPr>
        <w:t>. MC1 and MC2 are scenarios with 50</w:t>
      </w:r>
      <w:r w:rsidRPr="00B0621F">
        <w:rPr>
          <w:sz w:val="18"/>
          <w:szCs w:val="18"/>
          <w:vertAlign w:val="superscript"/>
        </w:rPr>
        <w:t>th</w:t>
      </w:r>
      <w:r w:rsidRPr="00B0621F">
        <w:rPr>
          <w:sz w:val="18"/>
          <w:szCs w:val="18"/>
        </w:rPr>
        <w:t xml:space="preserve"> and 95</w:t>
      </w:r>
      <w:r w:rsidRPr="00B0621F">
        <w:rPr>
          <w:sz w:val="18"/>
          <w:szCs w:val="18"/>
          <w:vertAlign w:val="superscript"/>
        </w:rPr>
        <w:t>th</w:t>
      </w:r>
      <w:r w:rsidRPr="00B0621F">
        <w:rPr>
          <w:sz w:val="18"/>
          <w:szCs w:val="18"/>
        </w:rPr>
        <w:t xml:space="preserve"> percentile casualties. E and S indicate </w:t>
      </w:r>
      <w:r w:rsidRPr="005970A3">
        <w:rPr>
          <w:sz w:val="18"/>
          <w:szCs w:val="18"/>
        </w:rPr>
        <w:t xml:space="preserve">East and South as </w:t>
      </w:r>
      <w:r w:rsidRPr="00CF1C84">
        <w:rPr>
          <w:sz w:val="18"/>
          <w:szCs w:val="18"/>
        </w:rPr>
        <w:t>the impacted region in the scenario. Annual average daily number of expired RBC units is shown above the bars in red</w:t>
      </w:r>
    </w:p>
    <w:p w:rsidR="009348C7" w:rsidRDefault="008839F5" w:rsidP="00FF77F6">
      <w:pPr>
        <w:rPr>
          <w:rFonts w:asciiTheme="majorBidi" w:hAnsiTheme="majorBidi" w:cstheme="majorBidi"/>
        </w:rPr>
      </w:pPr>
      <w:r w:rsidRPr="00A576F9">
        <w:rPr>
          <w:rFonts w:asciiTheme="majorBidi" w:hAnsiTheme="majorBidi" w:cstheme="majorBidi"/>
        </w:rPr>
        <w:t>Figure S4 shows the AAD of total supply and the percent reduction in total supply with respect to baseline due to changing the impacted region from East to South for all MC scenarios considered. Assuming that the additional number of RBC units requested for transfusion for MC1 and MC2 were the same regardless of the impacted region, we observed that for scenario MC1 a 5.0% reduction in AAD total supply was found in MC1</w:t>
      </w:r>
      <w:r w:rsidRPr="00BB41A5">
        <w:rPr>
          <w:rFonts w:asciiTheme="majorBidi" w:hAnsiTheme="majorBidi" w:cstheme="majorBidi"/>
          <w:vertAlign w:val="subscript"/>
        </w:rPr>
        <w:t xml:space="preserve">E </w:t>
      </w:r>
      <w:r w:rsidRPr="00A576F9">
        <w:rPr>
          <w:rFonts w:asciiTheme="majorBidi" w:hAnsiTheme="majorBidi" w:cstheme="majorBidi"/>
        </w:rPr>
        <w:t>compared to a 2.9% in MC1</w:t>
      </w:r>
      <w:r w:rsidRPr="00BB41A5">
        <w:rPr>
          <w:rFonts w:asciiTheme="majorBidi" w:hAnsiTheme="majorBidi" w:cstheme="majorBidi"/>
          <w:vertAlign w:val="subscript"/>
        </w:rPr>
        <w:t>S</w:t>
      </w:r>
      <w:r w:rsidRPr="00A576F9">
        <w:rPr>
          <w:rFonts w:asciiTheme="majorBidi" w:hAnsiTheme="majorBidi" w:cstheme="majorBidi"/>
        </w:rPr>
        <w:t>. The opposite was observed for scenario MC2 in which a reduction of 14.1% was observed in MC2</w:t>
      </w:r>
      <w:r w:rsidRPr="00BB41A5">
        <w:rPr>
          <w:rFonts w:asciiTheme="majorBidi" w:hAnsiTheme="majorBidi" w:cstheme="majorBidi"/>
          <w:vertAlign w:val="subscript"/>
        </w:rPr>
        <w:t>S</w:t>
      </w:r>
      <w:r w:rsidRPr="00A576F9">
        <w:rPr>
          <w:rFonts w:asciiTheme="majorBidi" w:hAnsiTheme="majorBidi" w:cstheme="majorBidi"/>
        </w:rPr>
        <w:t xml:space="preserve"> compared to a 12.3% reduction in MC2</w:t>
      </w:r>
      <w:r w:rsidRPr="00BB41A5">
        <w:rPr>
          <w:rFonts w:asciiTheme="majorBidi" w:hAnsiTheme="majorBidi" w:cstheme="majorBidi"/>
          <w:vertAlign w:val="subscript"/>
        </w:rPr>
        <w:t>E</w:t>
      </w:r>
      <w:r w:rsidRPr="00A576F9">
        <w:rPr>
          <w:rFonts w:asciiTheme="majorBidi" w:hAnsiTheme="majorBidi" w:cstheme="majorBidi"/>
        </w:rPr>
        <w:t>. The same trend was  observed in the AAD expired number of RBCs, which were 1.5% higher in scenario MC1</w:t>
      </w:r>
      <w:r w:rsidRPr="00BB41A5">
        <w:rPr>
          <w:rFonts w:asciiTheme="majorBidi" w:hAnsiTheme="majorBidi" w:cstheme="majorBidi"/>
          <w:vertAlign w:val="subscript"/>
        </w:rPr>
        <w:t>E</w:t>
      </w:r>
      <w:r w:rsidRPr="00A576F9">
        <w:rPr>
          <w:rFonts w:asciiTheme="majorBidi" w:hAnsiTheme="majorBidi" w:cstheme="majorBidi"/>
        </w:rPr>
        <w:t xml:space="preserve"> compared to scenario MC1</w:t>
      </w:r>
      <w:r w:rsidRPr="00BB41A5">
        <w:rPr>
          <w:rFonts w:asciiTheme="majorBidi" w:hAnsiTheme="majorBidi" w:cstheme="majorBidi"/>
          <w:vertAlign w:val="subscript"/>
        </w:rPr>
        <w:t>S</w:t>
      </w:r>
      <w:r w:rsidRPr="00A576F9">
        <w:rPr>
          <w:rFonts w:asciiTheme="majorBidi" w:hAnsiTheme="majorBidi" w:cstheme="majorBidi"/>
        </w:rPr>
        <w:t>, (2,377 and 2,337, respectively) and 1.3% lower for MC2</w:t>
      </w:r>
      <w:r w:rsidRPr="00BB41A5">
        <w:rPr>
          <w:rFonts w:asciiTheme="majorBidi" w:hAnsiTheme="majorBidi" w:cstheme="majorBidi"/>
          <w:vertAlign w:val="subscript"/>
        </w:rPr>
        <w:t>E</w:t>
      </w:r>
      <w:r w:rsidRPr="00A576F9">
        <w:rPr>
          <w:rFonts w:asciiTheme="majorBidi" w:hAnsiTheme="majorBidi" w:cstheme="majorBidi"/>
        </w:rPr>
        <w:t xml:space="preserve"> compared to </w:t>
      </w:r>
      <w:r w:rsidR="00A05EF9" w:rsidRPr="00A576F9">
        <w:rPr>
          <w:rFonts w:asciiTheme="majorBidi" w:hAnsiTheme="majorBidi" w:cstheme="majorBidi"/>
        </w:rPr>
        <w:t>MC2</w:t>
      </w:r>
      <w:r w:rsidR="00A05EF9">
        <w:rPr>
          <w:rFonts w:asciiTheme="majorBidi" w:hAnsiTheme="majorBidi" w:cstheme="majorBidi"/>
          <w:vertAlign w:val="subscript"/>
        </w:rPr>
        <w:t>S</w:t>
      </w:r>
      <w:r w:rsidR="00A05EF9" w:rsidRPr="00A576F9">
        <w:rPr>
          <w:rFonts w:asciiTheme="majorBidi" w:hAnsiTheme="majorBidi" w:cstheme="majorBidi"/>
        </w:rPr>
        <w:t xml:space="preserve"> </w:t>
      </w:r>
      <w:r w:rsidRPr="00A576F9">
        <w:rPr>
          <w:rFonts w:asciiTheme="majorBidi" w:hAnsiTheme="majorBidi" w:cstheme="majorBidi"/>
        </w:rPr>
        <w:t xml:space="preserve">(2,012 and 2,047, respectively. </w:t>
      </w:r>
    </w:p>
    <w:p w:rsidR="009348C7" w:rsidRDefault="009348C7">
      <w:pPr>
        <w:rPr>
          <w:rFonts w:asciiTheme="majorBidi" w:hAnsiTheme="majorBidi" w:cstheme="majorBidi"/>
        </w:rPr>
      </w:pPr>
      <w:r>
        <w:rPr>
          <w:rFonts w:asciiTheme="majorBidi" w:hAnsiTheme="majorBidi" w:cstheme="majorBidi"/>
        </w:rPr>
        <w:br w:type="page"/>
      </w:r>
    </w:p>
    <w:p w:rsidR="009348C7" w:rsidRDefault="009348C7" w:rsidP="00FF77F6">
      <w:pPr>
        <w:rPr>
          <w:rFonts w:asciiTheme="majorBidi" w:hAnsiTheme="majorBidi" w:cstheme="majorBidi"/>
        </w:rPr>
      </w:pPr>
      <w:r>
        <w:rPr>
          <w:rFonts w:asciiTheme="majorBidi" w:hAnsiTheme="majorBidi" w:cstheme="majorBidi"/>
        </w:rPr>
        <w:t>Reference list</w:t>
      </w:r>
    </w:p>
    <w:p w:rsidR="009348C7" w:rsidRPr="0028485F" w:rsidRDefault="009348C7" w:rsidP="0028485F">
      <w:pPr>
        <w:pStyle w:val="EndNoteBibliography"/>
        <w:spacing w:after="0" w:line="480" w:lineRule="auto"/>
        <w:ind w:left="720" w:hanging="720"/>
        <w:rPr>
          <w:rFonts w:ascii="Times New Roman" w:hAnsi="Times New Roman" w:cs="Times New Roman"/>
          <w:u w:val="single"/>
        </w:rPr>
      </w:pPr>
      <w:r w:rsidRPr="0028485F">
        <w:rPr>
          <w:rFonts w:ascii="Times New Roman" w:hAnsi="Times New Roman" w:cs="Times New Roman"/>
        </w:rPr>
        <w:fldChar w:fldCharType="begin"/>
      </w:r>
      <w:r w:rsidRPr="0028485F">
        <w:rPr>
          <w:rFonts w:ascii="Times New Roman" w:hAnsi="Times New Roman" w:cs="Times New Roman"/>
        </w:rPr>
        <w:instrText xml:space="preserve"> ADDIN EN.REFLIST </w:instrText>
      </w:r>
      <w:r w:rsidRPr="0028485F">
        <w:rPr>
          <w:rFonts w:ascii="Times New Roman" w:hAnsi="Times New Roman" w:cs="Times New Roman"/>
        </w:rPr>
        <w:fldChar w:fldCharType="separate"/>
      </w:r>
      <w:r w:rsidRPr="0028485F">
        <w:rPr>
          <w:rFonts w:ascii="Times New Roman" w:hAnsi="Times New Roman" w:cs="Times New Roman"/>
        </w:rPr>
        <w:t>1.</w:t>
      </w:r>
      <w:r w:rsidRPr="0028485F">
        <w:rPr>
          <w:rFonts w:ascii="Times New Roman" w:hAnsi="Times New Roman" w:cs="Times New Roman"/>
        </w:rPr>
        <w:tab/>
      </w:r>
      <w:r w:rsidRPr="0028485F">
        <w:rPr>
          <w:rFonts w:ascii="Times New Roman" w:hAnsi="Times New Roman" w:cs="Times New Roman"/>
          <w:i/>
        </w:rPr>
        <w:t>America's Blood Centers website [monograph on the internet]</w:t>
      </w:r>
      <w:r w:rsidRPr="0028485F">
        <w:rPr>
          <w:rFonts w:ascii="Times New Roman" w:hAnsi="Times New Roman" w:cs="Times New Roman"/>
        </w:rPr>
        <w:t xml:space="preserve">. 2014. Available from: </w:t>
      </w:r>
      <w:hyperlink r:id="rId10" w:history="1">
        <w:r w:rsidRPr="0028485F">
          <w:rPr>
            <w:rStyle w:val="Hyperlink"/>
            <w:rFonts w:ascii="Times New Roman" w:hAnsi="Times New Roman" w:cs="Times New Roman"/>
          </w:rPr>
          <w:t>http://www.americasblood.org/stoplight.aspx</w:t>
        </w:r>
      </w:hyperlink>
    </w:p>
    <w:p w:rsidR="009348C7" w:rsidRPr="0028485F" w:rsidRDefault="009348C7" w:rsidP="0028485F">
      <w:pPr>
        <w:pStyle w:val="EndNoteBibliography"/>
        <w:spacing w:after="0" w:line="480" w:lineRule="auto"/>
        <w:ind w:left="720" w:hanging="720"/>
        <w:rPr>
          <w:rFonts w:ascii="Times New Roman" w:hAnsi="Times New Roman" w:cs="Times New Roman"/>
        </w:rPr>
      </w:pPr>
      <w:r w:rsidRPr="0028485F">
        <w:rPr>
          <w:rFonts w:ascii="Times New Roman" w:hAnsi="Times New Roman" w:cs="Times New Roman"/>
        </w:rPr>
        <w:t>2.</w:t>
      </w:r>
      <w:r w:rsidRPr="0028485F">
        <w:rPr>
          <w:rFonts w:ascii="Times New Roman" w:hAnsi="Times New Roman" w:cs="Times New Roman"/>
        </w:rPr>
        <w:tab/>
        <w:t>Centers for Disease Control and Prevention (CDC). National Center for Health Statistics (NCHS). National Health and Nutrition Examination Survey Data. Hyattsville, MD: U.S. Department of Health and Human Services, Centers for Disease Control and Prevention, 2011-2012.</w:t>
      </w:r>
    </w:p>
    <w:p w:rsidR="009348C7" w:rsidRPr="0028485F" w:rsidRDefault="009348C7" w:rsidP="0028485F">
      <w:pPr>
        <w:pStyle w:val="EndNoteBibliography"/>
        <w:spacing w:line="480" w:lineRule="auto"/>
        <w:ind w:left="720" w:hanging="720"/>
        <w:rPr>
          <w:rFonts w:ascii="Times New Roman" w:hAnsi="Times New Roman" w:cs="Times New Roman"/>
        </w:rPr>
      </w:pPr>
      <w:r w:rsidRPr="0028485F">
        <w:rPr>
          <w:rFonts w:ascii="Times New Roman" w:hAnsi="Times New Roman" w:cs="Times New Roman"/>
        </w:rPr>
        <w:t>3.</w:t>
      </w:r>
      <w:r w:rsidRPr="0028485F">
        <w:rPr>
          <w:rFonts w:ascii="Times New Roman" w:hAnsi="Times New Roman" w:cs="Times New Roman"/>
        </w:rPr>
        <w:tab/>
        <w:t>Knebel AR, Coleman CN, Cliffer KD, Murrain-Hill P, McNally R, Oancea V, Jacobs J, Buddemeier B, Hick JL, Weinstock DM. Allocation of scarce resources after a nuclear detonation: setting the context. Disaster. medicine and public health preparedness 2011;</w:t>
      </w:r>
      <w:r w:rsidRPr="0028485F">
        <w:rPr>
          <w:rFonts w:ascii="Times New Roman" w:hAnsi="Times New Roman" w:cs="Times New Roman"/>
          <w:b/>
        </w:rPr>
        <w:t>5</w:t>
      </w:r>
      <w:r w:rsidRPr="0028485F">
        <w:rPr>
          <w:rFonts w:ascii="Times New Roman" w:hAnsi="Times New Roman" w:cs="Times New Roman"/>
        </w:rPr>
        <w:t>: S20-S31.</w:t>
      </w:r>
    </w:p>
    <w:p w:rsidR="001E7896" w:rsidRPr="00A576F9" w:rsidRDefault="009348C7" w:rsidP="009348C7">
      <w:pPr>
        <w:rPr>
          <w:rFonts w:asciiTheme="majorBidi" w:hAnsiTheme="majorBidi" w:cstheme="majorBidi"/>
        </w:rPr>
      </w:pPr>
      <w:r w:rsidRPr="0028485F">
        <w:rPr>
          <w:rFonts w:ascii="Times New Roman" w:hAnsi="Times New Roman" w:cs="Times New Roman"/>
        </w:rPr>
        <w:fldChar w:fldCharType="end"/>
      </w:r>
    </w:p>
    <w:sectPr w:rsidR="001E7896" w:rsidRPr="00A5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ansfu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zwdtp99p5ep5ee0r7vew0ofr2swrf9papr&quot;&gt;Natural Disaster lib&lt;record-ids&gt;&lt;item&gt;52&lt;/item&gt;&lt;item&gt;60&lt;/item&gt;&lt;item&gt;106&lt;/item&gt;&lt;/record-ids&gt;&lt;/item&gt;&lt;/Libraries&gt;"/>
  </w:docVars>
  <w:rsids>
    <w:rsidRoot w:val="001E7896"/>
    <w:rsid w:val="000676E8"/>
    <w:rsid w:val="000C2366"/>
    <w:rsid w:val="000E603A"/>
    <w:rsid w:val="0012501E"/>
    <w:rsid w:val="001301D4"/>
    <w:rsid w:val="00141D57"/>
    <w:rsid w:val="001A3035"/>
    <w:rsid w:val="001E7896"/>
    <w:rsid w:val="0028485F"/>
    <w:rsid w:val="00290CB0"/>
    <w:rsid w:val="002B5709"/>
    <w:rsid w:val="00307480"/>
    <w:rsid w:val="00313224"/>
    <w:rsid w:val="00323875"/>
    <w:rsid w:val="00350575"/>
    <w:rsid w:val="003718A7"/>
    <w:rsid w:val="00391754"/>
    <w:rsid w:val="003B302E"/>
    <w:rsid w:val="003B7639"/>
    <w:rsid w:val="003C4D22"/>
    <w:rsid w:val="003D19BF"/>
    <w:rsid w:val="003F3009"/>
    <w:rsid w:val="004568F0"/>
    <w:rsid w:val="0057052C"/>
    <w:rsid w:val="005970A3"/>
    <w:rsid w:val="005E6EDC"/>
    <w:rsid w:val="006166F4"/>
    <w:rsid w:val="00731302"/>
    <w:rsid w:val="00744DCC"/>
    <w:rsid w:val="00770602"/>
    <w:rsid w:val="0083195A"/>
    <w:rsid w:val="008745A6"/>
    <w:rsid w:val="008839F5"/>
    <w:rsid w:val="008A2583"/>
    <w:rsid w:val="00914A05"/>
    <w:rsid w:val="00922B44"/>
    <w:rsid w:val="009348C7"/>
    <w:rsid w:val="00974635"/>
    <w:rsid w:val="00A05EF9"/>
    <w:rsid w:val="00A2414B"/>
    <w:rsid w:val="00A314A8"/>
    <w:rsid w:val="00A576F9"/>
    <w:rsid w:val="00A91C0A"/>
    <w:rsid w:val="00AB619D"/>
    <w:rsid w:val="00B025C5"/>
    <w:rsid w:val="00B0621F"/>
    <w:rsid w:val="00B309F3"/>
    <w:rsid w:val="00B322FE"/>
    <w:rsid w:val="00B34A3A"/>
    <w:rsid w:val="00B62C96"/>
    <w:rsid w:val="00B70B16"/>
    <w:rsid w:val="00BB41A5"/>
    <w:rsid w:val="00C37484"/>
    <w:rsid w:val="00C41271"/>
    <w:rsid w:val="00CA34F1"/>
    <w:rsid w:val="00CE49D6"/>
    <w:rsid w:val="00CF1C84"/>
    <w:rsid w:val="00D46C7A"/>
    <w:rsid w:val="00D61752"/>
    <w:rsid w:val="00D83B87"/>
    <w:rsid w:val="00D847F8"/>
    <w:rsid w:val="00E05060"/>
    <w:rsid w:val="00E45D1C"/>
    <w:rsid w:val="00E8326B"/>
    <w:rsid w:val="00EC080E"/>
    <w:rsid w:val="00F77E9F"/>
    <w:rsid w:val="00F80F2B"/>
    <w:rsid w:val="00FA1EA2"/>
    <w:rsid w:val="00FF7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224"/>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24"/>
    <w:rPr>
      <w:rFonts w:ascii="Times New Roman" w:eastAsiaTheme="majorEastAsia" w:hAnsi="Times New Roman" w:cstheme="majorBidi"/>
      <w:b/>
      <w:bCs/>
      <w:sz w:val="28"/>
      <w:szCs w:val="28"/>
    </w:rPr>
  </w:style>
  <w:style w:type="paragraph" w:styleId="Caption">
    <w:name w:val="caption"/>
    <w:basedOn w:val="Normal"/>
    <w:next w:val="Normal"/>
    <w:uiPriority w:val="35"/>
    <w:unhideWhenUsed/>
    <w:qFormat/>
    <w:rsid w:val="00391754"/>
    <w:pPr>
      <w:spacing w:line="240" w:lineRule="auto"/>
      <w:jc w:val="both"/>
    </w:pPr>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39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54"/>
    <w:rPr>
      <w:rFonts w:ascii="Tahoma" w:hAnsi="Tahoma" w:cs="Tahoma"/>
      <w:sz w:val="16"/>
      <w:szCs w:val="16"/>
    </w:rPr>
  </w:style>
  <w:style w:type="character" w:styleId="CommentReference">
    <w:name w:val="annotation reference"/>
    <w:basedOn w:val="DefaultParagraphFont"/>
    <w:semiHidden/>
    <w:unhideWhenUsed/>
    <w:rsid w:val="00391754"/>
    <w:rPr>
      <w:sz w:val="16"/>
      <w:szCs w:val="16"/>
    </w:rPr>
  </w:style>
  <w:style w:type="paragraph" w:styleId="CommentText">
    <w:name w:val="annotation text"/>
    <w:basedOn w:val="Normal"/>
    <w:link w:val="CommentTextChar"/>
    <w:uiPriority w:val="99"/>
    <w:unhideWhenUsed/>
    <w:rsid w:val="0039175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917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03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603A"/>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9348C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48C7"/>
    <w:rPr>
      <w:rFonts w:ascii="Calibri" w:hAnsi="Calibri"/>
      <w:noProof/>
    </w:rPr>
  </w:style>
  <w:style w:type="paragraph" w:customStyle="1" w:styleId="EndNoteBibliography">
    <w:name w:val="EndNote Bibliography"/>
    <w:basedOn w:val="Normal"/>
    <w:link w:val="EndNoteBibliographyChar"/>
    <w:rsid w:val="009348C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48C7"/>
    <w:rPr>
      <w:rFonts w:ascii="Calibri" w:hAnsi="Calibri"/>
      <w:noProof/>
    </w:rPr>
  </w:style>
  <w:style w:type="character" w:styleId="Hyperlink">
    <w:name w:val="Hyperlink"/>
    <w:basedOn w:val="DefaultParagraphFont"/>
    <w:uiPriority w:val="99"/>
    <w:unhideWhenUsed/>
    <w:rsid w:val="00934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224"/>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24"/>
    <w:rPr>
      <w:rFonts w:ascii="Times New Roman" w:eastAsiaTheme="majorEastAsia" w:hAnsi="Times New Roman" w:cstheme="majorBidi"/>
      <w:b/>
      <w:bCs/>
      <w:sz w:val="28"/>
      <w:szCs w:val="28"/>
    </w:rPr>
  </w:style>
  <w:style w:type="paragraph" w:styleId="Caption">
    <w:name w:val="caption"/>
    <w:basedOn w:val="Normal"/>
    <w:next w:val="Normal"/>
    <w:uiPriority w:val="35"/>
    <w:unhideWhenUsed/>
    <w:qFormat/>
    <w:rsid w:val="00391754"/>
    <w:pPr>
      <w:spacing w:line="240" w:lineRule="auto"/>
      <w:jc w:val="both"/>
    </w:pPr>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39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54"/>
    <w:rPr>
      <w:rFonts w:ascii="Tahoma" w:hAnsi="Tahoma" w:cs="Tahoma"/>
      <w:sz w:val="16"/>
      <w:szCs w:val="16"/>
    </w:rPr>
  </w:style>
  <w:style w:type="character" w:styleId="CommentReference">
    <w:name w:val="annotation reference"/>
    <w:basedOn w:val="DefaultParagraphFont"/>
    <w:semiHidden/>
    <w:unhideWhenUsed/>
    <w:rsid w:val="00391754"/>
    <w:rPr>
      <w:sz w:val="16"/>
      <w:szCs w:val="16"/>
    </w:rPr>
  </w:style>
  <w:style w:type="paragraph" w:styleId="CommentText">
    <w:name w:val="annotation text"/>
    <w:basedOn w:val="Normal"/>
    <w:link w:val="CommentTextChar"/>
    <w:uiPriority w:val="99"/>
    <w:unhideWhenUsed/>
    <w:rsid w:val="0039175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917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03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603A"/>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9348C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48C7"/>
    <w:rPr>
      <w:rFonts w:ascii="Calibri" w:hAnsi="Calibri"/>
      <w:noProof/>
    </w:rPr>
  </w:style>
  <w:style w:type="paragraph" w:customStyle="1" w:styleId="EndNoteBibliography">
    <w:name w:val="EndNote Bibliography"/>
    <w:basedOn w:val="Normal"/>
    <w:link w:val="EndNoteBibliographyChar"/>
    <w:rsid w:val="009348C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48C7"/>
    <w:rPr>
      <w:rFonts w:ascii="Calibri" w:hAnsi="Calibri"/>
      <w:noProof/>
    </w:rPr>
  </w:style>
  <w:style w:type="character" w:styleId="Hyperlink">
    <w:name w:val="Hyperlink"/>
    <w:basedOn w:val="DefaultParagraphFont"/>
    <w:uiPriority w:val="99"/>
    <w:unhideWhenUsed/>
    <w:rsid w:val="00934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sblood.org/stoplight.aspx"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F62C-FACB-4C45-8EE2-867C7086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Ezzeldin, Hussein *;Arianna.Simonetti@fda.hhs.gov</dc:creator>
  <cp:lastModifiedBy>Simonetti, Arianna</cp:lastModifiedBy>
  <cp:revision>3</cp:revision>
  <dcterms:created xsi:type="dcterms:W3CDTF">2016-07-22T18:29:00Z</dcterms:created>
  <dcterms:modified xsi:type="dcterms:W3CDTF">2016-07-22T18:30:00Z</dcterms:modified>
</cp:coreProperties>
</file>