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E999B" w14:textId="77777777" w:rsidR="00A740E4" w:rsidRPr="00A259D5" w:rsidRDefault="00A740E4" w:rsidP="007F3DC4">
      <w:pPr>
        <w:spacing w:before="120" w:line="360" w:lineRule="auto"/>
        <w:jc w:val="both"/>
        <w:rPr>
          <w:rFonts w:ascii="Times New Roman" w:hAnsi="Times New Roman" w:cs="Times New Roman"/>
          <w:b/>
          <w:lang w:val="en-US"/>
        </w:rPr>
      </w:pPr>
    </w:p>
    <w:p w14:paraId="7A37AA1E" w14:textId="52164770" w:rsidR="00F503C8" w:rsidRDefault="00F503C8" w:rsidP="00F503C8">
      <w:pPr>
        <w:spacing w:before="120" w:line="360" w:lineRule="auto"/>
        <w:ind w:firstLine="567"/>
        <w:jc w:val="both"/>
        <w:rPr>
          <w:rFonts w:ascii="Times New Roman" w:hAnsi="Times New Roman" w:cs="Times New Roman"/>
          <w:b/>
          <w:lang w:val="en-US"/>
        </w:rPr>
      </w:pPr>
      <w:r w:rsidRPr="009746D6">
        <w:rPr>
          <w:rFonts w:ascii="Times New Roman" w:hAnsi="Times New Roman" w:cs="Times New Roman"/>
          <w:b/>
          <w:lang w:val="en-US"/>
        </w:rPr>
        <w:t>APPENDIX: D</w:t>
      </w:r>
      <w:r w:rsidR="0038161F">
        <w:rPr>
          <w:rFonts w:ascii="Times New Roman" w:hAnsi="Times New Roman" w:cs="Times New Roman"/>
          <w:b/>
          <w:lang w:val="en-US"/>
        </w:rPr>
        <w:t>ate for the Econometric Models</w:t>
      </w:r>
    </w:p>
    <w:p w14:paraId="3BBF6A28" w14:textId="77777777" w:rsidR="0038161F" w:rsidRPr="009746D6" w:rsidRDefault="0038161F" w:rsidP="00F503C8">
      <w:pPr>
        <w:spacing w:before="120" w:line="360" w:lineRule="auto"/>
        <w:ind w:firstLine="567"/>
        <w:jc w:val="both"/>
        <w:rPr>
          <w:rFonts w:ascii="Times New Roman" w:hAnsi="Times New Roman" w:cs="Times New Roman"/>
          <w:b/>
          <w:lang w:val="en-US"/>
        </w:rPr>
      </w:pPr>
    </w:p>
    <w:p w14:paraId="448646CC" w14:textId="1BA66284" w:rsidR="00F503C8" w:rsidRPr="009746D6" w:rsidRDefault="00F503C8" w:rsidP="00F503C8">
      <w:pPr>
        <w:spacing w:before="120" w:line="360" w:lineRule="auto"/>
        <w:ind w:firstLine="567"/>
        <w:jc w:val="both"/>
        <w:rPr>
          <w:rFonts w:ascii="Times New Roman" w:hAnsi="Times New Roman" w:cs="Times New Roman"/>
          <w:lang w:val="en-US"/>
        </w:rPr>
      </w:pPr>
      <w:r w:rsidRPr="009746D6">
        <w:rPr>
          <w:rFonts w:ascii="Times New Roman" w:hAnsi="Times New Roman" w:cs="Times New Roman"/>
          <w:b/>
          <w:lang w:val="en-US"/>
        </w:rPr>
        <w:t>Countries</w:t>
      </w:r>
      <w:r w:rsidRPr="009746D6">
        <w:rPr>
          <w:rFonts w:ascii="Times New Roman" w:hAnsi="Times New Roman" w:cs="Times New Roman"/>
          <w:lang w:val="en-US"/>
        </w:rPr>
        <w:t xml:space="preserve">: The trade partners of </w:t>
      </w:r>
      <w:r w:rsidR="00883853" w:rsidRPr="009746D6">
        <w:rPr>
          <w:rFonts w:ascii="Times New Roman" w:hAnsi="Times New Roman" w:cs="Times New Roman"/>
          <w:lang w:val="en-US"/>
        </w:rPr>
        <w:t xml:space="preserve">Algeria, </w:t>
      </w:r>
      <w:r w:rsidRPr="009746D6">
        <w:rPr>
          <w:rFonts w:ascii="Times New Roman" w:hAnsi="Times New Roman" w:cs="Times New Roman"/>
          <w:lang w:val="en-US"/>
        </w:rPr>
        <w:t>France</w:t>
      </w:r>
      <w:r w:rsidR="00883853" w:rsidRPr="009746D6">
        <w:rPr>
          <w:rFonts w:ascii="Times New Roman" w:hAnsi="Times New Roman" w:cs="Times New Roman"/>
          <w:lang w:val="en-US"/>
        </w:rPr>
        <w:t>, Italy and Spain</w:t>
      </w:r>
      <w:r w:rsidRPr="009746D6">
        <w:rPr>
          <w:rFonts w:ascii="Times New Roman" w:hAnsi="Times New Roman" w:cs="Times New Roman"/>
          <w:lang w:val="en-US"/>
        </w:rPr>
        <w:t xml:space="preserve"> included in the model are those for which individual data are provided in the statistics</w:t>
      </w:r>
      <w:r w:rsidR="00883853" w:rsidRPr="009746D6">
        <w:rPr>
          <w:rFonts w:ascii="Times New Roman" w:hAnsi="Times New Roman" w:cs="Times New Roman"/>
          <w:lang w:val="en-US"/>
        </w:rPr>
        <w:t xml:space="preserve"> </w:t>
      </w:r>
      <w:r w:rsidR="006E74E5" w:rsidRPr="009746D6">
        <w:rPr>
          <w:rFonts w:ascii="Times New Roman" w:hAnsi="Times New Roman" w:cs="Times New Roman"/>
          <w:lang w:val="en-US"/>
        </w:rPr>
        <w:t>and are for one or more of them</w:t>
      </w:r>
      <w:r w:rsidRPr="009746D6">
        <w:rPr>
          <w:rFonts w:ascii="Times New Roman" w:hAnsi="Times New Roman" w:cs="Times New Roman"/>
          <w:lang w:val="en-US"/>
        </w:rPr>
        <w:t xml:space="preserve">: Austria, Belgium, Denmark, </w:t>
      </w:r>
      <w:r w:rsidR="00883853" w:rsidRPr="009746D6">
        <w:rPr>
          <w:rFonts w:ascii="Times New Roman" w:hAnsi="Times New Roman" w:cs="Times New Roman"/>
          <w:lang w:val="en-US"/>
        </w:rPr>
        <w:t xml:space="preserve">France, </w:t>
      </w:r>
      <w:r w:rsidRPr="009746D6">
        <w:rPr>
          <w:rFonts w:ascii="Times New Roman" w:hAnsi="Times New Roman" w:cs="Times New Roman"/>
          <w:lang w:val="en-US"/>
        </w:rPr>
        <w:t xml:space="preserve">Germany, Greece, Norway, Spain, Italy, </w:t>
      </w:r>
      <w:r w:rsidR="00883853" w:rsidRPr="009746D6">
        <w:rPr>
          <w:rFonts w:ascii="Times New Roman" w:hAnsi="Times New Roman" w:cs="Times New Roman"/>
          <w:lang w:val="en-US"/>
        </w:rPr>
        <w:t xml:space="preserve">Portugal, </w:t>
      </w:r>
      <w:r w:rsidRPr="009746D6">
        <w:rPr>
          <w:rFonts w:ascii="Times New Roman" w:hAnsi="Times New Roman" w:cs="Times New Roman"/>
          <w:lang w:val="en-US"/>
        </w:rPr>
        <w:t>Russia, Sweden, Switzerland, The Netherlands, United Kingdom (from Europe), Canada and United States (from North America), Argentina, Brazil, Chile, Colombia, Cuba, Equator, Peru, Mexico, Uruguay and Venezuela (from Latin America), Algeria, French Sub-Saharan Africa, Morocco</w:t>
      </w:r>
      <w:r w:rsidR="00883853" w:rsidRPr="009746D6">
        <w:rPr>
          <w:rFonts w:ascii="Times New Roman" w:hAnsi="Times New Roman" w:cs="Times New Roman"/>
          <w:lang w:val="en-US"/>
        </w:rPr>
        <w:t>, South Africa</w:t>
      </w:r>
      <w:r w:rsidRPr="009746D6">
        <w:rPr>
          <w:rFonts w:ascii="Times New Roman" w:hAnsi="Times New Roman" w:cs="Times New Roman"/>
          <w:lang w:val="en-US"/>
        </w:rPr>
        <w:t xml:space="preserve"> and Tunisia (from Africa), </w:t>
      </w:r>
      <w:r w:rsidR="00883853" w:rsidRPr="009746D6">
        <w:rPr>
          <w:rFonts w:ascii="Times New Roman" w:hAnsi="Times New Roman" w:cs="Times New Roman"/>
          <w:lang w:val="en-US"/>
        </w:rPr>
        <w:t xml:space="preserve">China, </w:t>
      </w:r>
      <w:r w:rsidRPr="009746D6">
        <w:rPr>
          <w:rFonts w:ascii="Times New Roman" w:hAnsi="Times New Roman" w:cs="Times New Roman"/>
          <w:lang w:val="en-US"/>
        </w:rPr>
        <w:t>French Indochina, Japan</w:t>
      </w:r>
      <w:r w:rsidR="00883853" w:rsidRPr="009746D6">
        <w:rPr>
          <w:rFonts w:ascii="Times New Roman" w:hAnsi="Times New Roman" w:cs="Times New Roman"/>
          <w:lang w:val="en-US"/>
        </w:rPr>
        <w:t xml:space="preserve">, </w:t>
      </w:r>
      <w:r w:rsidR="006E74E5" w:rsidRPr="009746D6">
        <w:rPr>
          <w:rFonts w:ascii="Times New Roman" w:hAnsi="Times New Roman" w:cs="Times New Roman"/>
          <w:lang w:val="en-US"/>
        </w:rPr>
        <w:t>Philippines</w:t>
      </w:r>
      <w:r w:rsidRPr="009746D6">
        <w:rPr>
          <w:rFonts w:ascii="Times New Roman" w:hAnsi="Times New Roman" w:cs="Times New Roman"/>
          <w:lang w:val="en-US"/>
        </w:rPr>
        <w:t xml:space="preserve"> and European A</w:t>
      </w:r>
      <w:r w:rsidR="00426C18" w:rsidRPr="009746D6">
        <w:rPr>
          <w:rFonts w:ascii="Times New Roman" w:hAnsi="Times New Roman" w:cs="Times New Roman"/>
          <w:lang w:val="en-US"/>
        </w:rPr>
        <w:t xml:space="preserve">sian colonies (from Asia), and </w:t>
      </w:r>
      <w:r w:rsidRPr="009746D6">
        <w:rPr>
          <w:rFonts w:ascii="Times New Roman" w:hAnsi="Times New Roman" w:cs="Times New Roman"/>
          <w:lang w:val="en-US"/>
        </w:rPr>
        <w:t>Australia (from Oceania).</w:t>
      </w:r>
    </w:p>
    <w:p w14:paraId="6E56CA5C" w14:textId="0A813D1A" w:rsidR="00F503C8" w:rsidRPr="009746D6" w:rsidRDefault="00F503C8" w:rsidP="00F503C8">
      <w:pPr>
        <w:pStyle w:val="FootnoteText"/>
        <w:spacing w:before="120" w:after="0" w:line="360" w:lineRule="auto"/>
        <w:ind w:firstLine="567"/>
        <w:jc w:val="both"/>
        <w:rPr>
          <w:rFonts w:ascii="Times New Roman" w:hAnsi="Times New Roman"/>
          <w:sz w:val="24"/>
          <w:szCs w:val="24"/>
          <w:lang w:val="en-US"/>
        </w:rPr>
      </w:pPr>
      <w:r w:rsidRPr="009746D6">
        <w:rPr>
          <w:rFonts w:ascii="Times New Roman" w:hAnsi="Times New Roman"/>
          <w:b/>
          <w:sz w:val="24"/>
          <w:szCs w:val="24"/>
          <w:lang w:val="en-US"/>
        </w:rPr>
        <w:t>Wine types</w:t>
      </w:r>
      <w:r w:rsidRPr="009746D6">
        <w:rPr>
          <w:rFonts w:ascii="Times New Roman" w:hAnsi="Times New Roman"/>
          <w:sz w:val="24"/>
          <w:szCs w:val="24"/>
          <w:lang w:val="en-US"/>
        </w:rPr>
        <w:t xml:space="preserve">: We have grouped </w:t>
      </w:r>
      <w:r w:rsidR="006E74E5" w:rsidRPr="009746D6">
        <w:rPr>
          <w:rFonts w:ascii="Times New Roman" w:hAnsi="Times New Roman"/>
          <w:sz w:val="24"/>
          <w:szCs w:val="24"/>
          <w:lang w:val="en-US"/>
        </w:rPr>
        <w:t xml:space="preserve">wine export series </w:t>
      </w:r>
      <w:r w:rsidRPr="009746D6">
        <w:rPr>
          <w:rFonts w:ascii="Times New Roman" w:hAnsi="Times New Roman"/>
          <w:sz w:val="24"/>
          <w:szCs w:val="24"/>
          <w:lang w:val="en-US"/>
        </w:rPr>
        <w:t>into</w:t>
      </w:r>
      <w:r w:rsidR="00F46311" w:rsidRPr="009746D6">
        <w:rPr>
          <w:rFonts w:ascii="Times New Roman" w:hAnsi="Times New Roman"/>
          <w:sz w:val="24"/>
          <w:szCs w:val="24"/>
          <w:lang w:val="en-US"/>
        </w:rPr>
        <w:t xml:space="preserve"> </w:t>
      </w:r>
      <w:r w:rsidRPr="009746D6">
        <w:rPr>
          <w:rFonts w:ascii="Times New Roman" w:hAnsi="Times New Roman"/>
          <w:sz w:val="24"/>
          <w:szCs w:val="24"/>
          <w:lang w:val="en-US"/>
        </w:rPr>
        <w:t>just two</w:t>
      </w:r>
      <w:r w:rsidR="006E74E5" w:rsidRPr="009746D6">
        <w:rPr>
          <w:rFonts w:ascii="Times New Roman" w:hAnsi="Times New Roman"/>
          <w:sz w:val="24"/>
          <w:szCs w:val="24"/>
          <w:lang w:val="en-US"/>
        </w:rPr>
        <w:t xml:space="preserve"> </w:t>
      </w:r>
      <w:r w:rsidR="00AE776E" w:rsidRPr="009746D6">
        <w:rPr>
          <w:rFonts w:ascii="Times New Roman" w:hAnsi="Times New Roman"/>
          <w:sz w:val="24"/>
          <w:szCs w:val="24"/>
          <w:lang w:val="en-US"/>
        </w:rPr>
        <w:t>categories</w:t>
      </w:r>
      <w:r w:rsidRPr="009746D6">
        <w:rPr>
          <w:rFonts w:ascii="Times New Roman" w:hAnsi="Times New Roman"/>
          <w:sz w:val="24"/>
          <w:szCs w:val="24"/>
          <w:lang w:val="en-US"/>
        </w:rPr>
        <w:t xml:space="preserve">: ordinary wine (low quality wine) and bottled wine (high quality wine) according to their unit values. </w:t>
      </w:r>
    </w:p>
    <w:p w14:paraId="129E2BDA" w14:textId="5EC82F4E" w:rsidR="000D6303" w:rsidRPr="009746D6" w:rsidRDefault="006E74E5" w:rsidP="00556A20">
      <w:pPr>
        <w:pStyle w:val="FootnoteText"/>
        <w:spacing w:before="120" w:after="0" w:line="360" w:lineRule="auto"/>
        <w:ind w:firstLine="567"/>
        <w:jc w:val="both"/>
        <w:rPr>
          <w:rFonts w:ascii="Times New Roman" w:hAnsi="Times New Roman"/>
          <w:sz w:val="24"/>
          <w:szCs w:val="24"/>
          <w:lang w:val="en-US"/>
        </w:rPr>
      </w:pPr>
      <w:r w:rsidRPr="009746D6">
        <w:rPr>
          <w:rFonts w:ascii="Times New Roman" w:hAnsi="Times New Roman"/>
          <w:b/>
          <w:sz w:val="24"/>
          <w:szCs w:val="24"/>
          <w:lang w:val="en-US"/>
        </w:rPr>
        <w:t>Wine</w:t>
      </w:r>
      <w:r w:rsidR="000D6303" w:rsidRPr="009746D6">
        <w:rPr>
          <w:rFonts w:ascii="Times New Roman" w:hAnsi="Times New Roman"/>
          <w:b/>
          <w:sz w:val="24"/>
          <w:szCs w:val="24"/>
          <w:lang w:val="en-US"/>
        </w:rPr>
        <w:t xml:space="preserve"> production: </w:t>
      </w:r>
      <w:r w:rsidR="00692226" w:rsidRPr="009746D6">
        <w:rPr>
          <w:rFonts w:ascii="Times New Roman" w:hAnsi="Times New Roman"/>
          <w:sz w:val="24"/>
          <w:szCs w:val="24"/>
          <w:lang w:val="en-US"/>
        </w:rPr>
        <w:t xml:space="preserve">For the </w:t>
      </w:r>
      <w:r w:rsidRPr="009746D6">
        <w:rPr>
          <w:rFonts w:ascii="Times New Roman" w:hAnsi="Times New Roman"/>
          <w:sz w:val="24"/>
          <w:szCs w:val="24"/>
          <w:lang w:val="en-US"/>
        </w:rPr>
        <w:t xml:space="preserve">wine </w:t>
      </w:r>
      <w:r w:rsidR="00692226" w:rsidRPr="009746D6">
        <w:rPr>
          <w:rFonts w:ascii="Times New Roman" w:hAnsi="Times New Roman"/>
          <w:sz w:val="24"/>
          <w:szCs w:val="24"/>
          <w:lang w:val="en-US"/>
        </w:rPr>
        <w:t>quality model, as an alternative to the independent variable of total French wine production, which indicates the exporting capacity of the country, we have used the</w:t>
      </w:r>
      <w:r w:rsidR="000D6303" w:rsidRPr="009746D6">
        <w:rPr>
          <w:rFonts w:ascii="Times New Roman" w:hAnsi="Times New Roman"/>
          <w:sz w:val="24"/>
          <w:szCs w:val="24"/>
          <w:lang w:val="en-US"/>
        </w:rPr>
        <w:t xml:space="preserve"> </w:t>
      </w:r>
      <w:r w:rsidR="00692226" w:rsidRPr="009746D6">
        <w:rPr>
          <w:rFonts w:ascii="Times New Roman" w:hAnsi="Times New Roman"/>
          <w:sz w:val="24"/>
          <w:szCs w:val="24"/>
          <w:lang w:val="en-US"/>
        </w:rPr>
        <w:t xml:space="preserve">production of the departments of the three regions where the production of this type of wine is concentrated: </w:t>
      </w:r>
      <w:r w:rsidR="000D6303" w:rsidRPr="009746D6">
        <w:rPr>
          <w:rFonts w:ascii="Times New Roman" w:hAnsi="Times New Roman"/>
          <w:sz w:val="24"/>
          <w:szCs w:val="24"/>
          <w:lang w:val="en-US"/>
        </w:rPr>
        <w:t xml:space="preserve">Bordeaux, Bourgogne and Champagne. </w:t>
      </w:r>
      <w:r w:rsidR="00692226" w:rsidRPr="009746D6">
        <w:rPr>
          <w:rFonts w:ascii="Times New Roman" w:hAnsi="Times New Roman"/>
          <w:sz w:val="24"/>
          <w:szCs w:val="24"/>
          <w:lang w:val="en-US"/>
        </w:rPr>
        <w:t xml:space="preserve">We have included the production of the following departments: for </w:t>
      </w:r>
      <w:r w:rsidR="000D6303" w:rsidRPr="009746D6">
        <w:rPr>
          <w:rFonts w:ascii="Times New Roman" w:hAnsi="Times New Roman"/>
          <w:sz w:val="24"/>
          <w:szCs w:val="24"/>
          <w:lang w:val="en-US"/>
        </w:rPr>
        <w:t>Bordeaux</w:t>
      </w:r>
      <w:r w:rsidR="00BE3B10" w:rsidRPr="009746D6">
        <w:rPr>
          <w:rFonts w:ascii="Times New Roman" w:hAnsi="Times New Roman"/>
          <w:sz w:val="24"/>
          <w:szCs w:val="24"/>
          <w:lang w:val="en-US"/>
        </w:rPr>
        <w:t xml:space="preserve"> wine</w:t>
      </w:r>
      <w:r w:rsidR="000D6303" w:rsidRPr="009746D6">
        <w:rPr>
          <w:rFonts w:ascii="Times New Roman" w:hAnsi="Times New Roman"/>
          <w:sz w:val="24"/>
          <w:szCs w:val="24"/>
          <w:lang w:val="en-US"/>
        </w:rPr>
        <w:t xml:space="preserve"> (Gironde), Bourgogne</w:t>
      </w:r>
      <w:r w:rsidR="00BE3B10" w:rsidRPr="009746D6">
        <w:rPr>
          <w:rFonts w:ascii="Times New Roman" w:hAnsi="Times New Roman"/>
          <w:sz w:val="24"/>
          <w:szCs w:val="24"/>
          <w:lang w:val="en-US"/>
        </w:rPr>
        <w:t xml:space="preserve"> wine</w:t>
      </w:r>
      <w:r w:rsidR="000D6303" w:rsidRPr="009746D6">
        <w:rPr>
          <w:rFonts w:ascii="Times New Roman" w:hAnsi="Times New Roman"/>
          <w:sz w:val="24"/>
          <w:szCs w:val="24"/>
          <w:lang w:val="en-US"/>
        </w:rPr>
        <w:t xml:space="preserve"> (Côte d’Or) </w:t>
      </w:r>
      <w:r w:rsidR="00692226" w:rsidRPr="009746D6">
        <w:rPr>
          <w:rFonts w:ascii="Times New Roman" w:hAnsi="Times New Roman"/>
          <w:sz w:val="24"/>
          <w:szCs w:val="24"/>
          <w:lang w:val="en-US"/>
        </w:rPr>
        <w:t xml:space="preserve">and </w:t>
      </w:r>
      <w:r w:rsidR="000D6303" w:rsidRPr="009746D6">
        <w:rPr>
          <w:rFonts w:ascii="Times New Roman" w:hAnsi="Times New Roman"/>
          <w:sz w:val="24"/>
          <w:szCs w:val="24"/>
          <w:lang w:val="en-US"/>
        </w:rPr>
        <w:t xml:space="preserve">champagne (Aisne, Aube, Marne, </w:t>
      </w:r>
      <w:proofErr w:type="spellStart"/>
      <w:r w:rsidR="000D6303" w:rsidRPr="009746D6">
        <w:rPr>
          <w:rFonts w:ascii="Times New Roman" w:hAnsi="Times New Roman"/>
          <w:sz w:val="24"/>
          <w:szCs w:val="24"/>
          <w:lang w:val="en-US"/>
        </w:rPr>
        <w:t>Haut</w:t>
      </w:r>
      <w:proofErr w:type="spellEnd"/>
      <w:r w:rsidR="000D6303" w:rsidRPr="009746D6">
        <w:rPr>
          <w:rFonts w:ascii="Times New Roman" w:hAnsi="Times New Roman"/>
          <w:sz w:val="24"/>
          <w:szCs w:val="24"/>
          <w:lang w:val="en-US"/>
        </w:rPr>
        <w:t xml:space="preserve">-Marne and Seine-et-Marne). </w:t>
      </w:r>
      <w:r w:rsidR="00692226" w:rsidRPr="009746D6">
        <w:rPr>
          <w:rFonts w:ascii="Times New Roman" w:hAnsi="Times New Roman"/>
          <w:sz w:val="24"/>
          <w:szCs w:val="24"/>
          <w:lang w:val="en-US"/>
        </w:rPr>
        <w:t xml:space="preserve">Throughout the </w:t>
      </w:r>
      <w:r w:rsidR="0000344E" w:rsidRPr="009746D6">
        <w:rPr>
          <w:rFonts w:ascii="Times New Roman" w:hAnsi="Times New Roman"/>
          <w:sz w:val="24"/>
          <w:szCs w:val="24"/>
          <w:lang w:val="en-US"/>
        </w:rPr>
        <w:t xml:space="preserve">period, the </w:t>
      </w:r>
      <w:r w:rsidR="00692226" w:rsidRPr="009746D6">
        <w:rPr>
          <w:rFonts w:ascii="Times New Roman" w:hAnsi="Times New Roman"/>
          <w:sz w:val="24"/>
          <w:szCs w:val="24"/>
          <w:lang w:val="en-US"/>
        </w:rPr>
        <w:t>production of these seven departments represented around 10% of total French production.</w:t>
      </w:r>
      <w:r w:rsidR="000D6303" w:rsidRPr="009746D6">
        <w:rPr>
          <w:rFonts w:ascii="Times New Roman" w:hAnsi="Times New Roman"/>
          <w:sz w:val="24"/>
          <w:szCs w:val="24"/>
          <w:lang w:val="en-US"/>
        </w:rPr>
        <w:t xml:space="preserve"> </w:t>
      </w:r>
      <w:r w:rsidR="00692226" w:rsidRPr="009746D6">
        <w:rPr>
          <w:rFonts w:ascii="Times New Roman" w:hAnsi="Times New Roman"/>
          <w:sz w:val="24"/>
          <w:szCs w:val="24"/>
          <w:lang w:val="en-US"/>
        </w:rPr>
        <w:t xml:space="preserve">We consider this new series of regional output to be a reasonable proxy for </w:t>
      </w:r>
      <w:r w:rsidR="000D6303" w:rsidRPr="009746D6">
        <w:rPr>
          <w:rFonts w:ascii="Times New Roman" w:hAnsi="Times New Roman"/>
          <w:sz w:val="24"/>
          <w:szCs w:val="24"/>
          <w:lang w:val="en-US"/>
        </w:rPr>
        <w:t xml:space="preserve">(unobservable) changes in the production of quality wine. </w:t>
      </w:r>
      <w:r w:rsidR="00E87E58" w:rsidRPr="009746D6">
        <w:rPr>
          <w:rFonts w:ascii="Times New Roman" w:hAnsi="Times New Roman"/>
          <w:sz w:val="24"/>
          <w:szCs w:val="24"/>
          <w:lang w:val="en-US"/>
        </w:rPr>
        <w:t>The data for</w:t>
      </w:r>
      <w:r w:rsidR="001D7F43" w:rsidRPr="009746D6">
        <w:rPr>
          <w:rFonts w:ascii="Times New Roman" w:hAnsi="Times New Roman"/>
          <w:sz w:val="24"/>
          <w:szCs w:val="24"/>
          <w:lang w:val="en-US"/>
        </w:rPr>
        <w:t xml:space="preserve"> 1850</w:t>
      </w:r>
      <w:r w:rsidR="000D6303" w:rsidRPr="009746D6">
        <w:rPr>
          <w:rFonts w:ascii="Times New Roman" w:hAnsi="Times New Roman"/>
          <w:sz w:val="24"/>
          <w:szCs w:val="24"/>
          <w:lang w:val="en-US"/>
        </w:rPr>
        <w:t xml:space="preserve"> </w:t>
      </w:r>
      <w:r w:rsidR="00E87E58" w:rsidRPr="009746D6">
        <w:rPr>
          <w:rFonts w:ascii="Times New Roman" w:hAnsi="Times New Roman"/>
          <w:sz w:val="24"/>
          <w:szCs w:val="24"/>
          <w:lang w:val="en-US"/>
        </w:rPr>
        <w:t>to</w:t>
      </w:r>
      <w:r w:rsidR="000D6303" w:rsidRPr="009746D6">
        <w:rPr>
          <w:rFonts w:ascii="Times New Roman" w:hAnsi="Times New Roman"/>
          <w:sz w:val="24"/>
          <w:szCs w:val="24"/>
          <w:lang w:val="en-US"/>
        </w:rPr>
        <w:t xml:space="preserve"> 1874 </w:t>
      </w:r>
      <w:r w:rsidR="00E87E58" w:rsidRPr="009746D6">
        <w:rPr>
          <w:rFonts w:ascii="Times New Roman" w:hAnsi="Times New Roman"/>
          <w:sz w:val="24"/>
          <w:szCs w:val="24"/>
          <w:lang w:val="en-US"/>
        </w:rPr>
        <w:t>are from</w:t>
      </w:r>
      <w:r w:rsidR="000D6303" w:rsidRPr="009746D6">
        <w:rPr>
          <w:rFonts w:ascii="Times New Roman" w:hAnsi="Times New Roman"/>
          <w:sz w:val="24"/>
          <w:szCs w:val="24"/>
          <w:lang w:val="en-US"/>
        </w:rPr>
        <w:t xml:space="preserve"> </w:t>
      </w:r>
      <w:proofErr w:type="spellStart"/>
      <w:r w:rsidR="00556A20" w:rsidRPr="009746D6">
        <w:rPr>
          <w:rFonts w:ascii="Times New Roman" w:hAnsi="Times New Roman"/>
          <w:sz w:val="24"/>
          <w:szCs w:val="24"/>
          <w:lang w:val="en-US"/>
        </w:rPr>
        <w:t>Galet</w:t>
      </w:r>
      <w:proofErr w:type="spellEnd"/>
      <w:r w:rsidR="000D6303" w:rsidRPr="009746D6">
        <w:rPr>
          <w:rFonts w:ascii="Times New Roman" w:hAnsi="Times New Roman"/>
          <w:sz w:val="24"/>
          <w:szCs w:val="24"/>
          <w:lang w:val="en-US"/>
        </w:rPr>
        <w:t xml:space="preserve"> </w:t>
      </w:r>
      <w:r w:rsidR="00E87E58" w:rsidRPr="009746D6">
        <w:rPr>
          <w:rFonts w:ascii="Times New Roman" w:hAnsi="Times New Roman"/>
          <w:sz w:val="24"/>
          <w:szCs w:val="24"/>
          <w:lang w:val="en-US"/>
        </w:rPr>
        <w:t>and have been provided to us by</w:t>
      </w:r>
      <w:r w:rsidR="000D6303" w:rsidRPr="009746D6">
        <w:rPr>
          <w:rFonts w:ascii="Times New Roman" w:hAnsi="Times New Roman"/>
          <w:sz w:val="24"/>
          <w:szCs w:val="24"/>
          <w:lang w:val="en-US"/>
        </w:rPr>
        <w:t xml:space="preserve"> Gilles </w:t>
      </w:r>
      <w:proofErr w:type="spellStart"/>
      <w:r w:rsidR="000D6303" w:rsidRPr="009746D6">
        <w:rPr>
          <w:rFonts w:ascii="Times New Roman" w:hAnsi="Times New Roman"/>
          <w:sz w:val="24"/>
          <w:szCs w:val="24"/>
          <w:lang w:val="en-US"/>
        </w:rPr>
        <w:t>Postel</w:t>
      </w:r>
      <w:proofErr w:type="spellEnd"/>
      <w:r w:rsidR="000D6303" w:rsidRPr="009746D6">
        <w:rPr>
          <w:rFonts w:ascii="Times New Roman" w:hAnsi="Times New Roman"/>
          <w:sz w:val="24"/>
          <w:szCs w:val="24"/>
          <w:lang w:val="en-US"/>
        </w:rPr>
        <w:t xml:space="preserve">-Vinay </w:t>
      </w:r>
      <w:r w:rsidR="00E87E58" w:rsidRPr="009746D6">
        <w:rPr>
          <w:rFonts w:ascii="Times New Roman" w:hAnsi="Times New Roman"/>
          <w:sz w:val="24"/>
          <w:szCs w:val="24"/>
          <w:lang w:val="en-US"/>
        </w:rPr>
        <w:t>from the article</w:t>
      </w:r>
      <w:r w:rsidR="000D6303" w:rsidRPr="009746D6">
        <w:rPr>
          <w:rFonts w:ascii="Times New Roman" w:hAnsi="Times New Roman"/>
          <w:sz w:val="24"/>
          <w:szCs w:val="24"/>
          <w:lang w:val="en-US"/>
        </w:rPr>
        <w:t xml:space="preserve"> Banerjee et al</w:t>
      </w:r>
      <w:r w:rsidR="00EA2238">
        <w:rPr>
          <w:rFonts w:ascii="Times New Roman" w:hAnsi="Times New Roman"/>
          <w:sz w:val="24"/>
          <w:szCs w:val="24"/>
          <w:lang w:val="en-US"/>
        </w:rPr>
        <w:t xml:space="preserve"> (2010)</w:t>
      </w:r>
      <w:r w:rsidR="000D6303" w:rsidRPr="009746D6">
        <w:rPr>
          <w:rFonts w:ascii="Times New Roman" w:hAnsi="Times New Roman"/>
          <w:sz w:val="24"/>
          <w:szCs w:val="24"/>
          <w:lang w:val="en-US"/>
        </w:rPr>
        <w:t>.</w:t>
      </w:r>
      <w:r w:rsidR="00556A20" w:rsidRPr="009746D6">
        <w:rPr>
          <w:rStyle w:val="FootnoteReference"/>
          <w:rFonts w:ascii="Times New Roman" w:hAnsi="Times New Roman"/>
          <w:sz w:val="24"/>
          <w:szCs w:val="24"/>
          <w:lang w:val="en-US"/>
        </w:rPr>
        <w:t xml:space="preserve"> </w:t>
      </w:r>
      <w:r w:rsidR="00E87E58" w:rsidRPr="009746D6">
        <w:rPr>
          <w:rFonts w:ascii="Times New Roman" w:hAnsi="Times New Roman"/>
          <w:sz w:val="24"/>
          <w:szCs w:val="24"/>
          <w:lang w:val="en-US"/>
        </w:rPr>
        <w:t>The data for the period</w:t>
      </w:r>
      <w:r w:rsidR="000D6303" w:rsidRPr="009746D6">
        <w:rPr>
          <w:rFonts w:ascii="Times New Roman" w:hAnsi="Times New Roman"/>
          <w:sz w:val="24"/>
          <w:szCs w:val="24"/>
          <w:lang w:val="en-US"/>
        </w:rPr>
        <w:t xml:space="preserve"> 1875-1935</w:t>
      </w:r>
      <w:r w:rsidR="00E87E58" w:rsidRPr="009746D6">
        <w:rPr>
          <w:rFonts w:ascii="Times New Roman" w:hAnsi="Times New Roman"/>
          <w:sz w:val="24"/>
          <w:szCs w:val="24"/>
          <w:lang w:val="en-US"/>
        </w:rPr>
        <w:t xml:space="preserve"> are from the</w:t>
      </w:r>
      <w:r w:rsidR="000D6303" w:rsidRPr="009746D6">
        <w:rPr>
          <w:rFonts w:ascii="Times New Roman" w:hAnsi="Times New Roman"/>
          <w:sz w:val="24"/>
          <w:szCs w:val="24"/>
          <w:lang w:val="en-US"/>
        </w:rPr>
        <w:t xml:space="preserve"> </w:t>
      </w:r>
      <w:proofErr w:type="spellStart"/>
      <w:r w:rsidR="000D6303" w:rsidRPr="009746D6">
        <w:rPr>
          <w:rFonts w:ascii="Times New Roman" w:hAnsi="Times New Roman"/>
          <w:sz w:val="24"/>
          <w:szCs w:val="24"/>
          <w:lang w:val="en-US"/>
        </w:rPr>
        <w:t>Annuaire</w:t>
      </w:r>
      <w:proofErr w:type="spellEnd"/>
      <w:r w:rsidR="000D6303" w:rsidRPr="009746D6">
        <w:rPr>
          <w:rFonts w:ascii="Times New Roman" w:hAnsi="Times New Roman"/>
          <w:sz w:val="24"/>
          <w:szCs w:val="24"/>
          <w:lang w:val="en-US"/>
        </w:rPr>
        <w:t xml:space="preserve"> </w:t>
      </w:r>
      <w:proofErr w:type="spellStart"/>
      <w:r w:rsidR="000D6303" w:rsidRPr="009746D6">
        <w:rPr>
          <w:rFonts w:ascii="Times New Roman" w:hAnsi="Times New Roman"/>
          <w:sz w:val="24"/>
          <w:szCs w:val="24"/>
          <w:lang w:val="en-US"/>
        </w:rPr>
        <w:t>Statistique</w:t>
      </w:r>
      <w:proofErr w:type="spellEnd"/>
      <w:r w:rsidR="000D6303" w:rsidRPr="009746D6">
        <w:rPr>
          <w:rFonts w:ascii="Times New Roman" w:hAnsi="Times New Roman"/>
          <w:sz w:val="24"/>
          <w:szCs w:val="24"/>
          <w:lang w:val="en-US"/>
        </w:rPr>
        <w:t xml:space="preserve"> de France </w:t>
      </w:r>
      <w:r w:rsidR="00E87E58" w:rsidRPr="009746D6">
        <w:rPr>
          <w:rFonts w:ascii="Times New Roman" w:hAnsi="Times New Roman"/>
          <w:sz w:val="24"/>
          <w:szCs w:val="24"/>
          <w:lang w:val="en-US"/>
        </w:rPr>
        <w:t>and have been provided to us by</w:t>
      </w:r>
      <w:r w:rsidR="000D6303" w:rsidRPr="009746D6">
        <w:rPr>
          <w:rFonts w:ascii="Times New Roman" w:hAnsi="Times New Roman"/>
          <w:sz w:val="24"/>
          <w:szCs w:val="24"/>
          <w:lang w:val="en-US"/>
        </w:rPr>
        <w:t xml:space="preserve"> Giulia </w:t>
      </w:r>
      <w:proofErr w:type="spellStart"/>
      <w:r w:rsidR="000D6303" w:rsidRPr="009746D6">
        <w:rPr>
          <w:rFonts w:ascii="Times New Roman" w:hAnsi="Times New Roman"/>
          <w:sz w:val="24"/>
          <w:szCs w:val="24"/>
          <w:lang w:val="en-US"/>
        </w:rPr>
        <w:t>Meloni</w:t>
      </w:r>
      <w:proofErr w:type="spellEnd"/>
      <w:r w:rsidR="000D6303" w:rsidRPr="009746D6">
        <w:rPr>
          <w:rFonts w:ascii="Times New Roman" w:hAnsi="Times New Roman"/>
          <w:sz w:val="24"/>
          <w:szCs w:val="24"/>
          <w:lang w:val="en-US"/>
        </w:rPr>
        <w:t xml:space="preserve"> </w:t>
      </w:r>
      <w:r w:rsidR="00E87E58" w:rsidRPr="009746D6">
        <w:rPr>
          <w:rFonts w:ascii="Times New Roman" w:hAnsi="Times New Roman"/>
          <w:sz w:val="24"/>
          <w:szCs w:val="24"/>
          <w:lang w:val="en-US"/>
        </w:rPr>
        <w:t>drawn from the article</w:t>
      </w:r>
      <w:r w:rsidR="00556A20" w:rsidRPr="009746D6">
        <w:rPr>
          <w:rFonts w:ascii="Times New Roman" w:hAnsi="Times New Roman"/>
          <w:sz w:val="24"/>
          <w:szCs w:val="24"/>
          <w:lang w:val="en-US"/>
        </w:rPr>
        <w:t xml:space="preserve"> </w:t>
      </w:r>
      <w:r w:rsidR="0038161F">
        <w:rPr>
          <w:rFonts w:ascii="Times New Roman" w:hAnsi="Times New Roman"/>
          <w:sz w:val="24"/>
          <w:szCs w:val="24"/>
          <w:lang w:val="en-US"/>
        </w:rPr>
        <w:t xml:space="preserve">by </w:t>
      </w:r>
      <w:proofErr w:type="spellStart"/>
      <w:r w:rsidR="00556A20" w:rsidRPr="009746D6">
        <w:rPr>
          <w:rFonts w:ascii="Times New Roman" w:hAnsi="Times New Roman"/>
          <w:sz w:val="24"/>
          <w:szCs w:val="24"/>
          <w:lang w:val="en-US"/>
        </w:rPr>
        <w:t>Haeck</w:t>
      </w:r>
      <w:proofErr w:type="spellEnd"/>
      <w:r w:rsidR="00556A20" w:rsidRPr="009746D6">
        <w:rPr>
          <w:rFonts w:ascii="Times New Roman" w:hAnsi="Times New Roman"/>
          <w:sz w:val="24"/>
          <w:szCs w:val="24"/>
          <w:lang w:val="en-US"/>
        </w:rPr>
        <w:t xml:space="preserve"> et al</w:t>
      </w:r>
      <w:r w:rsidR="0038161F">
        <w:rPr>
          <w:rFonts w:ascii="Times New Roman" w:hAnsi="Times New Roman"/>
          <w:sz w:val="24"/>
          <w:szCs w:val="24"/>
          <w:lang w:val="en-US"/>
        </w:rPr>
        <w:t>.</w:t>
      </w:r>
      <w:r w:rsidR="00EA2238">
        <w:rPr>
          <w:rFonts w:ascii="Times New Roman" w:hAnsi="Times New Roman"/>
          <w:sz w:val="24"/>
          <w:szCs w:val="24"/>
          <w:lang w:val="en-US"/>
        </w:rPr>
        <w:t xml:space="preserve"> (2018)</w:t>
      </w:r>
      <w:r w:rsidR="00556A20" w:rsidRPr="009746D6">
        <w:rPr>
          <w:rFonts w:ascii="Times New Roman" w:hAnsi="Times New Roman"/>
          <w:sz w:val="24"/>
          <w:szCs w:val="24"/>
          <w:lang w:val="en-US"/>
        </w:rPr>
        <w:t>.</w:t>
      </w:r>
      <w:r w:rsidR="001D7F43" w:rsidRPr="009746D6">
        <w:rPr>
          <w:rFonts w:ascii="Times New Roman" w:hAnsi="Times New Roman"/>
          <w:sz w:val="24"/>
          <w:szCs w:val="24"/>
          <w:lang w:val="en-US"/>
        </w:rPr>
        <w:t xml:space="preserve"> </w:t>
      </w:r>
      <w:r w:rsidR="00BE3B10" w:rsidRPr="009746D6">
        <w:rPr>
          <w:rFonts w:ascii="Times New Roman" w:hAnsi="Times New Roman"/>
          <w:sz w:val="24"/>
          <w:szCs w:val="24"/>
          <w:lang w:val="en-US"/>
        </w:rPr>
        <w:t>For</w:t>
      </w:r>
      <w:r w:rsidR="000D6303" w:rsidRPr="009746D6">
        <w:rPr>
          <w:rFonts w:ascii="Times New Roman" w:hAnsi="Times New Roman"/>
          <w:sz w:val="24"/>
          <w:szCs w:val="24"/>
          <w:lang w:val="en-US"/>
        </w:rPr>
        <w:t xml:space="preserve"> 1936-38</w:t>
      </w:r>
      <w:r w:rsidR="00BE3B10" w:rsidRPr="009746D6">
        <w:rPr>
          <w:rFonts w:ascii="Times New Roman" w:hAnsi="Times New Roman"/>
          <w:sz w:val="24"/>
          <w:szCs w:val="24"/>
          <w:lang w:val="en-US"/>
        </w:rPr>
        <w:t>, we have drawn the data directly from the</w:t>
      </w:r>
      <w:r w:rsidR="000D6303" w:rsidRPr="009746D6">
        <w:rPr>
          <w:rFonts w:ascii="Times New Roman" w:hAnsi="Times New Roman"/>
          <w:sz w:val="24"/>
          <w:szCs w:val="24"/>
          <w:lang w:val="en-US"/>
        </w:rPr>
        <w:t xml:space="preserve"> </w:t>
      </w:r>
      <w:proofErr w:type="spellStart"/>
      <w:r w:rsidR="000D6303" w:rsidRPr="009746D6">
        <w:rPr>
          <w:rFonts w:ascii="Times New Roman" w:hAnsi="Times New Roman"/>
          <w:sz w:val="24"/>
          <w:szCs w:val="24"/>
          <w:lang w:val="en-US"/>
        </w:rPr>
        <w:t>Annuaire</w:t>
      </w:r>
      <w:proofErr w:type="spellEnd"/>
      <w:r w:rsidR="000D6303" w:rsidRPr="009746D6">
        <w:rPr>
          <w:rFonts w:ascii="Times New Roman" w:hAnsi="Times New Roman"/>
          <w:sz w:val="24"/>
          <w:szCs w:val="24"/>
          <w:lang w:val="en-US"/>
        </w:rPr>
        <w:t xml:space="preserve"> </w:t>
      </w:r>
      <w:proofErr w:type="spellStart"/>
      <w:r w:rsidR="000D6303" w:rsidRPr="009746D6">
        <w:rPr>
          <w:rFonts w:ascii="Times New Roman" w:hAnsi="Times New Roman"/>
          <w:sz w:val="24"/>
          <w:szCs w:val="24"/>
          <w:lang w:val="en-US"/>
        </w:rPr>
        <w:t>Statistique</w:t>
      </w:r>
      <w:proofErr w:type="spellEnd"/>
      <w:r w:rsidR="000D6303" w:rsidRPr="009746D6">
        <w:rPr>
          <w:rFonts w:ascii="Times New Roman" w:hAnsi="Times New Roman"/>
          <w:sz w:val="24"/>
          <w:szCs w:val="24"/>
          <w:lang w:val="en-US"/>
        </w:rPr>
        <w:t xml:space="preserve"> de France. </w:t>
      </w:r>
      <w:r w:rsidR="00BE3B10" w:rsidRPr="009746D6">
        <w:rPr>
          <w:rFonts w:ascii="Times New Roman" w:hAnsi="Times New Roman"/>
          <w:sz w:val="24"/>
          <w:szCs w:val="24"/>
          <w:lang w:val="en-US"/>
        </w:rPr>
        <w:t xml:space="preserve">It was necessary to estimate the production of </w:t>
      </w:r>
      <w:r w:rsidR="00C63C64" w:rsidRPr="009746D6">
        <w:rPr>
          <w:rFonts w:ascii="Times New Roman" w:hAnsi="Times New Roman"/>
          <w:sz w:val="24"/>
          <w:szCs w:val="24"/>
          <w:lang w:val="en-US"/>
        </w:rPr>
        <w:t>some years</w:t>
      </w:r>
      <w:r w:rsidR="00BE3B10" w:rsidRPr="009746D6">
        <w:rPr>
          <w:rFonts w:ascii="Times New Roman" w:hAnsi="Times New Roman"/>
          <w:sz w:val="24"/>
          <w:szCs w:val="24"/>
          <w:lang w:val="en-US"/>
        </w:rPr>
        <w:t xml:space="preserve"> for which no data are available.</w:t>
      </w:r>
      <w:r w:rsidR="000D6303" w:rsidRPr="009746D6">
        <w:rPr>
          <w:rFonts w:ascii="Times New Roman" w:hAnsi="Times New Roman"/>
          <w:sz w:val="24"/>
          <w:szCs w:val="24"/>
          <w:lang w:val="en-US"/>
        </w:rPr>
        <w:t xml:space="preserve"> </w:t>
      </w:r>
    </w:p>
    <w:p w14:paraId="4703E754" w14:textId="5B9D02FA" w:rsidR="006E74E5" w:rsidRPr="009746D6" w:rsidRDefault="006E74E5" w:rsidP="00556A20">
      <w:pPr>
        <w:pStyle w:val="FootnoteText"/>
        <w:spacing w:before="120" w:after="0" w:line="360" w:lineRule="auto"/>
        <w:ind w:firstLine="567"/>
        <w:jc w:val="both"/>
        <w:rPr>
          <w:rFonts w:ascii="Times New Roman" w:hAnsi="Times New Roman"/>
          <w:sz w:val="24"/>
          <w:szCs w:val="24"/>
          <w:lang w:val="en-US"/>
        </w:rPr>
      </w:pPr>
      <w:r w:rsidRPr="009746D6">
        <w:rPr>
          <w:rFonts w:ascii="Times New Roman" w:hAnsi="Times New Roman"/>
          <w:sz w:val="24"/>
          <w:szCs w:val="24"/>
          <w:lang w:val="en-US"/>
        </w:rPr>
        <w:t xml:space="preserve">For the Spanish quality wine production, </w:t>
      </w:r>
      <w:r w:rsidR="00DE135C" w:rsidRPr="009746D6">
        <w:rPr>
          <w:rFonts w:ascii="Times New Roman" w:hAnsi="Times New Roman"/>
          <w:sz w:val="24"/>
          <w:szCs w:val="24"/>
          <w:lang w:val="en-US"/>
        </w:rPr>
        <w:t xml:space="preserve">we have replaced the total Spanish production with the production of wine in the province of Cadiz from the year in which </w:t>
      </w:r>
      <w:r w:rsidR="00DE135C" w:rsidRPr="009746D6">
        <w:rPr>
          <w:rFonts w:ascii="Times New Roman" w:hAnsi="Times New Roman"/>
          <w:sz w:val="24"/>
          <w:szCs w:val="24"/>
          <w:lang w:val="en-US"/>
        </w:rPr>
        <w:lastRenderedPageBreak/>
        <w:t xml:space="preserve">this data is available (1890), since in </w:t>
      </w:r>
      <w:r w:rsidR="00744FB9" w:rsidRPr="009746D6">
        <w:rPr>
          <w:rFonts w:ascii="Times New Roman" w:hAnsi="Times New Roman"/>
          <w:sz w:val="24"/>
          <w:szCs w:val="24"/>
          <w:lang w:val="en-US"/>
        </w:rPr>
        <w:t xml:space="preserve">the series of </w:t>
      </w:r>
      <w:r w:rsidR="00DE135C" w:rsidRPr="009746D6">
        <w:rPr>
          <w:rFonts w:ascii="Times New Roman" w:hAnsi="Times New Roman"/>
          <w:sz w:val="24"/>
          <w:szCs w:val="24"/>
          <w:lang w:val="en-US"/>
        </w:rPr>
        <w:t xml:space="preserve">exports of quality wine from Spain, we have only considered sherry bottled. For previous years we have assumed that the production of the province evolved in the same way as that of the whole of Spain. For Algeria and </w:t>
      </w:r>
      <w:r w:rsidR="00744FB9" w:rsidRPr="009746D6">
        <w:rPr>
          <w:rFonts w:ascii="Times New Roman" w:hAnsi="Times New Roman"/>
          <w:sz w:val="24"/>
          <w:szCs w:val="24"/>
          <w:lang w:val="en-US"/>
        </w:rPr>
        <w:t>Italy,</w:t>
      </w:r>
      <w:r w:rsidR="00DE135C" w:rsidRPr="009746D6">
        <w:rPr>
          <w:rFonts w:ascii="Times New Roman" w:hAnsi="Times New Roman"/>
          <w:sz w:val="24"/>
          <w:szCs w:val="24"/>
          <w:lang w:val="en-US"/>
        </w:rPr>
        <w:t xml:space="preserve"> it is not possible to have an approximation to the production of quality wine and we have considered the total production.</w:t>
      </w:r>
    </w:p>
    <w:p w14:paraId="59050A8F" w14:textId="32EFC4DA" w:rsidR="00F503C8" w:rsidRPr="009746D6" w:rsidRDefault="00F503C8" w:rsidP="00F503C8">
      <w:pPr>
        <w:spacing w:before="120" w:line="360" w:lineRule="auto"/>
        <w:ind w:firstLine="567"/>
        <w:jc w:val="both"/>
        <w:rPr>
          <w:rFonts w:ascii="Times New Roman" w:hAnsi="Times New Roman" w:cs="Times New Roman"/>
          <w:lang w:val="en-US"/>
        </w:rPr>
      </w:pPr>
      <w:r w:rsidRPr="009746D6">
        <w:rPr>
          <w:rFonts w:ascii="Times New Roman" w:hAnsi="Times New Roman" w:cs="Times New Roman"/>
          <w:b/>
          <w:lang w:val="en-US"/>
        </w:rPr>
        <w:t>Transport costs</w:t>
      </w:r>
      <w:r w:rsidRPr="009746D6">
        <w:rPr>
          <w:rFonts w:ascii="Times New Roman" w:hAnsi="Times New Roman" w:cs="Times New Roman"/>
          <w:lang w:val="en-US"/>
        </w:rPr>
        <w:t xml:space="preserve">: In gravity models, the distance between the two trading partners is commonly used to approximate the transport costs between them, which are very difficult to measure for each pair of trading countries. In our case, instead of proxying transport costs with distance, we can use real transport costs. Our variable is time-varying and hence permits us to examine its evolution over time. To calculate the cost of transporting wine, we have used its cost per </w:t>
      </w:r>
      <w:proofErr w:type="spellStart"/>
      <w:r w:rsidRPr="009746D6">
        <w:rPr>
          <w:rFonts w:ascii="Times New Roman" w:hAnsi="Times New Roman" w:cs="Times New Roman"/>
          <w:lang w:val="en-US"/>
        </w:rPr>
        <w:t>tonne</w:t>
      </w:r>
      <w:proofErr w:type="spellEnd"/>
      <w:r w:rsidRPr="009746D6">
        <w:rPr>
          <w:rFonts w:ascii="Times New Roman" w:hAnsi="Times New Roman" w:cs="Times New Roman"/>
          <w:lang w:val="en-US"/>
        </w:rPr>
        <w:t xml:space="preserve"> from Marseille to Saint Petersburg in 1910</w:t>
      </w:r>
      <w:r w:rsidR="00C8107F">
        <w:rPr>
          <w:rFonts w:ascii="Times New Roman" w:hAnsi="Times New Roman" w:cs="Times New Roman"/>
          <w:lang w:val="en-US"/>
        </w:rPr>
        <w:t xml:space="preserve"> (</w:t>
      </w:r>
      <w:proofErr w:type="spellStart"/>
      <w:r w:rsidR="00C8107F">
        <w:rPr>
          <w:rFonts w:ascii="Times New Roman" w:hAnsi="Times New Roman" w:cs="Times New Roman"/>
          <w:lang w:val="en-US"/>
        </w:rPr>
        <w:t>Degoully</w:t>
      </w:r>
      <w:proofErr w:type="spellEnd"/>
      <w:r w:rsidR="00C8107F">
        <w:rPr>
          <w:rFonts w:ascii="Times New Roman" w:hAnsi="Times New Roman" w:cs="Times New Roman"/>
          <w:lang w:val="en-US"/>
        </w:rPr>
        <w:t>, 1910)</w:t>
      </w:r>
      <w:r w:rsidRPr="009746D6">
        <w:rPr>
          <w:rFonts w:ascii="Times New Roman" w:hAnsi="Times New Roman" w:cs="Times New Roman"/>
          <w:lang w:val="en-US"/>
        </w:rPr>
        <w:t>. We have subsequently obtained an annual series, in nominal terms based on freight rates calcul</w:t>
      </w:r>
      <w:r w:rsidR="00556A20" w:rsidRPr="009746D6">
        <w:rPr>
          <w:rFonts w:ascii="Times New Roman" w:hAnsi="Times New Roman" w:cs="Times New Roman"/>
          <w:lang w:val="en-US"/>
        </w:rPr>
        <w:t>ated by Federico and Tena</w:t>
      </w:r>
      <w:r w:rsidRPr="009746D6">
        <w:rPr>
          <w:rFonts w:ascii="Times New Roman" w:hAnsi="Times New Roman" w:cs="Times New Roman"/>
          <w:lang w:val="en-US"/>
        </w:rPr>
        <w:t xml:space="preserve"> for wheat between th</w:t>
      </w:r>
      <w:r w:rsidR="00CE78FB" w:rsidRPr="009746D6">
        <w:rPr>
          <w:rFonts w:ascii="Times New Roman" w:hAnsi="Times New Roman" w:cs="Times New Roman"/>
          <w:lang w:val="en-US"/>
        </w:rPr>
        <w:t xml:space="preserve">e port of </w:t>
      </w:r>
      <w:r w:rsidR="000D6303" w:rsidRPr="009746D6">
        <w:rPr>
          <w:rFonts w:ascii="Times New Roman" w:hAnsi="Times New Roman" w:cs="Times New Roman"/>
          <w:lang w:val="en-US"/>
        </w:rPr>
        <w:t>London</w:t>
      </w:r>
      <w:r w:rsidR="00CE78FB" w:rsidRPr="009746D6">
        <w:rPr>
          <w:rFonts w:ascii="Times New Roman" w:hAnsi="Times New Roman" w:cs="Times New Roman"/>
          <w:lang w:val="en-US"/>
        </w:rPr>
        <w:t xml:space="preserve"> and Odessa</w:t>
      </w:r>
      <w:r w:rsidR="00C8107F">
        <w:rPr>
          <w:rStyle w:val="FootnoteReference"/>
          <w:rFonts w:ascii="Times New Roman" w:hAnsi="Times New Roman" w:cs="Times New Roman"/>
          <w:lang w:val="en-US"/>
        </w:rPr>
        <w:t xml:space="preserve"> </w:t>
      </w:r>
      <w:r w:rsidR="00C8107F">
        <w:rPr>
          <w:rFonts w:ascii="Times New Roman" w:hAnsi="Times New Roman" w:cs="Times New Roman"/>
          <w:lang w:val="en-US"/>
        </w:rPr>
        <w:t xml:space="preserve">(Federico and </w:t>
      </w:r>
      <w:r w:rsidR="00F937C1">
        <w:rPr>
          <w:rFonts w:ascii="Times New Roman" w:hAnsi="Times New Roman" w:cs="Times New Roman"/>
          <w:lang w:val="en-US"/>
        </w:rPr>
        <w:t>T</w:t>
      </w:r>
      <w:r w:rsidR="00C8107F">
        <w:rPr>
          <w:rFonts w:ascii="Times New Roman" w:hAnsi="Times New Roman" w:cs="Times New Roman"/>
          <w:lang w:val="en-US"/>
        </w:rPr>
        <w:t>ena, 2016)</w:t>
      </w:r>
      <w:r w:rsidR="00CE78FB" w:rsidRPr="009746D6">
        <w:rPr>
          <w:rFonts w:ascii="Times New Roman" w:hAnsi="Times New Roman" w:cs="Times New Roman"/>
          <w:lang w:val="en-US"/>
        </w:rPr>
        <w:t xml:space="preserve">. </w:t>
      </w:r>
      <w:r w:rsidR="006F5DA8" w:rsidRPr="009746D6">
        <w:rPr>
          <w:rFonts w:ascii="Times New Roman" w:hAnsi="Times New Roman" w:cs="Times New Roman"/>
          <w:lang w:val="en-US"/>
        </w:rPr>
        <w:t>W</w:t>
      </w:r>
      <w:r w:rsidRPr="009746D6">
        <w:rPr>
          <w:rFonts w:ascii="Times New Roman" w:hAnsi="Times New Roman" w:cs="Times New Roman"/>
          <w:lang w:val="en-US"/>
        </w:rPr>
        <w:t>e have subsequently deflated this series with a wholesale price index from France to obtain the real costs (Mitchell, 1992:</w:t>
      </w:r>
      <w:r w:rsidR="00F937C1">
        <w:rPr>
          <w:rFonts w:ascii="Times New Roman" w:hAnsi="Times New Roman" w:cs="Times New Roman"/>
          <w:lang w:val="en-US"/>
        </w:rPr>
        <w:t xml:space="preserve"> </w:t>
      </w:r>
      <w:r w:rsidRPr="009746D6">
        <w:rPr>
          <w:rFonts w:ascii="Times New Roman" w:hAnsi="Times New Roman" w:cs="Times New Roman"/>
          <w:lang w:val="en-US"/>
        </w:rPr>
        <w:t xml:space="preserve">890-891). Subsequently, we have </w:t>
      </w:r>
      <w:proofErr w:type="gramStart"/>
      <w:r w:rsidRPr="009746D6">
        <w:rPr>
          <w:rFonts w:ascii="Times New Roman" w:hAnsi="Times New Roman" w:cs="Times New Roman"/>
          <w:lang w:val="en-US"/>
        </w:rPr>
        <w:t>taken into account</w:t>
      </w:r>
      <w:proofErr w:type="gramEnd"/>
      <w:r w:rsidRPr="009746D6">
        <w:rPr>
          <w:rFonts w:ascii="Times New Roman" w:hAnsi="Times New Roman" w:cs="Times New Roman"/>
          <w:lang w:val="en-US"/>
        </w:rPr>
        <w:t xml:space="preserve"> the distance between </w:t>
      </w:r>
      <w:r w:rsidR="00744FB9" w:rsidRPr="009746D6">
        <w:rPr>
          <w:rFonts w:ascii="Times New Roman" w:hAnsi="Times New Roman" w:cs="Times New Roman"/>
          <w:lang w:val="en-US"/>
        </w:rPr>
        <w:t>each exporting country</w:t>
      </w:r>
      <w:r w:rsidRPr="009746D6">
        <w:rPr>
          <w:rFonts w:ascii="Times New Roman" w:hAnsi="Times New Roman" w:cs="Times New Roman"/>
          <w:lang w:val="en-US"/>
        </w:rPr>
        <w:t xml:space="preserve"> and each destination country in order to obtain specific freight series for the trade between </w:t>
      </w:r>
      <w:r w:rsidR="00744FB9" w:rsidRPr="009746D6">
        <w:rPr>
          <w:rFonts w:ascii="Times New Roman" w:hAnsi="Times New Roman" w:cs="Times New Roman"/>
          <w:lang w:val="en-US"/>
        </w:rPr>
        <w:t>exporters</w:t>
      </w:r>
      <w:r w:rsidRPr="009746D6">
        <w:rPr>
          <w:rFonts w:ascii="Times New Roman" w:hAnsi="Times New Roman" w:cs="Times New Roman"/>
          <w:lang w:val="en-US"/>
        </w:rPr>
        <w:t xml:space="preserve"> and each country. This implies the assumption that transport costs per </w:t>
      </w:r>
      <w:proofErr w:type="spellStart"/>
      <w:r w:rsidRPr="009746D6">
        <w:rPr>
          <w:rFonts w:ascii="Times New Roman" w:hAnsi="Times New Roman" w:cs="Times New Roman"/>
          <w:lang w:val="en-US"/>
        </w:rPr>
        <w:t>tonne</w:t>
      </w:r>
      <w:proofErr w:type="spellEnd"/>
      <w:r w:rsidRPr="009746D6">
        <w:rPr>
          <w:rFonts w:ascii="Times New Roman" w:hAnsi="Times New Roman" w:cs="Times New Roman"/>
          <w:lang w:val="en-US"/>
        </w:rPr>
        <w:t>/mile were similar for wine and wheat, and proportional to the distance for each destination.</w:t>
      </w:r>
    </w:p>
    <w:p w14:paraId="3172EAEA" w14:textId="7CDD3ECC" w:rsidR="00F503C8" w:rsidRPr="009746D6" w:rsidRDefault="00F503C8" w:rsidP="00F503C8">
      <w:pPr>
        <w:pStyle w:val="FootnoteText"/>
        <w:spacing w:before="120" w:after="0" w:line="360" w:lineRule="auto"/>
        <w:ind w:firstLine="567"/>
        <w:jc w:val="both"/>
        <w:rPr>
          <w:rFonts w:ascii="Times New Roman" w:hAnsi="Times New Roman"/>
          <w:sz w:val="24"/>
          <w:szCs w:val="24"/>
          <w:lang w:val="en-US"/>
        </w:rPr>
      </w:pPr>
      <w:r w:rsidRPr="009746D6">
        <w:rPr>
          <w:rFonts w:ascii="Times New Roman" w:hAnsi="Times New Roman"/>
          <w:sz w:val="24"/>
          <w:szCs w:val="24"/>
          <w:lang w:val="en-US"/>
        </w:rPr>
        <w:t>We cannot measure the impact of the construction of the railway network on transport costs, but it was significant.</w:t>
      </w:r>
      <w:r w:rsidR="00556A20" w:rsidRPr="009746D6">
        <w:rPr>
          <w:rFonts w:ascii="Times New Roman" w:hAnsi="Times New Roman"/>
          <w:sz w:val="24"/>
          <w:szCs w:val="24"/>
          <w:lang w:val="en-US"/>
        </w:rPr>
        <w:t xml:space="preserve"> </w:t>
      </w:r>
    </w:p>
    <w:p w14:paraId="48EA9E2D" w14:textId="1B11D46E" w:rsidR="00690837" w:rsidRDefault="00F503C8" w:rsidP="00AE776E">
      <w:pPr>
        <w:pStyle w:val="FootnoteText"/>
        <w:spacing w:before="120" w:after="0" w:line="360" w:lineRule="auto"/>
        <w:ind w:firstLine="567"/>
        <w:jc w:val="both"/>
        <w:rPr>
          <w:rFonts w:ascii="Times New Roman" w:hAnsi="Times New Roman"/>
          <w:sz w:val="24"/>
          <w:szCs w:val="24"/>
          <w:lang w:val="en-US"/>
        </w:rPr>
      </w:pPr>
      <w:r w:rsidRPr="009746D6">
        <w:rPr>
          <w:rFonts w:ascii="Times New Roman" w:hAnsi="Times New Roman"/>
          <w:b/>
          <w:sz w:val="24"/>
          <w:szCs w:val="24"/>
          <w:lang w:val="en-US"/>
        </w:rPr>
        <w:t>Zero values:</w:t>
      </w:r>
      <w:r w:rsidRPr="009746D6">
        <w:rPr>
          <w:rFonts w:ascii="Times New Roman" w:hAnsi="Times New Roman"/>
          <w:sz w:val="24"/>
          <w:szCs w:val="24"/>
          <w:lang w:val="en-US"/>
        </w:rPr>
        <w:t xml:space="preserve"> The model explaining the </w:t>
      </w:r>
      <w:r w:rsidR="00744FB9" w:rsidRPr="009746D6">
        <w:rPr>
          <w:rFonts w:ascii="Times New Roman" w:hAnsi="Times New Roman"/>
          <w:sz w:val="24"/>
          <w:szCs w:val="24"/>
          <w:lang w:val="en-US"/>
        </w:rPr>
        <w:t>high-quality wine</w:t>
      </w:r>
      <w:r w:rsidRPr="009746D6">
        <w:rPr>
          <w:rFonts w:ascii="Times New Roman" w:hAnsi="Times New Roman"/>
          <w:sz w:val="24"/>
          <w:szCs w:val="24"/>
          <w:lang w:val="en-US"/>
        </w:rPr>
        <w:t xml:space="preserve"> exports contains </w:t>
      </w:r>
      <w:r w:rsidR="00744FB9" w:rsidRPr="009746D6">
        <w:rPr>
          <w:rFonts w:ascii="Times New Roman" w:hAnsi="Times New Roman"/>
          <w:sz w:val="24"/>
          <w:szCs w:val="24"/>
          <w:lang w:val="en-US"/>
        </w:rPr>
        <w:t>35</w:t>
      </w:r>
      <w:r w:rsidRPr="009746D6">
        <w:rPr>
          <w:rFonts w:ascii="Times New Roman" w:hAnsi="Times New Roman"/>
          <w:sz w:val="24"/>
          <w:szCs w:val="24"/>
          <w:lang w:val="en-US"/>
        </w:rPr>
        <w:t>% of zeros</w:t>
      </w:r>
      <w:r w:rsidR="00F46311" w:rsidRPr="009746D6">
        <w:rPr>
          <w:rFonts w:ascii="Times New Roman" w:hAnsi="Times New Roman"/>
          <w:sz w:val="24"/>
          <w:szCs w:val="24"/>
          <w:lang w:val="en-US"/>
        </w:rPr>
        <w:t xml:space="preserve"> </w:t>
      </w:r>
      <w:r w:rsidR="00A54A08" w:rsidRPr="009746D6">
        <w:rPr>
          <w:rFonts w:ascii="Times New Roman" w:hAnsi="Times New Roman"/>
          <w:sz w:val="24"/>
          <w:szCs w:val="24"/>
          <w:lang w:val="en-US"/>
        </w:rPr>
        <w:t>in the endogenous variable</w:t>
      </w:r>
      <w:r w:rsidRPr="009746D6">
        <w:rPr>
          <w:rFonts w:ascii="Times New Roman" w:hAnsi="Times New Roman"/>
          <w:sz w:val="24"/>
          <w:szCs w:val="24"/>
          <w:lang w:val="en-US"/>
        </w:rPr>
        <w:t xml:space="preserve">, implying that </w:t>
      </w:r>
      <w:r w:rsidR="00744FB9" w:rsidRPr="009746D6">
        <w:rPr>
          <w:rFonts w:ascii="Times New Roman" w:hAnsi="Times New Roman"/>
          <w:sz w:val="24"/>
          <w:szCs w:val="24"/>
          <w:lang w:val="en-US"/>
        </w:rPr>
        <w:t>2,424</w:t>
      </w:r>
      <w:r w:rsidRPr="009746D6">
        <w:rPr>
          <w:rFonts w:ascii="Times New Roman" w:hAnsi="Times New Roman"/>
          <w:sz w:val="24"/>
          <w:szCs w:val="24"/>
          <w:lang w:val="en-US"/>
        </w:rPr>
        <w:t xml:space="preserve"> of the observations out of the </w:t>
      </w:r>
      <w:r w:rsidR="00744FB9" w:rsidRPr="009746D6">
        <w:rPr>
          <w:rFonts w:ascii="Times New Roman" w:hAnsi="Times New Roman"/>
          <w:sz w:val="24"/>
          <w:szCs w:val="24"/>
          <w:lang w:val="en-US"/>
        </w:rPr>
        <w:t>7,02</w:t>
      </w:r>
      <w:r w:rsidR="009746D6" w:rsidRPr="009746D6">
        <w:rPr>
          <w:rFonts w:ascii="Times New Roman" w:hAnsi="Times New Roman"/>
          <w:sz w:val="24"/>
          <w:szCs w:val="24"/>
          <w:lang w:val="en-US"/>
        </w:rPr>
        <w:t>4</w:t>
      </w:r>
      <w:r w:rsidRPr="009746D6">
        <w:rPr>
          <w:rFonts w:ascii="Times New Roman" w:hAnsi="Times New Roman"/>
          <w:sz w:val="24"/>
          <w:szCs w:val="24"/>
          <w:lang w:val="en-US"/>
        </w:rPr>
        <w:t xml:space="preserve"> were zero. As for the model for </w:t>
      </w:r>
      <w:r w:rsidR="00744FB9" w:rsidRPr="009746D6">
        <w:rPr>
          <w:rFonts w:ascii="Times New Roman" w:hAnsi="Times New Roman"/>
          <w:sz w:val="24"/>
          <w:szCs w:val="24"/>
          <w:lang w:val="en-US"/>
        </w:rPr>
        <w:t>ordinary</w:t>
      </w:r>
      <w:r w:rsidRPr="009746D6">
        <w:rPr>
          <w:rFonts w:ascii="Times New Roman" w:hAnsi="Times New Roman"/>
          <w:sz w:val="24"/>
          <w:szCs w:val="24"/>
          <w:lang w:val="en-US"/>
        </w:rPr>
        <w:t xml:space="preserve"> wine exports, we found </w:t>
      </w:r>
      <w:r w:rsidR="00744FB9" w:rsidRPr="009746D6">
        <w:rPr>
          <w:rFonts w:ascii="Times New Roman" w:hAnsi="Times New Roman"/>
          <w:sz w:val="24"/>
          <w:szCs w:val="24"/>
          <w:lang w:val="en-US"/>
        </w:rPr>
        <w:t>28</w:t>
      </w:r>
      <w:r w:rsidRPr="009746D6">
        <w:rPr>
          <w:rFonts w:ascii="Times New Roman" w:hAnsi="Times New Roman"/>
          <w:sz w:val="24"/>
          <w:szCs w:val="24"/>
          <w:lang w:val="en-US"/>
        </w:rPr>
        <w:t xml:space="preserve">% of zeros, </w:t>
      </w:r>
      <w:r w:rsidR="009746D6" w:rsidRPr="009746D6">
        <w:rPr>
          <w:rFonts w:ascii="Times New Roman" w:hAnsi="Times New Roman"/>
          <w:sz w:val="24"/>
          <w:szCs w:val="24"/>
          <w:lang w:val="en-US"/>
        </w:rPr>
        <w:t>1,955</w:t>
      </w:r>
      <w:r w:rsidRPr="009746D6">
        <w:rPr>
          <w:rFonts w:ascii="Times New Roman" w:hAnsi="Times New Roman"/>
          <w:sz w:val="24"/>
          <w:szCs w:val="24"/>
          <w:lang w:val="en-US"/>
        </w:rPr>
        <w:t xml:space="preserve"> of the observations of the volume of exports were zero. </w:t>
      </w:r>
    </w:p>
    <w:p w14:paraId="57A246EC" w14:textId="25D3908A" w:rsidR="00EA2238" w:rsidRDefault="00EA2238" w:rsidP="00AE776E">
      <w:pPr>
        <w:pStyle w:val="FootnoteText"/>
        <w:spacing w:before="120" w:after="0" w:line="360" w:lineRule="auto"/>
        <w:ind w:firstLine="567"/>
        <w:jc w:val="both"/>
        <w:rPr>
          <w:rFonts w:ascii="Times New Roman" w:hAnsi="Times New Roman"/>
          <w:b/>
          <w:sz w:val="24"/>
          <w:szCs w:val="24"/>
          <w:lang w:val="en-US"/>
        </w:rPr>
      </w:pPr>
      <w:r w:rsidRPr="00F937C1">
        <w:rPr>
          <w:rFonts w:ascii="Times New Roman" w:hAnsi="Times New Roman"/>
          <w:b/>
          <w:sz w:val="24"/>
          <w:szCs w:val="24"/>
          <w:lang w:val="en-US"/>
        </w:rPr>
        <w:t>References</w:t>
      </w:r>
    </w:p>
    <w:p w14:paraId="3233183F" w14:textId="042F6CF2" w:rsidR="00F937C1" w:rsidRDefault="00F937C1" w:rsidP="005366FF">
      <w:pPr>
        <w:tabs>
          <w:tab w:val="left" w:pos="567"/>
        </w:tabs>
        <w:ind w:left="567" w:hanging="567"/>
        <w:jc w:val="both"/>
        <w:rPr>
          <w:rFonts w:ascii="Times New Roman" w:eastAsiaTheme="majorEastAsia" w:hAnsi="Times New Roman" w:cs="Times New Roman"/>
          <w:bCs/>
          <w:color w:val="000000" w:themeColor="text1"/>
          <w:lang w:val="en-US"/>
        </w:rPr>
      </w:pPr>
      <w:r w:rsidRPr="00F937C1">
        <w:rPr>
          <w:rFonts w:ascii="Times New Roman" w:eastAsiaTheme="majorEastAsia" w:hAnsi="Times New Roman" w:cs="Times New Roman"/>
          <w:bCs/>
          <w:color w:val="000000" w:themeColor="text1"/>
          <w:lang w:val="en-US"/>
        </w:rPr>
        <w:t xml:space="preserve">Banerjee, A., </w:t>
      </w:r>
      <w:proofErr w:type="spellStart"/>
      <w:r w:rsidRPr="00F937C1">
        <w:rPr>
          <w:rFonts w:ascii="Times New Roman" w:eastAsiaTheme="majorEastAsia" w:hAnsi="Times New Roman" w:cs="Times New Roman"/>
          <w:bCs/>
          <w:color w:val="000000" w:themeColor="text1"/>
          <w:lang w:val="en-US"/>
        </w:rPr>
        <w:t>Duflo</w:t>
      </w:r>
      <w:proofErr w:type="spellEnd"/>
      <w:r w:rsidRPr="00F937C1">
        <w:rPr>
          <w:rFonts w:ascii="Times New Roman" w:eastAsiaTheme="majorEastAsia" w:hAnsi="Times New Roman" w:cs="Times New Roman"/>
          <w:bCs/>
          <w:color w:val="000000" w:themeColor="text1"/>
          <w:lang w:val="en-US"/>
        </w:rPr>
        <w:t>, E.</w:t>
      </w:r>
      <w:r>
        <w:rPr>
          <w:rFonts w:ascii="Times New Roman" w:eastAsiaTheme="majorEastAsia" w:hAnsi="Times New Roman" w:cs="Times New Roman"/>
          <w:bCs/>
          <w:color w:val="000000" w:themeColor="text1"/>
          <w:lang w:val="en-US"/>
        </w:rPr>
        <w:t>, Poste-Vinay, G. and Watts, T. (2010). Long-Run Health Impacts on</w:t>
      </w:r>
      <w:r w:rsidR="00B11BD3">
        <w:rPr>
          <w:rFonts w:ascii="Times New Roman" w:eastAsiaTheme="majorEastAsia" w:hAnsi="Times New Roman" w:cs="Times New Roman"/>
          <w:bCs/>
          <w:color w:val="000000" w:themeColor="text1"/>
          <w:lang w:val="en-US"/>
        </w:rPr>
        <w:t xml:space="preserve"> Income Shocks</w:t>
      </w:r>
      <w:r w:rsidRPr="00F937C1">
        <w:rPr>
          <w:rFonts w:ascii="Times New Roman" w:eastAsiaTheme="majorEastAsia" w:hAnsi="Times New Roman" w:cs="Times New Roman"/>
          <w:bCs/>
          <w:color w:val="000000" w:themeColor="text1"/>
          <w:lang w:val="en-US"/>
        </w:rPr>
        <w:t xml:space="preserve">: Wine and </w:t>
      </w:r>
      <w:proofErr w:type="spellStart"/>
      <w:r w:rsidRPr="00F937C1">
        <w:rPr>
          <w:rFonts w:ascii="Times New Roman" w:eastAsiaTheme="majorEastAsia" w:hAnsi="Times New Roman" w:cs="Times New Roman"/>
          <w:bCs/>
          <w:color w:val="000000" w:themeColor="text1"/>
          <w:lang w:val="en-US"/>
        </w:rPr>
        <w:t>Phylloxe</w:t>
      </w:r>
      <w:r>
        <w:rPr>
          <w:rFonts w:ascii="Times New Roman" w:eastAsiaTheme="majorEastAsia" w:hAnsi="Times New Roman" w:cs="Times New Roman"/>
          <w:bCs/>
          <w:color w:val="000000" w:themeColor="text1"/>
          <w:lang w:val="en-US"/>
        </w:rPr>
        <w:t>ra</w:t>
      </w:r>
      <w:proofErr w:type="spellEnd"/>
      <w:r>
        <w:rPr>
          <w:rFonts w:ascii="Times New Roman" w:eastAsiaTheme="majorEastAsia" w:hAnsi="Times New Roman" w:cs="Times New Roman"/>
          <w:bCs/>
          <w:color w:val="000000" w:themeColor="text1"/>
          <w:lang w:val="en-US"/>
        </w:rPr>
        <w:t xml:space="preserve"> in Nineteenth-Century France.</w:t>
      </w:r>
      <w:r w:rsidRPr="00F937C1">
        <w:rPr>
          <w:rFonts w:ascii="Times New Roman" w:eastAsiaTheme="majorEastAsia" w:hAnsi="Times New Roman" w:cs="Times New Roman"/>
          <w:bCs/>
          <w:color w:val="000000" w:themeColor="text1"/>
          <w:lang w:val="en-US"/>
        </w:rPr>
        <w:t xml:space="preserve"> </w:t>
      </w:r>
      <w:r w:rsidRPr="00F937C1">
        <w:rPr>
          <w:rFonts w:ascii="Times New Roman" w:eastAsiaTheme="majorEastAsia" w:hAnsi="Times New Roman" w:cs="Times New Roman"/>
          <w:bCs/>
          <w:i/>
          <w:color w:val="000000" w:themeColor="text1"/>
          <w:lang w:val="en-US"/>
        </w:rPr>
        <w:t>The Review of Economics and Statistics</w:t>
      </w:r>
      <w:r w:rsidRPr="00F937C1">
        <w:rPr>
          <w:rFonts w:ascii="Times New Roman" w:eastAsiaTheme="majorEastAsia" w:hAnsi="Times New Roman" w:cs="Times New Roman"/>
          <w:bCs/>
          <w:color w:val="000000" w:themeColor="text1"/>
          <w:lang w:val="en-US"/>
        </w:rPr>
        <w:t>, 92</w:t>
      </w:r>
      <w:r w:rsidR="0038161F">
        <w:rPr>
          <w:rFonts w:ascii="Times New Roman" w:eastAsiaTheme="majorEastAsia" w:hAnsi="Times New Roman" w:cs="Times New Roman"/>
          <w:bCs/>
          <w:color w:val="000000" w:themeColor="text1"/>
          <w:lang w:val="en-US"/>
        </w:rPr>
        <w:t>(</w:t>
      </w:r>
      <w:r>
        <w:rPr>
          <w:rFonts w:ascii="Times New Roman" w:eastAsiaTheme="majorEastAsia" w:hAnsi="Times New Roman" w:cs="Times New Roman"/>
          <w:bCs/>
          <w:color w:val="000000" w:themeColor="text1"/>
          <w:lang w:val="en-US"/>
        </w:rPr>
        <w:t>4</w:t>
      </w:r>
      <w:r w:rsidR="0038161F">
        <w:rPr>
          <w:rFonts w:ascii="Times New Roman" w:eastAsiaTheme="majorEastAsia" w:hAnsi="Times New Roman" w:cs="Times New Roman"/>
          <w:bCs/>
          <w:color w:val="000000" w:themeColor="text1"/>
          <w:lang w:val="en-US"/>
        </w:rPr>
        <w:t>)</w:t>
      </w:r>
      <w:r>
        <w:rPr>
          <w:rFonts w:ascii="Times New Roman" w:eastAsiaTheme="majorEastAsia" w:hAnsi="Times New Roman" w:cs="Times New Roman"/>
          <w:bCs/>
          <w:color w:val="000000" w:themeColor="text1"/>
          <w:lang w:val="en-US"/>
        </w:rPr>
        <w:t xml:space="preserve">, </w:t>
      </w:r>
      <w:r w:rsidRPr="00F937C1">
        <w:rPr>
          <w:rFonts w:ascii="Times New Roman" w:eastAsiaTheme="majorEastAsia" w:hAnsi="Times New Roman" w:cs="Times New Roman"/>
          <w:bCs/>
          <w:color w:val="000000" w:themeColor="text1"/>
          <w:lang w:val="en-US"/>
        </w:rPr>
        <w:t>714-728.</w:t>
      </w:r>
    </w:p>
    <w:p w14:paraId="7E03A0F5" w14:textId="77B4100A" w:rsidR="00F937C1" w:rsidRDefault="00F937C1" w:rsidP="005366FF">
      <w:pPr>
        <w:tabs>
          <w:tab w:val="left" w:pos="567"/>
        </w:tabs>
        <w:ind w:left="567" w:hanging="567"/>
        <w:jc w:val="both"/>
        <w:rPr>
          <w:rFonts w:ascii="Times New Roman" w:eastAsiaTheme="majorEastAsia" w:hAnsi="Times New Roman" w:cs="Times New Roman"/>
          <w:color w:val="000000" w:themeColor="text1"/>
          <w:lang w:val="fr-FR"/>
        </w:rPr>
      </w:pPr>
      <w:proofErr w:type="spellStart"/>
      <w:r w:rsidRPr="00F937C1">
        <w:rPr>
          <w:rFonts w:ascii="Times New Roman" w:eastAsiaTheme="majorEastAsia" w:hAnsi="Times New Roman" w:cs="Times New Roman"/>
          <w:bCs/>
          <w:color w:val="000000" w:themeColor="text1"/>
          <w:lang w:val="fr-FR"/>
        </w:rPr>
        <w:t>Degroully</w:t>
      </w:r>
      <w:proofErr w:type="spellEnd"/>
      <w:r w:rsidRPr="00F937C1">
        <w:rPr>
          <w:rFonts w:ascii="Times New Roman" w:eastAsiaTheme="majorEastAsia" w:hAnsi="Times New Roman" w:cs="Times New Roman"/>
          <w:bCs/>
          <w:color w:val="000000" w:themeColor="text1"/>
          <w:lang w:val="fr-FR"/>
        </w:rPr>
        <w:t xml:space="preserve">, </w:t>
      </w:r>
      <w:proofErr w:type="gramStart"/>
      <w:r w:rsidRPr="00F937C1">
        <w:rPr>
          <w:rFonts w:ascii="Times New Roman" w:eastAsiaTheme="majorEastAsia" w:hAnsi="Times New Roman" w:cs="Times New Roman"/>
          <w:bCs/>
          <w:color w:val="000000" w:themeColor="text1"/>
          <w:lang w:val="fr-FR"/>
        </w:rPr>
        <w:t>P.,</w:t>
      </w:r>
      <w:r>
        <w:rPr>
          <w:rFonts w:ascii="Times New Roman" w:eastAsiaTheme="majorEastAsia" w:hAnsi="Times New Roman" w:cs="Times New Roman"/>
          <w:bCs/>
          <w:color w:val="000000" w:themeColor="text1"/>
          <w:lang w:val="fr-FR"/>
        </w:rPr>
        <w:t>(</w:t>
      </w:r>
      <w:proofErr w:type="gramEnd"/>
      <w:r>
        <w:rPr>
          <w:rFonts w:ascii="Times New Roman" w:eastAsiaTheme="majorEastAsia" w:hAnsi="Times New Roman" w:cs="Times New Roman"/>
          <w:bCs/>
          <w:color w:val="000000" w:themeColor="text1"/>
          <w:lang w:val="fr-FR"/>
        </w:rPr>
        <w:t xml:space="preserve">1010). </w:t>
      </w:r>
      <w:r w:rsidRPr="00F937C1">
        <w:rPr>
          <w:rFonts w:ascii="Times New Roman" w:eastAsiaTheme="majorEastAsia" w:hAnsi="Times New Roman" w:cs="Times New Roman"/>
          <w:i/>
          <w:color w:val="000000" w:themeColor="text1"/>
          <w:lang w:val="fr-FR"/>
        </w:rPr>
        <w:t>Essai historique et économique sur la production</w:t>
      </w:r>
      <w:r>
        <w:rPr>
          <w:rFonts w:ascii="Times New Roman" w:eastAsiaTheme="majorEastAsia" w:hAnsi="Times New Roman" w:cs="Times New Roman"/>
          <w:i/>
          <w:color w:val="000000" w:themeColor="text1"/>
          <w:lang w:val="fr-FR"/>
        </w:rPr>
        <w:t xml:space="preserve"> et le marché des vins en France. </w:t>
      </w:r>
      <w:r>
        <w:rPr>
          <w:rFonts w:ascii="Times New Roman" w:eastAsiaTheme="majorEastAsia" w:hAnsi="Times New Roman" w:cs="Times New Roman"/>
          <w:color w:val="000000" w:themeColor="text1"/>
          <w:lang w:val="fr-FR"/>
        </w:rPr>
        <w:t>Montp</w:t>
      </w:r>
      <w:r w:rsidR="005366FF">
        <w:rPr>
          <w:rFonts w:ascii="Times New Roman" w:eastAsiaTheme="majorEastAsia" w:hAnsi="Times New Roman" w:cs="Times New Roman"/>
          <w:color w:val="000000" w:themeColor="text1"/>
          <w:lang w:val="fr-FR"/>
        </w:rPr>
        <w:t xml:space="preserve">ellier: </w:t>
      </w:r>
      <w:r w:rsidR="007A2C3C">
        <w:rPr>
          <w:rFonts w:ascii="Times New Roman" w:eastAsiaTheme="majorEastAsia" w:hAnsi="Times New Roman" w:cs="Times New Roman"/>
          <w:color w:val="000000" w:themeColor="text1"/>
          <w:lang w:val="fr-FR"/>
        </w:rPr>
        <w:t xml:space="preserve">Imprimerie </w:t>
      </w:r>
      <w:proofErr w:type="spellStart"/>
      <w:r w:rsidR="007A2C3C">
        <w:rPr>
          <w:rFonts w:ascii="Times New Roman" w:eastAsiaTheme="majorEastAsia" w:hAnsi="Times New Roman" w:cs="Times New Roman"/>
          <w:color w:val="000000" w:themeColor="text1"/>
          <w:lang w:val="fr-FR"/>
        </w:rPr>
        <w:t>derçomégous</w:t>
      </w:r>
      <w:proofErr w:type="spellEnd"/>
      <w:r w:rsidR="007A2C3C">
        <w:rPr>
          <w:rFonts w:ascii="Times New Roman" w:eastAsiaTheme="majorEastAsia" w:hAnsi="Times New Roman" w:cs="Times New Roman"/>
          <w:color w:val="000000" w:themeColor="text1"/>
          <w:lang w:val="fr-FR"/>
        </w:rPr>
        <w:t xml:space="preserve"> et </w:t>
      </w:r>
      <w:proofErr w:type="spellStart"/>
      <w:r w:rsidR="007A2C3C">
        <w:rPr>
          <w:rFonts w:ascii="Times New Roman" w:eastAsiaTheme="majorEastAsia" w:hAnsi="Times New Roman" w:cs="Times New Roman"/>
          <w:color w:val="000000" w:themeColor="text1"/>
          <w:lang w:val="fr-FR"/>
        </w:rPr>
        <w:t>Déhan</w:t>
      </w:r>
      <w:proofErr w:type="spellEnd"/>
      <w:r w:rsidR="007A2C3C">
        <w:rPr>
          <w:rFonts w:ascii="Times New Roman" w:eastAsiaTheme="majorEastAsia" w:hAnsi="Times New Roman" w:cs="Times New Roman"/>
          <w:color w:val="000000" w:themeColor="text1"/>
          <w:lang w:val="fr-FR"/>
        </w:rPr>
        <w:t>.</w:t>
      </w:r>
    </w:p>
    <w:p w14:paraId="4C470E01" w14:textId="74763D75" w:rsidR="005366FF" w:rsidRPr="005366FF" w:rsidRDefault="005366FF" w:rsidP="005366FF">
      <w:pPr>
        <w:tabs>
          <w:tab w:val="left" w:pos="567"/>
        </w:tabs>
        <w:ind w:left="567" w:hanging="567"/>
        <w:jc w:val="both"/>
        <w:rPr>
          <w:rFonts w:ascii="Times New Roman" w:eastAsiaTheme="majorEastAsia" w:hAnsi="Times New Roman" w:cs="Times New Roman"/>
          <w:bCs/>
          <w:color w:val="000000" w:themeColor="text1"/>
          <w:lang w:val="en-US"/>
        </w:rPr>
      </w:pPr>
      <w:r w:rsidRPr="005366FF">
        <w:rPr>
          <w:rFonts w:ascii="Times New Roman" w:eastAsiaTheme="majorEastAsia" w:hAnsi="Times New Roman" w:cs="Times New Roman"/>
          <w:bCs/>
          <w:color w:val="000000" w:themeColor="text1"/>
          <w:lang w:val="en-US"/>
        </w:rPr>
        <w:t>Federico, G. and Tena-</w:t>
      </w:r>
      <w:proofErr w:type="spellStart"/>
      <w:r w:rsidRPr="005366FF">
        <w:rPr>
          <w:rFonts w:ascii="Times New Roman" w:eastAsiaTheme="majorEastAsia" w:hAnsi="Times New Roman" w:cs="Times New Roman"/>
          <w:bCs/>
          <w:color w:val="000000" w:themeColor="text1"/>
          <w:lang w:val="en-US"/>
        </w:rPr>
        <w:t>Junguito</w:t>
      </w:r>
      <w:proofErr w:type="spellEnd"/>
      <w:r w:rsidRPr="005366FF">
        <w:rPr>
          <w:rFonts w:ascii="Times New Roman" w:eastAsiaTheme="majorEastAsia" w:hAnsi="Times New Roman" w:cs="Times New Roman"/>
          <w:bCs/>
          <w:color w:val="000000" w:themeColor="text1"/>
          <w:lang w:val="en-US"/>
        </w:rPr>
        <w:t>, A.</w:t>
      </w:r>
      <w:r>
        <w:rPr>
          <w:rFonts w:ascii="Times New Roman" w:eastAsiaTheme="majorEastAsia" w:hAnsi="Times New Roman" w:cs="Times New Roman"/>
          <w:bCs/>
          <w:color w:val="000000" w:themeColor="text1"/>
          <w:lang w:val="en-US"/>
        </w:rPr>
        <w:t xml:space="preserve"> (2016). </w:t>
      </w:r>
      <w:r w:rsidRPr="005366FF">
        <w:rPr>
          <w:rFonts w:ascii="Times New Roman" w:eastAsiaTheme="majorEastAsia" w:hAnsi="Times New Roman" w:cs="Times New Roman"/>
          <w:bCs/>
          <w:color w:val="000000" w:themeColor="text1"/>
          <w:lang w:val="en-US"/>
        </w:rPr>
        <w:t>World t</w:t>
      </w:r>
      <w:r>
        <w:rPr>
          <w:rFonts w:ascii="Times New Roman" w:eastAsiaTheme="majorEastAsia" w:hAnsi="Times New Roman" w:cs="Times New Roman"/>
          <w:bCs/>
          <w:color w:val="000000" w:themeColor="text1"/>
          <w:lang w:val="en-US"/>
        </w:rPr>
        <w:t xml:space="preserve">rade, 1800-1938: a new data-set. </w:t>
      </w:r>
      <w:r w:rsidRPr="005366FF">
        <w:rPr>
          <w:rFonts w:ascii="Times New Roman" w:eastAsiaTheme="majorEastAsia" w:hAnsi="Times New Roman" w:cs="Times New Roman"/>
          <w:bCs/>
          <w:color w:val="000000" w:themeColor="text1"/>
          <w:lang w:val="en-US"/>
        </w:rPr>
        <w:t xml:space="preserve"> IFCS - </w:t>
      </w:r>
      <w:r w:rsidRPr="005366FF">
        <w:rPr>
          <w:rFonts w:ascii="Times New Roman" w:eastAsiaTheme="majorEastAsia" w:hAnsi="Times New Roman" w:cs="Times New Roman"/>
          <w:bCs/>
          <w:i/>
          <w:color w:val="000000" w:themeColor="text1"/>
          <w:lang w:val="en-US"/>
        </w:rPr>
        <w:t>Working Papers in Economic History</w:t>
      </w:r>
      <w:r w:rsidRPr="005366FF">
        <w:rPr>
          <w:rFonts w:ascii="Times New Roman" w:eastAsiaTheme="majorEastAsia" w:hAnsi="Times New Roman" w:cs="Times New Roman"/>
          <w:bCs/>
          <w:color w:val="000000" w:themeColor="text1"/>
          <w:lang w:val="en-US"/>
        </w:rPr>
        <w:t>, 16-01.</w:t>
      </w:r>
    </w:p>
    <w:p w14:paraId="37E44C12" w14:textId="77777777" w:rsidR="005366FF" w:rsidRPr="00F937C1" w:rsidRDefault="005366FF" w:rsidP="005366FF">
      <w:pPr>
        <w:tabs>
          <w:tab w:val="left" w:pos="567"/>
        </w:tabs>
        <w:ind w:left="567" w:hanging="567"/>
        <w:jc w:val="both"/>
        <w:rPr>
          <w:lang w:val="en-US"/>
        </w:rPr>
      </w:pPr>
    </w:p>
    <w:p w14:paraId="199ED950" w14:textId="77777777" w:rsidR="00F937C1" w:rsidRPr="00F937C1" w:rsidRDefault="00F937C1" w:rsidP="005366FF">
      <w:pPr>
        <w:tabs>
          <w:tab w:val="left" w:pos="567"/>
        </w:tabs>
        <w:ind w:left="567" w:hanging="567"/>
        <w:jc w:val="both"/>
        <w:rPr>
          <w:rFonts w:ascii="Times New Roman" w:eastAsiaTheme="majorEastAsia" w:hAnsi="Times New Roman" w:cs="Times New Roman"/>
          <w:color w:val="000000" w:themeColor="text1"/>
          <w:lang w:val="en-US"/>
        </w:rPr>
      </w:pPr>
    </w:p>
    <w:p w14:paraId="77FFFA52" w14:textId="77777777" w:rsidR="00F937C1" w:rsidRPr="00F937C1" w:rsidRDefault="00F937C1" w:rsidP="005366FF">
      <w:pPr>
        <w:pStyle w:val="FootnoteText"/>
        <w:tabs>
          <w:tab w:val="left" w:pos="567"/>
        </w:tabs>
        <w:spacing w:before="120" w:after="0" w:line="360" w:lineRule="auto"/>
        <w:ind w:left="567" w:hanging="567"/>
        <w:jc w:val="both"/>
        <w:rPr>
          <w:rFonts w:ascii="Times New Roman" w:hAnsi="Times New Roman"/>
          <w:b/>
          <w:sz w:val="24"/>
          <w:szCs w:val="24"/>
          <w:lang w:val="en-US"/>
        </w:rPr>
      </w:pPr>
    </w:p>
    <w:p w14:paraId="4189FD96" w14:textId="06193057" w:rsidR="00EA2238" w:rsidRPr="00F937C1" w:rsidRDefault="005366FF" w:rsidP="005366FF">
      <w:pPr>
        <w:tabs>
          <w:tab w:val="left" w:pos="567"/>
        </w:tabs>
        <w:ind w:left="567" w:hanging="567"/>
        <w:jc w:val="both"/>
        <w:rPr>
          <w:rFonts w:ascii="Times New Roman" w:eastAsiaTheme="majorEastAsia" w:hAnsi="Times New Roman" w:cs="Times New Roman"/>
          <w:color w:val="000000" w:themeColor="text1"/>
          <w:lang w:val="en-US"/>
        </w:rPr>
      </w:pPr>
      <w:proofErr w:type="spellStart"/>
      <w:r>
        <w:rPr>
          <w:rFonts w:ascii="Times New Roman" w:eastAsiaTheme="majorEastAsia" w:hAnsi="Times New Roman" w:cs="Times New Roman"/>
          <w:color w:val="000000" w:themeColor="text1"/>
          <w:lang w:val="en-US"/>
        </w:rPr>
        <w:t>Galet</w:t>
      </w:r>
      <w:proofErr w:type="spellEnd"/>
      <w:r>
        <w:rPr>
          <w:rFonts w:ascii="Times New Roman" w:eastAsiaTheme="majorEastAsia" w:hAnsi="Times New Roman" w:cs="Times New Roman"/>
          <w:color w:val="000000" w:themeColor="text1"/>
          <w:lang w:val="en-US"/>
        </w:rPr>
        <w:t xml:space="preserve">, P. (1957-1962). </w:t>
      </w:r>
      <w:proofErr w:type="spellStart"/>
      <w:r w:rsidR="00EA2238" w:rsidRPr="00F937C1">
        <w:rPr>
          <w:rFonts w:ascii="Times New Roman" w:eastAsiaTheme="majorEastAsia" w:hAnsi="Times New Roman" w:cs="Times New Roman"/>
          <w:i/>
          <w:color w:val="000000" w:themeColor="text1"/>
          <w:lang w:val="en-US"/>
        </w:rPr>
        <w:t>Cépages</w:t>
      </w:r>
      <w:proofErr w:type="spellEnd"/>
      <w:r w:rsidR="00EA2238" w:rsidRPr="00F937C1">
        <w:rPr>
          <w:rFonts w:ascii="Times New Roman" w:eastAsiaTheme="majorEastAsia" w:hAnsi="Times New Roman" w:cs="Times New Roman"/>
          <w:i/>
          <w:color w:val="000000" w:themeColor="text1"/>
          <w:lang w:val="en-US"/>
        </w:rPr>
        <w:t xml:space="preserve"> et </w:t>
      </w:r>
      <w:proofErr w:type="spellStart"/>
      <w:r w:rsidR="00EA2238" w:rsidRPr="00F937C1">
        <w:rPr>
          <w:rFonts w:ascii="Times New Roman" w:eastAsiaTheme="majorEastAsia" w:hAnsi="Times New Roman" w:cs="Times New Roman"/>
          <w:i/>
          <w:color w:val="000000" w:themeColor="text1"/>
          <w:lang w:val="en-US"/>
        </w:rPr>
        <w:t>vignoble</w:t>
      </w:r>
      <w:proofErr w:type="spellEnd"/>
      <w:r w:rsidR="00EA2238" w:rsidRPr="00F937C1">
        <w:rPr>
          <w:rFonts w:ascii="Times New Roman" w:eastAsiaTheme="majorEastAsia" w:hAnsi="Times New Roman" w:cs="Times New Roman"/>
          <w:i/>
          <w:color w:val="000000" w:themeColor="text1"/>
          <w:lang w:val="en-US"/>
        </w:rPr>
        <w:t xml:space="preserve"> de France</w:t>
      </w:r>
      <w:r>
        <w:rPr>
          <w:rFonts w:ascii="Times New Roman" w:eastAsiaTheme="majorEastAsia" w:hAnsi="Times New Roman" w:cs="Times New Roman"/>
          <w:color w:val="000000" w:themeColor="text1"/>
          <w:lang w:val="en-US"/>
        </w:rPr>
        <w:t xml:space="preserve">. </w:t>
      </w:r>
      <w:r w:rsidR="00EA2238" w:rsidRPr="00F937C1">
        <w:rPr>
          <w:rFonts w:ascii="Times New Roman" w:eastAsiaTheme="majorEastAsia" w:hAnsi="Times New Roman" w:cs="Times New Roman"/>
          <w:color w:val="000000" w:themeColor="text1"/>
          <w:lang w:val="en-US"/>
        </w:rPr>
        <w:t>Montpellier</w:t>
      </w:r>
      <w:r>
        <w:rPr>
          <w:rFonts w:ascii="Times New Roman" w:eastAsiaTheme="majorEastAsia" w:hAnsi="Times New Roman" w:cs="Times New Roman"/>
          <w:color w:val="000000" w:themeColor="text1"/>
          <w:lang w:val="en-US"/>
        </w:rPr>
        <w:t xml:space="preserve">: </w:t>
      </w:r>
      <w:proofErr w:type="spellStart"/>
      <w:r w:rsidR="007A2C3C">
        <w:rPr>
          <w:rFonts w:ascii="Times New Roman" w:eastAsiaTheme="majorEastAsia" w:hAnsi="Times New Roman" w:cs="Times New Roman"/>
          <w:color w:val="000000" w:themeColor="text1"/>
          <w:lang w:val="en-US"/>
        </w:rPr>
        <w:t>Imprimerie</w:t>
      </w:r>
      <w:proofErr w:type="spellEnd"/>
      <w:r w:rsidR="007A2C3C">
        <w:rPr>
          <w:rFonts w:ascii="Times New Roman" w:eastAsiaTheme="majorEastAsia" w:hAnsi="Times New Roman" w:cs="Times New Roman"/>
          <w:color w:val="000000" w:themeColor="text1"/>
          <w:lang w:val="en-US"/>
        </w:rPr>
        <w:t xml:space="preserve"> du Paysan du Midi.</w:t>
      </w:r>
    </w:p>
    <w:p w14:paraId="411BE811" w14:textId="7962B5B7" w:rsidR="00EA2238" w:rsidRPr="005366FF" w:rsidRDefault="00EA2238" w:rsidP="005366FF">
      <w:pPr>
        <w:tabs>
          <w:tab w:val="left" w:pos="567"/>
        </w:tabs>
        <w:ind w:left="567" w:hanging="567"/>
        <w:jc w:val="both"/>
        <w:rPr>
          <w:rFonts w:ascii="Times New Roman" w:eastAsiaTheme="majorEastAsia" w:hAnsi="Times New Roman" w:cs="Times New Roman"/>
          <w:bCs/>
          <w:color w:val="000000" w:themeColor="text1"/>
          <w:lang w:val="en-US"/>
        </w:rPr>
      </w:pPr>
      <w:proofErr w:type="spellStart"/>
      <w:r w:rsidRPr="00F937C1">
        <w:rPr>
          <w:rFonts w:ascii="Times New Roman" w:eastAsiaTheme="majorEastAsia" w:hAnsi="Times New Roman" w:cs="Times New Roman"/>
          <w:color w:val="000000" w:themeColor="text1"/>
          <w:lang w:val="en-US"/>
        </w:rPr>
        <w:t>Haeck</w:t>
      </w:r>
      <w:proofErr w:type="spellEnd"/>
      <w:r w:rsidRPr="00F937C1">
        <w:rPr>
          <w:rFonts w:ascii="Times New Roman" w:eastAsiaTheme="majorEastAsia" w:hAnsi="Times New Roman" w:cs="Times New Roman"/>
          <w:color w:val="000000" w:themeColor="text1"/>
          <w:lang w:val="en-US"/>
        </w:rPr>
        <w:t xml:space="preserve">, </w:t>
      </w:r>
      <w:r w:rsidR="00B11BD3">
        <w:rPr>
          <w:rFonts w:ascii="Times New Roman" w:eastAsiaTheme="majorEastAsia" w:hAnsi="Times New Roman" w:cs="Times New Roman"/>
          <w:color w:val="000000" w:themeColor="text1"/>
          <w:lang w:val="en-US"/>
        </w:rPr>
        <w:t xml:space="preserve">C., </w:t>
      </w:r>
      <w:proofErr w:type="spellStart"/>
      <w:r w:rsidR="00B11BD3">
        <w:rPr>
          <w:rFonts w:ascii="Times New Roman" w:eastAsiaTheme="majorEastAsia" w:hAnsi="Times New Roman" w:cs="Times New Roman"/>
          <w:color w:val="000000" w:themeColor="text1"/>
          <w:lang w:val="en-US"/>
        </w:rPr>
        <w:t>Meloni</w:t>
      </w:r>
      <w:proofErr w:type="spellEnd"/>
      <w:r w:rsidR="00B11BD3">
        <w:rPr>
          <w:rFonts w:ascii="Times New Roman" w:eastAsiaTheme="majorEastAsia" w:hAnsi="Times New Roman" w:cs="Times New Roman"/>
          <w:color w:val="000000" w:themeColor="text1"/>
          <w:lang w:val="en-US"/>
        </w:rPr>
        <w:t xml:space="preserve">, G. and </w:t>
      </w:r>
      <w:proofErr w:type="spellStart"/>
      <w:r w:rsidR="00B11BD3">
        <w:rPr>
          <w:rFonts w:ascii="Times New Roman" w:eastAsiaTheme="majorEastAsia" w:hAnsi="Times New Roman" w:cs="Times New Roman"/>
          <w:color w:val="000000" w:themeColor="text1"/>
          <w:lang w:val="en-US"/>
        </w:rPr>
        <w:t>Swinnen</w:t>
      </w:r>
      <w:proofErr w:type="spellEnd"/>
      <w:r w:rsidR="00B11BD3">
        <w:rPr>
          <w:rFonts w:ascii="Times New Roman" w:eastAsiaTheme="majorEastAsia" w:hAnsi="Times New Roman" w:cs="Times New Roman"/>
          <w:color w:val="000000" w:themeColor="text1"/>
          <w:lang w:val="en-US"/>
        </w:rPr>
        <w:t xml:space="preserve">, J. (2018). </w:t>
      </w:r>
      <w:r w:rsidRPr="00F937C1">
        <w:rPr>
          <w:rFonts w:ascii="Times New Roman" w:eastAsiaTheme="majorEastAsia" w:hAnsi="Times New Roman" w:cs="Times New Roman"/>
          <w:color w:val="000000" w:themeColor="text1"/>
          <w:lang w:val="en-US"/>
        </w:rPr>
        <w:t xml:space="preserve">The Value of Terroir. A historical analysis of the </w:t>
      </w:r>
      <w:r w:rsidRPr="005366FF">
        <w:rPr>
          <w:rFonts w:ascii="Times New Roman" w:eastAsiaTheme="majorEastAsia" w:hAnsi="Times New Roman" w:cs="Times New Roman"/>
          <w:bCs/>
          <w:color w:val="000000" w:themeColor="text1"/>
          <w:lang w:val="en-US"/>
        </w:rPr>
        <w:t>Bordeaux and Cha</w:t>
      </w:r>
      <w:r w:rsidR="00B11BD3">
        <w:rPr>
          <w:rFonts w:ascii="Times New Roman" w:eastAsiaTheme="majorEastAsia" w:hAnsi="Times New Roman" w:cs="Times New Roman"/>
          <w:bCs/>
          <w:color w:val="000000" w:themeColor="text1"/>
          <w:lang w:val="en-US"/>
        </w:rPr>
        <w:t>mpagne geographical indications.</w:t>
      </w:r>
      <w:r w:rsidRPr="005366FF">
        <w:rPr>
          <w:rFonts w:ascii="Times New Roman" w:eastAsiaTheme="majorEastAsia" w:hAnsi="Times New Roman" w:cs="Times New Roman"/>
          <w:bCs/>
          <w:color w:val="000000" w:themeColor="text1"/>
          <w:lang w:val="en-US"/>
        </w:rPr>
        <w:t xml:space="preserve"> LICOS Discussion Paper 408</w:t>
      </w:r>
      <w:r w:rsidR="00B11BD3">
        <w:rPr>
          <w:rFonts w:ascii="Times New Roman" w:eastAsiaTheme="majorEastAsia" w:hAnsi="Times New Roman" w:cs="Times New Roman"/>
          <w:bCs/>
          <w:color w:val="000000" w:themeColor="text1"/>
          <w:lang w:val="en-US"/>
        </w:rPr>
        <w:t xml:space="preserve">. </w:t>
      </w:r>
      <w:r w:rsidR="00D3373C">
        <w:rPr>
          <w:rFonts w:ascii="Times New Roman" w:eastAsiaTheme="majorEastAsia" w:hAnsi="Times New Roman" w:cs="Times New Roman"/>
          <w:bCs/>
          <w:color w:val="000000" w:themeColor="text1"/>
          <w:lang w:val="en-US"/>
        </w:rPr>
        <w:t>Accessed</w:t>
      </w:r>
      <w:r w:rsidRPr="005366FF">
        <w:rPr>
          <w:rFonts w:ascii="Times New Roman" w:eastAsiaTheme="majorEastAsia" w:hAnsi="Times New Roman" w:cs="Times New Roman"/>
          <w:bCs/>
          <w:color w:val="000000" w:themeColor="text1"/>
          <w:lang w:val="en-US"/>
        </w:rPr>
        <w:t xml:space="preserve"> at </w:t>
      </w:r>
      <w:hyperlink r:id="rId7" w:history="1">
        <w:r w:rsidRPr="00D3373C">
          <w:rPr>
            <w:rFonts w:ascii="Times New Roman" w:eastAsiaTheme="majorEastAsia" w:hAnsi="Times New Roman" w:cs="Times New Roman"/>
            <w:bCs/>
            <w:color w:val="000000" w:themeColor="text1"/>
            <w:lang w:val="en-US"/>
          </w:rPr>
          <w:t>https://feb.kuleuven.be/drc/licos/publications/dp/dp-408</w:t>
        </w:r>
      </w:hyperlink>
      <w:r w:rsidRPr="005366FF">
        <w:rPr>
          <w:rFonts w:ascii="Times New Roman" w:eastAsiaTheme="majorEastAsia" w:hAnsi="Times New Roman" w:cs="Times New Roman"/>
          <w:bCs/>
          <w:color w:val="000000" w:themeColor="text1"/>
          <w:lang w:val="en-US"/>
        </w:rPr>
        <w:t>.</w:t>
      </w:r>
    </w:p>
    <w:p w14:paraId="301EF070" w14:textId="559EC2A6" w:rsidR="0038161F" w:rsidRPr="0038161F" w:rsidRDefault="00C8107F" w:rsidP="0038161F">
      <w:pPr>
        <w:ind w:left="562" w:hanging="562"/>
        <w:rPr>
          <w:rFonts w:ascii="Times New Roman" w:eastAsia="Times New Roman" w:hAnsi="Times New Roman" w:cs="Times New Roman"/>
          <w:lang w:val="en-US" w:eastAsia="en-US"/>
        </w:rPr>
      </w:pPr>
      <w:r w:rsidRPr="005366FF">
        <w:rPr>
          <w:rFonts w:ascii="Times New Roman" w:eastAsiaTheme="majorEastAsia" w:hAnsi="Times New Roman" w:cs="Times New Roman"/>
          <w:bCs/>
          <w:color w:val="000000" w:themeColor="text1"/>
          <w:lang w:val="en-US"/>
        </w:rPr>
        <w:t>Mitchell, B. R.</w:t>
      </w:r>
      <w:r w:rsidR="0038161F">
        <w:rPr>
          <w:rFonts w:ascii="Times New Roman" w:eastAsiaTheme="majorEastAsia" w:hAnsi="Times New Roman" w:cs="Times New Roman"/>
          <w:bCs/>
          <w:color w:val="000000" w:themeColor="text1"/>
          <w:lang w:val="en-US"/>
        </w:rPr>
        <w:t xml:space="preserve"> </w:t>
      </w:r>
      <w:r w:rsidRPr="005366FF">
        <w:rPr>
          <w:rFonts w:ascii="Times New Roman" w:eastAsiaTheme="majorEastAsia" w:hAnsi="Times New Roman" w:cs="Times New Roman"/>
          <w:bCs/>
          <w:color w:val="000000" w:themeColor="text1"/>
          <w:lang w:val="en-US"/>
        </w:rPr>
        <w:t>(1992)</w:t>
      </w:r>
      <w:r w:rsidR="00B11BD3">
        <w:rPr>
          <w:rFonts w:ascii="Times New Roman" w:eastAsiaTheme="majorEastAsia" w:hAnsi="Times New Roman" w:cs="Times New Roman"/>
          <w:bCs/>
          <w:color w:val="000000" w:themeColor="text1"/>
          <w:lang w:val="en-US"/>
        </w:rPr>
        <w:t>.</w:t>
      </w:r>
      <w:r w:rsidR="00EA2238" w:rsidRPr="005366FF">
        <w:rPr>
          <w:rFonts w:ascii="Times New Roman" w:eastAsiaTheme="majorEastAsia" w:hAnsi="Times New Roman" w:cs="Times New Roman"/>
          <w:bCs/>
          <w:color w:val="000000" w:themeColor="text1"/>
          <w:lang w:val="en-US"/>
        </w:rPr>
        <w:t xml:space="preserve"> </w:t>
      </w:r>
      <w:r w:rsidR="00EA2238" w:rsidRPr="0038161F">
        <w:rPr>
          <w:rFonts w:ascii="Times New Roman" w:eastAsiaTheme="majorEastAsia" w:hAnsi="Times New Roman" w:cs="Times New Roman"/>
          <w:bCs/>
          <w:i/>
          <w:iCs/>
          <w:color w:val="000000" w:themeColor="text1"/>
          <w:lang w:val="en-US"/>
        </w:rPr>
        <w:t>International Historical Statistics, Europe, 1750-1988</w:t>
      </w:r>
      <w:r w:rsidRPr="005366FF">
        <w:rPr>
          <w:rFonts w:ascii="Times New Roman" w:eastAsiaTheme="majorEastAsia" w:hAnsi="Times New Roman" w:cs="Times New Roman"/>
          <w:bCs/>
          <w:color w:val="000000" w:themeColor="text1"/>
          <w:lang w:val="en-US"/>
        </w:rPr>
        <w:t>.</w:t>
      </w:r>
      <w:r w:rsidR="0038161F">
        <w:rPr>
          <w:rFonts w:ascii="Times New Roman" w:eastAsiaTheme="majorEastAsia" w:hAnsi="Times New Roman" w:cs="Times New Roman"/>
          <w:bCs/>
          <w:color w:val="000000" w:themeColor="text1"/>
          <w:lang w:val="en-US"/>
        </w:rPr>
        <w:t xml:space="preserve">  Basingstoke: Macmillan</w:t>
      </w:r>
    </w:p>
    <w:p w14:paraId="5BC6C916" w14:textId="2DFABD53" w:rsidR="00EA2238" w:rsidRPr="005366FF" w:rsidRDefault="00EA2238" w:rsidP="005366FF">
      <w:pPr>
        <w:tabs>
          <w:tab w:val="left" w:pos="567"/>
        </w:tabs>
        <w:ind w:left="567" w:hanging="567"/>
        <w:jc w:val="both"/>
        <w:rPr>
          <w:rFonts w:ascii="Times New Roman" w:eastAsiaTheme="majorEastAsia" w:hAnsi="Times New Roman" w:cs="Times New Roman"/>
          <w:bCs/>
          <w:color w:val="000000" w:themeColor="text1"/>
          <w:lang w:val="en-US"/>
        </w:rPr>
      </w:pPr>
    </w:p>
    <w:p w14:paraId="1D928592" w14:textId="77777777" w:rsidR="00EA2238" w:rsidRPr="005366FF" w:rsidRDefault="00EA2238" w:rsidP="005366FF">
      <w:pPr>
        <w:tabs>
          <w:tab w:val="left" w:pos="567"/>
        </w:tabs>
        <w:ind w:left="567" w:hanging="567"/>
        <w:jc w:val="both"/>
        <w:rPr>
          <w:rFonts w:ascii="Times New Roman" w:eastAsiaTheme="majorEastAsia" w:hAnsi="Times New Roman" w:cs="Times New Roman"/>
          <w:bCs/>
          <w:color w:val="000000" w:themeColor="text1"/>
          <w:lang w:val="en-US"/>
        </w:rPr>
      </w:pPr>
    </w:p>
    <w:p w14:paraId="56AF8023" w14:textId="77777777" w:rsidR="00EA2238" w:rsidRPr="005366FF" w:rsidRDefault="00EA2238" w:rsidP="005366FF">
      <w:pPr>
        <w:tabs>
          <w:tab w:val="left" w:pos="567"/>
        </w:tabs>
        <w:ind w:left="567" w:hanging="567"/>
        <w:jc w:val="both"/>
        <w:rPr>
          <w:rFonts w:ascii="Times New Roman" w:eastAsiaTheme="majorEastAsia" w:hAnsi="Times New Roman" w:cs="Times New Roman"/>
          <w:bCs/>
          <w:color w:val="000000" w:themeColor="text1"/>
          <w:lang w:val="en-US"/>
        </w:rPr>
      </w:pPr>
    </w:p>
    <w:p w14:paraId="07879FE2" w14:textId="77777777" w:rsidR="00EA2238" w:rsidRPr="005366FF" w:rsidRDefault="00EA2238" w:rsidP="005366FF">
      <w:pPr>
        <w:tabs>
          <w:tab w:val="left" w:pos="567"/>
        </w:tabs>
        <w:ind w:left="567" w:hanging="567"/>
        <w:jc w:val="both"/>
        <w:rPr>
          <w:rFonts w:ascii="Times New Roman" w:eastAsiaTheme="majorEastAsia" w:hAnsi="Times New Roman" w:cs="Times New Roman"/>
          <w:bCs/>
          <w:color w:val="000000" w:themeColor="text1"/>
          <w:lang w:val="en-US"/>
        </w:rPr>
      </w:pPr>
    </w:p>
    <w:p w14:paraId="790D53E6" w14:textId="77777777" w:rsidR="00EA2238" w:rsidRPr="005366FF" w:rsidRDefault="00EA2238" w:rsidP="005366FF">
      <w:pPr>
        <w:tabs>
          <w:tab w:val="left" w:pos="567"/>
        </w:tabs>
        <w:ind w:left="567" w:hanging="567"/>
        <w:jc w:val="both"/>
        <w:rPr>
          <w:rFonts w:ascii="Times New Roman" w:eastAsiaTheme="majorEastAsia" w:hAnsi="Times New Roman" w:cs="Times New Roman"/>
          <w:bCs/>
          <w:color w:val="000000" w:themeColor="text1"/>
          <w:lang w:val="en-US"/>
        </w:rPr>
      </w:pPr>
    </w:p>
    <w:sectPr w:rsidR="00EA2238" w:rsidRPr="005366FF" w:rsidSect="0086647E">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0F2D8" w14:textId="77777777" w:rsidR="001B6EB8" w:rsidRDefault="001B6EB8" w:rsidP="00534E1E">
      <w:r>
        <w:separator/>
      </w:r>
    </w:p>
  </w:endnote>
  <w:endnote w:type="continuationSeparator" w:id="0">
    <w:p w14:paraId="5B411827" w14:textId="77777777" w:rsidR="001B6EB8" w:rsidRDefault="001B6EB8" w:rsidP="0053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48FA" w14:textId="77777777" w:rsidR="00945183" w:rsidRDefault="006E17F2" w:rsidP="00410399">
    <w:pPr>
      <w:pStyle w:val="Footer"/>
      <w:framePr w:wrap="around" w:vAnchor="text" w:hAnchor="margin" w:xAlign="right" w:y="1"/>
      <w:rPr>
        <w:rStyle w:val="PageNumber"/>
      </w:rPr>
    </w:pPr>
    <w:r>
      <w:rPr>
        <w:rStyle w:val="PageNumber"/>
      </w:rPr>
      <w:fldChar w:fldCharType="begin"/>
    </w:r>
    <w:r w:rsidR="00945183">
      <w:rPr>
        <w:rStyle w:val="PageNumber"/>
      </w:rPr>
      <w:instrText xml:space="preserve">PAGE  </w:instrText>
    </w:r>
    <w:r>
      <w:rPr>
        <w:rStyle w:val="PageNumber"/>
      </w:rPr>
      <w:fldChar w:fldCharType="end"/>
    </w:r>
  </w:p>
  <w:p w14:paraId="58C552BF" w14:textId="77777777" w:rsidR="00945183" w:rsidRDefault="00945183" w:rsidP="00E27B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EC1E4" w14:textId="77777777" w:rsidR="00945183" w:rsidRDefault="006E17F2" w:rsidP="00410399">
    <w:pPr>
      <w:pStyle w:val="Footer"/>
      <w:framePr w:wrap="around" w:vAnchor="text" w:hAnchor="margin" w:xAlign="right" w:y="1"/>
      <w:rPr>
        <w:rStyle w:val="PageNumber"/>
      </w:rPr>
    </w:pPr>
    <w:r>
      <w:rPr>
        <w:rStyle w:val="PageNumber"/>
      </w:rPr>
      <w:fldChar w:fldCharType="begin"/>
    </w:r>
    <w:r w:rsidR="00945183">
      <w:rPr>
        <w:rStyle w:val="PageNumber"/>
      </w:rPr>
      <w:instrText xml:space="preserve">PAGE  </w:instrText>
    </w:r>
    <w:r>
      <w:rPr>
        <w:rStyle w:val="PageNumber"/>
      </w:rPr>
      <w:fldChar w:fldCharType="separate"/>
    </w:r>
    <w:r w:rsidR="00D3373C">
      <w:rPr>
        <w:rStyle w:val="PageNumber"/>
        <w:noProof/>
      </w:rPr>
      <w:t>3</w:t>
    </w:r>
    <w:r>
      <w:rPr>
        <w:rStyle w:val="PageNumber"/>
      </w:rPr>
      <w:fldChar w:fldCharType="end"/>
    </w:r>
  </w:p>
  <w:p w14:paraId="32C1184D" w14:textId="77777777" w:rsidR="00945183" w:rsidRDefault="00945183" w:rsidP="00E27B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75F06" w14:textId="77777777" w:rsidR="001B6EB8" w:rsidRDefault="001B6EB8" w:rsidP="00534E1E">
      <w:r>
        <w:separator/>
      </w:r>
    </w:p>
  </w:footnote>
  <w:footnote w:type="continuationSeparator" w:id="0">
    <w:p w14:paraId="0FD7EFBC" w14:textId="77777777" w:rsidR="001B6EB8" w:rsidRDefault="001B6EB8" w:rsidP="00534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1E"/>
    <w:rsid w:val="0000344E"/>
    <w:rsid w:val="000077E2"/>
    <w:rsid w:val="00010E7A"/>
    <w:rsid w:val="00016C77"/>
    <w:rsid w:val="000227C8"/>
    <w:rsid w:val="00023E71"/>
    <w:rsid w:val="000278D9"/>
    <w:rsid w:val="000542A3"/>
    <w:rsid w:val="000706E7"/>
    <w:rsid w:val="00074436"/>
    <w:rsid w:val="00074A18"/>
    <w:rsid w:val="00080033"/>
    <w:rsid w:val="00092A2D"/>
    <w:rsid w:val="00093424"/>
    <w:rsid w:val="000A6F78"/>
    <w:rsid w:val="000B7378"/>
    <w:rsid w:val="000C2F67"/>
    <w:rsid w:val="000C3B53"/>
    <w:rsid w:val="000C75FE"/>
    <w:rsid w:val="000D45D2"/>
    <w:rsid w:val="000D6303"/>
    <w:rsid w:val="000D693F"/>
    <w:rsid w:val="000E2CFC"/>
    <w:rsid w:val="000E452C"/>
    <w:rsid w:val="00122E47"/>
    <w:rsid w:val="00133DED"/>
    <w:rsid w:val="00134F23"/>
    <w:rsid w:val="00151115"/>
    <w:rsid w:val="00153433"/>
    <w:rsid w:val="00191DEB"/>
    <w:rsid w:val="001B04E1"/>
    <w:rsid w:val="001B17DD"/>
    <w:rsid w:val="001B6EB8"/>
    <w:rsid w:val="001C162C"/>
    <w:rsid w:val="001D7F43"/>
    <w:rsid w:val="001E137D"/>
    <w:rsid w:val="001E1B31"/>
    <w:rsid w:val="001E578E"/>
    <w:rsid w:val="00200947"/>
    <w:rsid w:val="0020762C"/>
    <w:rsid w:val="002253D2"/>
    <w:rsid w:val="002262A1"/>
    <w:rsid w:val="00231740"/>
    <w:rsid w:val="002341AF"/>
    <w:rsid w:val="0024794C"/>
    <w:rsid w:val="00251B96"/>
    <w:rsid w:val="00253506"/>
    <w:rsid w:val="00265625"/>
    <w:rsid w:val="00273EC1"/>
    <w:rsid w:val="002871BF"/>
    <w:rsid w:val="002B0E4C"/>
    <w:rsid w:val="002B2913"/>
    <w:rsid w:val="002B32CE"/>
    <w:rsid w:val="002D2121"/>
    <w:rsid w:val="003239B0"/>
    <w:rsid w:val="00356DAC"/>
    <w:rsid w:val="003702D5"/>
    <w:rsid w:val="003724E7"/>
    <w:rsid w:val="0038161F"/>
    <w:rsid w:val="003B765F"/>
    <w:rsid w:val="003C2B8A"/>
    <w:rsid w:val="003C6A4F"/>
    <w:rsid w:val="003F0824"/>
    <w:rsid w:val="00403145"/>
    <w:rsid w:val="00410399"/>
    <w:rsid w:val="00426C18"/>
    <w:rsid w:val="00452DE8"/>
    <w:rsid w:val="0047146E"/>
    <w:rsid w:val="00483706"/>
    <w:rsid w:val="0049116A"/>
    <w:rsid w:val="004B1A9E"/>
    <w:rsid w:val="004B3F61"/>
    <w:rsid w:val="004E14C4"/>
    <w:rsid w:val="004E4C8E"/>
    <w:rsid w:val="004E6DB6"/>
    <w:rsid w:val="004F0509"/>
    <w:rsid w:val="00515B22"/>
    <w:rsid w:val="00534E1E"/>
    <w:rsid w:val="005366FF"/>
    <w:rsid w:val="00546674"/>
    <w:rsid w:val="00555C5F"/>
    <w:rsid w:val="00556A20"/>
    <w:rsid w:val="0057135A"/>
    <w:rsid w:val="00577581"/>
    <w:rsid w:val="00583C51"/>
    <w:rsid w:val="00586D3D"/>
    <w:rsid w:val="005A7882"/>
    <w:rsid w:val="00603C83"/>
    <w:rsid w:val="006242E4"/>
    <w:rsid w:val="00627A92"/>
    <w:rsid w:val="006347E2"/>
    <w:rsid w:val="00637718"/>
    <w:rsid w:val="00640445"/>
    <w:rsid w:val="00655B22"/>
    <w:rsid w:val="00663363"/>
    <w:rsid w:val="0068053F"/>
    <w:rsid w:val="00685BF4"/>
    <w:rsid w:val="00690837"/>
    <w:rsid w:val="006914C9"/>
    <w:rsid w:val="006917B8"/>
    <w:rsid w:val="00692226"/>
    <w:rsid w:val="006926EB"/>
    <w:rsid w:val="006C419F"/>
    <w:rsid w:val="006C63C2"/>
    <w:rsid w:val="006D0346"/>
    <w:rsid w:val="006E17F2"/>
    <w:rsid w:val="006E7330"/>
    <w:rsid w:val="006E74E5"/>
    <w:rsid w:val="006F5DA8"/>
    <w:rsid w:val="00704180"/>
    <w:rsid w:val="0073100B"/>
    <w:rsid w:val="00731206"/>
    <w:rsid w:val="00744FB9"/>
    <w:rsid w:val="00765516"/>
    <w:rsid w:val="00770EC2"/>
    <w:rsid w:val="0078485E"/>
    <w:rsid w:val="00792F10"/>
    <w:rsid w:val="007A2C3C"/>
    <w:rsid w:val="007A77BE"/>
    <w:rsid w:val="007A7E45"/>
    <w:rsid w:val="007B2066"/>
    <w:rsid w:val="007C53E0"/>
    <w:rsid w:val="007E1C9E"/>
    <w:rsid w:val="007E4978"/>
    <w:rsid w:val="007E56EA"/>
    <w:rsid w:val="007F3DC4"/>
    <w:rsid w:val="00810E4C"/>
    <w:rsid w:val="008120C5"/>
    <w:rsid w:val="00820874"/>
    <w:rsid w:val="0082477B"/>
    <w:rsid w:val="00825182"/>
    <w:rsid w:val="00845790"/>
    <w:rsid w:val="00856E13"/>
    <w:rsid w:val="00862C39"/>
    <w:rsid w:val="0086647E"/>
    <w:rsid w:val="00883853"/>
    <w:rsid w:val="00885998"/>
    <w:rsid w:val="0089033C"/>
    <w:rsid w:val="008B77AF"/>
    <w:rsid w:val="008C2A06"/>
    <w:rsid w:val="008D6858"/>
    <w:rsid w:val="008F0180"/>
    <w:rsid w:val="008F5A64"/>
    <w:rsid w:val="00902421"/>
    <w:rsid w:val="009047C3"/>
    <w:rsid w:val="00911CFB"/>
    <w:rsid w:val="0092270F"/>
    <w:rsid w:val="009237E0"/>
    <w:rsid w:val="00944C1B"/>
    <w:rsid w:val="00945183"/>
    <w:rsid w:val="00957E92"/>
    <w:rsid w:val="00971994"/>
    <w:rsid w:val="009746D6"/>
    <w:rsid w:val="009801A4"/>
    <w:rsid w:val="00992B69"/>
    <w:rsid w:val="00996044"/>
    <w:rsid w:val="009D6D24"/>
    <w:rsid w:val="009F2A85"/>
    <w:rsid w:val="009F78AB"/>
    <w:rsid w:val="00A06205"/>
    <w:rsid w:val="00A259D5"/>
    <w:rsid w:val="00A25C47"/>
    <w:rsid w:val="00A35094"/>
    <w:rsid w:val="00A54A08"/>
    <w:rsid w:val="00A62212"/>
    <w:rsid w:val="00A740E4"/>
    <w:rsid w:val="00A8426F"/>
    <w:rsid w:val="00A939A1"/>
    <w:rsid w:val="00A97D06"/>
    <w:rsid w:val="00AA3AAB"/>
    <w:rsid w:val="00AE463A"/>
    <w:rsid w:val="00AE776E"/>
    <w:rsid w:val="00B05C15"/>
    <w:rsid w:val="00B11BD3"/>
    <w:rsid w:val="00B14357"/>
    <w:rsid w:val="00B23B85"/>
    <w:rsid w:val="00B650B1"/>
    <w:rsid w:val="00B757CE"/>
    <w:rsid w:val="00B92952"/>
    <w:rsid w:val="00B93171"/>
    <w:rsid w:val="00BB52CD"/>
    <w:rsid w:val="00BC2607"/>
    <w:rsid w:val="00BC3580"/>
    <w:rsid w:val="00BE3B10"/>
    <w:rsid w:val="00C10980"/>
    <w:rsid w:val="00C45C2C"/>
    <w:rsid w:val="00C52C2E"/>
    <w:rsid w:val="00C61692"/>
    <w:rsid w:val="00C63C64"/>
    <w:rsid w:val="00C8107F"/>
    <w:rsid w:val="00C914B5"/>
    <w:rsid w:val="00C914F5"/>
    <w:rsid w:val="00C914F7"/>
    <w:rsid w:val="00C94B4E"/>
    <w:rsid w:val="00CA1E50"/>
    <w:rsid w:val="00CC3D22"/>
    <w:rsid w:val="00CE6D33"/>
    <w:rsid w:val="00CE78FB"/>
    <w:rsid w:val="00D064D7"/>
    <w:rsid w:val="00D071C8"/>
    <w:rsid w:val="00D262F3"/>
    <w:rsid w:val="00D3373C"/>
    <w:rsid w:val="00D33976"/>
    <w:rsid w:val="00D414AC"/>
    <w:rsid w:val="00D77878"/>
    <w:rsid w:val="00D81B01"/>
    <w:rsid w:val="00D901FD"/>
    <w:rsid w:val="00DA1559"/>
    <w:rsid w:val="00DA2A3C"/>
    <w:rsid w:val="00DA7B14"/>
    <w:rsid w:val="00DA7DD4"/>
    <w:rsid w:val="00DD0393"/>
    <w:rsid w:val="00DD1E4D"/>
    <w:rsid w:val="00DD6105"/>
    <w:rsid w:val="00DD61EC"/>
    <w:rsid w:val="00DD6F00"/>
    <w:rsid w:val="00DE135C"/>
    <w:rsid w:val="00DF44BF"/>
    <w:rsid w:val="00E00B93"/>
    <w:rsid w:val="00E11A22"/>
    <w:rsid w:val="00E12C35"/>
    <w:rsid w:val="00E15590"/>
    <w:rsid w:val="00E27B95"/>
    <w:rsid w:val="00E35288"/>
    <w:rsid w:val="00E41D73"/>
    <w:rsid w:val="00E77086"/>
    <w:rsid w:val="00E801A1"/>
    <w:rsid w:val="00E87E58"/>
    <w:rsid w:val="00EA2238"/>
    <w:rsid w:val="00EB7B01"/>
    <w:rsid w:val="00EC3B92"/>
    <w:rsid w:val="00ED1CA7"/>
    <w:rsid w:val="00EE7ACB"/>
    <w:rsid w:val="00EF02D2"/>
    <w:rsid w:val="00EF1AB4"/>
    <w:rsid w:val="00F04AB8"/>
    <w:rsid w:val="00F21604"/>
    <w:rsid w:val="00F46311"/>
    <w:rsid w:val="00F503C8"/>
    <w:rsid w:val="00F552CE"/>
    <w:rsid w:val="00F70E6D"/>
    <w:rsid w:val="00F83599"/>
    <w:rsid w:val="00F937C1"/>
    <w:rsid w:val="00FA4A4E"/>
    <w:rsid w:val="00FB02BF"/>
    <w:rsid w:val="00FC75C6"/>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36F2E"/>
  <w15:docId w15:val="{D598D3DA-24BF-455A-B095-A5C9099E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D5"/>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34E1E"/>
    <w:pPr>
      <w:spacing w:after="200" w:line="276" w:lineRule="auto"/>
    </w:pPr>
    <w:rPr>
      <w:rFonts w:ascii="Calibri" w:eastAsia="Calibri" w:hAnsi="Calibri" w:cs="Times New Roman"/>
      <w:sz w:val="20"/>
      <w:szCs w:val="20"/>
      <w:lang w:val="es-AR" w:eastAsia="en-US"/>
    </w:rPr>
  </w:style>
  <w:style w:type="character" w:customStyle="1" w:styleId="FootnoteTextChar">
    <w:name w:val="Footnote Text Char"/>
    <w:basedOn w:val="DefaultParagraphFont"/>
    <w:link w:val="FootnoteText"/>
    <w:uiPriority w:val="99"/>
    <w:rsid w:val="00534E1E"/>
    <w:rPr>
      <w:rFonts w:ascii="Calibri" w:eastAsia="Calibri" w:hAnsi="Calibri" w:cs="Times New Roman"/>
      <w:sz w:val="20"/>
      <w:szCs w:val="20"/>
      <w:lang w:val="es-AR"/>
    </w:rPr>
  </w:style>
  <w:style w:type="character" w:styleId="FootnoteReference">
    <w:name w:val="footnote reference"/>
    <w:uiPriority w:val="99"/>
    <w:unhideWhenUsed/>
    <w:rsid w:val="00534E1E"/>
    <w:rPr>
      <w:vertAlign w:val="superscript"/>
    </w:rPr>
  </w:style>
  <w:style w:type="table" w:styleId="TableGrid">
    <w:name w:val="Table Grid"/>
    <w:basedOn w:val="TableNormal"/>
    <w:uiPriority w:val="59"/>
    <w:rsid w:val="00534E1E"/>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E1E"/>
    <w:rPr>
      <w:rFonts w:ascii="Tahoma" w:hAnsi="Tahoma" w:cs="Tahoma"/>
      <w:sz w:val="16"/>
      <w:szCs w:val="16"/>
    </w:rPr>
  </w:style>
  <w:style w:type="character" w:customStyle="1" w:styleId="BalloonTextChar">
    <w:name w:val="Balloon Text Char"/>
    <w:basedOn w:val="DefaultParagraphFont"/>
    <w:link w:val="BalloonText"/>
    <w:uiPriority w:val="99"/>
    <w:semiHidden/>
    <w:rsid w:val="00534E1E"/>
    <w:rPr>
      <w:rFonts w:ascii="Tahoma" w:eastAsiaTheme="minorEastAsia" w:hAnsi="Tahoma" w:cs="Tahoma"/>
      <w:sz w:val="16"/>
      <w:szCs w:val="16"/>
      <w:lang w:eastAsia="ja-JP"/>
    </w:rPr>
  </w:style>
  <w:style w:type="paragraph" w:styleId="ListParagraph">
    <w:name w:val="List Paragraph"/>
    <w:basedOn w:val="Normal"/>
    <w:uiPriority w:val="34"/>
    <w:qFormat/>
    <w:rsid w:val="0049116A"/>
    <w:pPr>
      <w:ind w:left="720"/>
      <w:contextualSpacing/>
    </w:pPr>
  </w:style>
  <w:style w:type="character" w:styleId="Hyperlink">
    <w:name w:val="Hyperlink"/>
    <w:basedOn w:val="DefaultParagraphFont"/>
    <w:uiPriority w:val="99"/>
    <w:unhideWhenUsed/>
    <w:rsid w:val="0049116A"/>
    <w:rPr>
      <w:color w:val="0000FF" w:themeColor="hyperlink"/>
      <w:u w:val="single"/>
    </w:rPr>
  </w:style>
  <w:style w:type="paragraph" w:styleId="Footer">
    <w:name w:val="footer"/>
    <w:basedOn w:val="Normal"/>
    <w:link w:val="FooterChar"/>
    <w:uiPriority w:val="99"/>
    <w:unhideWhenUsed/>
    <w:rsid w:val="00E27B95"/>
    <w:pPr>
      <w:tabs>
        <w:tab w:val="center" w:pos="4252"/>
        <w:tab w:val="right" w:pos="8504"/>
      </w:tabs>
    </w:pPr>
  </w:style>
  <w:style w:type="character" w:customStyle="1" w:styleId="FooterChar">
    <w:name w:val="Footer Char"/>
    <w:basedOn w:val="DefaultParagraphFont"/>
    <w:link w:val="Footer"/>
    <w:uiPriority w:val="99"/>
    <w:rsid w:val="00E27B95"/>
    <w:rPr>
      <w:rFonts w:eastAsiaTheme="minorEastAsia"/>
      <w:sz w:val="24"/>
      <w:szCs w:val="24"/>
      <w:lang w:eastAsia="ja-JP"/>
    </w:rPr>
  </w:style>
  <w:style w:type="character" w:styleId="PageNumber">
    <w:name w:val="page number"/>
    <w:basedOn w:val="DefaultParagraphFont"/>
    <w:uiPriority w:val="99"/>
    <w:semiHidden/>
    <w:unhideWhenUsed/>
    <w:rsid w:val="00E2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86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eb.kuleuven.be/drc/licos/publications/dp/dp-40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558A8-ACA2-124D-BD06-D517458F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karl Storchmann</cp:lastModifiedBy>
  <cp:revision>2</cp:revision>
  <cp:lastPrinted>2018-01-31T12:03:00Z</cp:lastPrinted>
  <dcterms:created xsi:type="dcterms:W3CDTF">2020-04-07T17:49:00Z</dcterms:created>
  <dcterms:modified xsi:type="dcterms:W3CDTF">2020-04-07T17:49:00Z</dcterms:modified>
</cp:coreProperties>
</file>