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F223" w14:textId="53C32803" w:rsidR="00D338BA" w:rsidRDefault="00D338BA" w:rsidP="00D338BA">
      <w:pPr>
        <w:pStyle w:val="Heading1"/>
        <w:rPr>
          <w:lang w:val="en-US"/>
        </w:rPr>
      </w:pPr>
      <w:bookmarkStart w:id="0" w:name="_Toc54181495"/>
      <w:r w:rsidRPr="00FB737D">
        <w:rPr>
          <w:lang w:val="en-US"/>
        </w:rPr>
        <w:t>Appendix 1. Detailed Methodology</w:t>
      </w:r>
      <w:bookmarkEnd w:id="0"/>
    </w:p>
    <w:p w14:paraId="1C72F512" w14:textId="003EE10E" w:rsidR="00D338BA" w:rsidRPr="00FB737D" w:rsidRDefault="00400352" w:rsidP="00400352">
      <w:pPr>
        <w:pStyle w:val="Heading2"/>
        <w:rPr>
          <w:lang w:val="en-US"/>
        </w:rPr>
      </w:pPr>
      <w:r>
        <w:rPr>
          <w:lang w:val="en-US"/>
        </w:rPr>
        <w:t>I. QUESTIONNAIRE</w:t>
      </w:r>
    </w:p>
    <w:p w14:paraId="01306A8A" w14:textId="6C960BB4" w:rsidR="00D338BA" w:rsidRPr="00FB737D" w:rsidRDefault="00400352" w:rsidP="00D338BA">
      <w:pPr>
        <w:pStyle w:val="Heading3"/>
      </w:pPr>
      <w:r>
        <w:t xml:space="preserve">1. </w:t>
      </w:r>
      <w:r w:rsidR="00D338BA" w:rsidRPr="00FB737D">
        <w:t>Questionnaire design</w:t>
      </w:r>
    </w:p>
    <w:p w14:paraId="3973F00C" w14:textId="4A89074A" w:rsidR="00D338BA" w:rsidRPr="0044695B" w:rsidRDefault="00D338BA" w:rsidP="00D338BA">
      <w:pPr>
        <w:ind w:right="380"/>
        <w:rPr>
          <w:lang w:val="en-US"/>
        </w:rPr>
      </w:pPr>
      <w:r w:rsidRPr="0044695B">
        <w:rPr>
          <w:lang w:val="en-US"/>
        </w:rPr>
        <w:t xml:space="preserve">Initial exploratory interviews were first conducted with UK industry and regulatory experts. Informed by these interviews, and literature, the questionnaire was designed. The questionnaire and schedule for the interviews addressed the same topics: reputational </w:t>
      </w:r>
      <w:r>
        <w:rPr>
          <w:lang w:val="en-US"/>
        </w:rPr>
        <w:t>beliefs about</w:t>
      </w:r>
      <w:r w:rsidRPr="0044695B">
        <w:rPr>
          <w:lang w:val="en-US"/>
        </w:rPr>
        <w:t xml:space="preserve"> the FCA, motivations to apply (or not) to the sandbox program, and contextual, control questions. </w:t>
      </w:r>
    </w:p>
    <w:p w14:paraId="2FCCD3E1" w14:textId="452E1872" w:rsidR="00D338BA" w:rsidRDefault="003141B3" w:rsidP="003141B3">
      <w:pPr>
        <w:tabs>
          <w:tab w:val="left" w:pos="851"/>
        </w:tabs>
        <w:ind w:right="380"/>
        <w:rPr>
          <w:lang w:val="en-US"/>
        </w:rPr>
      </w:pPr>
      <w:r>
        <w:rPr>
          <w:lang w:val="en-US"/>
        </w:rPr>
        <w:tab/>
      </w:r>
      <w:r w:rsidR="00D338BA" w:rsidRPr="0044695B">
        <w:rPr>
          <w:lang w:val="en-US"/>
        </w:rPr>
        <w:t xml:space="preserve">Questions on reputational </w:t>
      </w:r>
      <w:r w:rsidR="00D338BA">
        <w:rPr>
          <w:lang w:val="en-US"/>
        </w:rPr>
        <w:t xml:space="preserve">beliefs about </w:t>
      </w:r>
      <w:r w:rsidR="00D338BA" w:rsidRPr="0044695B">
        <w:rPr>
          <w:lang w:val="en-US"/>
        </w:rPr>
        <w:t xml:space="preserve">the regulator were based on Lee and </w:t>
      </w:r>
      <w:r w:rsidR="00D338BA">
        <w:rPr>
          <w:lang w:val="en-US"/>
        </w:rPr>
        <w:t>v</w:t>
      </w:r>
      <w:r w:rsidR="00D338BA" w:rsidRPr="0044695B">
        <w:rPr>
          <w:lang w:val="en-US"/>
        </w:rPr>
        <w:t xml:space="preserve">an Ryzin’s </w:t>
      </w:r>
      <w:r w:rsidR="00795C88" w:rsidRPr="00B2206F">
        <w:rPr>
          <w:rStyle w:val="FootnoteReference"/>
        </w:rPr>
        <w:footnoteReference w:id="1"/>
      </w:r>
      <w:r w:rsidR="00D338BA" w:rsidRPr="0044695B">
        <w:rPr>
          <w:lang w:val="en-US"/>
        </w:rPr>
        <w:t xml:space="preserve"> Bureaucratic Reputation Scale survey instrument. The Scale conceptualizes reputation as made up of five dimensions: performative, moral, technical, procedural, and ‘general esteem’. More specific questions on </w:t>
      </w:r>
      <w:r w:rsidR="00D338BA">
        <w:rPr>
          <w:lang w:val="en-US"/>
        </w:rPr>
        <w:t>beliefs</w:t>
      </w:r>
      <w:r w:rsidR="00D338BA" w:rsidRPr="0044695B">
        <w:rPr>
          <w:lang w:val="en-US"/>
        </w:rPr>
        <w:t xml:space="preserve"> of reputation relevant to regulatory authorities were </w:t>
      </w:r>
      <w:r w:rsidR="00D338BA">
        <w:rPr>
          <w:lang w:val="en-US"/>
        </w:rPr>
        <w:t>wherever possible</w:t>
      </w:r>
      <w:r w:rsidR="00D338BA" w:rsidRPr="0044695B">
        <w:rPr>
          <w:lang w:val="en-US"/>
        </w:rPr>
        <w:t xml:space="preserve"> taken directly or adapted from previous studies on </w:t>
      </w:r>
      <w:r w:rsidR="00D338BA">
        <w:rPr>
          <w:lang w:val="en-US"/>
        </w:rPr>
        <w:t>beliefs about</w:t>
      </w:r>
      <w:r w:rsidR="00D338BA" w:rsidRPr="0044695B">
        <w:rPr>
          <w:lang w:val="en-US"/>
        </w:rPr>
        <w:t xml:space="preserve"> regulatory agencies</w:t>
      </w:r>
      <w:r w:rsidR="00D338BA">
        <w:rPr>
          <w:lang w:val="en-US"/>
        </w:rPr>
        <w:t xml:space="preserve"> (see Table 1).</w:t>
      </w:r>
    </w:p>
    <w:p w14:paraId="13A7A746" w14:textId="77777777" w:rsidR="004012FA" w:rsidRPr="004012FA" w:rsidRDefault="004012FA" w:rsidP="004012FA">
      <w:pPr>
        <w:ind w:right="380"/>
        <w:outlineLvl w:val="2"/>
        <w:rPr>
          <w:rFonts w:eastAsia="Times New Roman"/>
          <w:color w:val="000000"/>
          <w:lang w:val="en-US" w:eastAsia="en-GB"/>
        </w:rPr>
      </w:pPr>
      <w:bookmarkStart w:id="1" w:name="_Toc57899400"/>
      <w:r w:rsidRPr="004012FA">
        <w:rPr>
          <w:rFonts w:eastAsia="Times New Roman"/>
          <w:color w:val="000000"/>
          <w:lang w:val="en-US" w:eastAsia="en-GB"/>
        </w:rPr>
        <w:t>TABLE 1 - Variable operationalization (Question wording)</w:t>
      </w:r>
      <w:bookmarkEnd w:id="1"/>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386"/>
        <w:gridCol w:w="2580"/>
      </w:tblGrid>
      <w:tr w:rsidR="004012FA" w:rsidRPr="004012FA" w14:paraId="3B570A5C" w14:textId="77777777" w:rsidTr="006F6815">
        <w:trPr>
          <w:tblHeader/>
        </w:trPr>
        <w:tc>
          <w:tcPr>
            <w:tcW w:w="1492" w:type="pct"/>
            <w:tcBorders>
              <w:top w:val="single" w:sz="4" w:space="0" w:color="auto"/>
              <w:bottom w:val="single" w:sz="4" w:space="0" w:color="auto"/>
            </w:tcBorders>
            <w:vAlign w:val="center"/>
          </w:tcPr>
          <w:p w14:paraId="21C8D730"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Variable</w:t>
            </w:r>
          </w:p>
        </w:tc>
        <w:tc>
          <w:tcPr>
            <w:tcW w:w="1991" w:type="pct"/>
            <w:tcBorders>
              <w:top w:val="single" w:sz="4" w:space="0" w:color="auto"/>
              <w:bottom w:val="single" w:sz="4" w:space="0" w:color="auto"/>
            </w:tcBorders>
            <w:vAlign w:val="center"/>
          </w:tcPr>
          <w:p w14:paraId="30F40D1A"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Question wording</w:t>
            </w:r>
          </w:p>
        </w:tc>
        <w:tc>
          <w:tcPr>
            <w:tcW w:w="1517" w:type="pct"/>
            <w:tcBorders>
              <w:top w:val="single" w:sz="4" w:space="0" w:color="auto"/>
              <w:bottom w:val="single" w:sz="4" w:space="0" w:color="auto"/>
            </w:tcBorders>
            <w:vAlign w:val="center"/>
          </w:tcPr>
          <w:p w14:paraId="1DA76EEC"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Source</w:t>
            </w:r>
          </w:p>
        </w:tc>
      </w:tr>
      <w:tr w:rsidR="004012FA" w:rsidRPr="004012FA" w14:paraId="3E6B4148" w14:textId="77777777" w:rsidTr="006F6815">
        <w:tc>
          <w:tcPr>
            <w:tcW w:w="1492" w:type="pct"/>
            <w:tcBorders>
              <w:top w:val="single" w:sz="4" w:space="0" w:color="auto"/>
              <w:bottom w:val="single" w:sz="4" w:space="0" w:color="auto"/>
            </w:tcBorders>
            <w:vAlign w:val="center"/>
          </w:tcPr>
          <w:p w14:paraId="15352EDC"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Motivation to apply to the regulatory sandbox (level)</w:t>
            </w:r>
          </w:p>
        </w:tc>
        <w:tc>
          <w:tcPr>
            <w:tcW w:w="1991" w:type="pct"/>
            <w:tcBorders>
              <w:top w:val="single" w:sz="4" w:space="0" w:color="auto"/>
              <w:bottom w:val="single" w:sz="4" w:space="0" w:color="auto"/>
            </w:tcBorders>
            <w:vAlign w:val="center"/>
          </w:tcPr>
          <w:p w14:paraId="345373AE"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eastAsia="nl-NL"/>
              </w:rPr>
              <w:t>Assuming your company was eligible, and had the capacity to apply and participate, how likely would it be to apply for the sandbox in future?  (Almost certain would not – Almost certainly would)</w:t>
            </w:r>
          </w:p>
        </w:tc>
        <w:tc>
          <w:tcPr>
            <w:tcW w:w="1517" w:type="pct"/>
            <w:tcBorders>
              <w:top w:val="single" w:sz="4" w:space="0" w:color="auto"/>
              <w:bottom w:val="single" w:sz="4" w:space="0" w:color="auto"/>
            </w:tcBorders>
            <w:vAlign w:val="center"/>
          </w:tcPr>
          <w:p w14:paraId="0089B82D"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NA</w:t>
            </w:r>
          </w:p>
        </w:tc>
      </w:tr>
      <w:tr w:rsidR="004012FA" w:rsidRPr="004012FA" w14:paraId="2DC5AD28" w14:textId="77777777" w:rsidTr="006F6815">
        <w:tc>
          <w:tcPr>
            <w:tcW w:w="1492" w:type="pct"/>
            <w:tcBorders>
              <w:top w:val="single" w:sz="4" w:space="0" w:color="auto"/>
              <w:bottom w:val="single" w:sz="4" w:space="0" w:color="auto"/>
            </w:tcBorders>
            <w:vAlign w:val="center"/>
          </w:tcPr>
          <w:p w14:paraId="33B44412"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lastRenderedPageBreak/>
              <w:t>Motivation to apply to the regulatory sandbox (type)</w:t>
            </w:r>
          </w:p>
        </w:tc>
        <w:tc>
          <w:tcPr>
            <w:tcW w:w="1991" w:type="pct"/>
            <w:tcBorders>
              <w:top w:val="single" w:sz="4" w:space="0" w:color="auto"/>
              <w:bottom w:val="single" w:sz="4" w:space="0" w:color="auto"/>
            </w:tcBorders>
            <w:vAlign w:val="center"/>
          </w:tcPr>
          <w:p w14:paraId="25A42E79"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val="en-US" w:eastAsia="nl-NL"/>
              </w:rPr>
              <w:t>Why does your company want to apply for the sandbox? Please select the most relevant reasons (up to three) from the list:</w:t>
            </w:r>
          </w:p>
          <w:p w14:paraId="269799D2"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val="en-US" w:eastAsia="nl-NL"/>
              </w:rPr>
              <w:t>To make the authorization process cheaper, easier, and/or quicker (EXPEDIENCE).</w:t>
            </w:r>
          </w:p>
          <w:p w14:paraId="20F4DA2B"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val="en-US" w:eastAsia="nl-NL"/>
              </w:rPr>
              <w:t xml:space="preserve">To improve our public image with investors, customers </w:t>
            </w:r>
            <w:proofErr w:type="spellStart"/>
            <w:r w:rsidRPr="004012FA">
              <w:rPr>
                <w:sz w:val="22"/>
                <w:szCs w:val="22"/>
                <w:lang w:val="en-US" w:eastAsia="nl-NL"/>
              </w:rPr>
              <w:t>etc</w:t>
            </w:r>
            <w:proofErr w:type="spellEnd"/>
            <w:r w:rsidRPr="004012FA">
              <w:rPr>
                <w:sz w:val="22"/>
                <w:szCs w:val="22"/>
                <w:lang w:val="en-US" w:eastAsia="nl-NL"/>
              </w:rPr>
              <w:t xml:space="preserve"> (CORPORATE REPUTATION).</w:t>
            </w:r>
          </w:p>
          <w:p w14:paraId="6C626508"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val="en-US" w:eastAsia="nl-NL"/>
              </w:rPr>
              <w:t>To improve our relationship with the FCA (INFLUENCE).</w:t>
            </w:r>
          </w:p>
          <w:p w14:paraId="15CAD3B4"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val="en-US" w:eastAsia="nl-NL"/>
              </w:rPr>
              <w:t xml:space="preserve">To influence fintech regulation so it </w:t>
            </w:r>
            <w:proofErr w:type="gramStart"/>
            <w:r w:rsidRPr="004012FA">
              <w:rPr>
                <w:sz w:val="22"/>
                <w:szCs w:val="22"/>
                <w:lang w:val="en-US" w:eastAsia="nl-NL"/>
              </w:rPr>
              <w:t>doesn’t</w:t>
            </w:r>
            <w:proofErr w:type="gramEnd"/>
            <w:r w:rsidRPr="004012FA">
              <w:rPr>
                <w:sz w:val="22"/>
                <w:szCs w:val="22"/>
                <w:lang w:val="en-US" w:eastAsia="nl-NL"/>
              </w:rPr>
              <w:t xml:space="preserve"> disadvantage us (INFLUENCE).</w:t>
            </w:r>
          </w:p>
          <w:p w14:paraId="2128542B"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val="en-US" w:eastAsia="nl-NL"/>
              </w:rPr>
              <w:t>To minimize risks to our customers and investors (COMPLY WITH LAW).</w:t>
            </w:r>
          </w:p>
          <w:p w14:paraId="2331BCCE"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val="en-US" w:eastAsia="nl-NL"/>
              </w:rPr>
              <w:t>To learn more about financial laws and how they apply to us (COMPLY WITH LAW).</w:t>
            </w:r>
          </w:p>
          <w:p w14:paraId="4624F3BE"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val="en-US" w:eastAsia="nl-NL"/>
              </w:rPr>
              <w:t xml:space="preserve">To make sure </w:t>
            </w:r>
            <w:proofErr w:type="gramStart"/>
            <w:r w:rsidRPr="004012FA">
              <w:rPr>
                <w:sz w:val="22"/>
                <w:szCs w:val="22"/>
                <w:lang w:val="en-US" w:eastAsia="nl-NL"/>
              </w:rPr>
              <w:t>we’re</w:t>
            </w:r>
            <w:proofErr w:type="gramEnd"/>
            <w:r w:rsidRPr="004012FA">
              <w:rPr>
                <w:sz w:val="22"/>
                <w:szCs w:val="22"/>
                <w:lang w:val="en-US" w:eastAsia="nl-NL"/>
              </w:rPr>
              <w:t xml:space="preserve"> compliant with the law (COMPLY WITH LAW).</w:t>
            </w:r>
          </w:p>
          <w:p w14:paraId="12A78FC0"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val="en-US" w:eastAsia="nl-NL"/>
              </w:rPr>
              <w:t>Other [specify]</w:t>
            </w:r>
          </w:p>
        </w:tc>
        <w:tc>
          <w:tcPr>
            <w:tcW w:w="1517" w:type="pct"/>
            <w:tcBorders>
              <w:top w:val="single" w:sz="4" w:space="0" w:color="auto"/>
              <w:bottom w:val="single" w:sz="4" w:space="0" w:color="auto"/>
            </w:tcBorders>
            <w:vAlign w:val="center"/>
          </w:tcPr>
          <w:p w14:paraId="4142766B" w14:textId="4E4172BE"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Adapted from Nielsen &amp; Parker</w:t>
            </w:r>
            <w:r w:rsidR="00B2206F">
              <w:rPr>
                <w:sz w:val="22"/>
                <w:szCs w:val="22"/>
                <w:lang w:val="en-US"/>
              </w:rPr>
              <w:t>.</w:t>
            </w:r>
            <w:r w:rsidR="00B2206F">
              <w:rPr>
                <w:rStyle w:val="FootnoteReference"/>
                <w:sz w:val="22"/>
                <w:szCs w:val="22"/>
                <w:lang w:val="en-US"/>
              </w:rPr>
              <w:footnoteReference w:id="2"/>
            </w:r>
          </w:p>
        </w:tc>
      </w:tr>
      <w:tr w:rsidR="004012FA" w:rsidRPr="004012FA" w14:paraId="2D5F4450" w14:textId="77777777" w:rsidTr="006F6815">
        <w:tc>
          <w:tcPr>
            <w:tcW w:w="5000" w:type="pct"/>
            <w:gridSpan w:val="3"/>
            <w:tcBorders>
              <w:top w:val="single" w:sz="4" w:space="0" w:color="auto"/>
              <w:bottom w:val="single" w:sz="4" w:space="0" w:color="auto"/>
            </w:tcBorders>
            <w:vAlign w:val="center"/>
          </w:tcPr>
          <w:p w14:paraId="1390998C" w14:textId="77777777" w:rsidR="004012FA" w:rsidRPr="004012FA" w:rsidRDefault="004012FA" w:rsidP="004012FA">
            <w:pPr>
              <w:keepNext/>
              <w:spacing w:afterLines="120" w:after="288" w:line="240" w:lineRule="auto"/>
              <w:ind w:right="380"/>
              <w:jc w:val="center"/>
              <w:rPr>
                <w:sz w:val="22"/>
                <w:szCs w:val="22"/>
                <w:lang w:val="en-US"/>
              </w:rPr>
            </w:pPr>
            <w:r w:rsidRPr="004012FA">
              <w:rPr>
                <w:i/>
                <w:iCs/>
                <w:sz w:val="22"/>
                <w:szCs w:val="22"/>
                <w:lang w:val="en-US"/>
              </w:rPr>
              <w:t>Reputational beliefs</w:t>
            </w:r>
          </w:p>
        </w:tc>
      </w:tr>
      <w:tr w:rsidR="004012FA" w:rsidRPr="004012FA" w14:paraId="7B1CD1B4" w14:textId="77777777" w:rsidTr="006F6815">
        <w:tc>
          <w:tcPr>
            <w:tcW w:w="1492" w:type="pct"/>
            <w:tcBorders>
              <w:top w:val="single" w:sz="4" w:space="0" w:color="auto"/>
              <w:bottom w:val="single" w:sz="4" w:space="0" w:color="auto"/>
            </w:tcBorders>
            <w:vAlign w:val="center"/>
          </w:tcPr>
          <w:p w14:paraId="3ACC6A3C"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Performative – Agency is a tough regulatory enforcer</w:t>
            </w:r>
          </w:p>
        </w:tc>
        <w:tc>
          <w:tcPr>
            <w:tcW w:w="1991" w:type="pct"/>
            <w:tcBorders>
              <w:top w:val="single" w:sz="4" w:space="0" w:color="auto"/>
              <w:bottom w:val="single" w:sz="4" w:space="0" w:color="auto"/>
            </w:tcBorders>
            <w:vAlign w:val="center"/>
          </w:tcPr>
          <w:p w14:paraId="4F1449FA" w14:textId="77777777" w:rsidR="004012FA" w:rsidRPr="004012FA" w:rsidRDefault="004012FA" w:rsidP="004012FA">
            <w:pPr>
              <w:spacing w:afterLines="120" w:after="288" w:line="240" w:lineRule="auto"/>
              <w:ind w:right="380"/>
              <w:jc w:val="center"/>
              <w:rPr>
                <w:sz w:val="22"/>
                <w:szCs w:val="22"/>
                <w:lang w:eastAsia="nl-NL"/>
              </w:rPr>
            </w:pPr>
            <w:r w:rsidRPr="004012FA">
              <w:rPr>
                <w:sz w:val="22"/>
                <w:szCs w:val="22"/>
                <w:lang w:eastAsia="nl-NL"/>
              </w:rPr>
              <w:t>If my company did not follow financial regulations, the FCA would probably catch us.</w:t>
            </w:r>
          </w:p>
        </w:tc>
        <w:tc>
          <w:tcPr>
            <w:tcW w:w="1517" w:type="pct"/>
            <w:tcBorders>
              <w:top w:val="single" w:sz="4" w:space="0" w:color="auto"/>
              <w:bottom w:val="single" w:sz="4" w:space="0" w:color="auto"/>
            </w:tcBorders>
            <w:vAlign w:val="center"/>
          </w:tcPr>
          <w:p w14:paraId="5866CEEA" w14:textId="2AE576F5"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 xml:space="preserve">Adapted from Peace, </w:t>
            </w:r>
            <w:proofErr w:type="spellStart"/>
            <w:r w:rsidRPr="004012FA">
              <w:rPr>
                <w:sz w:val="22"/>
                <w:szCs w:val="22"/>
                <w:lang w:val="en-US"/>
              </w:rPr>
              <w:t>Galletta</w:t>
            </w:r>
            <w:proofErr w:type="spellEnd"/>
            <w:r w:rsidRPr="004012FA">
              <w:rPr>
                <w:sz w:val="22"/>
                <w:szCs w:val="22"/>
                <w:lang w:val="en-US"/>
              </w:rPr>
              <w:t>, and Thong</w:t>
            </w:r>
            <w:r w:rsidR="00B2206F">
              <w:rPr>
                <w:sz w:val="22"/>
                <w:szCs w:val="22"/>
                <w:lang w:val="en-US"/>
              </w:rPr>
              <w:t>.</w:t>
            </w:r>
            <w:r w:rsidR="00B2206F">
              <w:rPr>
                <w:rStyle w:val="FootnoteReference"/>
                <w:sz w:val="22"/>
                <w:szCs w:val="22"/>
                <w:lang w:val="en-US"/>
              </w:rPr>
              <w:footnoteReference w:id="3"/>
            </w:r>
          </w:p>
        </w:tc>
      </w:tr>
      <w:tr w:rsidR="004012FA" w:rsidRPr="004012FA" w14:paraId="55A8C2C6" w14:textId="77777777" w:rsidTr="006F6815">
        <w:trPr>
          <w:trHeight w:val="1379"/>
        </w:trPr>
        <w:tc>
          <w:tcPr>
            <w:tcW w:w="1492" w:type="pct"/>
            <w:tcBorders>
              <w:top w:val="single" w:sz="4" w:space="0" w:color="auto"/>
            </w:tcBorders>
            <w:vAlign w:val="center"/>
          </w:tcPr>
          <w:p w14:paraId="1BA5D968"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lastRenderedPageBreak/>
              <w:t>Performative - Agency can help firms achieve their goals</w:t>
            </w:r>
          </w:p>
        </w:tc>
        <w:tc>
          <w:tcPr>
            <w:tcW w:w="1991" w:type="pct"/>
            <w:tcBorders>
              <w:top w:val="single" w:sz="4" w:space="0" w:color="auto"/>
            </w:tcBorders>
            <w:vAlign w:val="center"/>
          </w:tcPr>
          <w:p w14:paraId="44923DBA"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eastAsia="nl-NL"/>
              </w:rPr>
              <w:t>The FCA is capable of assisting companies like mine to achieve our goals.</w:t>
            </w:r>
          </w:p>
        </w:tc>
        <w:tc>
          <w:tcPr>
            <w:tcW w:w="1517" w:type="pct"/>
            <w:tcBorders>
              <w:top w:val="single" w:sz="4" w:space="0" w:color="auto"/>
            </w:tcBorders>
            <w:vAlign w:val="center"/>
          </w:tcPr>
          <w:p w14:paraId="3956E555" w14:textId="6A0EC631"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 xml:space="preserve">Questions </w:t>
            </w:r>
            <w:proofErr w:type="gramStart"/>
            <w:r w:rsidRPr="004012FA">
              <w:rPr>
                <w:sz w:val="22"/>
                <w:szCs w:val="22"/>
                <w:lang w:val="en-US"/>
              </w:rPr>
              <w:t>original, but</w:t>
            </w:r>
            <w:proofErr w:type="gramEnd"/>
            <w:r w:rsidRPr="004012FA">
              <w:rPr>
                <w:sz w:val="22"/>
                <w:szCs w:val="22"/>
                <w:lang w:val="en-US"/>
              </w:rPr>
              <w:t xml:space="preserve"> adapted from dimensions of perception that regulators are ‘facilitative’ derived from May and Wood</w:t>
            </w:r>
            <w:r w:rsidR="00B2206F">
              <w:rPr>
                <w:sz w:val="22"/>
                <w:szCs w:val="22"/>
                <w:lang w:val="en-US"/>
              </w:rPr>
              <w:t>.</w:t>
            </w:r>
            <w:r w:rsidR="00B2206F">
              <w:rPr>
                <w:rStyle w:val="FootnoteReference"/>
                <w:sz w:val="22"/>
                <w:szCs w:val="22"/>
                <w:lang w:val="en-US"/>
              </w:rPr>
              <w:footnoteReference w:id="4"/>
            </w:r>
          </w:p>
        </w:tc>
      </w:tr>
      <w:tr w:rsidR="004012FA" w:rsidRPr="004012FA" w14:paraId="5502DD90" w14:textId="77777777" w:rsidTr="006F6815">
        <w:trPr>
          <w:trHeight w:val="1271"/>
        </w:trPr>
        <w:tc>
          <w:tcPr>
            <w:tcW w:w="1492" w:type="pct"/>
            <w:tcBorders>
              <w:top w:val="single" w:sz="4" w:space="0" w:color="auto"/>
              <w:bottom w:val="single" w:sz="4" w:space="0" w:color="auto"/>
            </w:tcBorders>
            <w:vAlign w:val="center"/>
          </w:tcPr>
          <w:p w14:paraId="4644F80D"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Moral – Agency generally aims to help firms achieve their goals</w:t>
            </w:r>
          </w:p>
        </w:tc>
        <w:tc>
          <w:tcPr>
            <w:tcW w:w="1991" w:type="pct"/>
            <w:tcBorders>
              <w:top w:val="single" w:sz="4" w:space="0" w:color="auto"/>
              <w:bottom w:val="single" w:sz="4" w:space="0" w:color="auto"/>
            </w:tcBorders>
            <w:vAlign w:val="center"/>
          </w:tcPr>
          <w:p w14:paraId="5EECE78F" w14:textId="77777777" w:rsidR="004012FA" w:rsidRPr="004012FA" w:rsidRDefault="004012FA" w:rsidP="004012FA">
            <w:pPr>
              <w:spacing w:afterLines="120" w:after="288" w:line="240" w:lineRule="auto"/>
              <w:ind w:right="380"/>
              <w:jc w:val="center"/>
              <w:rPr>
                <w:sz w:val="22"/>
                <w:szCs w:val="22"/>
                <w:lang w:eastAsia="nl-NL"/>
              </w:rPr>
            </w:pPr>
            <w:r w:rsidRPr="004012FA">
              <w:rPr>
                <w:sz w:val="22"/>
                <w:szCs w:val="22"/>
                <w:lang w:eastAsia="nl-NL"/>
              </w:rPr>
              <w:t>The FCA aims to help companies like mine achieve our goals.</w:t>
            </w:r>
          </w:p>
        </w:tc>
        <w:tc>
          <w:tcPr>
            <w:tcW w:w="1517" w:type="pct"/>
            <w:tcBorders>
              <w:top w:val="single" w:sz="4" w:space="0" w:color="auto"/>
              <w:bottom w:val="single" w:sz="4" w:space="0" w:color="auto"/>
            </w:tcBorders>
            <w:vAlign w:val="center"/>
          </w:tcPr>
          <w:p w14:paraId="417C34D0" w14:textId="1E684572" w:rsidR="004012FA" w:rsidRPr="004012FA" w:rsidRDefault="00B2206F" w:rsidP="004012FA">
            <w:pPr>
              <w:spacing w:afterLines="120" w:after="288" w:line="240" w:lineRule="auto"/>
              <w:ind w:right="380"/>
              <w:jc w:val="center"/>
              <w:rPr>
                <w:sz w:val="22"/>
                <w:szCs w:val="22"/>
                <w:lang w:val="en-US"/>
              </w:rPr>
            </w:pPr>
            <w:r>
              <w:rPr>
                <w:sz w:val="22"/>
                <w:szCs w:val="22"/>
                <w:lang w:val="en-US"/>
              </w:rPr>
              <w:t>As above.</w:t>
            </w:r>
          </w:p>
        </w:tc>
      </w:tr>
      <w:tr w:rsidR="004012FA" w:rsidRPr="004012FA" w14:paraId="505A6237" w14:textId="77777777" w:rsidTr="006F6815">
        <w:tc>
          <w:tcPr>
            <w:tcW w:w="1492" w:type="pct"/>
            <w:tcBorders>
              <w:top w:val="single" w:sz="4" w:space="0" w:color="auto"/>
              <w:bottom w:val="single" w:sz="4" w:space="0" w:color="auto"/>
            </w:tcBorders>
            <w:vAlign w:val="center"/>
          </w:tcPr>
          <w:p w14:paraId="69FABA85"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Procedural – Agency is procedurally correct</w:t>
            </w:r>
          </w:p>
        </w:tc>
        <w:tc>
          <w:tcPr>
            <w:tcW w:w="1991" w:type="pct"/>
            <w:tcBorders>
              <w:top w:val="single" w:sz="4" w:space="0" w:color="auto"/>
              <w:bottom w:val="single" w:sz="4" w:space="0" w:color="auto"/>
            </w:tcBorders>
            <w:vAlign w:val="center"/>
          </w:tcPr>
          <w:p w14:paraId="52D27F05" w14:textId="77777777" w:rsidR="004012FA" w:rsidRPr="004012FA" w:rsidRDefault="004012FA" w:rsidP="004012FA">
            <w:pPr>
              <w:spacing w:afterLines="120" w:after="288" w:line="240" w:lineRule="auto"/>
              <w:ind w:right="380"/>
              <w:jc w:val="center"/>
              <w:rPr>
                <w:sz w:val="22"/>
                <w:szCs w:val="22"/>
                <w:lang w:eastAsia="nl-NL"/>
              </w:rPr>
            </w:pPr>
            <w:r w:rsidRPr="004012FA">
              <w:rPr>
                <w:sz w:val="22"/>
                <w:szCs w:val="22"/>
                <w:lang w:eastAsia="nl-NL"/>
              </w:rPr>
              <w:t>The FCA treats people fairly.</w:t>
            </w:r>
          </w:p>
          <w:p w14:paraId="705FC292"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eastAsia="nl-NL"/>
              </w:rPr>
              <w:t>The FCA is politically neutral.</w:t>
            </w:r>
          </w:p>
        </w:tc>
        <w:tc>
          <w:tcPr>
            <w:tcW w:w="1517" w:type="pct"/>
            <w:tcBorders>
              <w:top w:val="single" w:sz="4" w:space="0" w:color="auto"/>
              <w:bottom w:val="single" w:sz="4" w:space="0" w:color="auto"/>
            </w:tcBorders>
            <w:vAlign w:val="center"/>
          </w:tcPr>
          <w:p w14:paraId="24B8607D" w14:textId="2FD4CB3B"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Lee &amp; van Ryzin</w:t>
            </w:r>
            <w:r w:rsidR="00B2206F">
              <w:rPr>
                <w:sz w:val="22"/>
                <w:szCs w:val="22"/>
                <w:lang w:val="en-US"/>
              </w:rPr>
              <w:t>.</w:t>
            </w:r>
            <w:r w:rsidR="00B2206F">
              <w:rPr>
                <w:rStyle w:val="FootnoteReference"/>
                <w:sz w:val="22"/>
                <w:szCs w:val="22"/>
                <w:lang w:val="en-US"/>
              </w:rPr>
              <w:footnoteReference w:id="5"/>
            </w:r>
          </w:p>
        </w:tc>
      </w:tr>
      <w:tr w:rsidR="004012FA" w:rsidRPr="004012FA" w14:paraId="53C51839" w14:textId="77777777" w:rsidTr="006F6815">
        <w:trPr>
          <w:trHeight w:val="650"/>
        </w:trPr>
        <w:tc>
          <w:tcPr>
            <w:tcW w:w="1492" w:type="pct"/>
            <w:tcBorders>
              <w:top w:val="single" w:sz="4" w:space="0" w:color="auto"/>
              <w:bottom w:val="single" w:sz="4" w:space="0" w:color="auto"/>
            </w:tcBorders>
            <w:vAlign w:val="center"/>
          </w:tcPr>
          <w:p w14:paraId="3676CAC6"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Procedural – Agency is procedurally flexible</w:t>
            </w:r>
          </w:p>
        </w:tc>
        <w:tc>
          <w:tcPr>
            <w:tcW w:w="1991" w:type="pct"/>
            <w:tcBorders>
              <w:top w:val="single" w:sz="4" w:space="0" w:color="auto"/>
              <w:bottom w:val="single" w:sz="4" w:space="0" w:color="auto"/>
            </w:tcBorders>
            <w:vAlign w:val="center"/>
          </w:tcPr>
          <w:p w14:paraId="064DCBE6"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eastAsia="nl-NL"/>
              </w:rPr>
              <w:t>The FCA applies rules rigidly.</w:t>
            </w:r>
          </w:p>
        </w:tc>
        <w:tc>
          <w:tcPr>
            <w:tcW w:w="1517" w:type="pct"/>
            <w:tcBorders>
              <w:top w:val="single" w:sz="4" w:space="0" w:color="auto"/>
              <w:bottom w:val="single" w:sz="4" w:space="0" w:color="auto"/>
            </w:tcBorders>
            <w:vAlign w:val="center"/>
          </w:tcPr>
          <w:p w14:paraId="7193F258" w14:textId="3307D5AF"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 xml:space="preserve">Questions </w:t>
            </w:r>
            <w:proofErr w:type="gramStart"/>
            <w:r w:rsidRPr="004012FA">
              <w:rPr>
                <w:sz w:val="22"/>
                <w:szCs w:val="22"/>
                <w:lang w:val="en-US"/>
              </w:rPr>
              <w:t>original, but</w:t>
            </w:r>
            <w:proofErr w:type="gramEnd"/>
            <w:r w:rsidRPr="004012FA">
              <w:rPr>
                <w:sz w:val="22"/>
                <w:szCs w:val="22"/>
                <w:lang w:val="en-US"/>
              </w:rPr>
              <w:t xml:space="preserve"> adapted from dimensions of perception that regulators are ‘formal’ </w:t>
            </w:r>
            <w:r w:rsidR="00B2206F">
              <w:rPr>
                <w:sz w:val="22"/>
                <w:szCs w:val="22"/>
                <w:lang w:val="en-US"/>
              </w:rPr>
              <w:t>from May and Wood.</w:t>
            </w:r>
            <w:r w:rsidR="00B2206F">
              <w:rPr>
                <w:rStyle w:val="FootnoteReference"/>
                <w:sz w:val="22"/>
                <w:szCs w:val="22"/>
                <w:lang w:val="en-US"/>
              </w:rPr>
              <w:footnoteReference w:id="6"/>
            </w:r>
            <w:r w:rsidR="00B2206F" w:rsidRPr="004012FA">
              <w:rPr>
                <w:sz w:val="22"/>
                <w:szCs w:val="22"/>
                <w:lang w:val="en-US"/>
              </w:rPr>
              <w:t xml:space="preserve"> </w:t>
            </w:r>
          </w:p>
        </w:tc>
      </w:tr>
      <w:tr w:rsidR="004012FA" w:rsidRPr="004012FA" w14:paraId="4C338B8A" w14:textId="77777777" w:rsidTr="006F6815">
        <w:trPr>
          <w:trHeight w:val="650"/>
        </w:trPr>
        <w:tc>
          <w:tcPr>
            <w:tcW w:w="1492" w:type="pct"/>
            <w:tcBorders>
              <w:top w:val="single" w:sz="4" w:space="0" w:color="auto"/>
              <w:bottom w:val="single" w:sz="4" w:space="0" w:color="auto"/>
            </w:tcBorders>
            <w:vAlign w:val="center"/>
          </w:tcPr>
          <w:p w14:paraId="4B3F1F18" w14:textId="77777777" w:rsidR="004012FA" w:rsidRPr="004012FA" w:rsidRDefault="004012FA" w:rsidP="004012FA">
            <w:pPr>
              <w:spacing w:afterLines="120" w:after="288" w:line="240" w:lineRule="auto"/>
              <w:ind w:right="380"/>
              <w:jc w:val="center"/>
              <w:rPr>
                <w:sz w:val="22"/>
                <w:szCs w:val="22"/>
                <w:lang w:val="en-US"/>
              </w:rPr>
            </w:pPr>
            <w:r w:rsidRPr="004012FA">
              <w:rPr>
                <w:sz w:val="22"/>
                <w:szCs w:val="22"/>
                <w:lang w:val="en-US"/>
              </w:rPr>
              <w:t>Technical – Agency is an expert on a given sector</w:t>
            </w:r>
          </w:p>
        </w:tc>
        <w:tc>
          <w:tcPr>
            <w:tcW w:w="1991" w:type="pct"/>
            <w:tcBorders>
              <w:top w:val="single" w:sz="4" w:space="0" w:color="auto"/>
              <w:bottom w:val="single" w:sz="4" w:space="0" w:color="auto"/>
            </w:tcBorders>
            <w:vAlign w:val="center"/>
          </w:tcPr>
          <w:p w14:paraId="4F98B422" w14:textId="77777777" w:rsidR="004012FA" w:rsidRPr="004012FA" w:rsidRDefault="004012FA" w:rsidP="004012FA">
            <w:pPr>
              <w:spacing w:afterLines="120" w:after="288" w:line="240" w:lineRule="auto"/>
              <w:ind w:right="380"/>
              <w:jc w:val="center"/>
              <w:rPr>
                <w:sz w:val="22"/>
                <w:szCs w:val="22"/>
                <w:lang w:eastAsia="nl-NL"/>
              </w:rPr>
            </w:pPr>
            <w:r w:rsidRPr="004012FA">
              <w:rPr>
                <w:sz w:val="22"/>
                <w:szCs w:val="22"/>
                <w:lang w:eastAsia="nl-NL"/>
              </w:rPr>
              <w:t>The FCA bases its decisions on evidence.</w:t>
            </w:r>
          </w:p>
          <w:p w14:paraId="30436314" w14:textId="77777777" w:rsidR="004012FA" w:rsidRPr="004012FA" w:rsidRDefault="004012FA" w:rsidP="004012FA">
            <w:pPr>
              <w:spacing w:afterLines="120" w:after="288" w:line="240" w:lineRule="auto"/>
              <w:ind w:right="380"/>
              <w:jc w:val="center"/>
              <w:rPr>
                <w:sz w:val="22"/>
                <w:szCs w:val="22"/>
                <w:lang w:val="en-US" w:eastAsia="nl-NL"/>
              </w:rPr>
            </w:pPr>
            <w:r w:rsidRPr="004012FA">
              <w:rPr>
                <w:sz w:val="22"/>
                <w:szCs w:val="22"/>
                <w:lang w:eastAsia="nl-NL"/>
              </w:rPr>
              <w:t>The FCA has the skill to deal with complex situations.</w:t>
            </w:r>
          </w:p>
        </w:tc>
        <w:tc>
          <w:tcPr>
            <w:tcW w:w="1517" w:type="pct"/>
            <w:tcBorders>
              <w:top w:val="single" w:sz="4" w:space="0" w:color="auto"/>
              <w:bottom w:val="single" w:sz="4" w:space="0" w:color="auto"/>
            </w:tcBorders>
            <w:vAlign w:val="center"/>
          </w:tcPr>
          <w:p w14:paraId="243CD13B" w14:textId="7D67BF4B" w:rsidR="004012FA" w:rsidRPr="004012FA" w:rsidRDefault="00B2206F" w:rsidP="004012FA">
            <w:pPr>
              <w:spacing w:afterLines="120" w:after="288" w:line="240" w:lineRule="auto"/>
              <w:ind w:right="380"/>
              <w:jc w:val="center"/>
              <w:rPr>
                <w:sz w:val="22"/>
                <w:szCs w:val="22"/>
                <w:lang w:val="en-US"/>
              </w:rPr>
            </w:pPr>
            <w:r w:rsidRPr="004012FA">
              <w:rPr>
                <w:sz w:val="22"/>
                <w:szCs w:val="22"/>
                <w:lang w:val="en-US"/>
              </w:rPr>
              <w:t>Lee &amp; van Ryzin</w:t>
            </w:r>
            <w:r>
              <w:rPr>
                <w:sz w:val="22"/>
                <w:szCs w:val="22"/>
                <w:lang w:val="en-US"/>
              </w:rPr>
              <w:t>.</w:t>
            </w:r>
            <w:r>
              <w:rPr>
                <w:rStyle w:val="FootnoteReference"/>
                <w:sz w:val="22"/>
                <w:szCs w:val="22"/>
                <w:lang w:val="en-US"/>
              </w:rPr>
              <w:footnoteReference w:id="7"/>
            </w:r>
          </w:p>
        </w:tc>
      </w:tr>
    </w:tbl>
    <w:p w14:paraId="707D156E" w14:textId="77777777" w:rsidR="004012FA" w:rsidRPr="004012FA" w:rsidRDefault="004012FA" w:rsidP="004012FA">
      <w:pPr>
        <w:spacing w:afterLines="200" w:after="480" w:line="259" w:lineRule="auto"/>
        <w:ind w:right="380"/>
        <w:rPr>
          <w:sz w:val="18"/>
          <w:szCs w:val="18"/>
          <w:lang w:val="en-US"/>
        </w:rPr>
      </w:pPr>
      <w:r w:rsidRPr="004012FA">
        <w:rPr>
          <w:i/>
          <w:iCs/>
          <w:sz w:val="18"/>
          <w:szCs w:val="18"/>
          <w:lang w:val="en-US"/>
        </w:rPr>
        <w:t>Notes:</w:t>
      </w:r>
      <w:r w:rsidRPr="004012FA">
        <w:rPr>
          <w:sz w:val="18"/>
          <w:szCs w:val="18"/>
          <w:lang w:val="en-US"/>
        </w:rPr>
        <w:t xml:space="preserve"> With the exception about the motivation (type), all questions were measured using a 5-Point Likert scale. All reputation belief questions ranged from Strongly Disagree – Strongly Agree with a ‘don’t know’ option.</w:t>
      </w:r>
    </w:p>
    <w:p w14:paraId="5048EAA3" w14:textId="60DD06AB" w:rsidR="00D338BA" w:rsidRPr="0044695B" w:rsidRDefault="00D338BA" w:rsidP="003141B3">
      <w:pPr>
        <w:ind w:right="380" w:firstLine="720"/>
        <w:rPr>
          <w:lang w:val="en-US"/>
        </w:rPr>
      </w:pPr>
      <w:r w:rsidRPr="0044695B">
        <w:rPr>
          <w:lang w:val="en-US"/>
        </w:rPr>
        <w:t xml:space="preserve">Motivation to apply for the sandbox was measured in regard </w:t>
      </w:r>
      <w:proofErr w:type="gramStart"/>
      <w:r w:rsidRPr="0044695B">
        <w:rPr>
          <w:lang w:val="en-US"/>
        </w:rPr>
        <w:t>to:</w:t>
      </w:r>
      <w:proofErr w:type="gramEnd"/>
      <w:r w:rsidRPr="0044695B">
        <w:rPr>
          <w:lang w:val="en-US"/>
        </w:rPr>
        <w:t xml:space="preserve"> 1) the extent to which firm were motivated to apply, and 2) the nature of that motivation. In interviews, additional, open questions and probes were used to identify whether, and through what mechanisms, these motivations were linked to </w:t>
      </w:r>
      <w:r>
        <w:rPr>
          <w:lang w:val="en-US"/>
        </w:rPr>
        <w:t>beliefs about</w:t>
      </w:r>
      <w:r w:rsidRPr="0044695B">
        <w:rPr>
          <w:lang w:val="en-US"/>
        </w:rPr>
        <w:t xml:space="preserve"> the </w:t>
      </w:r>
      <w:r w:rsidRPr="0044695B">
        <w:rPr>
          <w:lang w:val="en-US"/>
        </w:rPr>
        <w:lastRenderedPageBreak/>
        <w:t xml:space="preserve">regulator. Questions operationalizing </w:t>
      </w:r>
      <w:r>
        <w:rPr>
          <w:lang w:val="en-US"/>
        </w:rPr>
        <w:t>kinds of</w:t>
      </w:r>
      <w:r w:rsidRPr="0044695B">
        <w:rPr>
          <w:lang w:val="en-US"/>
        </w:rPr>
        <w:t xml:space="preserve"> motivation were adapted from Nielsen and Parker’s 2012 study</w:t>
      </w:r>
      <w:r>
        <w:rPr>
          <w:lang w:val="en-US"/>
        </w:rPr>
        <w:t>.</w:t>
      </w:r>
    </w:p>
    <w:p w14:paraId="185E441D" w14:textId="4A3954E1" w:rsidR="00D338BA" w:rsidRPr="0044695B" w:rsidRDefault="00D338BA" w:rsidP="00D338BA">
      <w:pPr>
        <w:ind w:right="380"/>
        <w:rPr>
          <w:lang w:val="en-US"/>
        </w:rPr>
      </w:pPr>
      <w:r w:rsidRPr="0044695B">
        <w:rPr>
          <w:lang w:val="en-US"/>
        </w:rPr>
        <w:t xml:space="preserve">Controls and dependencies were identified through literature review. Due to the design of this study, some categories of variables do not need to be included. All firm responses are collected at roughly the same point in time, all firms are in the UK, and all are in the fintech sector. Therefore, variables related to formal and informal institutions at the national or sectoral level are controlled, as are the effects (broadly) of events or trends. Prior research has found myriad factors which affect willingness to (beyond) comply with the law and authorities. Many of these, however, are captured by reputational </w:t>
      </w:r>
      <w:r w:rsidR="00463843">
        <w:rPr>
          <w:lang w:val="en-US"/>
        </w:rPr>
        <w:t>beliefs</w:t>
      </w:r>
      <w:r w:rsidRPr="0044695B">
        <w:rPr>
          <w:lang w:val="en-US"/>
        </w:rPr>
        <w:t xml:space="preserve"> </w:t>
      </w:r>
      <w:proofErr w:type="gramStart"/>
      <w:r w:rsidRPr="0044695B">
        <w:rPr>
          <w:lang w:val="en-US"/>
        </w:rPr>
        <w:t>e.g.</w:t>
      </w:r>
      <w:proofErr w:type="gramEnd"/>
      <w:r w:rsidRPr="0044695B">
        <w:rPr>
          <w:lang w:val="en-US"/>
        </w:rPr>
        <w:t xml:space="preserve"> many studies are about perceptions of procedural correctness. Further, many studies are strictly about individual level factors </w:t>
      </w:r>
      <w:proofErr w:type="gramStart"/>
      <w:r w:rsidRPr="0044695B">
        <w:rPr>
          <w:lang w:val="en-US"/>
        </w:rPr>
        <w:t>e.g.</w:t>
      </w:r>
      <w:proofErr w:type="gramEnd"/>
      <w:r w:rsidRPr="0044695B">
        <w:rPr>
          <w:lang w:val="en-US"/>
        </w:rPr>
        <w:t xml:space="preserve"> race. These are not considered relevant here, as the unit of analysis is the firm. Relevant controls are presented in Table 2. </w:t>
      </w:r>
    </w:p>
    <w:p w14:paraId="7367B84A" w14:textId="14973C0F" w:rsidR="00D338BA" w:rsidRDefault="00D338BA" w:rsidP="003141B3">
      <w:pPr>
        <w:ind w:right="380" w:firstLine="720"/>
        <w:rPr>
          <w:lang w:val="en-US"/>
        </w:rPr>
      </w:pPr>
      <w:r w:rsidRPr="0044695B">
        <w:rPr>
          <w:lang w:val="en-US"/>
        </w:rPr>
        <w:t xml:space="preserve">The questionnaire was piloted by a dozen academics in multiple rounds. It was then sent to several volunteer fintech company employees in the Netherlands who were then interviewed for their feedback. </w:t>
      </w:r>
    </w:p>
    <w:p w14:paraId="5A1E687F" w14:textId="77777777" w:rsidR="004012FA" w:rsidRPr="004012FA" w:rsidRDefault="004012FA" w:rsidP="004012FA">
      <w:pPr>
        <w:ind w:right="380"/>
        <w:outlineLvl w:val="2"/>
        <w:rPr>
          <w:rFonts w:eastAsia="Times New Roman"/>
          <w:color w:val="000000"/>
          <w:lang w:val="en-US" w:eastAsia="en-GB"/>
        </w:rPr>
      </w:pPr>
      <w:r w:rsidRPr="004012FA">
        <w:rPr>
          <w:rFonts w:eastAsia="Times New Roman"/>
          <w:color w:val="000000"/>
          <w:lang w:val="en-US" w:eastAsia="en-GB"/>
        </w:rPr>
        <w:t xml:space="preserve">TABLE 2 - Controls for motivation to apply to the </w:t>
      </w:r>
      <w:proofErr w:type="gramStart"/>
      <w:r w:rsidRPr="004012FA">
        <w:rPr>
          <w:rFonts w:eastAsia="Times New Roman"/>
          <w:color w:val="000000"/>
          <w:lang w:val="en-US" w:eastAsia="en-GB"/>
        </w:rPr>
        <w:t>sandbox</w:t>
      </w:r>
      <w:proofErr w:type="gramEnd"/>
    </w:p>
    <w:tbl>
      <w:tblPr>
        <w:tblStyle w:val="TableGrid1"/>
        <w:tblW w:w="5000" w:type="pct"/>
        <w:jc w:val="center"/>
        <w:tblLook w:val="04A0" w:firstRow="1" w:lastRow="0" w:firstColumn="1" w:lastColumn="0" w:noHBand="0" w:noVBand="1"/>
      </w:tblPr>
      <w:tblGrid>
        <w:gridCol w:w="2959"/>
        <w:gridCol w:w="5545"/>
      </w:tblGrid>
      <w:tr w:rsidR="004012FA" w:rsidRPr="004012FA" w14:paraId="0E1F50A4" w14:textId="77777777" w:rsidTr="004012FA">
        <w:trPr>
          <w:cantSplit/>
          <w:tblHeader/>
          <w:jc w:val="center"/>
        </w:trPr>
        <w:tc>
          <w:tcPr>
            <w:tcW w:w="1740" w:type="pct"/>
            <w:tcBorders>
              <w:left w:val="nil"/>
              <w:bottom w:val="single" w:sz="4" w:space="0" w:color="auto"/>
              <w:right w:val="nil"/>
            </w:tcBorders>
            <w:vAlign w:val="center"/>
          </w:tcPr>
          <w:p w14:paraId="5B9BB49D"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Control</w:t>
            </w:r>
          </w:p>
        </w:tc>
        <w:tc>
          <w:tcPr>
            <w:tcW w:w="3190" w:type="pct"/>
            <w:tcBorders>
              <w:left w:val="nil"/>
              <w:bottom w:val="single" w:sz="4" w:space="0" w:color="auto"/>
              <w:right w:val="nil"/>
            </w:tcBorders>
            <w:vAlign w:val="center"/>
          </w:tcPr>
          <w:p w14:paraId="7F6CDB20"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Explanation</w:t>
            </w:r>
          </w:p>
        </w:tc>
      </w:tr>
      <w:tr w:rsidR="004012FA" w:rsidRPr="004012FA" w14:paraId="67D2A7CB" w14:textId="77777777" w:rsidTr="004012FA">
        <w:trPr>
          <w:cantSplit/>
          <w:jc w:val="center"/>
        </w:trPr>
        <w:tc>
          <w:tcPr>
            <w:tcW w:w="1740" w:type="pct"/>
            <w:tcBorders>
              <w:left w:val="nil"/>
              <w:right w:val="nil"/>
            </w:tcBorders>
            <w:vAlign w:val="center"/>
          </w:tcPr>
          <w:p w14:paraId="62655A59"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Head office location (UK/non-UK)</w:t>
            </w:r>
          </w:p>
          <w:p w14:paraId="65480011" w14:textId="77777777" w:rsidR="004012FA" w:rsidRPr="004012FA" w:rsidRDefault="004012FA" w:rsidP="004012FA">
            <w:pPr>
              <w:spacing w:afterLines="120" w:after="288" w:line="240" w:lineRule="auto"/>
              <w:ind w:left="462" w:right="380"/>
              <w:jc w:val="center"/>
              <w:rPr>
                <w:sz w:val="22"/>
                <w:szCs w:val="22"/>
                <w:lang w:val="fr-FR"/>
              </w:rPr>
            </w:pPr>
            <w:r w:rsidRPr="004012FA">
              <w:rPr>
                <w:sz w:val="22"/>
                <w:szCs w:val="22"/>
                <w:lang w:val="fr-FR"/>
              </w:rPr>
              <w:t>Head office location (EU/non-EU)</w:t>
            </w:r>
          </w:p>
        </w:tc>
        <w:tc>
          <w:tcPr>
            <w:tcW w:w="3190" w:type="pct"/>
            <w:tcBorders>
              <w:left w:val="nil"/>
              <w:right w:val="nil"/>
            </w:tcBorders>
            <w:vAlign w:val="center"/>
          </w:tcPr>
          <w:p w14:paraId="1637700F"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 xml:space="preserve">While only firms in the UK will be included in this study, there may be differences arising from companies which are not originally from the UK or from within the EU </w:t>
            </w:r>
            <w:proofErr w:type="gramStart"/>
            <w:r w:rsidRPr="004012FA">
              <w:rPr>
                <w:sz w:val="22"/>
                <w:szCs w:val="22"/>
                <w:lang w:val="en-US"/>
              </w:rPr>
              <w:t>e.g.</w:t>
            </w:r>
            <w:proofErr w:type="gramEnd"/>
            <w:r w:rsidRPr="004012FA">
              <w:rPr>
                <w:sz w:val="22"/>
                <w:szCs w:val="22"/>
                <w:lang w:val="en-US"/>
              </w:rPr>
              <w:t xml:space="preserve"> influence of different national/regional cultures of compliance.</w:t>
            </w:r>
          </w:p>
        </w:tc>
      </w:tr>
      <w:tr w:rsidR="004012FA" w:rsidRPr="004012FA" w14:paraId="284AEF69" w14:textId="77777777" w:rsidTr="004012FA">
        <w:trPr>
          <w:cantSplit/>
          <w:jc w:val="center"/>
        </w:trPr>
        <w:tc>
          <w:tcPr>
            <w:tcW w:w="1740" w:type="pct"/>
            <w:tcBorders>
              <w:left w:val="nil"/>
              <w:right w:val="nil"/>
            </w:tcBorders>
            <w:vAlign w:val="center"/>
          </w:tcPr>
          <w:p w14:paraId="177C075E"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lastRenderedPageBreak/>
              <w:t>Company city (Edinburgh or London/other)</w:t>
            </w:r>
          </w:p>
        </w:tc>
        <w:tc>
          <w:tcPr>
            <w:tcW w:w="3190" w:type="pct"/>
            <w:tcBorders>
              <w:left w:val="nil"/>
              <w:right w:val="nil"/>
            </w:tcBorders>
            <w:vAlign w:val="center"/>
          </w:tcPr>
          <w:p w14:paraId="0C3354DA" w14:textId="464E49F7" w:rsidR="004012FA" w:rsidRPr="004012FA" w:rsidRDefault="004012FA" w:rsidP="004012FA">
            <w:pPr>
              <w:spacing w:after="120" w:line="240" w:lineRule="auto"/>
              <w:ind w:left="462" w:right="380"/>
              <w:jc w:val="center"/>
              <w:rPr>
                <w:sz w:val="22"/>
                <w:szCs w:val="22"/>
                <w:lang w:val="en-US"/>
              </w:rPr>
            </w:pPr>
            <w:r w:rsidRPr="004012FA">
              <w:rPr>
                <w:sz w:val="22"/>
                <w:szCs w:val="22"/>
                <w:lang w:val="en-US"/>
              </w:rPr>
              <w:t>Being geographically further from cities where regulators are based reduces perceived likelihood of detection</w:t>
            </w:r>
            <w:r w:rsidR="00FE3C2F">
              <w:rPr>
                <w:sz w:val="22"/>
                <w:szCs w:val="22"/>
                <w:lang w:val="en-US"/>
              </w:rPr>
              <w:t>, influencing motivations to comply and cooperate with regulators.</w:t>
            </w:r>
            <w:r w:rsidR="00FE3C2F" w:rsidRPr="00B2206F">
              <w:rPr>
                <w:rStyle w:val="FootnoteReference"/>
              </w:rPr>
              <w:footnoteReference w:id="8"/>
            </w:r>
            <w:r w:rsidRPr="004012FA">
              <w:rPr>
                <w:sz w:val="22"/>
                <w:szCs w:val="22"/>
                <w:lang w:val="en-US"/>
              </w:rPr>
              <w:t xml:space="preserve"> </w:t>
            </w:r>
          </w:p>
        </w:tc>
      </w:tr>
      <w:tr w:rsidR="004012FA" w:rsidRPr="004012FA" w14:paraId="352B4B6E" w14:textId="77777777" w:rsidTr="004012FA">
        <w:trPr>
          <w:cantSplit/>
          <w:jc w:val="center"/>
        </w:trPr>
        <w:tc>
          <w:tcPr>
            <w:tcW w:w="1740" w:type="pct"/>
            <w:tcBorders>
              <w:left w:val="nil"/>
              <w:right w:val="nil"/>
            </w:tcBorders>
            <w:vAlign w:val="center"/>
          </w:tcPr>
          <w:p w14:paraId="5DCF5C2B"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Firm size and age</w:t>
            </w:r>
          </w:p>
        </w:tc>
        <w:tc>
          <w:tcPr>
            <w:tcW w:w="3190" w:type="pct"/>
            <w:tcBorders>
              <w:left w:val="nil"/>
              <w:right w:val="nil"/>
            </w:tcBorders>
            <w:vAlign w:val="center"/>
          </w:tcPr>
          <w:p w14:paraId="770FD355" w14:textId="5BA0AD65" w:rsidR="004012FA" w:rsidRPr="004012FA" w:rsidRDefault="004012FA" w:rsidP="004012FA">
            <w:pPr>
              <w:spacing w:after="120" w:line="240" w:lineRule="auto"/>
              <w:ind w:left="462" w:right="380"/>
              <w:jc w:val="center"/>
              <w:rPr>
                <w:sz w:val="22"/>
                <w:szCs w:val="22"/>
                <w:lang w:val="en-US"/>
              </w:rPr>
            </w:pPr>
            <w:r w:rsidRPr="004012FA">
              <w:rPr>
                <w:sz w:val="22"/>
                <w:szCs w:val="22"/>
                <w:lang w:val="en-US"/>
              </w:rPr>
              <w:t xml:space="preserve">Research suggests both affect </w:t>
            </w:r>
            <w:r w:rsidR="00FE3C2F">
              <w:rPr>
                <w:sz w:val="22"/>
                <w:szCs w:val="22"/>
                <w:lang w:val="en-US"/>
              </w:rPr>
              <w:t>motivation to comply and cooperate with regulators</w:t>
            </w:r>
            <w:r w:rsidRPr="004012FA">
              <w:rPr>
                <w:sz w:val="22"/>
                <w:szCs w:val="22"/>
                <w:lang w:val="en-US"/>
              </w:rPr>
              <w:t>, though the direction of the relationship varies between studies</w:t>
            </w:r>
            <w:r w:rsidR="00FE3C2F">
              <w:rPr>
                <w:sz w:val="22"/>
                <w:szCs w:val="22"/>
                <w:lang w:val="en-US"/>
              </w:rPr>
              <w:t>.</w:t>
            </w:r>
            <w:r w:rsidR="00FE3C2F" w:rsidRPr="00B2206F">
              <w:rPr>
                <w:rStyle w:val="FootnoteReference"/>
              </w:rPr>
              <w:footnoteReference w:id="9"/>
            </w:r>
            <w:r w:rsidRPr="004012FA">
              <w:rPr>
                <w:sz w:val="22"/>
                <w:szCs w:val="22"/>
                <w:lang w:val="en-US"/>
              </w:rPr>
              <w:t xml:space="preserve"> </w:t>
            </w:r>
          </w:p>
        </w:tc>
      </w:tr>
      <w:tr w:rsidR="004012FA" w:rsidRPr="004012FA" w14:paraId="5EFF5914" w14:textId="77777777" w:rsidTr="00FE3C2F">
        <w:trPr>
          <w:trHeight w:val="1347"/>
          <w:jc w:val="center"/>
        </w:trPr>
        <w:tc>
          <w:tcPr>
            <w:tcW w:w="1740" w:type="pct"/>
            <w:tcBorders>
              <w:left w:val="nil"/>
              <w:right w:val="nil"/>
            </w:tcBorders>
            <w:vAlign w:val="center"/>
          </w:tcPr>
          <w:p w14:paraId="58F995FF"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Firm autonomy</w:t>
            </w:r>
          </w:p>
        </w:tc>
        <w:tc>
          <w:tcPr>
            <w:tcW w:w="3190" w:type="pct"/>
            <w:tcBorders>
              <w:left w:val="nil"/>
              <w:right w:val="nil"/>
            </w:tcBorders>
            <w:vAlign w:val="center"/>
          </w:tcPr>
          <w:p w14:paraId="79FC4C12" w14:textId="5D204CB4" w:rsidR="004012FA" w:rsidRPr="004012FA" w:rsidRDefault="004012FA" w:rsidP="004012FA">
            <w:pPr>
              <w:spacing w:after="120" w:line="240" w:lineRule="auto"/>
              <w:ind w:left="462" w:right="380"/>
              <w:jc w:val="center"/>
              <w:rPr>
                <w:sz w:val="22"/>
                <w:szCs w:val="22"/>
                <w:lang w:val="en-US"/>
              </w:rPr>
            </w:pPr>
            <w:r w:rsidRPr="004012FA">
              <w:rPr>
                <w:sz w:val="22"/>
                <w:szCs w:val="22"/>
                <w:lang w:val="en-US"/>
              </w:rPr>
              <w:t>Not all firms have equal autonomy to make decisions, for instance due to their ownership structure</w:t>
            </w:r>
            <w:r w:rsidR="00FE3C2F">
              <w:rPr>
                <w:sz w:val="22"/>
                <w:szCs w:val="22"/>
                <w:lang w:val="en-US"/>
              </w:rPr>
              <w:t>.</w:t>
            </w:r>
            <w:r w:rsidR="00FE3C2F" w:rsidRPr="00B2206F">
              <w:rPr>
                <w:rStyle w:val="FootnoteReference"/>
              </w:rPr>
              <w:footnoteReference w:id="10"/>
            </w:r>
            <w:r w:rsidR="00FE3C2F">
              <w:rPr>
                <w:sz w:val="22"/>
                <w:szCs w:val="22"/>
                <w:lang w:val="en-US"/>
              </w:rPr>
              <w:t xml:space="preserve"> </w:t>
            </w:r>
            <w:r w:rsidRPr="004012FA">
              <w:rPr>
                <w:sz w:val="22"/>
                <w:szCs w:val="22"/>
                <w:lang w:val="en-US"/>
              </w:rPr>
              <w:t>This might lead to differences in motivation</w:t>
            </w:r>
            <w:r w:rsidR="00FE3C2F">
              <w:rPr>
                <w:sz w:val="22"/>
                <w:szCs w:val="22"/>
                <w:lang w:val="en-US"/>
              </w:rPr>
              <w:t xml:space="preserve"> to cooperate with regulators</w:t>
            </w:r>
            <w:r w:rsidRPr="004012FA">
              <w:rPr>
                <w:sz w:val="22"/>
                <w:szCs w:val="22"/>
                <w:lang w:val="en-US"/>
              </w:rPr>
              <w:t>. For example, in questions about firm willingness to – say – participate in the sandbox it may be that it is not that the firm is unmotivated, but that such a move would not be allowed by their parent company.</w:t>
            </w:r>
          </w:p>
        </w:tc>
      </w:tr>
      <w:tr w:rsidR="004012FA" w:rsidRPr="004012FA" w14:paraId="043272F1" w14:textId="77777777" w:rsidTr="00FE3C2F">
        <w:trPr>
          <w:jc w:val="center"/>
        </w:trPr>
        <w:tc>
          <w:tcPr>
            <w:tcW w:w="1740" w:type="pct"/>
            <w:tcBorders>
              <w:left w:val="nil"/>
              <w:right w:val="nil"/>
            </w:tcBorders>
            <w:vAlign w:val="center"/>
          </w:tcPr>
          <w:p w14:paraId="05094EED"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Firm financial sub-sector</w:t>
            </w:r>
          </w:p>
          <w:p w14:paraId="51259AD6"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Firm technological sub-sector</w:t>
            </w:r>
          </w:p>
        </w:tc>
        <w:tc>
          <w:tcPr>
            <w:tcW w:w="3190" w:type="pct"/>
            <w:tcBorders>
              <w:left w:val="nil"/>
              <w:right w:val="nil"/>
            </w:tcBorders>
            <w:vAlign w:val="center"/>
          </w:tcPr>
          <w:p w14:paraId="2AB1DB2F" w14:textId="5DF15CED" w:rsidR="004012FA" w:rsidRPr="004012FA" w:rsidRDefault="004012FA" w:rsidP="004012FA">
            <w:pPr>
              <w:spacing w:after="120" w:line="240" w:lineRule="auto"/>
              <w:ind w:left="462" w:right="380"/>
              <w:jc w:val="center"/>
              <w:rPr>
                <w:sz w:val="22"/>
                <w:szCs w:val="22"/>
                <w:lang w:val="en-US"/>
              </w:rPr>
            </w:pPr>
            <w:r w:rsidRPr="004012FA">
              <w:rPr>
                <w:sz w:val="22"/>
                <w:szCs w:val="22"/>
                <w:lang w:val="en-US"/>
              </w:rPr>
              <w:t>While the firms in this study would experience broadly similar regimes, there will be differences based on firm financial sub-sector (</w:t>
            </w:r>
            <w:proofErr w:type="gramStart"/>
            <w:r w:rsidRPr="004012FA">
              <w:rPr>
                <w:sz w:val="22"/>
                <w:szCs w:val="22"/>
                <w:lang w:val="en-US"/>
              </w:rPr>
              <w:t>e.g.</w:t>
            </w:r>
            <w:proofErr w:type="gramEnd"/>
            <w:r w:rsidRPr="004012FA">
              <w:rPr>
                <w:sz w:val="22"/>
                <w:szCs w:val="22"/>
                <w:lang w:val="en-US"/>
              </w:rPr>
              <w:t xml:space="preserve"> insurance versus advice) and firm technological sub-sector. That is, the regime for </w:t>
            </w:r>
            <w:proofErr w:type="spellStart"/>
            <w:r w:rsidRPr="004012FA">
              <w:rPr>
                <w:sz w:val="22"/>
                <w:szCs w:val="22"/>
                <w:lang w:val="en-US"/>
              </w:rPr>
              <w:t>insuretech</w:t>
            </w:r>
            <w:proofErr w:type="spellEnd"/>
            <w:r w:rsidRPr="004012FA">
              <w:rPr>
                <w:sz w:val="22"/>
                <w:szCs w:val="22"/>
                <w:lang w:val="en-US"/>
              </w:rPr>
              <w:t xml:space="preserve"> is different to biometrics and therefore some differences in </w:t>
            </w:r>
            <w:r w:rsidR="00FE3C2F">
              <w:rPr>
                <w:sz w:val="22"/>
                <w:szCs w:val="22"/>
                <w:lang w:val="en-US"/>
              </w:rPr>
              <w:t xml:space="preserve">motivation to comply and cooperate </w:t>
            </w:r>
            <w:r w:rsidRPr="004012FA">
              <w:rPr>
                <w:sz w:val="22"/>
                <w:szCs w:val="22"/>
                <w:lang w:val="en-US"/>
              </w:rPr>
              <w:t>are probably thereby explained</w:t>
            </w:r>
            <w:r w:rsidR="00FE3C2F">
              <w:rPr>
                <w:sz w:val="22"/>
                <w:szCs w:val="22"/>
                <w:lang w:val="en-US"/>
              </w:rPr>
              <w:t>.</w:t>
            </w:r>
            <w:r w:rsidR="00FE3C2F" w:rsidRPr="00B2206F">
              <w:rPr>
                <w:rStyle w:val="FootnoteReference"/>
              </w:rPr>
              <w:footnoteReference w:id="11"/>
            </w:r>
          </w:p>
        </w:tc>
      </w:tr>
      <w:tr w:rsidR="004012FA" w:rsidRPr="004012FA" w14:paraId="2CB63C89" w14:textId="77777777" w:rsidTr="00FE3C2F">
        <w:trPr>
          <w:jc w:val="center"/>
        </w:trPr>
        <w:tc>
          <w:tcPr>
            <w:tcW w:w="1740" w:type="pct"/>
            <w:tcBorders>
              <w:left w:val="nil"/>
              <w:right w:val="nil"/>
            </w:tcBorders>
            <w:vAlign w:val="center"/>
          </w:tcPr>
          <w:p w14:paraId="1E704B5D"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(Subjectively reported) good knowledge of regulation</w:t>
            </w:r>
          </w:p>
        </w:tc>
        <w:tc>
          <w:tcPr>
            <w:tcW w:w="3190" w:type="pct"/>
            <w:tcBorders>
              <w:left w:val="nil"/>
              <w:right w:val="nil"/>
            </w:tcBorders>
            <w:vAlign w:val="center"/>
          </w:tcPr>
          <w:p w14:paraId="5507F105" w14:textId="026697B1" w:rsidR="004012FA" w:rsidRPr="004012FA" w:rsidRDefault="004012FA" w:rsidP="00FE3C2F">
            <w:pPr>
              <w:spacing w:after="120" w:line="240" w:lineRule="auto"/>
              <w:ind w:left="462" w:right="380"/>
              <w:jc w:val="center"/>
              <w:rPr>
                <w:sz w:val="22"/>
                <w:szCs w:val="22"/>
                <w:lang w:val="en-US"/>
              </w:rPr>
            </w:pPr>
            <w:r w:rsidRPr="004012FA">
              <w:rPr>
                <w:sz w:val="22"/>
                <w:szCs w:val="22"/>
                <w:lang w:val="en-US"/>
              </w:rPr>
              <w:t xml:space="preserve">Knowledge of regulation has been correlated with </w:t>
            </w:r>
            <w:r w:rsidR="00FE3C2F">
              <w:rPr>
                <w:sz w:val="22"/>
                <w:szCs w:val="22"/>
                <w:lang w:val="en-US"/>
              </w:rPr>
              <w:t>motivation to comply and cooperate with regulators.</w:t>
            </w:r>
            <w:r w:rsidR="00FE3C2F" w:rsidRPr="00B2206F">
              <w:rPr>
                <w:rStyle w:val="FootnoteReference"/>
              </w:rPr>
              <w:footnoteReference w:id="12"/>
            </w:r>
            <w:r w:rsidR="00FE3C2F">
              <w:rPr>
                <w:sz w:val="22"/>
                <w:szCs w:val="22"/>
                <w:lang w:val="en-US"/>
              </w:rPr>
              <w:t xml:space="preserve"> </w:t>
            </w:r>
            <w:r w:rsidRPr="004012FA">
              <w:rPr>
                <w:sz w:val="22"/>
                <w:szCs w:val="22"/>
                <w:lang w:val="en-US"/>
              </w:rPr>
              <w:t xml:space="preserve">There is evidence from experiments </w:t>
            </w:r>
            <w:r w:rsidRPr="004012FA">
              <w:rPr>
                <w:sz w:val="22"/>
                <w:szCs w:val="22"/>
                <w:lang w:val="en-US"/>
              </w:rPr>
              <w:lastRenderedPageBreak/>
              <w:t xml:space="preserve">that having more information about a policy increases motivation to voluntarily </w:t>
            </w:r>
            <w:r w:rsidR="00FE3C2F">
              <w:rPr>
                <w:sz w:val="22"/>
                <w:szCs w:val="22"/>
                <w:lang w:val="en-US"/>
              </w:rPr>
              <w:t>cooperate.</w:t>
            </w:r>
            <w:r w:rsidR="00FE3C2F">
              <w:rPr>
                <w:rStyle w:val="FootnoteReference"/>
                <w:sz w:val="22"/>
                <w:szCs w:val="22"/>
                <w:lang w:val="en-US"/>
              </w:rPr>
              <w:t xml:space="preserve"> </w:t>
            </w:r>
            <w:r w:rsidR="00FE3C2F" w:rsidRPr="00B2206F">
              <w:rPr>
                <w:rStyle w:val="FootnoteReference"/>
              </w:rPr>
              <w:footnoteReference w:id="13"/>
            </w:r>
          </w:p>
        </w:tc>
      </w:tr>
      <w:tr w:rsidR="004012FA" w:rsidRPr="004012FA" w14:paraId="0372B818" w14:textId="77777777" w:rsidTr="00FE3C2F">
        <w:trPr>
          <w:jc w:val="center"/>
        </w:trPr>
        <w:tc>
          <w:tcPr>
            <w:tcW w:w="1740" w:type="pct"/>
            <w:tcBorders>
              <w:left w:val="nil"/>
              <w:right w:val="nil"/>
            </w:tcBorders>
            <w:vAlign w:val="center"/>
          </w:tcPr>
          <w:p w14:paraId="663D26F0"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Hearing about or experiencing inspection, audit, or sanctions</w:t>
            </w:r>
          </w:p>
        </w:tc>
        <w:tc>
          <w:tcPr>
            <w:tcW w:w="3190" w:type="pct"/>
            <w:tcBorders>
              <w:left w:val="nil"/>
              <w:right w:val="nil"/>
            </w:tcBorders>
            <w:vAlign w:val="center"/>
          </w:tcPr>
          <w:p w14:paraId="530BB6DA" w14:textId="34D62569" w:rsidR="004012FA" w:rsidRPr="004012FA" w:rsidRDefault="004012FA" w:rsidP="004012FA">
            <w:pPr>
              <w:spacing w:after="120" w:line="240" w:lineRule="auto"/>
              <w:ind w:left="462" w:right="380"/>
              <w:jc w:val="center"/>
              <w:rPr>
                <w:sz w:val="22"/>
                <w:szCs w:val="22"/>
                <w:lang w:val="en-US"/>
              </w:rPr>
            </w:pPr>
            <w:r w:rsidRPr="004012FA">
              <w:rPr>
                <w:sz w:val="22"/>
                <w:szCs w:val="22"/>
                <w:lang w:val="en-US"/>
              </w:rPr>
              <w:t xml:space="preserve">Whether firms have heard </w:t>
            </w:r>
            <w:proofErr w:type="gramStart"/>
            <w:r w:rsidRPr="004012FA">
              <w:rPr>
                <w:sz w:val="22"/>
                <w:szCs w:val="22"/>
                <w:lang w:val="en-US"/>
              </w:rPr>
              <w:t>about</w:t>
            </w:r>
            <w:proofErr w:type="gramEnd"/>
            <w:r w:rsidRPr="004012FA">
              <w:rPr>
                <w:sz w:val="22"/>
                <w:szCs w:val="22"/>
                <w:lang w:val="en-US"/>
              </w:rPr>
              <w:t xml:space="preserve"> or experienced inspections, audits, or sanctions recently effects their motivation</w:t>
            </w:r>
            <w:r w:rsidR="00FE3C2F">
              <w:rPr>
                <w:sz w:val="22"/>
                <w:szCs w:val="22"/>
                <w:lang w:val="en-US"/>
              </w:rPr>
              <w:t>.</w:t>
            </w:r>
            <w:r w:rsidR="00FE3C2F" w:rsidRPr="00B2206F">
              <w:rPr>
                <w:rStyle w:val="FootnoteReference"/>
              </w:rPr>
              <w:footnoteReference w:id="14"/>
            </w:r>
          </w:p>
        </w:tc>
      </w:tr>
      <w:tr w:rsidR="004012FA" w:rsidRPr="004012FA" w14:paraId="61F87BC0" w14:textId="77777777" w:rsidTr="00FE3C2F">
        <w:trPr>
          <w:jc w:val="center"/>
        </w:trPr>
        <w:tc>
          <w:tcPr>
            <w:tcW w:w="1740" w:type="pct"/>
            <w:tcBorders>
              <w:left w:val="nil"/>
              <w:right w:val="nil"/>
            </w:tcBorders>
            <w:vAlign w:val="center"/>
          </w:tcPr>
          <w:p w14:paraId="630D1D99"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Network participation</w:t>
            </w:r>
          </w:p>
        </w:tc>
        <w:tc>
          <w:tcPr>
            <w:tcW w:w="3190" w:type="pct"/>
            <w:tcBorders>
              <w:left w:val="nil"/>
              <w:right w:val="nil"/>
            </w:tcBorders>
            <w:vAlign w:val="center"/>
          </w:tcPr>
          <w:p w14:paraId="09356F38" w14:textId="70F297D6" w:rsidR="004012FA" w:rsidRPr="004012FA" w:rsidRDefault="004012FA" w:rsidP="004012FA">
            <w:pPr>
              <w:spacing w:after="120" w:line="240" w:lineRule="auto"/>
              <w:ind w:left="462" w:right="380"/>
              <w:jc w:val="center"/>
              <w:rPr>
                <w:sz w:val="22"/>
                <w:szCs w:val="22"/>
                <w:lang w:val="en-US"/>
              </w:rPr>
            </w:pPr>
            <w:r w:rsidRPr="004012FA">
              <w:rPr>
                <w:sz w:val="22"/>
                <w:szCs w:val="22"/>
                <w:lang w:val="en-US"/>
              </w:rPr>
              <w:t>Greater ‘network participation’ (</w:t>
            </w:r>
            <w:proofErr w:type="gramStart"/>
            <w:r w:rsidRPr="004012FA">
              <w:rPr>
                <w:sz w:val="22"/>
                <w:szCs w:val="22"/>
                <w:lang w:val="en-US"/>
              </w:rPr>
              <w:t>i.e.</w:t>
            </w:r>
            <w:proofErr w:type="gramEnd"/>
            <w:r w:rsidRPr="004012FA">
              <w:rPr>
                <w:sz w:val="22"/>
                <w:szCs w:val="22"/>
                <w:lang w:val="en-US"/>
              </w:rPr>
              <w:t xml:space="preserve"> talking more to others about compliance) generally increases knowledge of new laws. The attitudes of those with whom you are in contact affects compliance attitudes </w:t>
            </w:r>
            <w:proofErr w:type="gramStart"/>
            <w:r w:rsidRPr="004012FA">
              <w:rPr>
                <w:sz w:val="22"/>
                <w:szCs w:val="22"/>
                <w:lang w:val="en-US"/>
              </w:rPr>
              <w:t>e.g.</w:t>
            </w:r>
            <w:proofErr w:type="gramEnd"/>
            <w:r w:rsidRPr="004012FA">
              <w:rPr>
                <w:sz w:val="22"/>
                <w:szCs w:val="22"/>
                <w:lang w:val="en-US"/>
              </w:rPr>
              <w:t xml:space="preserve"> guilt. Where you perceive others to have pro-compliance attitudes this increases the likelihood that you too will report such attitudes</w:t>
            </w:r>
            <w:r w:rsidR="00FE3C2F">
              <w:rPr>
                <w:sz w:val="22"/>
                <w:szCs w:val="22"/>
                <w:lang w:val="en-US"/>
              </w:rPr>
              <w:t>.</w:t>
            </w:r>
            <w:r w:rsidR="00FE3C2F" w:rsidRPr="00B2206F">
              <w:rPr>
                <w:rStyle w:val="FootnoteReference"/>
              </w:rPr>
              <w:footnoteReference w:id="15"/>
            </w:r>
            <w:r w:rsidR="00FE3C2F">
              <w:rPr>
                <w:sz w:val="22"/>
                <w:szCs w:val="22"/>
                <w:lang w:val="en-US"/>
              </w:rPr>
              <w:t xml:space="preserve"> </w:t>
            </w:r>
            <w:r w:rsidRPr="004012FA">
              <w:rPr>
                <w:sz w:val="22"/>
                <w:szCs w:val="22"/>
                <w:lang w:val="en-US"/>
              </w:rPr>
              <w:t>Denser social connections generally facilitate information flows and enhance social control unless non-compliance is embedded in one’s network</w:t>
            </w:r>
            <w:r w:rsidR="00FE3C2F">
              <w:rPr>
                <w:sz w:val="22"/>
                <w:szCs w:val="22"/>
                <w:lang w:val="en-US"/>
              </w:rPr>
              <w:t>.</w:t>
            </w:r>
            <w:r w:rsidR="00FE3C2F" w:rsidRPr="00B2206F">
              <w:rPr>
                <w:rStyle w:val="FootnoteReference"/>
              </w:rPr>
              <w:footnoteReference w:id="16"/>
            </w:r>
            <w:r w:rsidRPr="004012FA">
              <w:rPr>
                <w:sz w:val="22"/>
                <w:szCs w:val="22"/>
                <w:lang w:val="en-US"/>
              </w:rPr>
              <w:t xml:space="preserve"> </w:t>
            </w:r>
          </w:p>
        </w:tc>
      </w:tr>
      <w:tr w:rsidR="004012FA" w:rsidRPr="004012FA" w14:paraId="1FF02F87" w14:textId="77777777" w:rsidTr="004012FA">
        <w:trPr>
          <w:cantSplit/>
          <w:jc w:val="center"/>
        </w:trPr>
        <w:tc>
          <w:tcPr>
            <w:tcW w:w="1740" w:type="pct"/>
            <w:tcBorders>
              <w:left w:val="nil"/>
              <w:right w:val="nil"/>
            </w:tcBorders>
            <w:vAlign w:val="center"/>
          </w:tcPr>
          <w:p w14:paraId="14B06EBC"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Intrinsic motivation</w:t>
            </w:r>
          </w:p>
        </w:tc>
        <w:tc>
          <w:tcPr>
            <w:tcW w:w="3260" w:type="pct"/>
            <w:tcBorders>
              <w:left w:val="nil"/>
              <w:right w:val="nil"/>
            </w:tcBorders>
            <w:vAlign w:val="center"/>
          </w:tcPr>
          <w:p w14:paraId="4F94F10C" w14:textId="01E42AB7" w:rsidR="004012FA" w:rsidRPr="004012FA" w:rsidRDefault="004012FA" w:rsidP="004012FA">
            <w:pPr>
              <w:spacing w:after="120" w:line="240" w:lineRule="auto"/>
              <w:ind w:left="462" w:right="380"/>
              <w:jc w:val="center"/>
              <w:rPr>
                <w:sz w:val="22"/>
                <w:szCs w:val="22"/>
                <w:lang w:val="en-US"/>
              </w:rPr>
            </w:pPr>
            <w:r w:rsidRPr="004012FA">
              <w:rPr>
                <w:sz w:val="22"/>
                <w:szCs w:val="22"/>
                <w:lang w:val="en-US"/>
              </w:rPr>
              <w:t xml:space="preserve">Some firms (and some firms to some extent) are intrinsically motivated </w:t>
            </w:r>
            <w:proofErr w:type="gramStart"/>
            <w:r w:rsidRPr="004012FA">
              <w:rPr>
                <w:sz w:val="22"/>
                <w:szCs w:val="22"/>
                <w:lang w:val="en-US"/>
              </w:rPr>
              <w:t>i.e.</w:t>
            </w:r>
            <w:proofErr w:type="gramEnd"/>
            <w:r w:rsidRPr="004012FA">
              <w:rPr>
                <w:sz w:val="22"/>
                <w:szCs w:val="22"/>
                <w:lang w:val="en-US"/>
              </w:rPr>
              <w:t xml:space="preserve"> doing good out of a sense of duty. Intrinsic motivation is positively associated with having a greater level of motivation</w:t>
            </w:r>
            <w:r w:rsidR="00FE3C2F">
              <w:rPr>
                <w:sz w:val="22"/>
                <w:szCs w:val="22"/>
                <w:lang w:val="en-US"/>
              </w:rPr>
              <w:t>.</w:t>
            </w:r>
            <w:r w:rsidR="00FE3C2F" w:rsidRPr="00B2206F">
              <w:rPr>
                <w:rStyle w:val="FootnoteReference"/>
              </w:rPr>
              <w:footnoteReference w:id="17"/>
            </w:r>
            <w:r w:rsidRPr="004012FA">
              <w:rPr>
                <w:sz w:val="22"/>
                <w:szCs w:val="22"/>
                <w:lang w:val="en-US"/>
              </w:rPr>
              <w:t xml:space="preserve"> We would expect intrinsically motivated firms to have higher beyond compliance motivation, and therefore that some portion of beyond compliance motivation to be explained by intrinsic motivation (independent of perceptions of the regulator).</w:t>
            </w:r>
          </w:p>
        </w:tc>
      </w:tr>
      <w:tr w:rsidR="004012FA" w:rsidRPr="004012FA" w14:paraId="134BB9AA" w14:textId="77777777" w:rsidTr="004012FA">
        <w:trPr>
          <w:cantSplit/>
          <w:jc w:val="center"/>
        </w:trPr>
        <w:tc>
          <w:tcPr>
            <w:tcW w:w="1740" w:type="pct"/>
            <w:tcBorders>
              <w:left w:val="nil"/>
              <w:right w:val="nil"/>
            </w:tcBorders>
            <w:vAlign w:val="center"/>
          </w:tcPr>
          <w:p w14:paraId="5C5C2389"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t>Belief that sanctions are reasonable</w:t>
            </w:r>
          </w:p>
        </w:tc>
        <w:tc>
          <w:tcPr>
            <w:tcW w:w="3260" w:type="pct"/>
            <w:tcBorders>
              <w:left w:val="nil"/>
              <w:right w:val="nil"/>
            </w:tcBorders>
            <w:vAlign w:val="center"/>
          </w:tcPr>
          <w:p w14:paraId="55CC2246" w14:textId="65764B11" w:rsidR="004012FA" w:rsidRPr="004012FA" w:rsidRDefault="004012FA" w:rsidP="004012FA">
            <w:pPr>
              <w:spacing w:after="120" w:line="240" w:lineRule="auto"/>
              <w:ind w:left="462" w:right="380"/>
              <w:jc w:val="center"/>
              <w:rPr>
                <w:sz w:val="22"/>
                <w:szCs w:val="22"/>
                <w:lang w:val="en-US"/>
              </w:rPr>
            </w:pPr>
            <w:r w:rsidRPr="004012FA">
              <w:rPr>
                <w:sz w:val="22"/>
                <w:szCs w:val="22"/>
                <w:lang w:val="en-US"/>
              </w:rPr>
              <w:t>The belief that sanctions in a legal or regulatory regime are unreasonable has been widely found to reduce motivation.</w:t>
            </w:r>
            <w:r w:rsidR="00FE3C2F" w:rsidRPr="00B2206F">
              <w:rPr>
                <w:rStyle w:val="FootnoteReference"/>
              </w:rPr>
              <w:footnoteReference w:id="18"/>
            </w:r>
          </w:p>
        </w:tc>
      </w:tr>
      <w:tr w:rsidR="004012FA" w:rsidRPr="004012FA" w14:paraId="2267B0A9" w14:textId="77777777" w:rsidTr="004012FA">
        <w:trPr>
          <w:cantSplit/>
          <w:jc w:val="center"/>
        </w:trPr>
        <w:tc>
          <w:tcPr>
            <w:tcW w:w="1740" w:type="pct"/>
            <w:tcBorders>
              <w:left w:val="nil"/>
              <w:right w:val="nil"/>
            </w:tcBorders>
            <w:vAlign w:val="center"/>
          </w:tcPr>
          <w:p w14:paraId="5B1E6741" w14:textId="77777777" w:rsidR="004012FA" w:rsidRPr="004012FA" w:rsidRDefault="004012FA" w:rsidP="004012FA">
            <w:pPr>
              <w:spacing w:afterLines="120" w:after="288" w:line="240" w:lineRule="auto"/>
              <w:ind w:left="462" w:right="380"/>
              <w:jc w:val="center"/>
              <w:rPr>
                <w:sz w:val="22"/>
                <w:szCs w:val="22"/>
                <w:lang w:val="en-US"/>
              </w:rPr>
            </w:pPr>
            <w:r w:rsidRPr="004012FA">
              <w:rPr>
                <w:sz w:val="22"/>
                <w:szCs w:val="22"/>
                <w:lang w:val="en-US"/>
              </w:rPr>
              <w:lastRenderedPageBreak/>
              <w:t>Belief that others following the law most of the time</w:t>
            </w:r>
          </w:p>
        </w:tc>
        <w:tc>
          <w:tcPr>
            <w:tcW w:w="3260" w:type="pct"/>
            <w:tcBorders>
              <w:left w:val="nil"/>
              <w:right w:val="nil"/>
            </w:tcBorders>
            <w:vAlign w:val="center"/>
          </w:tcPr>
          <w:p w14:paraId="386C00CE" w14:textId="4396DFE9" w:rsidR="004012FA" w:rsidRPr="004012FA" w:rsidRDefault="004012FA" w:rsidP="004012FA">
            <w:pPr>
              <w:spacing w:after="120" w:line="240" w:lineRule="auto"/>
              <w:ind w:left="462" w:right="380"/>
              <w:jc w:val="center"/>
              <w:rPr>
                <w:sz w:val="22"/>
                <w:szCs w:val="22"/>
                <w:lang w:val="en-US"/>
              </w:rPr>
            </w:pPr>
            <w:r w:rsidRPr="004012FA">
              <w:rPr>
                <w:sz w:val="22"/>
                <w:szCs w:val="22"/>
                <w:lang w:val="en-US"/>
              </w:rPr>
              <w:t>A belief that others in a regime are breaking the law or ‘getting away’ with bad behavior reduces motivation</w:t>
            </w:r>
            <w:r w:rsidR="00FE3C2F">
              <w:rPr>
                <w:sz w:val="22"/>
                <w:szCs w:val="22"/>
                <w:lang w:val="en-US"/>
              </w:rPr>
              <w:t>.</w:t>
            </w:r>
            <w:r w:rsidR="00FE3C2F" w:rsidRPr="00B2206F">
              <w:rPr>
                <w:rStyle w:val="FootnoteReference"/>
              </w:rPr>
              <w:footnoteReference w:id="19"/>
            </w:r>
          </w:p>
        </w:tc>
      </w:tr>
    </w:tbl>
    <w:p w14:paraId="74D314D8" w14:textId="77777777" w:rsidR="00FE3C2F" w:rsidRDefault="00FE3C2F" w:rsidP="00D338BA">
      <w:pPr>
        <w:pStyle w:val="Heading3"/>
      </w:pPr>
    </w:p>
    <w:p w14:paraId="3204DA2C" w14:textId="16A28B9F" w:rsidR="00D338BA" w:rsidRPr="00FB737D" w:rsidRDefault="00400352" w:rsidP="00D338BA">
      <w:pPr>
        <w:pStyle w:val="Heading3"/>
      </w:pPr>
      <w:r>
        <w:t xml:space="preserve">2. </w:t>
      </w:r>
      <w:r w:rsidR="00D338BA" w:rsidRPr="00FB737D">
        <w:t>Administration</w:t>
      </w:r>
    </w:p>
    <w:p w14:paraId="7F329ECD" w14:textId="2AB36AFF" w:rsidR="00D338BA" w:rsidRPr="0044695B" w:rsidRDefault="00D338BA" w:rsidP="00D338BA">
      <w:pPr>
        <w:ind w:right="380"/>
        <w:rPr>
          <w:lang w:val="en-US"/>
        </w:rPr>
      </w:pPr>
      <w:r w:rsidRPr="0044695B">
        <w:rPr>
          <w:lang w:val="en-US"/>
        </w:rPr>
        <w:t>Firms for the population frame were found using a key word search on LinkedIn company pages</w:t>
      </w:r>
      <w:r w:rsidR="005056A4">
        <w:rPr>
          <w:lang w:val="en-US"/>
        </w:rPr>
        <w:t>.</w:t>
      </w:r>
      <w:r w:rsidR="00795C88" w:rsidRPr="00B2206F">
        <w:rPr>
          <w:rStyle w:val="FootnoteReference"/>
        </w:rPr>
        <w:footnoteReference w:id="20"/>
      </w:r>
      <w:r w:rsidRPr="0044695B">
        <w:rPr>
          <w:lang w:val="en-US"/>
        </w:rPr>
        <w:t xml:space="preserve"> Firms were included if they: described themselves as a fintech firm or as working extensively with a technology the FCA has included in its description of fintech; are registered with Companies House (the UK’s business registry); are active i.e. not dormant or dissolved; are engaged in activities which would feasibly be subject to financial conduct regulation e.g. excluding software companies; and have a public email address.</w:t>
      </w:r>
    </w:p>
    <w:p w14:paraId="54030FFD" w14:textId="3422B83D" w:rsidR="00D338BA" w:rsidRPr="0044695B" w:rsidRDefault="00D338BA" w:rsidP="003141B3">
      <w:pPr>
        <w:ind w:right="380" w:firstLine="720"/>
        <w:rPr>
          <w:lang w:val="en-US"/>
        </w:rPr>
      </w:pPr>
      <w:r w:rsidRPr="0044695B">
        <w:rPr>
          <w:lang w:val="en-US"/>
        </w:rPr>
        <w:t>The questionnaire was administered using the Total Design Method.</w:t>
      </w:r>
      <w:r w:rsidR="005056A4" w:rsidRPr="005056A4">
        <w:rPr>
          <w:rStyle w:val="FootnoteReference"/>
        </w:rPr>
        <w:t xml:space="preserve"> </w:t>
      </w:r>
      <w:r w:rsidR="005056A4" w:rsidRPr="00B2206F">
        <w:rPr>
          <w:rStyle w:val="FootnoteReference"/>
        </w:rPr>
        <w:footnoteReference w:id="21"/>
      </w:r>
      <w:r w:rsidR="00795C88" w:rsidRPr="00B2206F">
        <w:rPr>
          <w:rStyle w:val="FootnoteReference"/>
        </w:rPr>
        <w:footnoteReference w:id="22"/>
      </w:r>
      <w:r w:rsidR="00795C88" w:rsidRPr="0044695B">
        <w:rPr>
          <w:lang w:val="en-US"/>
        </w:rPr>
        <w:t xml:space="preserve"> </w:t>
      </w:r>
      <w:r w:rsidRPr="0044695B">
        <w:rPr>
          <w:lang w:val="en-US"/>
        </w:rPr>
        <w:t>Despite these efforts, a low response rate (29) justified additional snowball sampling. At that point, I had begun the interview portion of the study. I would ask respondents from interviews to recommend other contacts, leading to the recruitment of eight more respondents (37).</w:t>
      </w:r>
      <w:r w:rsidR="00463843">
        <w:rPr>
          <w:lang w:val="en-US"/>
        </w:rPr>
        <w:t xml:space="preserve"> Two were from the same firm, thus the final number of firms was 36.</w:t>
      </w:r>
    </w:p>
    <w:p w14:paraId="14893DF2" w14:textId="5C8918CA" w:rsidR="00D338BA" w:rsidRPr="00FB737D" w:rsidRDefault="00400352" w:rsidP="00D338BA">
      <w:pPr>
        <w:pStyle w:val="Heading3"/>
      </w:pPr>
      <w:r>
        <w:lastRenderedPageBreak/>
        <w:t xml:space="preserve">3. </w:t>
      </w:r>
      <w:r w:rsidR="00D338BA" w:rsidRPr="00FB737D">
        <w:t>Data cleaning and analysis</w:t>
      </w:r>
    </w:p>
    <w:p w14:paraId="701A2901" w14:textId="77777777" w:rsidR="00D338BA" w:rsidRPr="0044695B" w:rsidRDefault="00D338BA" w:rsidP="00D338BA">
      <w:pPr>
        <w:ind w:right="380"/>
        <w:rPr>
          <w:lang w:val="en-US"/>
        </w:rPr>
      </w:pPr>
      <w:r w:rsidRPr="0044695B">
        <w:rPr>
          <w:lang w:val="en-US"/>
        </w:rPr>
        <w:t xml:space="preserve">There was some missing data on reputational questions. Three responses which were completely missing reputational data were excluded. Where respondents were missing one or two questions in the Bureaucratic Reputation Scale, multiple forms of imputation were tested. Analysis found no significant difference in means. Seven respondents did not answer the question about willingness to apply. These were excluded from analysis about potential effects of reputation on motivation (as it was deemed that no reasonable imputation could be conducted). An additional data cleaning step was to combine two responses from the same company, using an additive aggregation method. </w:t>
      </w:r>
    </w:p>
    <w:p w14:paraId="36A3FF21" w14:textId="77777777" w:rsidR="00D338BA" w:rsidRDefault="00D338BA" w:rsidP="003141B3">
      <w:pPr>
        <w:ind w:right="380" w:firstLine="720"/>
        <w:rPr>
          <w:lang w:val="en-US"/>
        </w:rPr>
      </w:pPr>
      <w:r w:rsidRPr="0044695B">
        <w:rPr>
          <w:lang w:val="en-US"/>
        </w:rPr>
        <w:t xml:space="preserve">I compared the makeup of the sample to the characteristics of the population frame. Not all details known about firms in the sample are publicly available and cannot be compared. Some characteristics are comparable between population and </w:t>
      </w:r>
      <w:r>
        <w:rPr>
          <w:lang w:val="en-US"/>
        </w:rPr>
        <w:t>sample</w:t>
      </w:r>
      <w:r w:rsidRPr="0044695B">
        <w:rPr>
          <w:lang w:val="en-US"/>
        </w:rPr>
        <w:t>: firm age (</w:t>
      </w:r>
      <w:r w:rsidRPr="0044695B">
        <w:rPr>
          <w:i/>
          <w:iCs/>
          <w:lang w:val="en-US"/>
        </w:rPr>
        <w:t>M =</w:t>
      </w:r>
      <w:r w:rsidRPr="0044695B">
        <w:rPr>
          <w:lang w:val="en-US"/>
        </w:rPr>
        <w:t xml:space="preserve">7.4/7.1 years), ownership model (majority private limited companies), and location (majority English). The proportion of firms with fewer than 50 employees in the sample mirrors the proportion in the population. However, the sample slightly overrepresents very small firms (under 11 employees) and includes no large firms and few older firms (see Table 3). After producing descriptive statistics of all variables, I compared differences in </w:t>
      </w:r>
      <w:r>
        <w:rPr>
          <w:lang w:val="en-US"/>
        </w:rPr>
        <w:t xml:space="preserve">willingness to apply </w:t>
      </w:r>
      <w:r w:rsidRPr="0044695B">
        <w:rPr>
          <w:lang w:val="en-US"/>
        </w:rPr>
        <w:t xml:space="preserve">among different groups in the sample (Table 4).  </w:t>
      </w:r>
    </w:p>
    <w:p w14:paraId="4C7F60E4" w14:textId="3302CDC2" w:rsidR="00D338BA" w:rsidRDefault="00D338BA" w:rsidP="003141B3">
      <w:pPr>
        <w:spacing w:after="0"/>
        <w:ind w:right="380" w:firstLine="720"/>
        <w:rPr>
          <w:lang w:val="en-US"/>
        </w:rPr>
      </w:pPr>
      <w:r w:rsidRPr="0044695B">
        <w:rPr>
          <w:lang w:val="en-US"/>
        </w:rPr>
        <w:t>The sample size</w:t>
      </w:r>
      <w:r>
        <w:rPr>
          <w:lang w:val="en-US"/>
        </w:rPr>
        <w:t xml:space="preserve"> of the questionnaire, however, </w:t>
      </w:r>
      <w:r w:rsidRPr="0044695B">
        <w:rPr>
          <w:lang w:val="en-US"/>
        </w:rPr>
        <w:t xml:space="preserve">is too small to draw robust inferences. </w:t>
      </w:r>
      <w:r>
        <w:rPr>
          <w:lang w:val="en-US"/>
        </w:rPr>
        <w:t>It</w:t>
      </w:r>
      <w:r w:rsidRPr="0044695B">
        <w:rPr>
          <w:lang w:val="en-US"/>
        </w:rPr>
        <w:t xml:space="preserve"> does not provide adequate power for models with several controls. Survey results were, therefore, only used descriptively in reporting findings. </w:t>
      </w:r>
    </w:p>
    <w:p w14:paraId="66CA109D" w14:textId="77777777" w:rsidR="004012FA" w:rsidRPr="004012FA" w:rsidRDefault="004012FA" w:rsidP="005056A4">
      <w:pPr>
        <w:keepNext/>
        <w:spacing w:before="240"/>
        <w:ind w:right="380"/>
        <w:outlineLvl w:val="2"/>
        <w:rPr>
          <w:rFonts w:eastAsia="Times New Roman"/>
          <w:color w:val="000000"/>
          <w:lang w:val="en-US" w:eastAsia="en-GB"/>
        </w:rPr>
      </w:pPr>
      <w:r w:rsidRPr="004012FA">
        <w:rPr>
          <w:rFonts w:eastAsia="Times New Roman"/>
          <w:color w:val="000000"/>
          <w:lang w:val="en-US" w:eastAsia="en-GB"/>
        </w:rPr>
        <w:lastRenderedPageBreak/>
        <w:t xml:space="preserve">TABLE 3 – </w:t>
      </w:r>
      <w:bookmarkStart w:id="2" w:name="_Hlk57713009"/>
      <w:r w:rsidRPr="004012FA">
        <w:rPr>
          <w:rFonts w:eastAsia="Times New Roman"/>
          <w:color w:val="000000"/>
          <w:lang w:val="en-US" w:eastAsia="en-GB"/>
        </w:rPr>
        <w:t>Representativeness of sample</w:t>
      </w:r>
    </w:p>
    <w:tbl>
      <w:tblPr>
        <w:tblStyle w:val="TableGrid1"/>
        <w:tblW w:w="6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1256"/>
        <w:gridCol w:w="1550"/>
      </w:tblGrid>
      <w:tr w:rsidR="004012FA" w:rsidRPr="004012FA" w14:paraId="6F09C2FC" w14:textId="77777777" w:rsidTr="006F6815">
        <w:trPr>
          <w:jc w:val="center"/>
        </w:trPr>
        <w:tc>
          <w:tcPr>
            <w:tcW w:w="4110" w:type="dxa"/>
            <w:tcBorders>
              <w:top w:val="single" w:sz="4" w:space="0" w:color="auto"/>
              <w:bottom w:val="single" w:sz="4" w:space="0" w:color="auto"/>
            </w:tcBorders>
          </w:tcPr>
          <w:p w14:paraId="70EC4CE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Firm staff</w:t>
            </w:r>
          </w:p>
          <w:p w14:paraId="344EF9AF"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0-50</w:t>
            </w:r>
          </w:p>
          <w:p w14:paraId="54CD783A"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50+</w:t>
            </w:r>
          </w:p>
          <w:p w14:paraId="698A381D"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NA</w:t>
            </w:r>
          </w:p>
        </w:tc>
        <w:tc>
          <w:tcPr>
            <w:tcW w:w="1134" w:type="dxa"/>
            <w:tcBorders>
              <w:top w:val="single" w:sz="4" w:space="0" w:color="auto"/>
              <w:bottom w:val="single" w:sz="4" w:space="0" w:color="auto"/>
            </w:tcBorders>
          </w:tcPr>
          <w:p w14:paraId="769791B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Sample</w:t>
            </w:r>
          </w:p>
          <w:p w14:paraId="2FBE09E0"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71%</w:t>
            </w:r>
          </w:p>
          <w:p w14:paraId="288D9B89"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11%</w:t>
            </w:r>
          </w:p>
          <w:p w14:paraId="5B94A35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17%</w:t>
            </w:r>
          </w:p>
        </w:tc>
        <w:tc>
          <w:tcPr>
            <w:tcW w:w="1417" w:type="dxa"/>
            <w:tcBorders>
              <w:top w:val="single" w:sz="4" w:space="0" w:color="auto"/>
              <w:bottom w:val="single" w:sz="4" w:space="0" w:color="auto"/>
            </w:tcBorders>
          </w:tcPr>
          <w:p w14:paraId="704B593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Population</w:t>
            </w:r>
          </w:p>
          <w:p w14:paraId="15AB2CB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72%</w:t>
            </w:r>
          </w:p>
          <w:p w14:paraId="62DF1AC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28%</w:t>
            </w:r>
          </w:p>
          <w:p w14:paraId="241259B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w:t>
            </w:r>
          </w:p>
        </w:tc>
      </w:tr>
      <w:tr w:rsidR="004012FA" w:rsidRPr="004012FA" w14:paraId="18AF868F" w14:textId="77777777" w:rsidTr="006F6815">
        <w:trPr>
          <w:jc w:val="center"/>
        </w:trPr>
        <w:tc>
          <w:tcPr>
            <w:tcW w:w="4110" w:type="dxa"/>
            <w:tcBorders>
              <w:top w:val="single" w:sz="4" w:space="0" w:color="auto"/>
              <w:bottom w:val="single" w:sz="4" w:space="0" w:color="auto"/>
            </w:tcBorders>
          </w:tcPr>
          <w:p w14:paraId="648A2C24"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Firm country</w:t>
            </w:r>
          </w:p>
          <w:p w14:paraId="23CC3ED1"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England</w:t>
            </w:r>
          </w:p>
          <w:p w14:paraId="6D929451"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Scotland</w:t>
            </w:r>
          </w:p>
          <w:p w14:paraId="2B50D0B4"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Wales</w:t>
            </w:r>
          </w:p>
          <w:p w14:paraId="566344CF"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Northern Ireland</w:t>
            </w:r>
          </w:p>
          <w:p w14:paraId="3953949D"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Isle of Man</w:t>
            </w:r>
          </w:p>
          <w:p w14:paraId="56791596"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NA</w:t>
            </w:r>
          </w:p>
        </w:tc>
        <w:tc>
          <w:tcPr>
            <w:tcW w:w="1134" w:type="dxa"/>
            <w:tcBorders>
              <w:top w:val="single" w:sz="4" w:space="0" w:color="auto"/>
              <w:bottom w:val="single" w:sz="4" w:space="0" w:color="auto"/>
            </w:tcBorders>
          </w:tcPr>
          <w:p w14:paraId="7E3E116D" w14:textId="77777777" w:rsidR="004012FA" w:rsidRPr="004012FA" w:rsidRDefault="004012FA" w:rsidP="004012FA">
            <w:pPr>
              <w:spacing w:afterLines="120" w:after="288" w:line="240" w:lineRule="auto"/>
              <w:ind w:right="380"/>
              <w:rPr>
                <w:sz w:val="22"/>
                <w:szCs w:val="22"/>
                <w:lang w:val="en-US"/>
              </w:rPr>
            </w:pPr>
          </w:p>
          <w:p w14:paraId="2E2F7F0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71%</w:t>
            </w:r>
          </w:p>
          <w:p w14:paraId="6F2A0AA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w:t>
            </w:r>
          </w:p>
          <w:p w14:paraId="3AE8CA2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0FA0B15C"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22C0D2D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5A645ED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23%</w:t>
            </w:r>
          </w:p>
        </w:tc>
        <w:tc>
          <w:tcPr>
            <w:tcW w:w="1417" w:type="dxa"/>
            <w:tcBorders>
              <w:top w:val="single" w:sz="4" w:space="0" w:color="auto"/>
              <w:bottom w:val="single" w:sz="4" w:space="0" w:color="auto"/>
            </w:tcBorders>
          </w:tcPr>
          <w:p w14:paraId="57971973" w14:textId="77777777" w:rsidR="004012FA" w:rsidRPr="004012FA" w:rsidRDefault="004012FA" w:rsidP="004012FA">
            <w:pPr>
              <w:spacing w:afterLines="120" w:after="288" w:line="240" w:lineRule="auto"/>
              <w:ind w:right="380"/>
              <w:rPr>
                <w:sz w:val="22"/>
                <w:szCs w:val="22"/>
                <w:lang w:val="en-US"/>
              </w:rPr>
            </w:pPr>
          </w:p>
          <w:p w14:paraId="5AB8253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96.9%</w:t>
            </w:r>
          </w:p>
          <w:p w14:paraId="6578CA6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1.5%</w:t>
            </w:r>
          </w:p>
          <w:p w14:paraId="65F8E0CC"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1.2%</w:t>
            </w:r>
          </w:p>
          <w:p w14:paraId="17D4F21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0.2%</w:t>
            </w:r>
          </w:p>
          <w:p w14:paraId="5F58191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0.2%</w:t>
            </w:r>
          </w:p>
          <w:p w14:paraId="51C8A00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w:t>
            </w:r>
          </w:p>
        </w:tc>
      </w:tr>
      <w:tr w:rsidR="004012FA" w:rsidRPr="004012FA" w14:paraId="68B75627" w14:textId="77777777" w:rsidTr="006F6815">
        <w:trPr>
          <w:jc w:val="center"/>
        </w:trPr>
        <w:tc>
          <w:tcPr>
            <w:tcW w:w="4110" w:type="dxa"/>
            <w:tcBorders>
              <w:top w:val="single" w:sz="4" w:space="0" w:color="auto"/>
              <w:bottom w:val="single" w:sz="4" w:space="0" w:color="auto"/>
            </w:tcBorders>
          </w:tcPr>
          <w:p w14:paraId="20C9CBE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Located in city with FCA </w:t>
            </w:r>
            <w:proofErr w:type="gramStart"/>
            <w:r w:rsidRPr="004012FA">
              <w:rPr>
                <w:sz w:val="22"/>
                <w:szCs w:val="22"/>
                <w:lang w:val="en-US"/>
              </w:rPr>
              <w:t>office</w:t>
            </w:r>
            <w:proofErr w:type="gramEnd"/>
            <w:r w:rsidRPr="004012FA">
              <w:rPr>
                <w:sz w:val="22"/>
                <w:szCs w:val="22"/>
                <w:lang w:val="en-US"/>
              </w:rPr>
              <w:t> </w:t>
            </w:r>
          </w:p>
          <w:p w14:paraId="78A0405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(London or Edinburgh?)</w:t>
            </w:r>
          </w:p>
          <w:p w14:paraId="36D17198"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yes</w:t>
            </w:r>
          </w:p>
          <w:p w14:paraId="1BFFB75A"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no</w:t>
            </w:r>
          </w:p>
          <w:p w14:paraId="3C29B716"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NA</w:t>
            </w:r>
          </w:p>
        </w:tc>
        <w:tc>
          <w:tcPr>
            <w:tcW w:w="1134" w:type="dxa"/>
            <w:tcBorders>
              <w:top w:val="single" w:sz="4" w:space="0" w:color="auto"/>
              <w:bottom w:val="single" w:sz="4" w:space="0" w:color="auto"/>
            </w:tcBorders>
          </w:tcPr>
          <w:p w14:paraId="27619418" w14:textId="77777777" w:rsidR="004012FA" w:rsidRPr="004012FA" w:rsidRDefault="004012FA" w:rsidP="004012FA">
            <w:pPr>
              <w:spacing w:afterLines="120" w:after="288" w:line="240" w:lineRule="auto"/>
              <w:ind w:right="380"/>
              <w:rPr>
                <w:sz w:val="22"/>
                <w:szCs w:val="22"/>
                <w:lang w:val="en-US"/>
              </w:rPr>
            </w:pPr>
          </w:p>
          <w:p w14:paraId="657B3309" w14:textId="77777777" w:rsidR="004012FA" w:rsidRPr="004012FA" w:rsidRDefault="004012FA" w:rsidP="004012FA">
            <w:pPr>
              <w:spacing w:afterLines="120" w:after="288" w:line="240" w:lineRule="auto"/>
              <w:ind w:right="380"/>
              <w:rPr>
                <w:sz w:val="22"/>
                <w:szCs w:val="22"/>
                <w:lang w:val="en-US"/>
              </w:rPr>
            </w:pPr>
          </w:p>
          <w:p w14:paraId="4261C3B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66%</w:t>
            </w:r>
          </w:p>
          <w:p w14:paraId="3B9D854A"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11%</w:t>
            </w:r>
          </w:p>
          <w:p w14:paraId="250F4ADD"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23%</w:t>
            </w:r>
          </w:p>
        </w:tc>
        <w:tc>
          <w:tcPr>
            <w:tcW w:w="1417" w:type="dxa"/>
            <w:tcBorders>
              <w:top w:val="single" w:sz="4" w:space="0" w:color="auto"/>
              <w:bottom w:val="single" w:sz="4" w:space="0" w:color="auto"/>
            </w:tcBorders>
          </w:tcPr>
          <w:p w14:paraId="56B7D81A" w14:textId="77777777" w:rsidR="004012FA" w:rsidRPr="004012FA" w:rsidRDefault="004012FA" w:rsidP="004012FA">
            <w:pPr>
              <w:spacing w:afterLines="120" w:after="288" w:line="240" w:lineRule="auto"/>
              <w:ind w:right="380"/>
              <w:rPr>
                <w:sz w:val="22"/>
                <w:szCs w:val="22"/>
                <w:lang w:val="en-US"/>
              </w:rPr>
            </w:pPr>
          </w:p>
          <w:p w14:paraId="65EA32C9" w14:textId="77777777" w:rsidR="004012FA" w:rsidRPr="004012FA" w:rsidRDefault="004012FA" w:rsidP="004012FA">
            <w:pPr>
              <w:spacing w:afterLines="120" w:after="288" w:line="240" w:lineRule="auto"/>
              <w:ind w:right="380"/>
              <w:rPr>
                <w:sz w:val="22"/>
                <w:szCs w:val="22"/>
                <w:lang w:val="en-US"/>
              </w:rPr>
            </w:pPr>
          </w:p>
          <w:p w14:paraId="64AB44F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73.2%</w:t>
            </w:r>
          </w:p>
          <w:p w14:paraId="198108C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26.8%</w:t>
            </w:r>
          </w:p>
          <w:p w14:paraId="06398BDD"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w:t>
            </w:r>
          </w:p>
        </w:tc>
      </w:tr>
      <w:tr w:rsidR="004012FA" w:rsidRPr="004012FA" w14:paraId="380BD792" w14:textId="77777777" w:rsidTr="006F6815">
        <w:trPr>
          <w:jc w:val="center"/>
        </w:trPr>
        <w:tc>
          <w:tcPr>
            <w:tcW w:w="4110" w:type="dxa"/>
            <w:tcBorders>
              <w:top w:val="single" w:sz="4" w:space="0" w:color="auto"/>
              <w:bottom w:val="single" w:sz="4" w:space="0" w:color="auto"/>
            </w:tcBorders>
          </w:tcPr>
          <w:p w14:paraId="5C71113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Ownership model</w:t>
            </w:r>
          </w:p>
          <w:p w14:paraId="78ADB51B"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private</w:t>
            </w:r>
          </w:p>
          <w:p w14:paraId="3B09B602"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limited partnership</w:t>
            </w:r>
          </w:p>
          <w:p w14:paraId="7E984576"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other</w:t>
            </w:r>
          </w:p>
          <w:p w14:paraId="32ADBECC" w14:textId="77777777" w:rsidR="004012FA" w:rsidRPr="004012FA" w:rsidRDefault="004012FA" w:rsidP="004012FA">
            <w:pPr>
              <w:spacing w:afterLines="120" w:after="288" w:line="240" w:lineRule="auto"/>
              <w:ind w:left="720" w:right="380"/>
              <w:jc w:val="right"/>
              <w:rPr>
                <w:sz w:val="22"/>
                <w:szCs w:val="22"/>
                <w:lang w:val="en-US"/>
              </w:rPr>
            </w:pPr>
            <w:r w:rsidRPr="004012FA">
              <w:rPr>
                <w:sz w:val="22"/>
                <w:szCs w:val="22"/>
                <w:lang w:val="en-US"/>
              </w:rPr>
              <w:t>NA</w:t>
            </w:r>
          </w:p>
        </w:tc>
        <w:tc>
          <w:tcPr>
            <w:tcW w:w="1134" w:type="dxa"/>
            <w:tcBorders>
              <w:top w:val="single" w:sz="4" w:space="0" w:color="auto"/>
              <w:bottom w:val="single" w:sz="4" w:space="0" w:color="auto"/>
            </w:tcBorders>
          </w:tcPr>
          <w:p w14:paraId="4E7D668F" w14:textId="77777777" w:rsidR="004012FA" w:rsidRPr="004012FA" w:rsidRDefault="004012FA" w:rsidP="004012FA">
            <w:pPr>
              <w:spacing w:afterLines="120" w:after="288" w:line="240" w:lineRule="auto"/>
              <w:ind w:right="380"/>
              <w:rPr>
                <w:sz w:val="22"/>
                <w:szCs w:val="22"/>
                <w:lang w:val="en-US"/>
              </w:rPr>
            </w:pPr>
          </w:p>
          <w:p w14:paraId="3BD45C9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77%</w:t>
            </w:r>
          </w:p>
          <w:p w14:paraId="5CF18C49"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w:t>
            </w:r>
          </w:p>
          <w:p w14:paraId="399FAE8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3DF73AF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22%</w:t>
            </w:r>
          </w:p>
        </w:tc>
        <w:tc>
          <w:tcPr>
            <w:tcW w:w="1417" w:type="dxa"/>
            <w:tcBorders>
              <w:top w:val="single" w:sz="4" w:space="0" w:color="auto"/>
              <w:bottom w:val="single" w:sz="4" w:space="0" w:color="auto"/>
            </w:tcBorders>
          </w:tcPr>
          <w:p w14:paraId="509F2D31" w14:textId="77777777" w:rsidR="004012FA" w:rsidRPr="004012FA" w:rsidRDefault="004012FA" w:rsidP="004012FA">
            <w:pPr>
              <w:spacing w:afterLines="120" w:after="288" w:line="240" w:lineRule="auto"/>
              <w:ind w:right="380"/>
              <w:rPr>
                <w:sz w:val="22"/>
                <w:szCs w:val="22"/>
                <w:lang w:val="en-US"/>
              </w:rPr>
            </w:pPr>
          </w:p>
          <w:p w14:paraId="0595818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92%</w:t>
            </w:r>
          </w:p>
          <w:p w14:paraId="5395D70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3%</w:t>
            </w:r>
          </w:p>
          <w:p w14:paraId="366704F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w:t>
            </w:r>
          </w:p>
          <w:p w14:paraId="2936D81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3%</w:t>
            </w:r>
          </w:p>
        </w:tc>
      </w:tr>
      <w:bookmarkEnd w:id="2"/>
    </w:tbl>
    <w:p w14:paraId="3959DC3F" w14:textId="77777777" w:rsidR="004012FA" w:rsidRPr="004012FA" w:rsidRDefault="004012FA" w:rsidP="004012FA">
      <w:pPr>
        <w:ind w:right="380"/>
        <w:rPr>
          <w:sz w:val="22"/>
          <w:szCs w:val="22"/>
          <w:lang w:val="en-US"/>
        </w:rPr>
      </w:pPr>
    </w:p>
    <w:p w14:paraId="47633F6B" w14:textId="77777777" w:rsidR="004012FA" w:rsidRPr="004012FA" w:rsidRDefault="004012FA" w:rsidP="004012FA">
      <w:pPr>
        <w:spacing w:line="259" w:lineRule="auto"/>
        <w:rPr>
          <w:sz w:val="22"/>
          <w:szCs w:val="22"/>
          <w:lang w:val="en-US"/>
        </w:rPr>
      </w:pPr>
      <w:r w:rsidRPr="004012FA">
        <w:rPr>
          <w:sz w:val="22"/>
          <w:szCs w:val="22"/>
          <w:lang w:val="en-US"/>
        </w:rPr>
        <w:br w:type="page"/>
      </w:r>
    </w:p>
    <w:p w14:paraId="4584C03E" w14:textId="77777777" w:rsidR="004012FA" w:rsidRPr="004012FA" w:rsidRDefault="004012FA" w:rsidP="004012FA">
      <w:pPr>
        <w:spacing w:afterLines="120" w:after="288" w:line="259" w:lineRule="auto"/>
        <w:ind w:right="380"/>
        <w:outlineLvl w:val="2"/>
        <w:rPr>
          <w:rFonts w:eastAsia="Times New Roman"/>
          <w:color w:val="000000"/>
          <w:lang w:val="en-US" w:eastAsia="en-GB"/>
        </w:rPr>
      </w:pPr>
      <w:bookmarkStart w:id="3" w:name="_Toc57899403"/>
      <w:r w:rsidRPr="004012FA">
        <w:rPr>
          <w:rFonts w:eastAsia="Times New Roman"/>
          <w:color w:val="000000"/>
          <w:lang w:val="en-US" w:eastAsia="en-GB"/>
        </w:rPr>
        <w:lastRenderedPageBreak/>
        <w:t xml:space="preserve">TABLE 4 – Differences in motivation to apply by sample </w:t>
      </w:r>
      <w:proofErr w:type="gramStart"/>
      <w:r w:rsidRPr="004012FA">
        <w:rPr>
          <w:rFonts w:eastAsia="Times New Roman"/>
          <w:color w:val="000000"/>
          <w:lang w:val="en-US" w:eastAsia="en-GB"/>
        </w:rPr>
        <w:t>characteristics</w:t>
      </w:r>
      <w:bookmarkEnd w:id="3"/>
      <w:proofErr w:type="gramEnd"/>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816"/>
        <w:gridCol w:w="1000"/>
        <w:gridCol w:w="2842"/>
      </w:tblGrid>
      <w:tr w:rsidR="004012FA" w:rsidRPr="004012FA" w14:paraId="2D03927A" w14:textId="77777777" w:rsidTr="006F6815">
        <w:trPr>
          <w:tblHeader/>
        </w:trPr>
        <w:tc>
          <w:tcPr>
            <w:tcW w:w="4294" w:type="dxa"/>
            <w:tcBorders>
              <w:top w:val="single" w:sz="4" w:space="0" w:color="auto"/>
              <w:bottom w:val="double" w:sz="4" w:space="0" w:color="auto"/>
            </w:tcBorders>
          </w:tcPr>
          <w:p w14:paraId="10CFD23C" w14:textId="77777777" w:rsidR="004012FA" w:rsidRPr="004012FA" w:rsidRDefault="004012FA" w:rsidP="004012FA">
            <w:pPr>
              <w:spacing w:afterLines="120" w:after="288" w:line="240" w:lineRule="auto"/>
              <w:ind w:right="380"/>
              <w:rPr>
                <w:sz w:val="22"/>
                <w:szCs w:val="22"/>
                <w:lang w:val="en-US"/>
              </w:rPr>
            </w:pPr>
            <w:bookmarkStart w:id="4" w:name="_Hlk46470819"/>
          </w:p>
        </w:tc>
        <w:tc>
          <w:tcPr>
            <w:tcW w:w="711" w:type="dxa"/>
            <w:tcBorders>
              <w:top w:val="single" w:sz="4" w:space="0" w:color="auto"/>
              <w:bottom w:val="double" w:sz="4" w:space="0" w:color="auto"/>
            </w:tcBorders>
          </w:tcPr>
          <w:p w14:paraId="0FC0F4C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N</w:t>
            </w:r>
          </w:p>
        </w:tc>
        <w:tc>
          <w:tcPr>
            <w:tcW w:w="886" w:type="dxa"/>
            <w:tcBorders>
              <w:top w:val="single" w:sz="4" w:space="0" w:color="auto"/>
              <w:bottom w:val="double" w:sz="4" w:space="0" w:color="auto"/>
            </w:tcBorders>
          </w:tcPr>
          <w:p w14:paraId="787A695A"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w:t>
            </w:r>
          </w:p>
        </w:tc>
        <w:tc>
          <w:tcPr>
            <w:tcW w:w="3135" w:type="dxa"/>
            <w:tcBorders>
              <w:top w:val="single" w:sz="4" w:space="0" w:color="auto"/>
              <w:bottom w:val="double" w:sz="4" w:space="0" w:color="auto"/>
            </w:tcBorders>
          </w:tcPr>
          <w:p w14:paraId="0B28885A" w14:textId="77777777" w:rsidR="004012FA" w:rsidRPr="004012FA" w:rsidRDefault="004012FA" w:rsidP="004012FA">
            <w:pPr>
              <w:spacing w:line="240" w:lineRule="auto"/>
              <w:ind w:right="380"/>
              <w:rPr>
                <w:sz w:val="22"/>
                <w:szCs w:val="22"/>
                <w:lang w:val="en-US"/>
              </w:rPr>
            </w:pPr>
            <w:r w:rsidRPr="004012FA">
              <w:rPr>
                <w:sz w:val="22"/>
                <w:szCs w:val="22"/>
                <w:lang w:val="en-US"/>
              </w:rPr>
              <w:t>Difference in DV mean by group</w:t>
            </w:r>
          </w:p>
        </w:tc>
      </w:tr>
      <w:bookmarkEnd w:id="4"/>
      <w:tr w:rsidR="004012FA" w:rsidRPr="004012FA" w14:paraId="3745929D" w14:textId="77777777" w:rsidTr="006F6815">
        <w:tc>
          <w:tcPr>
            <w:tcW w:w="4294" w:type="dxa"/>
          </w:tcPr>
          <w:p w14:paraId="7D172B7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Current or former sandbox participant</w:t>
            </w:r>
          </w:p>
        </w:tc>
        <w:tc>
          <w:tcPr>
            <w:tcW w:w="711" w:type="dxa"/>
          </w:tcPr>
          <w:p w14:paraId="7CEC13BA" w14:textId="77777777" w:rsidR="004012FA" w:rsidRPr="004012FA" w:rsidRDefault="004012FA" w:rsidP="004012FA">
            <w:pPr>
              <w:spacing w:afterLines="120" w:after="288" w:line="240" w:lineRule="auto"/>
              <w:ind w:right="380"/>
              <w:rPr>
                <w:sz w:val="22"/>
                <w:szCs w:val="22"/>
                <w:lang w:val="en-US"/>
              </w:rPr>
            </w:pPr>
          </w:p>
        </w:tc>
        <w:tc>
          <w:tcPr>
            <w:tcW w:w="886" w:type="dxa"/>
          </w:tcPr>
          <w:p w14:paraId="07BDC521" w14:textId="77777777" w:rsidR="004012FA" w:rsidRPr="004012FA" w:rsidRDefault="004012FA" w:rsidP="004012FA">
            <w:pPr>
              <w:spacing w:afterLines="120" w:after="288" w:line="240" w:lineRule="auto"/>
              <w:ind w:right="380"/>
              <w:rPr>
                <w:sz w:val="22"/>
                <w:szCs w:val="22"/>
                <w:lang w:val="en-US"/>
              </w:rPr>
            </w:pPr>
          </w:p>
        </w:tc>
        <w:tc>
          <w:tcPr>
            <w:tcW w:w="3135" w:type="dxa"/>
          </w:tcPr>
          <w:p w14:paraId="16402E86" w14:textId="77777777" w:rsidR="004012FA" w:rsidRPr="004012FA" w:rsidRDefault="004012FA" w:rsidP="004012FA">
            <w:pPr>
              <w:spacing w:afterLines="120" w:after="288" w:line="240" w:lineRule="auto"/>
              <w:ind w:right="380"/>
              <w:rPr>
                <w:sz w:val="22"/>
                <w:szCs w:val="22"/>
                <w:lang w:val="en-US"/>
              </w:rPr>
            </w:pPr>
          </w:p>
        </w:tc>
      </w:tr>
      <w:tr w:rsidR="004012FA" w:rsidRPr="004012FA" w14:paraId="310695D1" w14:textId="77777777" w:rsidTr="006F6815">
        <w:tc>
          <w:tcPr>
            <w:tcW w:w="4294" w:type="dxa"/>
          </w:tcPr>
          <w:p w14:paraId="031652E7"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 xml:space="preserve">yes </w:t>
            </w:r>
          </w:p>
        </w:tc>
        <w:tc>
          <w:tcPr>
            <w:tcW w:w="711" w:type="dxa"/>
          </w:tcPr>
          <w:p w14:paraId="0A770E6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w:t>
            </w:r>
          </w:p>
        </w:tc>
        <w:tc>
          <w:tcPr>
            <w:tcW w:w="886" w:type="dxa"/>
          </w:tcPr>
          <w:p w14:paraId="147179B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17%</w:t>
            </w:r>
          </w:p>
        </w:tc>
        <w:tc>
          <w:tcPr>
            <w:tcW w:w="3135" w:type="dxa"/>
          </w:tcPr>
          <w:p w14:paraId="60582815"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Welch Two Sample t-test </w:t>
            </w:r>
          </w:p>
        </w:tc>
      </w:tr>
      <w:tr w:rsidR="004012FA" w:rsidRPr="004012FA" w14:paraId="42056207" w14:textId="77777777" w:rsidTr="006F6815">
        <w:trPr>
          <w:trHeight w:val="650"/>
        </w:trPr>
        <w:tc>
          <w:tcPr>
            <w:tcW w:w="4294" w:type="dxa"/>
            <w:tcBorders>
              <w:bottom w:val="single" w:sz="4" w:space="0" w:color="auto"/>
            </w:tcBorders>
          </w:tcPr>
          <w:p w14:paraId="64AE4F89"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no</w:t>
            </w:r>
          </w:p>
          <w:p w14:paraId="0E2E2818"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bottom w:val="single" w:sz="4" w:space="0" w:color="auto"/>
            </w:tcBorders>
          </w:tcPr>
          <w:p w14:paraId="1BC4D4B9"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22</w:t>
            </w:r>
          </w:p>
          <w:p w14:paraId="692172E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w:t>
            </w:r>
          </w:p>
        </w:tc>
        <w:tc>
          <w:tcPr>
            <w:tcW w:w="886" w:type="dxa"/>
            <w:tcBorders>
              <w:bottom w:val="single" w:sz="4" w:space="0" w:color="auto"/>
            </w:tcBorders>
          </w:tcPr>
          <w:p w14:paraId="4342F75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88%</w:t>
            </w:r>
          </w:p>
          <w:p w14:paraId="7B18A1F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20%</w:t>
            </w:r>
          </w:p>
        </w:tc>
        <w:tc>
          <w:tcPr>
            <w:tcW w:w="3135" w:type="dxa"/>
            <w:tcBorders>
              <w:bottom w:val="single" w:sz="4" w:space="0" w:color="auto"/>
            </w:tcBorders>
          </w:tcPr>
          <w:p w14:paraId="7B0B8D19"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 = .0012</w:t>
            </w:r>
          </w:p>
          <w:p w14:paraId="0530F3CB" w14:textId="77777777" w:rsidR="004012FA" w:rsidRPr="004012FA" w:rsidRDefault="004012FA" w:rsidP="004012FA">
            <w:pPr>
              <w:spacing w:afterLines="120" w:after="288" w:line="240" w:lineRule="auto"/>
              <w:ind w:right="380"/>
              <w:rPr>
                <w:sz w:val="22"/>
                <w:szCs w:val="22"/>
                <w:lang w:val="en-US"/>
              </w:rPr>
            </w:pPr>
          </w:p>
        </w:tc>
      </w:tr>
      <w:tr w:rsidR="004012FA" w:rsidRPr="004012FA" w14:paraId="1E454F9E" w14:textId="77777777" w:rsidTr="006F6815">
        <w:tc>
          <w:tcPr>
            <w:tcW w:w="4294" w:type="dxa"/>
            <w:tcBorders>
              <w:top w:val="single" w:sz="4" w:space="0" w:color="auto"/>
              <w:bottom w:val="single" w:sz="4" w:space="0" w:color="auto"/>
            </w:tcBorders>
          </w:tcPr>
          <w:p w14:paraId="638E719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Firm turnover</w:t>
            </w:r>
          </w:p>
          <w:p w14:paraId="6AA9BAC0"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less than one million</w:t>
            </w:r>
          </w:p>
          <w:p w14:paraId="0C6E375D"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one million or more</w:t>
            </w:r>
          </w:p>
          <w:p w14:paraId="7B4E9591"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10CCD104" w14:textId="77777777" w:rsidR="004012FA" w:rsidRPr="004012FA" w:rsidRDefault="004012FA" w:rsidP="004012FA">
            <w:pPr>
              <w:spacing w:afterLines="120" w:after="288" w:line="240" w:lineRule="auto"/>
              <w:ind w:right="380"/>
              <w:rPr>
                <w:sz w:val="22"/>
                <w:szCs w:val="22"/>
                <w:lang w:val="en-US"/>
              </w:rPr>
            </w:pPr>
          </w:p>
          <w:p w14:paraId="1C7B4B5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20</w:t>
            </w:r>
          </w:p>
          <w:p w14:paraId="4105132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8</w:t>
            </w:r>
          </w:p>
          <w:p w14:paraId="7ABBB55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w:t>
            </w:r>
          </w:p>
        </w:tc>
        <w:tc>
          <w:tcPr>
            <w:tcW w:w="886" w:type="dxa"/>
            <w:tcBorders>
              <w:top w:val="single" w:sz="4" w:space="0" w:color="auto"/>
              <w:bottom w:val="single" w:sz="4" w:space="0" w:color="auto"/>
            </w:tcBorders>
          </w:tcPr>
          <w:p w14:paraId="0E29FC4B" w14:textId="77777777" w:rsidR="004012FA" w:rsidRPr="004012FA" w:rsidRDefault="004012FA" w:rsidP="004012FA">
            <w:pPr>
              <w:spacing w:afterLines="120" w:after="288" w:line="240" w:lineRule="auto"/>
              <w:ind w:right="380"/>
              <w:rPr>
                <w:sz w:val="22"/>
                <w:szCs w:val="22"/>
                <w:lang w:val="en-US"/>
              </w:rPr>
            </w:pPr>
          </w:p>
          <w:p w14:paraId="7BC0899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57%</w:t>
            </w:r>
          </w:p>
          <w:p w14:paraId="246C00A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23%</w:t>
            </w:r>
          </w:p>
          <w:p w14:paraId="5E61347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20%</w:t>
            </w:r>
          </w:p>
        </w:tc>
        <w:tc>
          <w:tcPr>
            <w:tcW w:w="3135" w:type="dxa"/>
            <w:tcBorders>
              <w:top w:val="single" w:sz="4" w:space="0" w:color="auto"/>
              <w:bottom w:val="single" w:sz="4" w:space="0" w:color="auto"/>
            </w:tcBorders>
          </w:tcPr>
          <w:p w14:paraId="5226D5D4" w14:textId="77777777" w:rsidR="004012FA" w:rsidRPr="004012FA" w:rsidRDefault="004012FA" w:rsidP="004012FA">
            <w:pPr>
              <w:spacing w:afterLines="120" w:after="288" w:line="240" w:lineRule="auto"/>
              <w:ind w:right="380"/>
              <w:rPr>
                <w:sz w:val="22"/>
                <w:szCs w:val="22"/>
                <w:lang w:val="en-US"/>
              </w:rPr>
            </w:pPr>
          </w:p>
          <w:p w14:paraId="36E617FC"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Welch Two Sample t-test </w:t>
            </w:r>
          </w:p>
          <w:p w14:paraId="3432DC9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p=.08622</w:t>
            </w:r>
          </w:p>
        </w:tc>
      </w:tr>
      <w:tr w:rsidR="004012FA" w:rsidRPr="004012FA" w14:paraId="33160342" w14:textId="77777777" w:rsidTr="006F6815">
        <w:tc>
          <w:tcPr>
            <w:tcW w:w="4294" w:type="dxa"/>
            <w:tcBorders>
              <w:top w:val="single" w:sz="4" w:space="0" w:color="auto"/>
              <w:bottom w:val="single" w:sz="4" w:space="0" w:color="auto"/>
            </w:tcBorders>
          </w:tcPr>
          <w:p w14:paraId="640C342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Firm staff</w:t>
            </w:r>
          </w:p>
          <w:p w14:paraId="433A324F"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0-5</w:t>
            </w:r>
          </w:p>
          <w:p w14:paraId="2AA8CEA0"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6-50</w:t>
            </w:r>
          </w:p>
          <w:p w14:paraId="290BA65F"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50+</w:t>
            </w:r>
          </w:p>
          <w:p w14:paraId="3EFA409C"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218D800F" w14:textId="77777777" w:rsidR="004012FA" w:rsidRPr="004012FA" w:rsidRDefault="004012FA" w:rsidP="004012FA">
            <w:pPr>
              <w:spacing w:afterLines="120" w:after="288" w:line="240" w:lineRule="auto"/>
              <w:ind w:right="380"/>
              <w:rPr>
                <w:sz w:val="22"/>
                <w:szCs w:val="22"/>
                <w:lang w:val="en-US"/>
              </w:rPr>
            </w:pPr>
          </w:p>
          <w:p w14:paraId="4C767BB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12</w:t>
            </w:r>
          </w:p>
          <w:p w14:paraId="787410A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13</w:t>
            </w:r>
          </w:p>
          <w:p w14:paraId="17AF272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4</w:t>
            </w:r>
          </w:p>
          <w:p w14:paraId="357E4A1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w:t>
            </w:r>
          </w:p>
        </w:tc>
        <w:tc>
          <w:tcPr>
            <w:tcW w:w="886" w:type="dxa"/>
            <w:tcBorders>
              <w:top w:val="single" w:sz="4" w:space="0" w:color="auto"/>
              <w:bottom w:val="single" w:sz="4" w:space="0" w:color="auto"/>
            </w:tcBorders>
          </w:tcPr>
          <w:p w14:paraId="48EDAB1A" w14:textId="77777777" w:rsidR="004012FA" w:rsidRPr="004012FA" w:rsidRDefault="004012FA" w:rsidP="004012FA">
            <w:pPr>
              <w:spacing w:afterLines="120" w:after="288" w:line="240" w:lineRule="auto"/>
              <w:ind w:right="380"/>
              <w:rPr>
                <w:sz w:val="22"/>
                <w:szCs w:val="22"/>
                <w:lang w:val="en-US"/>
              </w:rPr>
            </w:pPr>
          </w:p>
          <w:p w14:paraId="60C9CE3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34%</w:t>
            </w:r>
          </w:p>
          <w:p w14:paraId="38FA43D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37%</w:t>
            </w:r>
          </w:p>
          <w:p w14:paraId="740A749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11%</w:t>
            </w:r>
          </w:p>
          <w:p w14:paraId="50278FA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17%</w:t>
            </w:r>
          </w:p>
        </w:tc>
        <w:tc>
          <w:tcPr>
            <w:tcW w:w="3135" w:type="dxa"/>
            <w:tcBorders>
              <w:top w:val="single" w:sz="4" w:space="0" w:color="auto"/>
              <w:bottom w:val="single" w:sz="4" w:space="0" w:color="auto"/>
            </w:tcBorders>
          </w:tcPr>
          <w:p w14:paraId="18BE1E7C" w14:textId="77777777" w:rsidR="004012FA" w:rsidRPr="004012FA" w:rsidRDefault="004012FA" w:rsidP="004012FA">
            <w:pPr>
              <w:spacing w:afterLines="120" w:after="288" w:line="240" w:lineRule="auto"/>
              <w:ind w:right="380"/>
              <w:rPr>
                <w:sz w:val="22"/>
                <w:szCs w:val="22"/>
                <w:lang w:val="en-US"/>
              </w:rPr>
            </w:pPr>
          </w:p>
          <w:p w14:paraId="50A42C59"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One-way ANOVA</w:t>
            </w:r>
          </w:p>
          <w:p w14:paraId="4546401A"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p=.836</w:t>
            </w:r>
          </w:p>
        </w:tc>
      </w:tr>
      <w:tr w:rsidR="004012FA" w:rsidRPr="004012FA" w14:paraId="65AFD204" w14:textId="77777777" w:rsidTr="006F6815">
        <w:tc>
          <w:tcPr>
            <w:tcW w:w="4294" w:type="dxa"/>
            <w:tcBorders>
              <w:top w:val="single" w:sz="4" w:space="0" w:color="auto"/>
              <w:bottom w:val="single" w:sz="4" w:space="0" w:color="auto"/>
            </w:tcBorders>
          </w:tcPr>
          <w:p w14:paraId="6E87BE5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Firm country</w:t>
            </w:r>
          </w:p>
          <w:p w14:paraId="689DCE65"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England</w:t>
            </w:r>
          </w:p>
          <w:p w14:paraId="0903DAED"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Scotland</w:t>
            </w:r>
          </w:p>
          <w:p w14:paraId="73F26E97"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Wales</w:t>
            </w:r>
          </w:p>
          <w:p w14:paraId="36899569"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Northern Ireland</w:t>
            </w:r>
          </w:p>
          <w:p w14:paraId="5735AF0A"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418900ED" w14:textId="77777777" w:rsidR="004012FA" w:rsidRPr="004012FA" w:rsidRDefault="004012FA" w:rsidP="004012FA">
            <w:pPr>
              <w:spacing w:afterLines="120" w:after="288" w:line="240" w:lineRule="auto"/>
              <w:ind w:right="380"/>
              <w:rPr>
                <w:sz w:val="22"/>
                <w:szCs w:val="22"/>
                <w:lang w:val="en-US"/>
              </w:rPr>
            </w:pPr>
          </w:p>
          <w:p w14:paraId="3FF56C5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25</w:t>
            </w:r>
          </w:p>
          <w:p w14:paraId="4549790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w:t>
            </w:r>
          </w:p>
          <w:p w14:paraId="2EB4E95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6D67B83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3F13167C"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8</w:t>
            </w:r>
          </w:p>
        </w:tc>
        <w:tc>
          <w:tcPr>
            <w:tcW w:w="886" w:type="dxa"/>
            <w:tcBorders>
              <w:top w:val="single" w:sz="4" w:space="0" w:color="auto"/>
              <w:bottom w:val="single" w:sz="4" w:space="0" w:color="auto"/>
            </w:tcBorders>
          </w:tcPr>
          <w:p w14:paraId="5A525A4D" w14:textId="77777777" w:rsidR="004012FA" w:rsidRPr="004012FA" w:rsidRDefault="004012FA" w:rsidP="004012FA">
            <w:pPr>
              <w:spacing w:afterLines="120" w:after="288" w:line="240" w:lineRule="auto"/>
              <w:ind w:right="380"/>
              <w:rPr>
                <w:sz w:val="22"/>
                <w:szCs w:val="22"/>
                <w:lang w:val="en-US"/>
              </w:rPr>
            </w:pPr>
          </w:p>
          <w:p w14:paraId="245F323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71%</w:t>
            </w:r>
          </w:p>
          <w:p w14:paraId="73160D3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w:t>
            </w:r>
          </w:p>
          <w:p w14:paraId="300601C0"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717DE58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05DAA65D"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23%</w:t>
            </w:r>
          </w:p>
        </w:tc>
        <w:tc>
          <w:tcPr>
            <w:tcW w:w="3135" w:type="dxa"/>
            <w:tcBorders>
              <w:top w:val="single" w:sz="4" w:space="0" w:color="auto"/>
              <w:bottom w:val="single" w:sz="4" w:space="0" w:color="auto"/>
            </w:tcBorders>
          </w:tcPr>
          <w:p w14:paraId="302CF442" w14:textId="77777777" w:rsidR="004012FA" w:rsidRPr="004012FA" w:rsidRDefault="004012FA" w:rsidP="004012FA">
            <w:pPr>
              <w:spacing w:afterLines="120" w:after="288" w:line="240" w:lineRule="auto"/>
              <w:ind w:right="380"/>
              <w:rPr>
                <w:sz w:val="22"/>
                <w:szCs w:val="22"/>
                <w:lang w:val="en-US"/>
              </w:rPr>
            </w:pPr>
          </w:p>
          <w:p w14:paraId="47A363D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Welch Two Sample t-test </w:t>
            </w:r>
          </w:p>
          <w:p w14:paraId="6239FD1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 .8694</w:t>
            </w:r>
          </w:p>
        </w:tc>
      </w:tr>
      <w:tr w:rsidR="004012FA" w:rsidRPr="004012FA" w14:paraId="02A13605" w14:textId="77777777" w:rsidTr="006F6815">
        <w:trPr>
          <w:trHeight w:val="424"/>
        </w:trPr>
        <w:tc>
          <w:tcPr>
            <w:tcW w:w="4294" w:type="dxa"/>
            <w:tcBorders>
              <w:top w:val="single" w:sz="4" w:space="0" w:color="auto"/>
              <w:bottom w:val="single" w:sz="4" w:space="0" w:color="auto"/>
            </w:tcBorders>
          </w:tcPr>
          <w:p w14:paraId="2518E229"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Located in city with FCA </w:t>
            </w:r>
            <w:proofErr w:type="gramStart"/>
            <w:r w:rsidRPr="004012FA">
              <w:rPr>
                <w:sz w:val="22"/>
                <w:szCs w:val="22"/>
                <w:lang w:val="en-US"/>
              </w:rPr>
              <w:t>office</w:t>
            </w:r>
            <w:proofErr w:type="gramEnd"/>
            <w:r w:rsidRPr="004012FA">
              <w:rPr>
                <w:sz w:val="22"/>
                <w:szCs w:val="22"/>
                <w:lang w:val="en-US"/>
              </w:rPr>
              <w:t> </w:t>
            </w:r>
          </w:p>
          <w:p w14:paraId="46A8F84A"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yes</w:t>
            </w:r>
          </w:p>
          <w:p w14:paraId="5B4A0DF7"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no</w:t>
            </w:r>
          </w:p>
          <w:p w14:paraId="4306A9D4"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71ADEF79" w14:textId="77777777" w:rsidR="004012FA" w:rsidRPr="004012FA" w:rsidRDefault="004012FA" w:rsidP="004012FA">
            <w:pPr>
              <w:spacing w:afterLines="120" w:after="288" w:line="240" w:lineRule="auto"/>
              <w:ind w:right="380"/>
              <w:rPr>
                <w:sz w:val="22"/>
                <w:szCs w:val="22"/>
                <w:lang w:val="en-US"/>
              </w:rPr>
            </w:pPr>
          </w:p>
          <w:p w14:paraId="38C8DD6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23</w:t>
            </w:r>
          </w:p>
          <w:p w14:paraId="0CE2C0B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4</w:t>
            </w:r>
          </w:p>
          <w:p w14:paraId="7207EF7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8</w:t>
            </w:r>
          </w:p>
        </w:tc>
        <w:tc>
          <w:tcPr>
            <w:tcW w:w="886" w:type="dxa"/>
            <w:tcBorders>
              <w:top w:val="single" w:sz="4" w:space="0" w:color="auto"/>
              <w:bottom w:val="single" w:sz="4" w:space="0" w:color="auto"/>
            </w:tcBorders>
          </w:tcPr>
          <w:p w14:paraId="357A90E8" w14:textId="77777777" w:rsidR="004012FA" w:rsidRPr="004012FA" w:rsidRDefault="004012FA" w:rsidP="004012FA">
            <w:pPr>
              <w:spacing w:afterLines="120" w:after="288" w:line="240" w:lineRule="auto"/>
              <w:ind w:right="380"/>
              <w:rPr>
                <w:sz w:val="22"/>
                <w:szCs w:val="22"/>
                <w:lang w:val="en-US"/>
              </w:rPr>
            </w:pPr>
          </w:p>
          <w:p w14:paraId="3A15E4A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66%</w:t>
            </w:r>
          </w:p>
          <w:p w14:paraId="74F2BD3A"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11%</w:t>
            </w:r>
          </w:p>
          <w:p w14:paraId="1F5247F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23%</w:t>
            </w:r>
          </w:p>
        </w:tc>
        <w:tc>
          <w:tcPr>
            <w:tcW w:w="3135" w:type="dxa"/>
            <w:tcBorders>
              <w:top w:val="single" w:sz="4" w:space="0" w:color="auto"/>
              <w:bottom w:val="single" w:sz="4" w:space="0" w:color="auto"/>
            </w:tcBorders>
          </w:tcPr>
          <w:p w14:paraId="32A0A0BC" w14:textId="77777777" w:rsidR="004012FA" w:rsidRPr="004012FA" w:rsidRDefault="004012FA" w:rsidP="004012FA">
            <w:pPr>
              <w:spacing w:afterLines="120" w:after="288" w:line="240" w:lineRule="auto"/>
              <w:ind w:right="380"/>
              <w:rPr>
                <w:sz w:val="22"/>
                <w:szCs w:val="22"/>
                <w:lang w:val="en-US"/>
              </w:rPr>
            </w:pPr>
          </w:p>
          <w:p w14:paraId="57430E6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Welch Two Sample t-test </w:t>
            </w:r>
          </w:p>
          <w:p w14:paraId="428BA76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 .47</w:t>
            </w:r>
          </w:p>
        </w:tc>
      </w:tr>
      <w:tr w:rsidR="004012FA" w:rsidRPr="004012FA" w14:paraId="5F45E34B" w14:textId="77777777" w:rsidTr="006F6815">
        <w:tc>
          <w:tcPr>
            <w:tcW w:w="4294" w:type="dxa"/>
            <w:tcBorders>
              <w:top w:val="single" w:sz="4" w:space="0" w:color="auto"/>
              <w:bottom w:val="single" w:sz="4" w:space="0" w:color="auto"/>
            </w:tcBorders>
          </w:tcPr>
          <w:p w14:paraId="7DA2020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lastRenderedPageBreak/>
              <w:t>Ownership model</w:t>
            </w:r>
          </w:p>
          <w:p w14:paraId="4B33D64D"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private</w:t>
            </w:r>
          </w:p>
          <w:p w14:paraId="1EB13525"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limited partnership</w:t>
            </w:r>
          </w:p>
          <w:p w14:paraId="0F5098DF"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public but unlisted</w:t>
            </w:r>
          </w:p>
          <w:p w14:paraId="220560FB"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 xml:space="preserve">publicly </w:t>
            </w:r>
            <w:proofErr w:type="gramStart"/>
            <w:r w:rsidRPr="004012FA">
              <w:rPr>
                <w:sz w:val="22"/>
                <w:szCs w:val="22"/>
                <w:lang w:val="en-US"/>
              </w:rPr>
              <w:t>listed</w:t>
            </w:r>
            <w:proofErr w:type="gramEnd"/>
          </w:p>
          <w:p w14:paraId="436638FA"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other</w:t>
            </w:r>
          </w:p>
          <w:p w14:paraId="43A4A6B6"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1E9C706E" w14:textId="77777777" w:rsidR="004012FA" w:rsidRPr="004012FA" w:rsidRDefault="004012FA" w:rsidP="004012FA">
            <w:pPr>
              <w:spacing w:afterLines="120" w:after="288" w:line="240" w:lineRule="auto"/>
              <w:ind w:right="380"/>
              <w:rPr>
                <w:sz w:val="22"/>
                <w:szCs w:val="22"/>
                <w:lang w:val="en-US"/>
              </w:rPr>
            </w:pPr>
          </w:p>
          <w:p w14:paraId="7291FD6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27</w:t>
            </w:r>
          </w:p>
          <w:p w14:paraId="65B369A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w:t>
            </w:r>
          </w:p>
          <w:p w14:paraId="2EE8203A"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1A2929A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382F2084"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02FF3AA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w:t>
            </w:r>
          </w:p>
        </w:tc>
        <w:tc>
          <w:tcPr>
            <w:tcW w:w="886" w:type="dxa"/>
            <w:tcBorders>
              <w:top w:val="single" w:sz="4" w:space="0" w:color="auto"/>
              <w:bottom w:val="single" w:sz="4" w:space="0" w:color="auto"/>
            </w:tcBorders>
          </w:tcPr>
          <w:p w14:paraId="147AC6B5" w14:textId="77777777" w:rsidR="004012FA" w:rsidRPr="004012FA" w:rsidRDefault="004012FA" w:rsidP="004012FA">
            <w:pPr>
              <w:spacing w:afterLines="120" w:after="288" w:line="240" w:lineRule="auto"/>
              <w:ind w:right="380"/>
              <w:rPr>
                <w:sz w:val="22"/>
                <w:szCs w:val="22"/>
                <w:lang w:val="en-US"/>
              </w:rPr>
            </w:pPr>
          </w:p>
          <w:p w14:paraId="4525C8A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77%</w:t>
            </w:r>
          </w:p>
          <w:p w14:paraId="558F704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w:t>
            </w:r>
          </w:p>
          <w:p w14:paraId="7AD43EA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3B751A4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167D44CC"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0%</w:t>
            </w:r>
          </w:p>
          <w:p w14:paraId="5EC5126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w:t>
            </w:r>
          </w:p>
        </w:tc>
        <w:tc>
          <w:tcPr>
            <w:tcW w:w="3135" w:type="dxa"/>
            <w:tcBorders>
              <w:top w:val="single" w:sz="4" w:space="0" w:color="auto"/>
              <w:bottom w:val="single" w:sz="4" w:space="0" w:color="auto"/>
            </w:tcBorders>
          </w:tcPr>
          <w:p w14:paraId="495F365B" w14:textId="77777777" w:rsidR="004012FA" w:rsidRPr="004012FA" w:rsidRDefault="004012FA" w:rsidP="004012FA">
            <w:pPr>
              <w:spacing w:afterLines="120" w:after="288" w:line="240" w:lineRule="auto"/>
              <w:ind w:right="380"/>
              <w:rPr>
                <w:sz w:val="22"/>
                <w:szCs w:val="22"/>
                <w:lang w:val="en-US"/>
              </w:rPr>
            </w:pPr>
          </w:p>
          <w:p w14:paraId="64B52B74"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Welch Two Sample t-test </w:t>
            </w:r>
          </w:p>
          <w:p w14:paraId="1550FEA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p= </w:t>
            </w:r>
            <w:r w:rsidRPr="004012FA">
              <w:rPr>
                <w:sz w:val="22"/>
                <w:szCs w:val="22"/>
                <w:shd w:val="clear" w:color="auto" w:fill="FFFFFF"/>
                <w:lang w:val="en-US"/>
              </w:rPr>
              <w:t>&lt; 0.0005</w:t>
            </w:r>
          </w:p>
        </w:tc>
      </w:tr>
      <w:tr w:rsidR="004012FA" w:rsidRPr="004012FA" w14:paraId="07F1B36C" w14:textId="77777777" w:rsidTr="006F6815">
        <w:tc>
          <w:tcPr>
            <w:tcW w:w="4294" w:type="dxa"/>
            <w:tcBorders>
              <w:top w:val="single" w:sz="4" w:space="0" w:color="auto"/>
              <w:bottom w:val="single" w:sz="4" w:space="0" w:color="auto"/>
            </w:tcBorders>
          </w:tcPr>
          <w:p w14:paraId="172DAEE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Financial sector</w:t>
            </w:r>
          </w:p>
          <w:p w14:paraId="4E9BBB05"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banking or payments</w:t>
            </w:r>
          </w:p>
          <w:p w14:paraId="47628642"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investment</w:t>
            </w:r>
          </w:p>
          <w:p w14:paraId="29C56AD8"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lending</w:t>
            </w:r>
          </w:p>
          <w:p w14:paraId="15A0A448"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other</w:t>
            </w:r>
          </w:p>
          <w:p w14:paraId="4ECB2064"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61A68C0B" w14:textId="77777777" w:rsidR="004012FA" w:rsidRPr="004012FA" w:rsidRDefault="004012FA" w:rsidP="004012FA">
            <w:pPr>
              <w:spacing w:afterLines="120" w:after="288" w:line="240" w:lineRule="auto"/>
              <w:ind w:right="380"/>
              <w:rPr>
                <w:sz w:val="22"/>
                <w:szCs w:val="22"/>
                <w:lang w:val="en-US"/>
              </w:rPr>
            </w:pPr>
          </w:p>
          <w:p w14:paraId="4D577B8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9</w:t>
            </w:r>
          </w:p>
          <w:p w14:paraId="302ADBB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10</w:t>
            </w:r>
          </w:p>
          <w:p w14:paraId="773B9DA5"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3</w:t>
            </w:r>
          </w:p>
          <w:p w14:paraId="451BBC8D"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w:t>
            </w:r>
          </w:p>
          <w:p w14:paraId="541D3F9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w:t>
            </w:r>
          </w:p>
        </w:tc>
        <w:tc>
          <w:tcPr>
            <w:tcW w:w="886" w:type="dxa"/>
            <w:tcBorders>
              <w:top w:val="single" w:sz="4" w:space="0" w:color="auto"/>
              <w:bottom w:val="single" w:sz="4" w:space="0" w:color="auto"/>
            </w:tcBorders>
          </w:tcPr>
          <w:p w14:paraId="011C8F6C" w14:textId="77777777" w:rsidR="004012FA" w:rsidRPr="004012FA" w:rsidRDefault="004012FA" w:rsidP="004012FA">
            <w:pPr>
              <w:spacing w:afterLines="120" w:after="288" w:line="240" w:lineRule="auto"/>
              <w:ind w:right="380"/>
              <w:rPr>
                <w:sz w:val="22"/>
                <w:szCs w:val="22"/>
                <w:lang w:val="en-US"/>
              </w:rPr>
            </w:pPr>
          </w:p>
          <w:p w14:paraId="3FB6CB5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26%</w:t>
            </w:r>
          </w:p>
          <w:p w14:paraId="62A4CAA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29%</w:t>
            </w:r>
          </w:p>
          <w:p w14:paraId="66FEAD5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9%</w:t>
            </w:r>
          </w:p>
          <w:p w14:paraId="534C286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17%</w:t>
            </w:r>
          </w:p>
          <w:p w14:paraId="2BB632A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20%</w:t>
            </w:r>
          </w:p>
        </w:tc>
        <w:tc>
          <w:tcPr>
            <w:tcW w:w="3135" w:type="dxa"/>
            <w:tcBorders>
              <w:top w:val="single" w:sz="4" w:space="0" w:color="auto"/>
              <w:bottom w:val="single" w:sz="4" w:space="0" w:color="auto"/>
            </w:tcBorders>
          </w:tcPr>
          <w:p w14:paraId="07C1546F" w14:textId="77777777" w:rsidR="004012FA" w:rsidRPr="004012FA" w:rsidRDefault="004012FA" w:rsidP="004012FA">
            <w:pPr>
              <w:spacing w:afterLines="120" w:after="288" w:line="240" w:lineRule="auto"/>
              <w:ind w:right="380"/>
              <w:rPr>
                <w:sz w:val="22"/>
                <w:szCs w:val="22"/>
                <w:lang w:val="en-US"/>
              </w:rPr>
            </w:pPr>
          </w:p>
          <w:p w14:paraId="1ED0E92A"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One-way ANOVA</w:t>
            </w:r>
          </w:p>
          <w:p w14:paraId="4F8DA4A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p=.555</w:t>
            </w:r>
          </w:p>
        </w:tc>
      </w:tr>
      <w:tr w:rsidR="004012FA" w:rsidRPr="004012FA" w14:paraId="6BFEC456" w14:textId="77777777" w:rsidTr="006F6815">
        <w:tc>
          <w:tcPr>
            <w:tcW w:w="4294" w:type="dxa"/>
            <w:tcBorders>
              <w:top w:val="single" w:sz="4" w:space="0" w:color="auto"/>
              <w:bottom w:val="single" w:sz="4" w:space="0" w:color="auto"/>
            </w:tcBorders>
          </w:tcPr>
          <w:p w14:paraId="5E7CDE2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Technological sector</w:t>
            </w:r>
          </w:p>
          <w:p w14:paraId="776410B4"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online platforms</w:t>
            </w:r>
          </w:p>
          <w:p w14:paraId="54E1B79C"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other</w:t>
            </w:r>
          </w:p>
          <w:p w14:paraId="724DBD00"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2B58A755" w14:textId="77777777" w:rsidR="004012FA" w:rsidRPr="004012FA" w:rsidRDefault="004012FA" w:rsidP="004012FA">
            <w:pPr>
              <w:spacing w:afterLines="120" w:after="288" w:line="240" w:lineRule="auto"/>
              <w:ind w:right="380"/>
              <w:rPr>
                <w:sz w:val="22"/>
                <w:szCs w:val="22"/>
                <w:lang w:val="en-US"/>
              </w:rPr>
            </w:pPr>
          </w:p>
          <w:p w14:paraId="031824F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20</w:t>
            </w:r>
          </w:p>
          <w:p w14:paraId="504E332D"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9</w:t>
            </w:r>
          </w:p>
          <w:p w14:paraId="630E2854"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6</w:t>
            </w:r>
          </w:p>
        </w:tc>
        <w:tc>
          <w:tcPr>
            <w:tcW w:w="886" w:type="dxa"/>
            <w:tcBorders>
              <w:top w:val="single" w:sz="4" w:space="0" w:color="auto"/>
              <w:bottom w:val="single" w:sz="4" w:space="0" w:color="auto"/>
            </w:tcBorders>
          </w:tcPr>
          <w:p w14:paraId="312E0D56" w14:textId="77777777" w:rsidR="004012FA" w:rsidRPr="004012FA" w:rsidRDefault="004012FA" w:rsidP="004012FA">
            <w:pPr>
              <w:spacing w:afterLines="120" w:after="288" w:line="240" w:lineRule="auto"/>
              <w:ind w:right="380"/>
              <w:rPr>
                <w:sz w:val="22"/>
                <w:szCs w:val="22"/>
                <w:lang w:val="en-US"/>
              </w:rPr>
            </w:pPr>
          </w:p>
          <w:p w14:paraId="4EC26885"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57%</w:t>
            </w:r>
          </w:p>
          <w:p w14:paraId="13308CB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26%</w:t>
            </w:r>
          </w:p>
          <w:p w14:paraId="4892E62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17%</w:t>
            </w:r>
          </w:p>
        </w:tc>
        <w:tc>
          <w:tcPr>
            <w:tcW w:w="3135" w:type="dxa"/>
            <w:tcBorders>
              <w:top w:val="single" w:sz="4" w:space="0" w:color="auto"/>
              <w:bottom w:val="single" w:sz="4" w:space="0" w:color="auto"/>
            </w:tcBorders>
          </w:tcPr>
          <w:p w14:paraId="46943D4F" w14:textId="77777777" w:rsidR="004012FA" w:rsidRPr="004012FA" w:rsidRDefault="004012FA" w:rsidP="004012FA">
            <w:pPr>
              <w:spacing w:afterLines="120" w:after="288" w:line="240" w:lineRule="auto"/>
              <w:ind w:right="380"/>
              <w:rPr>
                <w:sz w:val="22"/>
                <w:szCs w:val="22"/>
                <w:lang w:val="en-US"/>
              </w:rPr>
            </w:pPr>
          </w:p>
          <w:p w14:paraId="4000E30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Welch Two Sample t-test </w:t>
            </w:r>
          </w:p>
          <w:p w14:paraId="7D136460"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p= </w:t>
            </w:r>
            <w:r w:rsidRPr="004012FA">
              <w:rPr>
                <w:sz w:val="22"/>
                <w:szCs w:val="22"/>
                <w:shd w:val="clear" w:color="auto" w:fill="FFFFFF"/>
                <w:lang w:val="en-US"/>
              </w:rPr>
              <w:t>.7196</w:t>
            </w:r>
          </w:p>
        </w:tc>
      </w:tr>
      <w:tr w:rsidR="004012FA" w:rsidRPr="004012FA" w14:paraId="4C27E9BB" w14:textId="77777777" w:rsidTr="006F6815">
        <w:tc>
          <w:tcPr>
            <w:tcW w:w="4294" w:type="dxa"/>
            <w:tcBorders>
              <w:top w:val="single" w:sz="4" w:space="0" w:color="auto"/>
              <w:bottom w:val="single" w:sz="4" w:space="0" w:color="auto"/>
            </w:tcBorders>
          </w:tcPr>
          <w:p w14:paraId="27BF150C"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Member of more than one professional network</w:t>
            </w:r>
          </w:p>
          <w:p w14:paraId="6897464C"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yes</w:t>
            </w:r>
          </w:p>
          <w:p w14:paraId="0E70C2C1"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no</w:t>
            </w:r>
          </w:p>
          <w:p w14:paraId="16EC243B"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7C36B529" w14:textId="77777777" w:rsidR="004012FA" w:rsidRPr="004012FA" w:rsidRDefault="004012FA" w:rsidP="004012FA">
            <w:pPr>
              <w:spacing w:afterLines="120" w:after="288" w:line="240" w:lineRule="auto"/>
              <w:ind w:right="380"/>
              <w:rPr>
                <w:sz w:val="22"/>
                <w:szCs w:val="22"/>
                <w:lang w:val="en-US"/>
              </w:rPr>
            </w:pPr>
          </w:p>
          <w:p w14:paraId="59D0DBE8"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12</w:t>
            </w:r>
          </w:p>
          <w:p w14:paraId="3C91306B"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3</w:t>
            </w:r>
          </w:p>
          <w:p w14:paraId="28FB4A3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20</w:t>
            </w:r>
          </w:p>
        </w:tc>
        <w:tc>
          <w:tcPr>
            <w:tcW w:w="886" w:type="dxa"/>
            <w:tcBorders>
              <w:top w:val="single" w:sz="4" w:space="0" w:color="auto"/>
              <w:bottom w:val="single" w:sz="4" w:space="0" w:color="auto"/>
            </w:tcBorders>
          </w:tcPr>
          <w:p w14:paraId="4B5C1067" w14:textId="77777777" w:rsidR="004012FA" w:rsidRPr="004012FA" w:rsidRDefault="004012FA" w:rsidP="004012FA">
            <w:pPr>
              <w:spacing w:afterLines="120" w:after="288" w:line="240" w:lineRule="auto"/>
              <w:ind w:right="380"/>
              <w:rPr>
                <w:sz w:val="22"/>
                <w:szCs w:val="22"/>
                <w:lang w:val="en-US"/>
              </w:rPr>
            </w:pPr>
          </w:p>
          <w:p w14:paraId="25EE1E2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34%</w:t>
            </w:r>
          </w:p>
          <w:p w14:paraId="3B06A23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9%</w:t>
            </w:r>
          </w:p>
          <w:p w14:paraId="088AFE9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57%</w:t>
            </w:r>
          </w:p>
        </w:tc>
        <w:tc>
          <w:tcPr>
            <w:tcW w:w="3135" w:type="dxa"/>
            <w:tcBorders>
              <w:top w:val="single" w:sz="4" w:space="0" w:color="auto"/>
              <w:bottom w:val="single" w:sz="4" w:space="0" w:color="auto"/>
            </w:tcBorders>
          </w:tcPr>
          <w:p w14:paraId="5755A711" w14:textId="77777777" w:rsidR="004012FA" w:rsidRPr="004012FA" w:rsidRDefault="004012FA" w:rsidP="004012FA">
            <w:pPr>
              <w:spacing w:afterLines="120" w:after="288" w:line="240" w:lineRule="auto"/>
              <w:ind w:right="380"/>
              <w:rPr>
                <w:sz w:val="22"/>
                <w:szCs w:val="22"/>
                <w:lang w:val="en-US"/>
              </w:rPr>
            </w:pPr>
          </w:p>
          <w:p w14:paraId="0BF72A9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Welch Two Sample t-test </w:t>
            </w:r>
          </w:p>
          <w:p w14:paraId="2428CC0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p= </w:t>
            </w:r>
            <w:r w:rsidRPr="004012FA">
              <w:rPr>
                <w:color w:val="111111"/>
                <w:sz w:val="22"/>
                <w:szCs w:val="22"/>
                <w:shd w:val="clear" w:color="auto" w:fill="FFFFFF"/>
                <w:lang w:val="en-US"/>
              </w:rPr>
              <w:t>.044</w:t>
            </w:r>
          </w:p>
        </w:tc>
      </w:tr>
      <w:tr w:rsidR="004012FA" w:rsidRPr="004012FA" w14:paraId="515D0470" w14:textId="77777777" w:rsidTr="006F6815">
        <w:tc>
          <w:tcPr>
            <w:tcW w:w="4294" w:type="dxa"/>
            <w:tcBorders>
              <w:top w:val="single" w:sz="4" w:space="0" w:color="auto"/>
              <w:bottom w:val="single" w:sz="4" w:space="0" w:color="auto"/>
            </w:tcBorders>
          </w:tcPr>
          <w:p w14:paraId="323E85D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 xml:space="preserve">Frequency of network participation </w:t>
            </w:r>
          </w:p>
          <w:p w14:paraId="23A0AFCB"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1-4 times a year</w:t>
            </w:r>
          </w:p>
          <w:p w14:paraId="6684C4CD"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5-9 times a year</w:t>
            </w:r>
          </w:p>
          <w:p w14:paraId="0E7EE64F"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lastRenderedPageBreak/>
              <w:t>10 or more times a year</w:t>
            </w:r>
          </w:p>
          <w:p w14:paraId="35562583"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44E9F100" w14:textId="77777777" w:rsidR="004012FA" w:rsidRPr="004012FA" w:rsidRDefault="004012FA" w:rsidP="004012FA">
            <w:pPr>
              <w:spacing w:afterLines="120" w:after="288" w:line="240" w:lineRule="auto"/>
              <w:ind w:right="380"/>
              <w:rPr>
                <w:sz w:val="22"/>
                <w:szCs w:val="22"/>
                <w:lang w:val="en-US"/>
              </w:rPr>
            </w:pPr>
          </w:p>
          <w:p w14:paraId="5DCF61B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5</w:t>
            </w:r>
          </w:p>
          <w:p w14:paraId="77E5A09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5</w:t>
            </w:r>
          </w:p>
          <w:p w14:paraId="3F4DE61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lastRenderedPageBreak/>
              <w:t>5</w:t>
            </w:r>
          </w:p>
          <w:p w14:paraId="2A81E81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10</w:t>
            </w:r>
          </w:p>
        </w:tc>
        <w:tc>
          <w:tcPr>
            <w:tcW w:w="886" w:type="dxa"/>
            <w:tcBorders>
              <w:top w:val="single" w:sz="4" w:space="0" w:color="auto"/>
              <w:bottom w:val="single" w:sz="4" w:space="0" w:color="auto"/>
            </w:tcBorders>
          </w:tcPr>
          <w:p w14:paraId="54B17001" w14:textId="77777777" w:rsidR="004012FA" w:rsidRPr="004012FA" w:rsidRDefault="004012FA" w:rsidP="004012FA">
            <w:pPr>
              <w:spacing w:afterLines="120" w:after="288" w:line="240" w:lineRule="auto"/>
              <w:ind w:right="380"/>
              <w:rPr>
                <w:sz w:val="22"/>
                <w:szCs w:val="22"/>
                <w:lang w:val="en-US"/>
              </w:rPr>
            </w:pPr>
          </w:p>
          <w:p w14:paraId="3622B24D"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14%</w:t>
            </w:r>
          </w:p>
          <w:p w14:paraId="6C1F08F0"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14%</w:t>
            </w:r>
          </w:p>
          <w:p w14:paraId="7DA6DEA3"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lastRenderedPageBreak/>
              <w:t>14%</w:t>
            </w:r>
          </w:p>
          <w:p w14:paraId="05B8125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29%</w:t>
            </w:r>
          </w:p>
        </w:tc>
        <w:tc>
          <w:tcPr>
            <w:tcW w:w="3135" w:type="dxa"/>
            <w:tcBorders>
              <w:top w:val="single" w:sz="4" w:space="0" w:color="auto"/>
              <w:bottom w:val="single" w:sz="4" w:space="0" w:color="auto"/>
            </w:tcBorders>
          </w:tcPr>
          <w:p w14:paraId="01A5836F" w14:textId="77777777" w:rsidR="004012FA" w:rsidRPr="004012FA" w:rsidRDefault="004012FA" w:rsidP="004012FA">
            <w:pPr>
              <w:spacing w:afterLines="120" w:after="288" w:line="240" w:lineRule="auto"/>
              <w:ind w:right="380"/>
              <w:rPr>
                <w:sz w:val="22"/>
                <w:szCs w:val="22"/>
                <w:lang w:val="en-US"/>
              </w:rPr>
            </w:pPr>
          </w:p>
          <w:p w14:paraId="45AFE049"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One-way ANOVA</w:t>
            </w:r>
          </w:p>
          <w:p w14:paraId="073C3BB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p=.562</w:t>
            </w:r>
          </w:p>
          <w:p w14:paraId="2CCCCA8E" w14:textId="77777777" w:rsidR="004012FA" w:rsidRPr="004012FA" w:rsidRDefault="004012FA" w:rsidP="004012FA">
            <w:pPr>
              <w:spacing w:afterLines="120" w:after="288" w:line="240" w:lineRule="auto"/>
              <w:ind w:right="380"/>
              <w:rPr>
                <w:sz w:val="22"/>
                <w:szCs w:val="22"/>
                <w:lang w:val="en-US"/>
              </w:rPr>
            </w:pPr>
          </w:p>
          <w:p w14:paraId="47837DF4" w14:textId="77777777" w:rsidR="004012FA" w:rsidRPr="004012FA" w:rsidRDefault="004012FA" w:rsidP="004012FA">
            <w:pPr>
              <w:spacing w:afterLines="120" w:after="288" w:line="240" w:lineRule="auto"/>
              <w:ind w:right="380"/>
              <w:rPr>
                <w:sz w:val="22"/>
                <w:szCs w:val="22"/>
                <w:lang w:val="en-US"/>
              </w:rPr>
            </w:pPr>
          </w:p>
          <w:p w14:paraId="1A83E7B7" w14:textId="77777777" w:rsidR="004012FA" w:rsidRPr="004012FA" w:rsidRDefault="004012FA" w:rsidP="004012FA">
            <w:pPr>
              <w:spacing w:afterLines="120" w:after="288" w:line="240" w:lineRule="auto"/>
              <w:ind w:right="380"/>
              <w:rPr>
                <w:sz w:val="22"/>
                <w:szCs w:val="22"/>
                <w:lang w:val="en-US"/>
              </w:rPr>
            </w:pPr>
          </w:p>
        </w:tc>
      </w:tr>
      <w:tr w:rsidR="004012FA" w:rsidRPr="004012FA" w14:paraId="5C236DB6" w14:textId="77777777" w:rsidTr="006F6815">
        <w:tc>
          <w:tcPr>
            <w:tcW w:w="4294" w:type="dxa"/>
            <w:tcBorders>
              <w:top w:val="single" w:sz="4" w:space="0" w:color="auto"/>
              <w:bottom w:val="single" w:sz="4" w:space="0" w:color="auto"/>
            </w:tcBorders>
          </w:tcPr>
          <w:p w14:paraId="788015ED"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Frequency of political participation</w:t>
            </w:r>
          </w:p>
          <w:p w14:paraId="64D60BBF"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never</w:t>
            </w:r>
          </w:p>
          <w:p w14:paraId="028D98E6"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infrequently</w:t>
            </w:r>
          </w:p>
          <w:p w14:paraId="0D2F625C"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three or more times a year</w:t>
            </w:r>
          </w:p>
          <w:p w14:paraId="6DDD1CBE"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NA</w:t>
            </w:r>
          </w:p>
        </w:tc>
        <w:tc>
          <w:tcPr>
            <w:tcW w:w="711" w:type="dxa"/>
            <w:tcBorders>
              <w:top w:val="single" w:sz="4" w:space="0" w:color="auto"/>
              <w:bottom w:val="single" w:sz="4" w:space="0" w:color="auto"/>
            </w:tcBorders>
          </w:tcPr>
          <w:p w14:paraId="56A49422" w14:textId="77777777" w:rsidR="004012FA" w:rsidRPr="004012FA" w:rsidRDefault="004012FA" w:rsidP="004012FA">
            <w:pPr>
              <w:spacing w:afterLines="120" w:after="288" w:line="240" w:lineRule="auto"/>
              <w:ind w:right="380"/>
              <w:rPr>
                <w:sz w:val="22"/>
                <w:szCs w:val="22"/>
                <w:lang w:val="en-US"/>
              </w:rPr>
            </w:pPr>
          </w:p>
          <w:p w14:paraId="02D3B54C"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8</w:t>
            </w:r>
          </w:p>
          <w:p w14:paraId="0EDEC907"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16</w:t>
            </w:r>
          </w:p>
          <w:p w14:paraId="13D2CFAA"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4</w:t>
            </w:r>
          </w:p>
          <w:p w14:paraId="1975672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7</w:t>
            </w:r>
          </w:p>
        </w:tc>
        <w:tc>
          <w:tcPr>
            <w:tcW w:w="886" w:type="dxa"/>
            <w:tcBorders>
              <w:top w:val="single" w:sz="4" w:space="0" w:color="auto"/>
              <w:bottom w:val="single" w:sz="4" w:space="0" w:color="auto"/>
            </w:tcBorders>
          </w:tcPr>
          <w:p w14:paraId="48022392" w14:textId="77777777" w:rsidR="004012FA" w:rsidRPr="004012FA" w:rsidRDefault="004012FA" w:rsidP="004012FA">
            <w:pPr>
              <w:spacing w:afterLines="120" w:after="288" w:line="240" w:lineRule="auto"/>
              <w:ind w:right="380"/>
              <w:rPr>
                <w:sz w:val="22"/>
                <w:szCs w:val="22"/>
                <w:lang w:val="en-US"/>
              </w:rPr>
            </w:pPr>
          </w:p>
          <w:p w14:paraId="151B75ED"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23%</w:t>
            </w:r>
          </w:p>
          <w:p w14:paraId="5987CF6D"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46%</w:t>
            </w:r>
          </w:p>
          <w:p w14:paraId="4A2D69A1"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11%</w:t>
            </w:r>
          </w:p>
          <w:p w14:paraId="4B3A27F2"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20%</w:t>
            </w:r>
          </w:p>
        </w:tc>
        <w:tc>
          <w:tcPr>
            <w:tcW w:w="3135" w:type="dxa"/>
            <w:tcBorders>
              <w:top w:val="single" w:sz="4" w:space="0" w:color="auto"/>
              <w:bottom w:val="single" w:sz="4" w:space="0" w:color="auto"/>
            </w:tcBorders>
          </w:tcPr>
          <w:p w14:paraId="111B3C51" w14:textId="77777777" w:rsidR="004012FA" w:rsidRPr="004012FA" w:rsidRDefault="004012FA" w:rsidP="004012FA">
            <w:pPr>
              <w:spacing w:afterLines="120" w:after="288" w:line="240" w:lineRule="auto"/>
              <w:ind w:right="380"/>
              <w:rPr>
                <w:sz w:val="22"/>
                <w:szCs w:val="22"/>
                <w:lang w:val="en-US"/>
              </w:rPr>
            </w:pPr>
          </w:p>
          <w:p w14:paraId="5CE5BB40"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One-way ANOVA</w:t>
            </w:r>
          </w:p>
          <w:p w14:paraId="744D7F8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p=.782</w:t>
            </w:r>
          </w:p>
        </w:tc>
      </w:tr>
      <w:tr w:rsidR="004012FA" w:rsidRPr="004012FA" w14:paraId="20B40A1B" w14:textId="77777777" w:rsidTr="006F6815">
        <w:trPr>
          <w:trHeight w:val="91"/>
        </w:trPr>
        <w:tc>
          <w:tcPr>
            <w:tcW w:w="4294" w:type="dxa"/>
            <w:tcBorders>
              <w:top w:val="single" w:sz="4" w:space="0" w:color="auto"/>
              <w:bottom w:val="single" w:sz="4" w:space="0" w:color="auto"/>
            </w:tcBorders>
          </w:tcPr>
          <w:p w14:paraId="5634B429" w14:textId="77777777" w:rsidR="004012FA" w:rsidRPr="004012FA" w:rsidRDefault="004012FA" w:rsidP="004012FA">
            <w:pPr>
              <w:spacing w:afterLines="120" w:after="288" w:line="240" w:lineRule="auto"/>
              <w:ind w:right="380"/>
              <w:jc w:val="right"/>
              <w:rPr>
                <w:sz w:val="22"/>
                <w:szCs w:val="22"/>
                <w:lang w:val="en-US"/>
              </w:rPr>
            </w:pPr>
            <w:r w:rsidRPr="004012FA">
              <w:rPr>
                <w:sz w:val="22"/>
                <w:szCs w:val="22"/>
                <w:lang w:val="en-US"/>
              </w:rPr>
              <w:t>N</w:t>
            </w:r>
          </w:p>
        </w:tc>
        <w:tc>
          <w:tcPr>
            <w:tcW w:w="711" w:type="dxa"/>
            <w:tcBorders>
              <w:top w:val="single" w:sz="4" w:space="0" w:color="auto"/>
              <w:bottom w:val="single" w:sz="4" w:space="0" w:color="auto"/>
            </w:tcBorders>
          </w:tcPr>
          <w:p w14:paraId="3EF068F4"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35</w:t>
            </w:r>
          </w:p>
        </w:tc>
        <w:tc>
          <w:tcPr>
            <w:tcW w:w="886" w:type="dxa"/>
            <w:tcBorders>
              <w:top w:val="single" w:sz="4" w:space="0" w:color="auto"/>
              <w:bottom w:val="single" w:sz="4" w:space="0" w:color="auto"/>
            </w:tcBorders>
          </w:tcPr>
          <w:p w14:paraId="27F72D3D" w14:textId="77777777" w:rsidR="004012FA" w:rsidRPr="004012FA" w:rsidRDefault="004012FA" w:rsidP="004012FA">
            <w:pPr>
              <w:spacing w:afterLines="120" w:after="288" w:line="240" w:lineRule="auto"/>
              <w:ind w:right="380"/>
              <w:rPr>
                <w:sz w:val="22"/>
                <w:szCs w:val="22"/>
                <w:lang w:val="en-US"/>
              </w:rPr>
            </w:pPr>
          </w:p>
        </w:tc>
        <w:tc>
          <w:tcPr>
            <w:tcW w:w="3135" w:type="dxa"/>
            <w:tcBorders>
              <w:top w:val="single" w:sz="4" w:space="0" w:color="auto"/>
              <w:bottom w:val="single" w:sz="4" w:space="0" w:color="auto"/>
            </w:tcBorders>
          </w:tcPr>
          <w:p w14:paraId="508F3368" w14:textId="77777777" w:rsidR="004012FA" w:rsidRPr="004012FA" w:rsidRDefault="004012FA" w:rsidP="004012FA">
            <w:pPr>
              <w:spacing w:afterLines="120" w:after="288" w:line="240" w:lineRule="auto"/>
              <w:ind w:right="380"/>
              <w:rPr>
                <w:sz w:val="22"/>
                <w:szCs w:val="22"/>
                <w:lang w:val="en-US"/>
              </w:rPr>
            </w:pPr>
          </w:p>
        </w:tc>
      </w:tr>
    </w:tbl>
    <w:p w14:paraId="6B7575EF" w14:textId="77777777" w:rsidR="004012FA" w:rsidRDefault="004012FA" w:rsidP="00400352">
      <w:pPr>
        <w:pStyle w:val="Heading2"/>
        <w:rPr>
          <w:lang w:val="en-US"/>
        </w:rPr>
      </w:pPr>
    </w:p>
    <w:p w14:paraId="474F7EFE" w14:textId="5401FDE1" w:rsidR="00D338BA" w:rsidRPr="00FB737D" w:rsidRDefault="00400352" w:rsidP="00400352">
      <w:pPr>
        <w:pStyle w:val="Heading2"/>
        <w:rPr>
          <w:lang w:val="en-US"/>
        </w:rPr>
      </w:pPr>
      <w:r>
        <w:rPr>
          <w:lang w:val="en-US"/>
        </w:rPr>
        <w:t xml:space="preserve">II. </w:t>
      </w:r>
      <w:r w:rsidRPr="00FB737D">
        <w:rPr>
          <w:lang w:val="en-US"/>
        </w:rPr>
        <w:t>INTERVIEWS</w:t>
      </w:r>
    </w:p>
    <w:p w14:paraId="4FC7AFAA" w14:textId="6A9DF5F4" w:rsidR="00D338BA" w:rsidRPr="00FB737D" w:rsidRDefault="00400352" w:rsidP="00D338BA">
      <w:pPr>
        <w:pStyle w:val="Heading3"/>
      </w:pPr>
      <w:r>
        <w:t xml:space="preserve">1. </w:t>
      </w:r>
      <w:r w:rsidR="00D338BA" w:rsidRPr="00FB737D">
        <w:t xml:space="preserve">Schedule </w:t>
      </w:r>
    </w:p>
    <w:p w14:paraId="3AAADAFC" w14:textId="77777777" w:rsidR="00D338BA" w:rsidRPr="0044695B" w:rsidRDefault="00D338BA" w:rsidP="00D338BA">
      <w:pPr>
        <w:ind w:right="380"/>
        <w:rPr>
          <w:lang w:val="en-US"/>
        </w:rPr>
      </w:pPr>
      <w:r w:rsidRPr="0044695B">
        <w:rPr>
          <w:lang w:val="en-US"/>
        </w:rPr>
        <w:t>The interview schedule was developed to, as much as possible, replicate the questions from the questionnaire, while allowing respondents to provide more narrative explanation as to what motivated them to apply (or not) to the sandbox. Interviews were semi-structured. The same questions were asked, and similar probes used</w:t>
      </w:r>
      <w:r>
        <w:rPr>
          <w:lang w:val="en-US"/>
        </w:rPr>
        <w:t>. Q</w:t>
      </w:r>
      <w:r w:rsidRPr="0044695B">
        <w:rPr>
          <w:lang w:val="en-US"/>
        </w:rPr>
        <w:t>uestions</w:t>
      </w:r>
      <w:r>
        <w:rPr>
          <w:lang w:val="en-US"/>
        </w:rPr>
        <w:t xml:space="preserve">, however, </w:t>
      </w:r>
      <w:r w:rsidRPr="0044695B">
        <w:rPr>
          <w:lang w:val="en-US"/>
        </w:rPr>
        <w:t>were mostly open and prompts were improvised at times</w:t>
      </w:r>
      <w:r>
        <w:rPr>
          <w:lang w:val="en-US"/>
        </w:rPr>
        <w:t xml:space="preserve"> </w:t>
      </w:r>
      <w:r w:rsidRPr="0044695B">
        <w:rPr>
          <w:lang w:val="en-US"/>
        </w:rPr>
        <w:t>with the aim to get greater detail. Transcripts for both versions of the interview schedule are provided below.</w:t>
      </w:r>
    </w:p>
    <w:p w14:paraId="479FC14D" w14:textId="140103FC" w:rsidR="00D338BA" w:rsidRPr="00FB737D" w:rsidRDefault="00400352" w:rsidP="00D338BA">
      <w:pPr>
        <w:pStyle w:val="Heading3"/>
      </w:pPr>
      <w:r>
        <w:t xml:space="preserve">2. </w:t>
      </w:r>
      <w:r w:rsidR="00D338BA" w:rsidRPr="00FB737D">
        <w:t>Administration</w:t>
      </w:r>
    </w:p>
    <w:p w14:paraId="56C772F3" w14:textId="77777777" w:rsidR="00D338BA" w:rsidRPr="0044695B" w:rsidRDefault="00D338BA" w:rsidP="00D338BA">
      <w:pPr>
        <w:ind w:right="380"/>
        <w:rPr>
          <w:lang w:val="en-US"/>
        </w:rPr>
      </w:pPr>
      <w:r w:rsidRPr="0044695B">
        <w:rPr>
          <w:lang w:val="en-US"/>
        </w:rPr>
        <w:t xml:space="preserve">Interview respondents were sought via the survey and through snowball sampling. Twenty-one senior managers agreed to be interviewed. The companies who agreed were typically seven years old or younger. The group likely overrepresents sandbox </w:t>
      </w:r>
      <w:r w:rsidRPr="0044695B">
        <w:rPr>
          <w:lang w:val="en-US"/>
        </w:rPr>
        <w:lastRenderedPageBreak/>
        <w:t>participants. Snowball sampling probably played a role here (where ex-sandbox participants sometimes knew one another through professional networks). The final group of respondents, however, is diverse in terms of technological and financial sector. There is a mix of companies from the UK and from abroad. Firms had different levels of prior experience with the FCA and were in different stages of business development and authorization. Interviews were, on average, 45 minutes long. Two-thirds were conducted in person, and one-third online. Audio was recorded and transcribed.</w:t>
      </w:r>
    </w:p>
    <w:p w14:paraId="3C91B529" w14:textId="20476AE9" w:rsidR="00D338BA" w:rsidRPr="00FB737D" w:rsidRDefault="00400352" w:rsidP="00D338BA">
      <w:pPr>
        <w:pStyle w:val="Heading3"/>
      </w:pPr>
      <w:r>
        <w:t xml:space="preserve">3. </w:t>
      </w:r>
      <w:r w:rsidR="00D338BA" w:rsidRPr="00FB737D">
        <w:t>Codebook design</w:t>
      </w:r>
    </w:p>
    <w:p w14:paraId="3CDFBA6A" w14:textId="77777777" w:rsidR="00D338BA" w:rsidRPr="0044695B" w:rsidRDefault="00D338BA" w:rsidP="00D338BA">
      <w:pPr>
        <w:ind w:right="380"/>
        <w:rPr>
          <w:lang w:val="en-US"/>
        </w:rPr>
      </w:pPr>
      <w:r w:rsidRPr="00CB3B89">
        <w:rPr>
          <w:lang w:val="en-US"/>
        </w:rPr>
        <w:t xml:space="preserve">A detailed codebook was developed prior to interview. This is available on request, but I will summarize key points. Questions and answers from the </w:t>
      </w:r>
      <w:r w:rsidRPr="00795C88">
        <w:t>survey</w:t>
      </w:r>
      <w:r w:rsidRPr="00CB3B89">
        <w:rPr>
          <w:lang w:val="en-US"/>
        </w:rPr>
        <w:t xml:space="preserve"> regarding</w:t>
      </w:r>
      <w:r>
        <w:rPr>
          <w:lang w:val="en-US"/>
        </w:rPr>
        <w:t xml:space="preserve"> the sandbox and motivation to apply</w:t>
      </w:r>
      <w:r w:rsidRPr="00CB3B89">
        <w:rPr>
          <w:lang w:val="en-US"/>
        </w:rPr>
        <w:t xml:space="preserve"> were able to be essentially recreated for the interview codebook. Additional codes were added to categorize different </w:t>
      </w:r>
      <w:r>
        <w:rPr>
          <w:lang w:val="en-US"/>
        </w:rPr>
        <w:t>reasons</w:t>
      </w:r>
      <w:r w:rsidRPr="00CB3B89">
        <w:rPr>
          <w:lang w:val="en-US"/>
        </w:rPr>
        <w:t xml:space="preserve"> raised by respondents explaining why they had or did not have certain kinds of motivation. In regard to reputation, </w:t>
      </w:r>
      <w:r>
        <w:rPr>
          <w:lang w:val="en-US"/>
        </w:rPr>
        <w:t>questionnaire</w:t>
      </w:r>
      <w:r w:rsidRPr="00CB3B89">
        <w:rPr>
          <w:lang w:val="en-US"/>
        </w:rPr>
        <w:t xml:space="preserve"> questions from the Bureaucratic Reputation Scale and specific </w:t>
      </w:r>
      <w:r>
        <w:rPr>
          <w:lang w:val="en-US"/>
        </w:rPr>
        <w:t>beliefs</w:t>
      </w:r>
      <w:r w:rsidRPr="00CB3B89">
        <w:rPr>
          <w:lang w:val="en-US"/>
        </w:rPr>
        <w:t xml:space="preserve"> were also</w:t>
      </w:r>
      <w:r w:rsidRPr="0044695B">
        <w:rPr>
          <w:lang w:val="en-US"/>
        </w:rPr>
        <w:t xml:space="preserve"> recreated as codes. Some additional specific </w:t>
      </w:r>
      <w:r>
        <w:rPr>
          <w:lang w:val="en-US"/>
        </w:rPr>
        <w:t>beliefs</w:t>
      </w:r>
      <w:r w:rsidRPr="0044695B">
        <w:rPr>
          <w:lang w:val="en-US"/>
        </w:rPr>
        <w:t xml:space="preserve"> were added </w:t>
      </w:r>
      <w:r>
        <w:rPr>
          <w:lang w:val="en-US"/>
        </w:rPr>
        <w:t xml:space="preserve">inductively </w:t>
      </w:r>
      <w:r w:rsidRPr="0044695B">
        <w:rPr>
          <w:lang w:val="en-US"/>
        </w:rPr>
        <w:t xml:space="preserve">to the codebook where unanticipated perceptions were repeatedly raised by multiple respondents. </w:t>
      </w:r>
    </w:p>
    <w:p w14:paraId="6DFF4A26" w14:textId="0F1EF662" w:rsidR="00D338BA" w:rsidRDefault="00D338BA" w:rsidP="003141B3">
      <w:pPr>
        <w:spacing w:before="240" w:after="0"/>
        <w:ind w:right="380" w:firstLine="720"/>
        <w:rPr>
          <w:lang w:val="en-US"/>
        </w:rPr>
      </w:pPr>
      <w:r w:rsidRPr="0044695B">
        <w:rPr>
          <w:lang w:val="en-US"/>
        </w:rPr>
        <w:t>In coding, any subjective, generalized statement about the regulator was considered to be reputational (</w:t>
      </w:r>
      <w:proofErr w:type="gramStart"/>
      <w:r w:rsidRPr="0044695B">
        <w:rPr>
          <w:lang w:val="en-US"/>
        </w:rPr>
        <w:t>e.g.</w:t>
      </w:r>
      <w:proofErr w:type="gramEnd"/>
      <w:r w:rsidRPr="0044695B">
        <w:rPr>
          <w:lang w:val="en-US"/>
        </w:rPr>
        <w:t xml:space="preserve"> The FCA is so helpful). Statements characterizing one-off, specific interactions with the regulator were coded as ‘interactions’ and not reputational </w:t>
      </w:r>
      <w:r>
        <w:rPr>
          <w:lang w:val="en-US"/>
        </w:rPr>
        <w:t>beliefs</w:t>
      </w:r>
      <w:r w:rsidRPr="0044695B">
        <w:rPr>
          <w:lang w:val="en-US"/>
        </w:rPr>
        <w:t xml:space="preserve"> (</w:t>
      </w:r>
      <w:proofErr w:type="gramStart"/>
      <w:r w:rsidRPr="0044695B">
        <w:rPr>
          <w:lang w:val="en-US"/>
        </w:rPr>
        <w:t>e.g.</w:t>
      </w:r>
      <w:proofErr w:type="gramEnd"/>
      <w:r w:rsidRPr="0044695B">
        <w:rPr>
          <w:lang w:val="en-US"/>
        </w:rPr>
        <w:t xml:space="preserve"> It was very helpful when the FCA gave us that contact at the SEC). Statements were initially coded according to which </w:t>
      </w:r>
      <w:r w:rsidRPr="0044695B">
        <w:rPr>
          <w:lang w:val="en-US"/>
        </w:rPr>
        <w:lastRenderedPageBreak/>
        <w:t>dimension of reputation they represented using Carpenter’s definitions</w:t>
      </w:r>
      <w:r w:rsidR="005056A4">
        <w:rPr>
          <w:lang w:val="en-US"/>
        </w:rPr>
        <w:t>.</w:t>
      </w:r>
      <w:r w:rsidR="00795C88" w:rsidRPr="00B2206F">
        <w:rPr>
          <w:rStyle w:val="FootnoteReference"/>
        </w:rPr>
        <w:footnoteReference w:id="23"/>
      </w:r>
      <w:r w:rsidRPr="0044695B">
        <w:rPr>
          <w:lang w:val="en-US"/>
        </w:rPr>
        <w:t xml:space="preserve"> Carpenter’s definitions match – but are more encompassing - than the measures for dimensions used by Lee &amp; van Ryzin</w:t>
      </w:r>
      <w:r w:rsidR="00795C88" w:rsidRPr="00B2206F">
        <w:rPr>
          <w:rStyle w:val="FootnoteReference"/>
        </w:rPr>
        <w:footnoteReference w:id="24"/>
      </w:r>
      <w:r w:rsidRPr="0044695B">
        <w:rPr>
          <w:lang w:val="en-US"/>
        </w:rPr>
        <w:t xml:space="preserve">, a difference discussed further below. </w:t>
      </w:r>
    </w:p>
    <w:p w14:paraId="3DF6FA66" w14:textId="1AE838A7" w:rsidR="00D338BA" w:rsidRDefault="00D338BA" w:rsidP="003141B3">
      <w:pPr>
        <w:spacing w:before="240"/>
        <w:ind w:firstLine="720"/>
        <w:rPr>
          <w:lang w:val="en-US"/>
        </w:rPr>
      </w:pPr>
      <w:r w:rsidRPr="0044695B">
        <w:rPr>
          <w:lang w:val="en-US"/>
        </w:rPr>
        <w:t>The initial codebook was piloted on several interview transcripts to determine whether it was sufficient and parsimonious to reflect all relevant information from the interviews</w:t>
      </w:r>
      <w:r w:rsidR="005056A4">
        <w:rPr>
          <w:lang w:val="en-US"/>
        </w:rPr>
        <w:t>.</w:t>
      </w:r>
      <w:r w:rsidR="00795C88" w:rsidRPr="00B2206F">
        <w:rPr>
          <w:rStyle w:val="FootnoteReference"/>
        </w:rPr>
        <w:footnoteReference w:id="25"/>
      </w:r>
      <w:r w:rsidRPr="0044695B">
        <w:rPr>
          <w:lang w:val="en-US"/>
        </w:rPr>
        <w:t xml:space="preserve"> Interview transcripts did include some specific perceptions not originally anticipated by the codebook (</w:t>
      </w:r>
      <w:proofErr w:type="gramStart"/>
      <w:r w:rsidRPr="0044695B">
        <w:rPr>
          <w:lang w:val="en-US"/>
        </w:rPr>
        <w:t>e.g.</w:t>
      </w:r>
      <w:proofErr w:type="gramEnd"/>
      <w:r w:rsidRPr="0044695B">
        <w:rPr>
          <w:lang w:val="en-US"/>
        </w:rPr>
        <w:t xml:space="preserve"> negative characterizations of the regulator as bureaucratic). The codebook was revised to include all relevant codes, and all transcripts coded. </w:t>
      </w:r>
    </w:p>
    <w:p w14:paraId="3DB159E0" w14:textId="77777777" w:rsidR="004012FA" w:rsidRPr="004012FA" w:rsidRDefault="004012FA" w:rsidP="004012FA">
      <w:pPr>
        <w:spacing w:afterLines="120" w:after="288" w:line="259" w:lineRule="auto"/>
        <w:ind w:right="380"/>
        <w:outlineLvl w:val="2"/>
        <w:rPr>
          <w:rFonts w:eastAsia="Times New Roman"/>
          <w:color w:val="000000"/>
          <w:lang w:val="en-US" w:eastAsia="en-GB"/>
        </w:rPr>
      </w:pPr>
      <w:r w:rsidRPr="004012FA">
        <w:rPr>
          <w:rFonts w:eastAsia="Times New Roman"/>
          <w:color w:val="000000"/>
          <w:lang w:val="en-US" w:eastAsia="en-GB"/>
        </w:rPr>
        <w:t>TABLE 5. Conceptualization of reputation dimensions in codebook, from Carpenter 2010</w:t>
      </w:r>
    </w:p>
    <w:tbl>
      <w:tblPr>
        <w:tblStyle w:val="TableGrid1"/>
        <w:tblW w:w="5000" w:type="pct"/>
        <w:jc w:val="center"/>
        <w:tblLook w:val="04A0" w:firstRow="1" w:lastRow="0" w:firstColumn="1" w:lastColumn="0" w:noHBand="0" w:noVBand="1"/>
      </w:tblPr>
      <w:tblGrid>
        <w:gridCol w:w="1745"/>
        <w:gridCol w:w="6759"/>
      </w:tblGrid>
      <w:tr w:rsidR="004012FA" w:rsidRPr="004012FA" w14:paraId="037241AD" w14:textId="77777777" w:rsidTr="006F6815">
        <w:trPr>
          <w:cantSplit/>
          <w:trHeight w:val="1134"/>
          <w:jc w:val="center"/>
        </w:trPr>
        <w:tc>
          <w:tcPr>
            <w:tcW w:w="784" w:type="pct"/>
            <w:tcBorders>
              <w:left w:val="nil"/>
              <w:right w:val="nil"/>
            </w:tcBorders>
            <w:vAlign w:val="center"/>
          </w:tcPr>
          <w:p w14:paraId="57D1AB3C"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Performative</w:t>
            </w:r>
          </w:p>
        </w:tc>
        <w:tc>
          <w:tcPr>
            <w:tcW w:w="4216" w:type="pct"/>
            <w:tcBorders>
              <w:left w:val="nil"/>
              <w:right w:val="nil"/>
            </w:tcBorders>
            <w:vAlign w:val="center"/>
          </w:tcPr>
          <w:p w14:paraId="21A2F3DE"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Statement refers to capacity of the agency to achieve desired outputs and outcomes; the extent to which it is substantively successful – including efficiency.</w:t>
            </w:r>
          </w:p>
        </w:tc>
      </w:tr>
      <w:tr w:rsidR="004012FA" w:rsidRPr="004012FA" w14:paraId="203C1E1F" w14:textId="77777777" w:rsidTr="006F6815">
        <w:trPr>
          <w:cantSplit/>
          <w:trHeight w:val="1134"/>
          <w:jc w:val="center"/>
        </w:trPr>
        <w:tc>
          <w:tcPr>
            <w:tcW w:w="784" w:type="pct"/>
            <w:tcBorders>
              <w:left w:val="nil"/>
              <w:right w:val="nil"/>
            </w:tcBorders>
            <w:vAlign w:val="center"/>
          </w:tcPr>
          <w:p w14:paraId="514E3BE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Technical</w:t>
            </w:r>
          </w:p>
        </w:tc>
        <w:tc>
          <w:tcPr>
            <w:tcW w:w="4216" w:type="pct"/>
            <w:tcBorders>
              <w:left w:val="nil"/>
              <w:right w:val="nil"/>
            </w:tcBorders>
            <w:vAlign w:val="center"/>
          </w:tcPr>
          <w:p w14:paraId="415CCD48" w14:textId="5AB627C4" w:rsidR="004012FA" w:rsidRPr="004012FA" w:rsidRDefault="004012FA" w:rsidP="004012FA">
            <w:pPr>
              <w:spacing w:afterLines="120" w:after="288" w:line="240" w:lineRule="auto"/>
              <w:ind w:right="380"/>
              <w:rPr>
                <w:sz w:val="22"/>
                <w:szCs w:val="22"/>
                <w:lang w:val="en-US"/>
              </w:rPr>
            </w:pPr>
            <w:r w:rsidRPr="004012FA">
              <w:rPr>
                <w:sz w:val="22"/>
                <w:szCs w:val="22"/>
                <w:lang w:val="en-US"/>
              </w:rPr>
              <w:t>Statement refers to the expertise of the agency relevant to its capacity to perform its role; examples: “scientific accuracy, methodological prowess, and analytical capacity”</w:t>
            </w:r>
            <w:r w:rsidR="00FE3C2F">
              <w:rPr>
                <w:sz w:val="22"/>
                <w:szCs w:val="22"/>
                <w:lang w:val="en-US"/>
              </w:rPr>
              <w:t>.</w:t>
            </w:r>
            <w:r w:rsidR="00FE3C2F" w:rsidRPr="00B2206F">
              <w:rPr>
                <w:rStyle w:val="FootnoteReference"/>
              </w:rPr>
              <w:footnoteReference w:id="26"/>
            </w:r>
          </w:p>
        </w:tc>
      </w:tr>
      <w:tr w:rsidR="004012FA" w:rsidRPr="004012FA" w14:paraId="5601402B" w14:textId="77777777" w:rsidTr="006F6815">
        <w:trPr>
          <w:cantSplit/>
          <w:trHeight w:val="1134"/>
          <w:jc w:val="center"/>
        </w:trPr>
        <w:tc>
          <w:tcPr>
            <w:tcW w:w="784" w:type="pct"/>
            <w:tcBorders>
              <w:left w:val="nil"/>
              <w:bottom w:val="single" w:sz="4" w:space="0" w:color="auto"/>
              <w:right w:val="nil"/>
            </w:tcBorders>
            <w:vAlign w:val="center"/>
          </w:tcPr>
          <w:p w14:paraId="3D5C525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Procedural</w:t>
            </w:r>
          </w:p>
        </w:tc>
        <w:tc>
          <w:tcPr>
            <w:tcW w:w="4216" w:type="pct"/>
            <w:tcBorders>
              <w:left w:val="nil"/>
              <w:bottom w:val="single" w:sz="4" w:space="0" w:color="auto"/>
              <w:right w:val="nil"/>
            </w:tcBorders>
            <w:vAlign w:val="center"/>
          </w:tcPr>
          <w:p w14:paraId="19D0C874"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Statement refers to the use of correct procedures associated with decision making:</w:t>
            </w:r>
          </w:p>
          <w:p w14:paraId="79A6B79E" w14:textId="77777777" w:rsidR="004012FA" w:rsidRPr="004012FA" w:rsidRDefault="004012FA" w:rsidP="004012FA">
            <w:pPr>
              <w:numPr>
                <w:ilvl w:val="0"/>
                <w:numId w:val="11"/>
              </w:numPr>
              <w:spacing w:afterLines="120" w:after="288" w:line="240" w:lineRule="auto"/>
              <w:ind w:right="380"/>
              <w:rPr>
                <w:sz w:val="22"/>
                <w:szCs w:val="22"/>
                <w:lang w:val="en-US"/>
              </w:rPr>
            </w:pPr>
            <w:r w:rsidRPr="004012FA">
              <w:rPr>
                <w:sz w:val="22"/>
                <w:szCs w:val="22"/>
                <w:lang w:val="en-US"/>
              </w:rPr>
              <w:t>Procedural fairness</w:t>
            </w:r>
          </w:p>
          <w:p w14:paraId="0BDF326B" w14:textId="77777777" w:rsidR="004012FA" w:rsidRPr="004012FA" w:rsidRDefault="004012FA" w:rsidP="004012FA">
            <w:pPr>
              <w:numPr>
                <w:ilvl w:val="0"/>
                <w:numId w:val="11"/>
              </w:numPr>
              <w:spacing w:afterLines="120" w:after="288" w:line="240" w:lineRule="auto"/>
              <w:ind w:right="380"/>
              <w:rPr>
                <w:sz w:val="22"/>
                <w:szCs w:val="22"/>
                <w:lang w:val="en-US"/>
              </w:rPr>
            </w:pPr>
            <w:r w:rsidRPr="004012FA">
              <w:rPr>
                <w:sz w:val="22"/>
                <w:szCs w:val="22"/>
                <w:lang w:val="en-US"/>
              </w:rPr>
              <w:t>Adequate evidence collection and provision</w:t>
            </w:r>
          </w:p>
          <w:p w14:paraId="0C9DFCD4" w14:textId="77777777" w:rsidR="004012FA" w:rsidRPr="004012FA" w:rsidRDefault="004012FA" w:rsidP="004012FA">
            <w:pPr>
              <w:numPr>
                <w:ilvl w:val="0"/>
                <w:numId w:val="11"/>
              </w:numPr>
              <w:spacing w:afterLines="120" w:after="288" w:line="240" w:lineRule="auto"/>
              <w:ind w:right="380"/>
              <w:rPr>
                <w:sz w:val="22"/>
                <w:szCs w:val="22"/>
                <w:lang w:val="en-US"/>
              </w:rPr>
            </w:pPr>
            <w:r w:rsidRPr="004012FA">
              <w:rPr>
                <w:sz w:val="22"/>
                <w:szCs w:val="22"/>
                <w:lang w:val="en-US"/>
              </w:rPr>
              <w:t xml:space="preserve">Decisions based on </w:t>
            </w:r>
            <w:proofErr w:type="gramStart"/>
            <w:r w:rsidRPr="004012FA">
              <w:rPr>
                <w:sz w:val="22"/>
                <w:szCs w:val="22"/>
                <w:lang w:val="en-US"/>
              </w:rPr>
              <w:t>evidence</w:t>
            </w:r>
            <w:proofErr w:type="gramEnd"/>
          </w:p>
          <w:p w14:paraId="23F90F35" w14:textId="77777777" w:rsidR="004012FA" w:rsidRPr="004012FA" w:rsidRDefault="004012FA" w:rsidP="004012FA">
            <w:pPr>
              <w:numPr>
                <w:ilvl w:val="0"/>
                <w:numId w:val="11"/>
              </w:numPr>
              <w:spacing w:afterLines="120" w:after="288" w:line="240" w:lineRule="auto"/>
              <w:ind w:right="380"/>
              <w:rPr>
                <w:sz w:val="22"/>
                <w:szCs w:val="22"/>
                <w:lang w:val="en-US"/>
              </w:rPr>
            </w:pPr>
            <w:r w:rsidRPr="004012FA">
              <w:rPr>
                <w:sz w:val="22"/>
                <w:szCs w:val="22"/>
                <w:lang w:val="en-US"/>
              </w:rPr>
              <w:t>Meeting consultation requirements</w:t>
            </w:r>
          </w:p>
          <w:p w14:paraId="24C934F4" w14:textId="77777777" w:rsidR="004012FA" w:rsidRPr="004012FA" w:rsidRDefault="004012FA" w:rsidP="004012FA">
            <w:pPr>
              <w:numPr>
                <w:ilvl w:val="0"/>
                <w:numId w:val="11"/>
              </w:numPr>
              <w:spacing w:afterLines="120" w:after="288" w:line="240" w:lineRule="auto"/>
              <w:ind w:right="380"/>
              <w:rPr>
                <w:sz w:val="22"/>
                <w:szCs w:val="22"/>
                <w:lang w:val="en-US"/>
              </w:rPr>
            </w:pPr>
            <w:r w:rsidRPr="004012FA">
              <w:rPr>
                <w:sz w:val="22"/>
                <w:szCs w:val="22"/>
                <w:lang w:val="en-US"/>
              </w:rPr>
              <w:t>The thoroughness of procedures.</w:t>
            </w:r>
          </w:p>
        </w:tc>
      </w:tr>
      <w:tr w:rsidR="004012FA" w:rsidRPr="004012FA" w14:paraId="455C3DC6" w14:textId="77777777" w:rsidTr="006F6815">
        <w:trPr>
          <w:cantSplit/>
          <w:trHeight w:val="1134"/>
          <w:jc w:val="center"/>
        </w:trPr>
        <w:tc>
          <w:tcPr>
            <w:tcW w:w="784" w:type="pct"/>
            <w:tcBorders>
              <w:left w:val="nil"/>
              <w:right w:val="nil"/>
            </w:tcBorders>
            <w:vAlign w:val="center"/>
          </w:tcPr>
          <w:p w14:paraId="09078F0F"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lastRenderedPageBreak/>
              <w:t>Moral</w:t>
            </w:r>
          </w:p>
        </w:tc>
        <w:tc>
          <w:tcPr>
            <w:tcW w:w="4216" w:type="pct"/>
            <w:tcBorders>
              <w:left w:val="nil"/>
              <w:right w:val="nil"/>
            </w:tcBorders>
            <w:vAlign w:val="center"/>
          </w:tcPr>
          <w:p w14:paraId="0207F956" w14:textId="77777777" w:rsidR="004012FA" w:rsidRPr="004012FA" w:rsidRDefault="004012FA" w:rsidP="004012FA">
            <w:pPr>
              <w:spacing w:afterLines="120" w:after="288" w:line="240" w:lineRule="auto"/>
              <w:ind w:right="380"/>
              <w:rPr>
                <w:sz w:val="22"/>
                <w:szCs w:val="22"/>
                <w:lang w:val="en-US"/>
              </w:rPr>
            </w:pPr>
            <w:r w:rsidRPr="004012FA">
              <w:rPr>
                <w:sz w:val="22"/>
                <w:szCs w:val="22"/>
                <w:lang w:val="en-US"/>
              </w:rPr>
              <w:t>Statement refers to the ethics or morality of the agency’s goals or means, including:</w:t>
            </w:r>
          </w:p>
          <w:p w14:paraId="06F50547" w14:textId="77777777" w:rsidR="004012FA" w:rsidRPr="004012FA" w:rsidRDefault="004012FA" w:rsidP="004012FA">
            <w:pPr>
              <w:numPr>
                <w:ilvl w:val="0"/>
                <w:numId w:val="10"/>
              </w:numPr>
              <w:spacing w:afterLines="120" w:after="288" w:line="240" w:lineRule="auto"/>
              <w:ind w:right="380"/>
              <w:rPr>
                <w:sz w:val="22"/>
                <w:szCs w:val="22"/>
                <w:lang w:val="en-US"/>
              </w:rPr>
            </w:pPr>
            <w:r w:rsidRPr="004012FA">
              <w:rPr>
                <w:sz w:val="22"/>
                <w:szCs w:val="22"/>
                <w:lang w:val="en-US"/>
              </w:rPr>
              <w:t>Protecting the interests of stakeholders</w:t>
            </w:r>
          </w:p>
          <w:p w14:paraId="00D82EA5" w14:textId="77777777" w:rsidR="004012FA" w:rsidRPr="004012FA" w:rsidRDefault="004012FA" w:rsidP="004012FA">
            <w:pPr>
              <w:numPr>
                <w:ilvl w:val="0"/>
                <w:numId w:val="10"/>
              </w:numPr>
              <w:spacing w:afterLines="120" w:after="288" w:line="240" w:lineRule="auto"/>
              <w:ind w:right="380"/>
              <w:rPr>
                <w:sz w:val="22"/>
                <w:szCs w:val="22"/>
                <w:lang w:val="en-US"/>
              </w:rPr>
            </w:pPr>
            <w:r w:rsidRPr="004012FA">
              <w:rPr>
                <w:sz w:val="22"/>
                <w:szCs w:val="22"/>
                <w:lang w:val="en-US"/>
              </w:rPr>
              <w:t>Honesty</w:t>
            </w:r>
          </w:p>
          <w:p w14:paraId="00821CBE" w14:textId="77777777" w:rsidR="004012FA" w:rsidRPr="004012FA" w:rsidRDefault="004012FA" w:rsidP="004012FA">
            <w:pPr>
              <w:numPr>
                <w:ilvl w:val="0"/>
                <w:numId w:val="10"/>
              </w:numPr>
              <w:spacing w:afterLines="120" w:after="288" w:line="240" w:lineRule="auto"/>
              <w:ind w:right="380"/>
              <w:rPr>
                <w:sz w:val="22"/>
                <w:szCs w:val="22"/>
                <w:lang w:val="en-US"/>
              </w:rPr>
            </w:pPr>
            <w:r w:rsidRPr="004012FA">
              <w:rPr>
                <w:sz w:val="22"/>
                <w:szCs w:val="22"/>
                <w:lang w:val="en-US"/>
              </w:rPr>
              <w:t>Kindness</w:t>
            </w:r>
          </w:p>
          <w:p w14:paraId="1A956113" w14:textId="77777777" w:rsidR="004012FA" w:rsidRPr="004012FA" w:rsidRDefault="004012FA" w:rsidP="004012FA">
            <w:pPr>
              <w:numPr>
                <w:ilvl w:val="0"/>
                <w:numId w:val="10"/>
              </w:numPr>
              <w:spacing w:afterLines="120" w:after="288" w:line="240" w:lineRule="auto"/>
              <w:ind w:right="380"/>
              <w:rPr>
                <w:sz w:val="22"/>
                <w:szCs w:val="22"/>
                <w:lang w:val="en-US"/>
              </w:rPr>
            </w:pPr>
            <w:r w:rsidRPr="004012FA">
              <w:rPr>
                <w:sz w:val="22"/>
                <w:szCs w:val="22"/>
                <w:lang w:val="en-US"/>
              </w:rPr>
              <w:t>Compassion</w:t>
            </w:r>
          </w:p>
          <w:p w14:paraId="6FB9C8E0" w14:textId="77777777" w:rsidR="004012FA" w:rsidRPr="004012FA" w:rsidRDefault="004012FA" w:rsidP="004012FA">
            <w:pPr>
              <w:numPr>
                <w:ilvl w:val="0"/>
                <w:numId w:val="10"/>
              </w:numPr>
              <w:spacing w:afterLines="120" w:after="288" w:line="240" w:lineRule="auto"/>
              <w:ind w:right="380"/>
              <w:rPr>
                <w:sz w:val="22"/>
                <w:szCs w:val="22"/>
                <w:lang w:val="en-US"/>
              </w:rPr>
            </w:pPr>
            <w:r w:rsidRPr="004012FA">
              <w:rPr>
                <w:sz w:val="22"/>
                <w:szCs w:val="22"/>
                <w:lang w:val="en-US"/>
              </w:rPr>
              <w:t>‘Humanity’.</w:t>
            </w:r>
          </w:p>
        </w:tc>
      </w:tr>
    </w:tbl>
    <w:p w14:paraId="7E4251FD" w14:textId="77777777" w:rsidR="004012FA" w:rsidRDefault="004012FA" w:rsidP="00D338BA">
      <w:pPr>
        <w:pStyle w:val="Heading3"/>
      </w:pPr>
    </w:p>
    <w:p w14:paraId="46F0E934" w14:textId="7209D521" w:rsidR="00D338BA" w:rsidRPr="00FB737D" w:rsidRDefault="00400352" w:rsidP="00D338BA">
      <w:pPr>
        <w:pStyle w:val="Heading3"/>
      </w:pPr>
      <w:r>
        <w:t xml:space="preserve">4. </w:t>
      </w:r>
      <w:r w:rsidR="00D338BA" w:rsidRPr="00FB737D">
        <w:t>Coding and analysis</w:t>
      </w:r>
    </w:p>
    <w:p w14:paraId="232F5B0A" w14:textId="6190B03A" w:rsidR="00D338BA" w:rsidRPr="0044695B" w:rsidRDefault="00D338BA" w:rsidP="00D338BA">
      <w:pPr>
        <w:ind w:right="380"/>
        <w:rPr>
          <w:lang w:val="en-US"/>
        </w:rPr>
      </w:pPr>
      <w:r w:rsidRPr="0044695B">
        <w:rPr>
          <w:lang w:val="en-US"/>
        </w:rPr>
        <w:t xml:space="preserve">In analysis, I first checked transcripts against recordings to ensure quality, and removed personally identifying details. I then read through each transcript and recorded my initial thoughts as to how the respondent’s answered the research questions. I categorized each respondent according to whether they were sandbox participants or not, which cohort they were in, and how willing they were to apply to </w:t>
      </w:r>
      <w:r>
        <w:rPr>
          <w:lang w:val="en-US"/>
        </w:rPr>
        <w:t>a future</w:t>
      </w:r>
      <w:r w:rsidRPr="0044695B">
        <w:rPr>
          <w:lang w:val="en-US"/>
        </w:rPr>
        <w:t xml:space="preserve"> sandbox. I then used </w:t>
      </w:r>
      <w:r w:rsidR="006528D6">
        <w:rPr>
          <w:lang w:val="en-US"/>
        </w:rPr>
        <w:t>‘</w:t>
      </w:r>
      <w:r w:rsidRPr="0044695B">
        <w:rPr>
          <w:lang w:val="en-US"/>
        </w:rPr>
        <w:t>bucket</w:t>
      </w:r>
      <w:r w:rsidR="006528D6">
        <w:rPr>
          <w:lang w:val="en-US"/>
        </w:rPr>
        <w:t>’</w:t>
      </w:r>
      <w:r w:rsidRPr="0044695B">
        <w:rPr>
          <w:lang w:val="en-US"/>
        </w:rPr>
        <w:t xml:space="preserve"> coding</w:t>
      </w:r>
      <w:r w:rsidR="005056A4" w:rsidRPr="00B2206F">
        <w:rPr>
          <w:rStyle w:val="FootnoteReference"/>
        </w:rPr>
        <w:footnoteReference w:id="27"/>
      </w:r>
      <w:r w:rsidRPr="0044695B">
        <w:rPr>
          <w:lang w:val="en-US"/>
        </w:rPr>
        <w:t>, breaking up transcripts by topic and the time period being discussed (pre-authorization, post-authorization, and during authorization). From there, I qualitatively coded each topic using the codebook. Where respondents stated or implied a link between reputation and motivation</w:t>
      </w:r>
      <w:r>
        <w:rPr>
          <w:lang w:val="en-US"/>
        </w:rPr>
        <w:t xml:space="preserve"> to apply</w:t>
      </w:r>
      <w:r w:rsidRPr="0044695B">
        <w:rPr>
          <w:lang w:val="en-US"/>
        </w:rPr>
        <w:t xml:space="preserve">, and explained what these links were, these were </w:t>
      </w:r>
      <w:r>
        <w:rPr>
          <w:lang w:val="en-US"/>
        </w:rPr>
        <w:t>coded separately</w:t>
      </w:r>
      <w:r w:rsidRPr="0044695B">
        <w:rPr>
          <w:lang w:val="en-US"/>
        </w:rPr>
        <w:t>.</w:t>
      </w:r>
      <w:r w:rsidR="005056A4" w:rsidRPr="00B2206F">
        <w:rPr>
          <w:rStyle w:val="FootnoteReference"/>
        </w:rPr>
        <w:footnoteReference w:id="28"/>
      </w:r>
    </w:p>
    <w:p w14:paraId="6AC45EBB" w14:textId="157A5894" w:rsidR="00D338BA" w:rsidRPr="0044695B" w:rsidRDefault="00D338BA" w:rsidP="003141B3">
      <w:pPr>
        <w:ind w:right="380" w:firstLine="720"/>
        <w:rPr>
          <w:lang w:val="en-US"/>
        </w:rPr>
      </w:pPr>
      <w:r w:rsidRPr="0044695B">
        <w:rPr>
          <w:lang w:val="en-US"/>
        </w:rPr>
        <w:t xml:space="preserve">At each stage, validity was checked through </w:t>
      </w:r>
      <w:r>
        <w:rPr>
          <w:lang w:val="en-US"/>
        </w:rPr>
        <w:t>reviewing</w:t>
      </w:r>
      <w:r w:rsidRPr="0044695B">
        <w:rPr>
          <w:lang w:val="en-US"/>
        </w:rPr>
        <w:t xml:space="preserve"> and re-coding transcripts. For example, once all transcripts were </w:t>
      </w:r>
      <w:proofErr w:type="gramStart"/>
      <w:r w:rsidRPr="0044695B">
        <w:rPr>
          <w:lang w:val="en-US"/>
        </w:rPr>
        <w:t>coded</w:t>
      </w:r>
      <w:proofErr w:type="gramEnd"/>
      <w:r w:rsidRPr="0044695B">
        <w:rPr>
          <w:lang w:val="en-US"/>
        </w:rPr>
        <w:t xml:space="preserve"> I would return to the code </w:t>
      </w:r>
      <w:r w:rsidRPr="0044695B">
        <w:rPr>
          <w:lang w:val="en-US"/>
        </w:rPr>
        <w:lastRenderedPageBreak/>
        <w:t>and ensure that all coded comments matched the description of a code (and thus concept). Some codes related to ‘valence’ (</w:t>
      </w:r>
      <w:proofErr w:type="gramStart"/>
      <w:r w:rsidRPr="0044695B">
        <w:rPr>
          <w:lang w:val="en-US"/>
        </w:rPr>
        <w:t>e.g.</w:t>
      </w:r>
      <w:proofErr w:type="gramEnd"/>
      <w:r w:rsidRPr="0044695B">
        <w:rPr>
          <w:lang w:val="en-US"/>
        </w:rPr>
        <w:t xml:space="preserve"> how likely firms were to apply, how positively they viewed the regulator). In that case, I would examine all coded comments at each level (most negative to most positive) to ensure that each comment was placed in the right category, and each firm was categorized at the right level overall</w:t>
      </w:r>
      <w:r w:rsidR="005056A4">
        <w:rPr>
          <w:lang w:val="en-US"/>
        </w:rPr>
        <w:t>.</w:t>
      </w:r>
      <w:r w:rsidR="00795C88" w:rsidRPr="00B2206F">
        <w:rPr>
          <w:rStyle w:val="FootnoteReference"/>
        </w:rPr>
        <w:footnoteReference w:id="29"/>
      </w:r>
      <w:r w:rsidRPr="0044695B">
        <w:rPr>
          <w:lang w:val="en-US"/>
        </w:rPr>
        <w:t xml:space="preserve"> </w:t>
      </w:r>
    </w:p>
    <w:p w14:paraId="0A730C72" w14:textId="4F5AEA57" w:rsidR="00D338BA" w:rsidRPr="0044695B" w:rsidRDefault="003141B3" w:rsidP="003141B3">
      <w:pPr>
        <w:tabs>
          <w:tab w:val="left" w:pos="851"/>
        </w:tabs>
        <w:ind w:right="380"/>
        <w:rPr>
          <w:lang w:val="en-US"/>
        </w:rPr>
      </w:pPr>
      <w:r>
        <w:rPr>
          <w:lang w:val="en-US"/>
        </w:rPr>
        <w:tab/>
      </w:r>
      <w:r w:rsidR="00D338BA" w:rsidRPr="0044695B">
        <w:rPr>
          <w:lang w:val="en-US"/>
        </w:rPr>
        <w:t>For comparability with the survey, I originally attempted to create classifications using statements which exactly matched the questions from the survey (</w:t>
      </w:r>
      <w:proofErr w:type="gramStart"/>
      <w:r w:rsidR="00D338BA" w:rsidRPr="0044695B">
        <w:rPr>
          <w:lang w:val="en-US"/>
        </w:rPr>
        <w:t>i.e.</w:t>
      </w:r>
      <w:proofErr w:type="gramEnd"/>
      <w:r w:rsidR="00D338BA" w:rsidRPr="0044695B">
        <w:rPr>
          <w:lang w:val="en-US"/>
        </w:rPr>
        <w:t xml:space="preserve"> the Bureaucratic Reputation Scale). This was </w:t>
      </w:r>
      <w:proofErr w:type="gramStart"/>
      <w:r w:rsidR="00D338BA" w:rsidRPr="0044695B">
        <w:rPr>
          <w:lang w:val="en-US"/>
        </w:rPr>
        <w:t>possible</w:t>
      </w:r>
      <w:r w:rsidR="00D338BA">
        <w:rPr>
          <w:lang w:val="en-US"/>
        </w:rPr>
        <w:t>,</w:t>
      </w:r>
      <w:r w:rsidR="00D338BA" w:rsidRPr="0044695B">
        <w:rPr>
          <w:lang w:val="en-US"/>
        </w:rPr>
        <w:t xml:space="preserve"> but</w:t>
      </w:r>
      <w:proofErr w:type="gramEnd"/>
      <w:r w:rsidR="00D338BA" w:rsidRPr="0044695B">
        <w:rPr>
          <w:lang w:val="en-US"/>
        </w:rPr>
        <w:t xml:space="preserve"> created misleading classifications</w:t>
      </w:r>
      <w:r w:rsidR="00D338BA">
        <w:rPr>
          <w:lang w:val="en-US"/>
        </w:rPr>
        <w:t>. M</w:t>
      </w:r>
      <w:r w:rsidR="00D338BA" w:rsidRPr="0044695B">
        <w:rPr>
          <w:lang w:val="en-US"/>
        </w:rPr>
        <w:t>any statements about FCA reputation were not counted toward the classification because they did not match Lee &amp; van Ryzin’s precise measures. The measures for performative and technical reputation worked well, but not those for moral and procedural. Lee &amp; van Ryzin’s questions regarding procedural reputation exclude perceptions to do with</w:t>
      </w:r>
      <w:r w:rsidR="00D338BA">
        <w:rPr>
          <w:lang w:val="en-US"/>
        </w:rPr>
        <w:t xml:space="preserve"> </w:t>
      </w:r>
      <w:r w:rsidR="00D338BA" w:rsidRPr="0044695B">
        <w:rPr>
          <w:lang w:val="en-US"/>
        </w:rPr>
        <w:t>the potential downsides and tradeoffs of procedural correctness (</w:t>
      </w:r>
      <w:proofErr w:type="gramStart"/>
      <w:r w:rsidR="00D338BA" w:rsidRPr="0044695B">
        <w:rPr>
          <w:lang w:val="en-US"/>
        </w:rPr>
        <w:t>i.e.</w:t>
      </w:r>
      <w:proofErr w:type="gramEnd"/>
      <w:r w:rsidR="00D338BA" w:rsidRPr="0044695B">
        <w:rPr>
          <w:lang w:val="en-US"/>
        </w:rPr>
        <w:t xml:space="preserve"> over rule-orientation; bureaucracy, inflexibility). Their measures capture the ethical and trustworthy aspects of moral reputation well but exclude perceptions to do with morally favorable characteristics </w:t>
      </w:r>
      <w:proofErr w:type="gramStart"/>
      <w:r w:rsidR="00D338BA" w:rsidRPr="0044695B">
        <w:rPr>
          <w:lang w:val="en-US"/>
        </w:rPr>
        <w:t>i.e.</w:t>
      </w:r>
      <w:proofErr w:type="gramEnd"/>
      <w:r w:rsidR="00D338BA" w:rsidRPr="0044695B">
        <w:rPr>
          <w:lang w:val="en-US"/>
        </w:rPr>
        <w:t xml:space="preserve"> being facilitative.</w:t>
      </w:r>
      <w:r w:rsidR="00487596" w:rsidRPr="00B2206F">
        <w:rPr>
          <w:rStyle w:val="FootnoteReference"/>
        </w:rPr>
        <w:footnoteReference w:id="30"/>
      </w:r>
      <w:r w:rsidR="00D338BA" w:rsidRPr="0044695B">
        <w:rPr>
          <w:lang w:val="en-US"/>
        </w:rPr>
        <w:t xml:space="preserve"> Strictly recreating the Scale, thus, led to less accurate classifications of the actual valence of the regulator’s reputation with respondents. This is not to critique Lee &amp; van Ryzin’s approach. I consider the problem to have arisen from applying a Scale developed for and tested with citizen perceptions of agencies to regulated firms. Regulated firms have a different relationship to </w:t>
      </w:r>
      <w:r w:rsidR="00D338BA" w:rsidRPr="0044695B">
        <w:rPr>
          <w:lang w:val="en-US"/>
        </w:rPr>
        <w:lastRenderedPageBreak/>
        <w:t>regulators than citizens. This study provides yet more empirical support that firm perceptions and priorities of agencies are almost certainly different than other regulator audiences</w:t>
      </w:r>
      <w:r w:rsidR="00487596">
        <w:rPr>
          <w:lang w:val="en-US"/>
        </w:rPr>
        <w:t>.</w:t>
      </w:r>
      <w:r w:rsidR="00795C88" w:rsidRPr="00B2206F">
        <w:rPr>
          <w:rStyle w:val="FootnoteReference"/>
        </w:rPr>
        <w:footnoteReference w:id="31"/>
      </w:r>
      <w:r w:rsidR="00D338BA">
        <w:rPr>
          <w:lang w:val="en-US"/>
        </w:rPr>
        <w:t xml:space="preserve"> Further, that bespoke instruments may be required in future to measure the strength of a regulator’s reputations specifically with firms. </w:t>
      </w:r>
    </w:p>
    <w:p w14:paraId="7AB12317" w14:textId="77777777" w:rsidR="00D338BA" w:rsidRPr="0044695B" w:rsidRDefault="00D338BA" w:rsidP="003141B3">
      <w:pPr>
        <w:ind w:right="380" w:firstLine="720"/>
        <w:rPr>
          <w:lang w:val="en-US"/>
        </w:rPr>
      </w:pPr>
      <w:r w:rsidRPr="0044695B">
        <w:rPr>
          <w:lang w:val="en-US"/>
        </w:rPr>
        <w:t>In my second attempt at classification, I took a broader approach. When classifying each dimension of reputation, I looked at all statements I had coded to that dimension. In effect: using Carpenter’s wider conceptualization rather than Lee &amp; van Ryzin’s narrower operationalization. With this coding and classification, it is possible to examine links between reputation and motivation</w:t>
      </w:r>
      <w:r>
        <w:rPr>
          <w:lang w:val="en-US"/>
        </w:rPr>
        <w:t xml:space="preserve"> to apply</w:t>
      </w:r>
      <w:r w:rsidRPr="0044695B">
        <w:rPr>
          <w:lang w:val="en-US"/>
        </w:rPr>
        <w:t xml:space="preserve">. First, because one can compare differences in the nature and valence of perceptions between those firms which are motivated and those which are unmotivated and, second, because one can identify where firms state or imply that the regulator’s reputation played a role. </w:t>
      </w:r>
    </w:p>
    <w:p w14:paraId="789C139A" w14:textId="77777777" w:rsidR="00D338BA" w:rsidRPr="0044695B" w:rsidRDefault="00D338BA" w:rsidP="003141B3">
      <w:pPr>
        <w:ind w:right="380" w:firstLine="720"/>
        <w:rPr>
          <w:lang w:val="en-US"/>
        </w:rPr>
      </w:pPr>
      <w:r w:rsidRPr="0044695B">
        <w:rPr>
          <w:lang w:val="en-US"/>
        </w:rPr>
        <w:t xml:space="preserve">To analyze potential links between perceptions and motivation, I compared the perceptions of firms who were motivated to apply to the sandbox to those who were less motivated. These were compared at two points in time: early impressions of the regulator and the extent and nature of motivation to apply in the past (T1), and current impressions of the regulator and motivation to apply today (T2). I looked for patterned differences in perceptions between these groups, and for outliers who did not fit the pattern. My assumption was an association between certain perceptions and more motivation might imply a link. I then analyzed </w:t>
      </w:r>
      <w:r>
        <w:rPr>
          <w:lang w:val="en-US"/>
        </w:rPr>
        <w:t xml:space="preserve">statements respondents had made about links between the regulator’s reputation and </w:t>
      </w:r>
      <w:r>
        <w:rPr>
          <w:lang w:val="en-US"/>
        </w:rPr>
        <w:lastRenderedPageBreak/>
        <w:t>their motivation to apply</w:t>
      </w:r>
      <w:r w:rsidRPr="0044695B">
        <w:rPr>
          <w:lang w:val="en-US"/>
        </w:rPr>
        <w:t xml:space="preserve"> interpretatively, analyzing what mechanisms were raised and whether they bore similarities to mechanisms previously described by </w:t>
      </w:r>
      <w:r>
        <w:rPr>
          <w:lang w:val="en-US"/>
        </w:rPr>
        <w:t>theory.</w:t>
      </w:r>
    </w:p>
    <w:p w14:paraId="16A8EAAB" w14:textId="33687D12" w:rsidR="00D338BA" w:rsidRPr="00FB737D" w:rsidRDefault="00400352" w:rsidP="00D338BA">
      <w:pPr>
        <w:pStyle w:val="Heading3"/>
      </w:pPr>
      <w:r>
        <w:t xml:space="preserve">5. </w:t>
      </w:r>
      <w:r w:rsidR="00D338BA" w:rsidRPr="00FB737D">
        <w:t>Analyzing differences in interview and survey responses from the same firm</w:t>
      </w:r>
    </w:p>
    <w:p w14:paraId="693F4F00" w14:textId="77777777" w:rsidR="00D338BA" w:rsidRDefault="00D338BA" w:rsidP="00D338BA">
      <w:pPr>
        <w:ind w:right="380"/>
        <w:rPr>
          <w:lang w:val="en-US"/>
        </w:rPr>
      </w:pPr>
      <w:r w:rsidRPr="0044695B">
        <w:rPr>
          <w:lang w:val="en-US"/>
        </w:rPr>
        <w:t xml:space="preserve">Five firms in the sample were both interviewed and responded to the survey. Comparison between results from the same firm per method (Table </w:t>
      </w:r>
      <w:r>
        <w:rPr>
          <w:lang w:val="en-US"/>
        </w:rPr>
        <w:t>7</w:t>
      </w:r>
      <w:r w:rsidRPr="0044695B">
        <w:rPr>
          <w:lang w:val="en-US"/>
        </w:rPr>
        <w:t xml:space="preserve">) shows broadly similar results. </w:t>
      </w:r>
      <w:r>
        <w:rPr>
          <w:lang w:val="en-US"/>
        </w:rPr>
        <w:t>R</w:t>
      </w:r>
      <w:r w:rsidRPr="0044695B">
        <w:rPr>
          <w:lang w:val="en-US"/>
        </w:rPr>
        <w:t xml:space="preserve">espondents tend to report the regulator has a </w:t>
      </w:r>
      <w:r>
        <w:rPr>
          <w:lang w:val="en-US"/>
        </w:rPr>
        <w:t xml:space="preserve">somewhat </w:t>
      </w:r>
      <w:r w:rsidRPr="0044695B">
        <w:rPr>
          <w:lang w:val="en-US"/>
        </w:rPr>
        <w:t xml:space="preserve">stronger reputation in interviews than in the survey. Survey results show somewhat higher beyond compliance motivation for the same firms than was found in interviews. This implies results are somewhat sensitive to method (social desirability, self-selection bias, and the greater nuance allowed for in interviews being possible explanations). </w:t>
      </w:r>
    </w:p>
    <w:p w14:paraId="7463BAF9" w14:textId="77777777" w:rsidR="004012FA" w:rsidRPr="004012FA" w:rsidRDefault="004012FA" w:rsidP="004012FA">
      <w:pPr>
        <w:spacing w:afterLines="120" w:after="288" w:line="259" w:lineRule="auto"/>
        <w:ind w:right="380"/>
        <w:outlineLvl w:val="2"/>
        <w:rPr>
          <w:rFonts w:eastAsia="Times New Roman"/>
          <w:color w:val="000000"/>
          <w:lang w:val="en-US" w:eastAsia="en-GB"/>
        </w:rPr>
      </w:pPr>
      <w:r w:rsidRPr="004012FA">
        <w:rPr>
          <w:rFonts w:eastAsia="Times New Roman"/>
          <w:color w:val="000000"/>
          <w:lang w:val="en-US" w:eastAsia="en-GB"/>
        </w:rPr>
        <w:t>TABLE 6 – Comparison of questionnaire versus interview results from the same firms by variable</w:t>
      </w:r>
    </w:p>
    <w:tbl>
      <w:tblPr>
        <w:tblStyle w:val="TableGrid11"/>
        <w:tblW w:w="46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2"/>
        <w:gridCol w:w="22"/>
        <w:gridCol w:w="2249"/>
        <w:gridCol w:w="416"/>
        <w:gridCol w:w="2584"/>
        <w:gridCol w:w="22"/>
      </w:tblGrid>
      <w:tr w:rsidR="004012FA" w:rsidRPr="004012FA" w14:paraId="7D096BD2" w14:textId="77777777" w:rsidTr="00F56F84">
        <w:trPr>
          <w:gridAfter w:val="1"/>
          <w:wAfter w:w="14" w:type="pct"/>
          <w:tblHeader/>
          <w:jc w:val="center"/>
        </w:trPr>
        <w:tc>
          <w:tcPr>
            <w:tcW w:w="1677" w:type="pct"/>
            <w:tcBorders>
              <w:top w:val="single" w:sz="4" w:space="0" w:color="auto"/>
              <w:bottom w:val="single" w:sz="4" w:space="0" w:color="auto"/>
            </w:tcBorders>
          </w:tcPr>
          <w:p w14:paraId="3108E8F4" w14:textId="77777777" w:rsidR="004012FA" w:rsidRPr="004012FA" w:rsidRDefault="004012FA" w:rsidP="004012FA">
            <w:pPr>
              <w:spacing w:afterLines="120" w:after="288" w:line="240" w:lineRule="auto"/>
              <w:ind w:right="380"/>
              <w:rPr>
                <w:sz w:val="22"/>
                <w:szCs w:val="22"/>
                <w:lang w:val="en-US"/>
              </w:rPr>
            </w:pPr>
          </w:p>
        </w:tc>
        <w:tc>
          <w:tcPr>
            <w:tcW w:w="1426" w:type="pct"/>
            <w:gridSpan w:val="2"/>
            <w:tcBorders>
              <w:top w:val="single" w:sz="4" w:space="0" w:color="auto"/>
              <w:bottom w:val="single" w:sz="4" w:space="0" w:color="auto"/>
            </w:tcBorders>
          </w:tcPr>
          <w:p w14:paraId="3DDDB447" w14:textId="5A337445" w:rsidR="004012FA" w:rsidRPr="004012FA" w:rsidRDefault="00081D58" w:rsidP="004012FA">
            <w:pPr>
              <w:spacing w:afterLines="120" w:after="288" w:line="240" w:lineRule="auto"/>
              <w:ind w:left="1024" w:hanging="451"/>
              <w:jc w:val="center"/>
              <w:rPr>
                <w:sz w:val="22"/>
                <w:szCs w:val="22"/>
                <w:lang w:val="en-US"/>
              </w:rPr>
            </w:pPr>
            <w:r>
              <w:rPr>
                <w:sz w:val="22"/>
                <w:szCs w:val="22"/>
                <w:lang w:val="en-US"/>
              </w:rPr>
              <w:t xml:space="preserve">  </w:t>
            </w:r>
            <w:r w:rsidR="004012FA" w:rsidRPr="004012FA">
              <w:rPr>
                <w:sz w:val="22"/>
                <w:szCs w:val="22"/>
                <w:lang w:val="en-US"/>
              </w:rPr>
              <w:t>Survey Result</w:t>
            </w:r>
          </w:p>
        </w:tc>
        <w:tc>
          <w:tcPr>
            <w:tcW w:w="1883" w:type="pct"/>
            <w:gridSpan w:val="2"/>
            <w:tcBorders>
              <w:top w:val="single" w:sz="4" w:space="0" w:color="auto"/>
              <w:bottom w:val="single" w:sz="4" w:space="0" w:color="auto"/>
            </w:tcBorders>
          </w:tcPr>
          <w:p w14:paraId="7D59E740" w14:textId="55DB5407" w:rsidR="004012FA" w:rsidRPr="004012FA" w:rsidRDefault="00081D58" w:rsidP="004012FA">
            <w:pPr>
              <w:spacing w:afterLines="120" w:after="288" w:line="240" w:lineRule="auto"/>
              <w:ind w:left="395" w:right="380" w:hanging="141"/>
              <w:jc w:val="center"/>
              <w:rPr>
                <w:sz w:val="22"/>
                <w:szCs w:val="22"/>
                <w:lang w:val="en-US"/>
              </w:rPr>
            </w:pPr>
            <w:r>
              <w:rPr>
                <w:sz w:val="22"/>
                <w:szCs w:val="22"/>
                <w:lang w:val="en-US"/>
              </w:rPr>
              <w:t xml:space="preserve">       </w:t>
            </w:r>
            <w:r w:rsidR="004012FA" w:rsidRPr="004012FA">
              <w:rPr>
                <w:sz w:val="22"/>
                <w:szCs w:val="22"/>
                <w:lang w:val="en-US"/>
              </w:rPr>
              <w:t>Interview Result</w:t>
            </w:r>
          </w:p>
        </w:tc>
      </w:tr>
      <w:tr w:rsidR="004012FA" w:rsidRPr="004012FA" w14:paraId="428BD521" w14:textId="77777777" w:rsidTr="00F56F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pct"/>
            <w:gridSpan w:val="2"/>
            <w:tcBorders>
              <w:top w:val="single" w:sz="4" w:space="0" w:color="auto"/>
              <w:left w:val="nil"/>
              <w:right w:val="nil"/>
            </w:tcBorders>
          </w:tcPr>
          <w:p w14:paraId="6D7A54F1" w14:textId="77777777" w:rsidR="004012FA" w:rsidRPr="004012FA" w:rsidRDefault="004012FA" w:rsidP="004012FA">
            <w:pPr>
              <w:spacing w:afterLines="120" w:after="288" w:line="240" w:lineRule="auto"/>
              <w:ind w:right="33"/>
              <w:rPr>
                <w:sz w:val="22"/>
                <w:szCs w:val="22"/>
                <w:lang w:val="en-US"/>
              </w:rPr>
            </w:pPr>
            <w:r w:rsidRPr="004012FA">
              <w:rPr>
                <w:sz w:val="22"/>
                <w:szCs w:val="22"/>
                <w:lang w:val="en-US"/>
              </w:rPr>
              <w:t xml:space="preserve">Level of motivation to apply for the </w:t>
            </w:r>
            <w:proofErr w:type="gramStart"/>
            <w:r w:rsidRPr="004012FA">
              <w:rPr>
                <w:sz w:val="22"/>
                <w:szCs w:val="22"/>
                <w:lang w:val="en-US"/>
              </w:rPr>
              <w:t>sandbox</w:t>
            </w:r>
            <w:proofErr w:type="gramEnd"/>
          </w:p>
          <w:tbl>
            <w:tblPr>
              <w:tblW w:w="3431" w:type="dxa"/>
              <w:tblLayout w:type="fixed"/>
              <w:tblLook w:val="04A0" w:firstRow="1" w:lastRow="0" w:firstColumn="1" w:lastColumn="0" w:noHBand="0" w:noVBand="1"/>
            </w:tblPr>
            <w:tblGrid>
              <w:gridCol w:w="3431"/>
            </w:tblGrid>
            <w:tr w:rsidR="004012FA" w:rsidRPr="004012FA" w14:paraId="35261478" w14:textId="77777777" w:rsidTr="006F6815">
              <w:trPr>
                <w:trHeight w:val="300"/>
              </w:trPr>
              <w:tc>
                <w:tcPr>
                  <w:tcW w:w="3431" w:type="dxa"/>
                  <w:tcBorders>
                    <w:top w:val="nil"/>
                    <w:left w:val="nil"/>
                    <w:bottom w:val="nil"/>
                    <w:right w:val="nil"/>
                  </w:tcBorders>
                  <w:shd w:val="clear" w:color="auto" w:fill="auto"/>
                  <w:noWrap/>
                  <w:vAlign w:val="bottom"/>
                  <w:hideMark/>
                </w:tcPr>
                <w:p w14:paraId="091992EC"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SB1</w:t>
                  </w:r>
                </w:p>
              </w:tc>
            </w:tr>
            <w:tr w:rsidR="004012FA" w:rsidRPr="004012FA" w14:paraId="495F8E1D" w14:textId="77777777" w:rsidTr="006F6815">
              <w:trPr>
                <w:trHeight w:val="300"/>
              </w:trPr>
              <w:tc>
                <w:tcPr>
                  <w:tcW w:w="3431" w:type="dxa"/>
                  <w:tcBorders>
                    <w:top w:val="nil"/>
                    <w:left w:val="nil"/>
                    <w:bottom w:val="nil"/>
                    <w:right w:val="nil"/>
                  </w:tcBorders>
                  <w:shd w:val="clear" w:color="auto" w:fill="auto"/>
                  <w:noWrap/>
                  <w:vAlign w:val="bottom"/>
                  <w:hideMark/>
                </w:tcPr>
                <w:p w14:paraId="10EC03EE"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SB5</w:t>
                  </w:r>
                </w:p>
              </w:tc>
            </w:tr>
            <w:tr w:rsidR="004012FA" w:rsidRPr="004012FA" w14:paraId="16978894" w14:textId="77777777" w:rsidTr="006F6815">
              <w:trPr>
                <w:trHeight w:val="300"/>
              </w:trPr>
              <w:tc>
                <w:tcPr>
                  <w:tcW w:w="3431" w:type="dxa"/>
                  <w:tcBorders>
                    <w:top w:val="nil"/>
                    <w:left w:val="nil"/>
                    <w:bottom w:val="nil"/>
                    <w:right w:val="nil"/>
                  </w:tcBorders>
                  <w:shd w:val="clear" w:color="auto" w:fill="auto"/>
                  <w:noWrap/>
                  <w:vAlign w:val="bottom"/>
                  <w:hideMark/>
                </w:tcPr>
                <w:p w14:paraId="71DBC167"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SB9</w:t>
                  </w:r>
                </w:p>
              </w:tc>
            </w:tr>
            <w:tr w:rsidR="004012FA" w:rsidRPr="004012FA" w14:paraId="386CE27D" w14:textId="77777777" w:rsidTr="006F6815">
              <w:trPr>
                <w:trHeight w:val="300"/>
              </w:trPr>
              <w:tc>
                <w:tcPr>
                  <w:tcW w:w="3431" w:type="dxa"/>
                  <w:tcBorders>
                    <w:top w:val="nil"/>
                    <w:left w:val="nil"/>
                    <w:bottom w:val="nil"/>
                    <w:right w:val="nil"/>
                  </w:tcBorders>
                  <w:shd w:val="clear" w:color="auto" w:fill="auto"/>
                  <w:noWrap/>
                  <w:vAlign w:val="bottom"/>
                  <w:hideMark/>
                </w:tcPr>
                <w:p w14:paraId="4E5F487E"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NSB3</w:t>
                  </w:r>
                </w:p>
              </w:tc>
            </w:tr>
            <w:tr w:rsidR="004012FA" w:rsidRPr="004012FA" w14:paraId="7460F7C8" w14:textId="77777777" w:rsidTr="006F6815">
              <w:trPr>
                <w:trHeight w:val="300"/>
              </w:trPr>
              <w:tc>
                <w:tcPr>
                  <w:tcW w:w="3431" w:type="dxa"/>
                  <w:tcBorders>
                    <w:top w:val="nil"/>
                    <w:left w:val="nil"/>
                    <w:bottom w:val="nil"/>
                    <w:right w:val="nil"/>
                  </w:tcBorders>
                  <w:shd w:val="clear" w:color="auto" w:fill="auto"/>
                  <w:noWrap/>
                  <w:vAlign w:val="bottom"/>
                  <w:hideMark/>
                </w:tcPr>
                <w:p w14:paraId="4439B1A6"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NSB5</w:t>
                  </w:r>
                </w:p>
              </w:tc>
            </w:tr>
          </w:tbl>
          <w:p w14:paraId="470EA2A0" w14:textId="77777777" w:rsidR="004012FA" w:rsidRPr="004012FA" w:rsidRDefault="004012FA" w:rsidP="004012FA">
            <w:pPr>
              <w:spacing w:afterLines="120" w:after="288" w:line="240" w:lineRule="auto"/>
              <w:ind w:right="-140"/>
              <w:rPr>
                <w:sz w:val="22"/>
                <w:szCs w:val="22"/>
                <w:lang w:val="en-US"/>
              </w:rPr>
            </w:pPr>
          </w:p>
        </w:tc>
        <w:tc>
          <w:tcPr>
            <w:tcW w:w="1673" w:type="pct"/>
            <w:gridSpan w:val="2"/>
            <w:tcBorders>
              <w:top w:val="single" w:sz="4" w:space="0" w:color="auto"/>
              <w:left w:val="nil"/>
              <w:right w:val="nil"/>
            </w:tcBorders>
          </w:tcPr>
          <w:p w14:paraId="1781AE6B" w14:textId="77777777" w:rsidR="004012FA" w:rsidRPr="004012FA" w:rsidRDefault="004012FA" w:rsidP="004012FA">
            <w:pPr>
              <w:tabs>
                <w:tab w:val="left" w:pos="2583"/>
              </w:tabs>
              <w:spacing w:afterLines="120" w:after="288" w:line="240" w:lineRule="auto"/>
              <w:ind w:left="-964" w:right="380" w:hanging="380"/>
              <w:jc w:val="center"/>
              <w:rPr>
                <w:sz w:val="22"/>
                <w:szCs w:val="22"/>
                <w:lang w:val="en-US"/>
              </w:rPr>
            </w:pPr>
          </w:p>
          <w:tbl>
            <w:tblPr>
              <w:tblW w:w="4431" w:type="dxa"/>
              <w:tblLayout w:type="fixed"/>
              <w:tblLook w:val="04A0" w:firstRow="1" w:lastRow="0" w:firstColumn="1" w:lastColumn="0" w:noHBand="0" w:noVBand="1"/>
            </w:tblPr>
            <w:tblGrid>
              <w:gridCol w:w="4431"/>
            </w:tblGrid>
            <w:tr w:rsidR="004012FA" w:rsidRPr="004012FA" w14:paraId="3C04FA27" w14:textId="77777777" w:rsidTr="006F6815">
              <w:trPr>
                <w:trHeight w:val="300"/>
              </w:trPr>
              <w:tc>
                <w:tcPr>
                  <w:tcW w:w="4431" w:type="dxa"/>
                  <w:tcBorders>
                    <w:top w:val="nil"/>
                    <w:left w:val="nil"/>
                    <w:bottom w:val="nil"/>
                    <w:right w:val="nil"/>
                  </w:tcBorders>
                  <w:shd w:val="clear" w:color="auto" w:fill="auto"/>
                  <w:noWrap/>
                  <w:vAlign w:val="bottom"/>
                </w:tcPr>
                <w:p w14:paraId="650CEDA0" w14:textId="15CA92B7" w:rsidR="004012FA" w:rsidRPr="004012FA" w:rsidRDefault="004012FA" w:rsidP="004012FA">
                  <w:pPr>
                    <w:tabs>
                      <w:tab w:val="left" w:pos="2583"/>
                    </w:tabs>
                    <w:spacing w:before="200" w:afterLines="120" w:after="288" w:line="259" w:lineRule="auto"/>
                    <w:ind w:left="-1338" w:right="181"/>
                    <w:jc w:val="center"/>
                    <w:rPr>
                      <w:sz w:val="22"/>
                      <w:szCs w:val="22"/>
                      <w:lang w:val="en-US"/>
                    </w:rPr>
                  </w:pPr>
                  <w:r w:rsidRPr="004012FA">
                    <w:rPr>
                      <w:sz w:val="22"/>
                      <w:szCs w:val="22"/>
                      <w:lang w:val="en-US"/>
                    </w:rPr>
                    <w:t xml:space="preserve">Probably would </w:t>
                  </w:r>
                </w:p>
              </w:tc>
            </w:tr>
            <w:tr w:rsidR="004012FA" w:rsidRPr="004012FA" w14:paraId="0856C291" w14:textId="77777777" w:rsidTr="006F6815">
              <w:trPr>
                <w:trHeight w:val="300"/>
              </w:trPr>
              <w:tc>
                <w:tcPr>
                  <w:tcW w:w="4431" w:type="dxa"/>
                  <w:tcBorders>
                    <w:top w:val="nil"/>
                    <w:left w:val="nil"/>
                    <w:bottom w:val="nil"/>
                    <w:right w:val="nil"/>
                  </w:tcBorders>
                  <w:shd w:val="clear" w:color="auto" w:fill="auto"/>
                  <w:noWrap/>
                  <w:vAlign w:val="bottom"/>
                </w:tcPr>
                <w:p w14:paraId="25FD7AA5" w14:textId="176B34E6" w:rsidR="004012FA" w:rsidRPr="004012FA" w:rsidRDefault="004012FA" w:rsidP="004012FA">
                  <w:pPr>
                    <w:tabs>
                      <w:tab w:val="left" w:pos="2583"/>
                    </w:tabs>
                    <w:spacing w:afterLines="120" w:after="288" w:line="259" w:lineRule="auto"/>
                    <w:ind w:left="-1340" w:right="179"/>
                    <w:jc w:val="center"/>
                    <w:rPr>
                      <w:sz w:val="22"/>
                      <w:szCs w:val="22"/>
                      <w:lang w:val="en-US"/>
                    </w:rPr>
                  </w:pPr>
                  <w:r w:rsidRPr="004012FA">
                    <w:rPr>
                      <w:sz w:val="22"/>
                      <w:szCs w:val="22"/>
                      <w:lang w:val="en-US"/>
                    </w:rPr>
                    <w:t xml:space="preserve">Probably would </w:t>
                  </w:r>
                </w:p>
              </w:tc>
            </w:tr>
            <w:tr w:rsidR="004012FA" w:rsidRPr="004012FA" w14:paraId="6CA5364A" w14:textId="77777777" w:rsidTr="006F6815">
              <w:trPr>
                <w:trHeight w:val="300"/>
              </w:trPr>
              <w:tc>
                <w:tcPr>
                  <w:tcW w:w="4431" w:type="dxa"/>
                  <w:tcBorders>
                    <w:top w:val="nil"/>
                    <w:left w:val="nil"/>
                    <w:bottom w:val="nil"/>
                    <w:right w:val="nil"/>
                  </w:tcBorders>
                  <w:shd w:val="clear" w:color="auto" w:fill="auto"/>
                  <w:noWrap/>
                  <w:vAlign w:val="bottom"/>
                </w:tcPr>
                <w:p w14:paraId="0372F81E" w14:textId="472EFD09" w:rsidR="004012FA" w:rsidRPr="004012FA" w:rsidRDefault="004012FA" w:rsidP="004012FA">
                  <w:pPr>
                    <w:tabs>
                      <w:tab w:val="left" w:pos="2583"/>
                    </w:tabs>
                    <w:spacing w:afterLines="120" w:after="288" w:line="259" w:lineRule="auto"/>
                    <w:ind w:left="-1340" w:right="179"/>
                    <w:jc w:val="center"/>
                    <w:rPr>
                      <w:sz w:val="22"/>
                      <w:szCs w:val="22"/>
                      <w:lang w:val="en-US"/>
                    </w:rPr>
                  </w:pPr>
                  <w:r w:rsidRPr="004012FA">
                    <w:rPr>
                      <w:sz w:val="22"/>
                      <w:szCs w:val="22"/>
                      <w:lang w:val="en-US"/>
                    </w:rPr>
                    <w:t xml:space="preserve">Almost certainly would </w:t>
                  </w:r>
                </w:p>
              </w:tc>
            </w:tr>
            <w:tr w:rsidR="004012FA" w:rsidRPr="004012FA" w14:paraId="176DF7B4" w14:textId="77777777" w:rsidTr="006F6815">
              <w:trPr>
                <w:trHeight w:val="300"/>
              </w:trPr>
              <w:tc>
                <w:tcPr>
                  <w:tcW w:w="4431" w:type="dxa"/>
                  <w:tcBorders>
                    <w:top w:val="nil"/>
                    <w:left w:val="nil"/>
                    <w:bottom w:val="nil"/>
                    <w:right w:val="nil"/>
                  </w:tcBorders>
                  <w:shd w:val="clear" w:color="auto" w:fill="auto"/>
                  <w:noWrap/>
                  <w:vAlign w:val="bottom"/>
                </w:tcPr>
                <w:p w14:paraId="1920B935" w14:textId="70AE29F8" w:rsidR="004012FA" w:rsidRPr="004012FA" w:rsidRDefault="004012FA" w:rsidP="004012FA">
                  <w:pPr>
                    <w:tabs>
                      <w:tab w:val="left" w:pos="2583"/>
                    </w:tabs>
                    <w:spacing w:afterLines="120" w:after="288" w:line="259" w:lineRule="auto"/>
                    <w:ind w:left="-1340" w:right="179"/>
                    <w:jc w:val="center"/>
                    <w:rPr>
                      <w:sz w:val="22"/>
                      <w:szCs w:val="22"/>
                      <w:lang w:val="en-US"/>
                    </w:rPr>
                  </w:pPr>
                  <w:r w:rsidRPr="004012FA">
                    <w:rPr>
                      <w:sz w:val="22"/>
                      <w:szCs w:val="22"/>
                      <w:lang w:val="en-US"/>
                    </w:rPr>
                    <w:t xml:space="preserve">Almost certainly would </w:t>
                  </w:r>
                </w:p>
              </w:tc>
            </w:tr>
            <w:tr w:rsidR="004012FA" w:rsidRPr="004012FA" w14:paraId="3C5E03F7" w14:textId="77777777" w:rsidTr="006F6815">
              <w:trPr>
                <w:trHeight w:val="300"/>
              </w:trPr>
              <w:tc>
                <w:tcPr>
                  <w:tcW w:w="4431" w:type="dxa"/>
                  <w:tcBorders>
                    <w:top w:val="nil"/>
                    <w:left w:val="nil"/>
                    <w:bottom w:val="nil"/>
                    <w:right w:val="nil"/>
                  </w:tcBorders>
                  <w:shd w:val="clear" w:color="auto" w:fill="auto"/>
                  <w:noWrap/>
                  <w:vAlign w:val="bottom"/>
                </w:tcPr>
                <w:p w14:paraId="70C478DF" w14:textId="648CF7EB" w:rsidR="004012FA" w:rsidRPr="004012FA" w:rsidRDefault="004012FA" w:rsidP="004012FA">
                  <w:pPr>
                    <w:tabs>
                      <w:tab w:val="left" w:pos="2583"/>
                    </w:tabs>
                    <w:spacing w:afterLines="120" w:after="288" w:line="259" w:lineRule="auto"/>
                    <w:ind w:left="-914" w:right="179" w:hanging="425"/>
                    <w:jc w:val="center"/>
                    <w:rPr>
                      <w:sz w:val="22"/>
                      <w:szCs w:val="22"/>
                      <w:lang w:val="en-US"/>
                    </w:rPr>
                  </w:pPr>
                  <w:r w:rsidRPr="004012FA">
                    <w:rPr>
                      <w:sz w:val="22"/>
                      <w:szCs w:val="22"/>
                      <w:lang w:val="en-US"/>
                    </w:rPr>
                    <w:t xml:space="preserve">Almost certainly would </w:t>
                  </w:r>
                </w:p>
              </w:tc>
            </w:tr>
          </w:tbl>
          <w:p w14:paraId="7DCAE56E" w14:textId="77777777" w:rsidR="004012FA" w:rsidRPr="004012FA" w:rsidRDefault="004012FA" w:rsidP="004012FA">
            <w:pPr>
              <w:tabs>
                <w:tab w:val="left" w:pos="2583"/>
              </w:tabs>
              <w:spacing w:afterLines="120" w:after="288" w:line="240" w:lineRule="auto"/>
              <w:ind w:left="-388" w:right="380" w:hanging="380"/>
              <w:jc w:val="center"/>
              <w:rPr>
                <w:sz w:val="22"/>
                <w:szCs w:val="22"/>
                <w:lang w:val="en-US"/>
              </w:rPr>
            </w:pPr>
          </w:p>
        </w:tc>
        <w:tc>
          <w:tcPr>
            <w:tcW w:w="1635" w:type="pct"/>
            <w:gridSpan w:val="2"/>
            <w:tcBorders>
              <w:top w:val="single" w:sz="4" w:space="0" w:color="auto"/>
              <w:left w:val="nil"/>
              <w:right w:val="nil"/>
            </w:tcBorders>
          </w:tcPr>
          <w:p w14:paraId="6BD0B0D5" w14:textId="77777777" w:rsidR="004012FA" w:rsidRPr="004012FA" w:rsidRDefault="004012FA" w:rsidP="004012FA">
            <w:pPr>
              <w:spacing w:afterLines="120" w:after="288" w:line="240" w:lineRule="auto"/>
              <w:ind w:left="-1241" w:right="380"/>
              <w:jc w:val="center"/>
              <w:rPr>
                <w:sz w:val="22"/>
                <w:szCs w:val="22"/>
                <w:lang w:val="en-US"/>
              </w:rPr>
            </w:pPr>
          </w:p>
          <w:tbl>
            <w:tblPr>
              <w:tblW w:w="3569" w:type="dxa"/>
              <w:tblLayout w:type="fixed"/>
              <w:tblLook w:val="04A0" w:firstRow="1" w:lastRow="0" w:firstColumn="1" w:lastColumn="0" w:noHBand="0" w:noVBand="1"/>
            </w:tblPr>
            <w:tblGrid>
              <w:gridCol w:w="3569"/>
            </w:tblGrid>
            <w:tr w:rsidR="004012FA" w:rsidRPr="004012FA" w14:paraId="2C54C992" w14:textId="77777777" w:rsidTr="006F6815">
              <w:trPr>
                <w:trHeight w:val="300"/>
              </w:trPr>
              <w:tc>
                <w:tcPr>
                  <w:tcW w:w="3569" w:type="dxa"/>
                  <w:tcBorders>
                    <w:top w:val="nil"/>
                    <w:left w:val="nil"/>
                    <w:bottom w:val="nil"/>
                    <w:right w:val="nil"/>
                  </w:tcBorders>
                  <w:shd w:val="clear" w:color="auto" w:fill="auto"/>
                  <w:noWrap/>
                  <w:vAlign w:val="bottom"/>
                </w:tcPr>
                <w:p w14:paraId="401CCF98" w14:textId="6CC67D87" w:rsidR="004012FA" w:rsidRPr="004012FA" w:rsidRDefault="004012FA" w:rsidP="004012FA">
                  <w:pPr>
                    <w:spacing w:before="200" w:afterLines="120" w:after="288" w:line="259" w:lineRule="auto"/>
                    <w:ind w:left="-1242"/>
                    <w:jc w:val="center"/>
                    <w:rPr>
                      <w:sz w:val="22"/>
                      <w:szCs w:val="22"/>
                      <w:lang w:val="en-US"/>
                    </w:rPr>
                  </w:pPr>
                  <w:r w:rsidRPr="004012FA">
                    <w:rPr>
                      <w:sz w:val="22"/>
                      <w:szCs w:val="22"/>
                      <w:lang w:val="en-US"/>
                    </w:rPr>
                    <w:t xml:space="preserve">Almost certainly would </w:t>
                  </w:r>
                </w:p>
              </w:tc>
            </w:tr>
            <w:tr w:rsidR="004012FA" w:rsidRPr="004012FA" w14:paraId="78AD36F5" w14:textId="77777777" w:rsidTr="006F6815">
              <w:trPr>
                <w:trHeight w:val="300"/>
              </w:trPr>
              <w:tc>
                <w:tcPr>
                  <w:tcW w:w="3569" w:type="dxa"/>
                  <w:tcBorders>
                    <w:top w:val="nil"/>
                    <w:left w:val="nil"/>
                    <w:bottom w:val="nil"/>
                    <w:right w:val="nil"/>
                  </w:tcBorders>
                  <w:shd w:val="clear" w:color="auto" w:fill="auto"/>
                  <w:noWrap/>
                  <w:vAlign w:val="bottom"/>
                </w:tcPr>
                <w:p w14:paraId="4BC5A73A"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Might apply</w:t>
                  </w:r>
                </w:p>
              </w:tc>
            </w:tr>
            <w:tr w:rsidR="004012FA" w:rsidRPr="004012FA" w14:paraId="4451B049" w14:textId="77777777" w:rsidTr="006F6815">
              <w:trPr>
                <w:trHeight w:val="300"/>
              </w:trPr>
              <w:tc>
                <w:tcPr>
                  <w:tcW w:w="3569" w:type="dxa"/>
                  <w:tcBorders>
                    <w:top w:val="nil"/>
                    <w:left w:val="nil"/>
                    <w:bottom w:val="nil"/>
                    <w:right w:val="nil"/>
                  </w:tcBorders>
                  <w:shd w:val="clear" w:color="auto" w:fill="auto"/>
                  <w:noWrap/>
                  <w:vAlign w:val="bottom"/>
                </w:tcPr>
                <w:p w14:paraId="28223B82" w14:textId="0F0FD0B6"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 xml:space="preserve">Almost certainly would </w:t>
                  </w:r>
                </w:p>
              </w:tc>
            </w:tr>
            <w:tr w:rsidR="004012FA" w:rsidRPr="004012FA" w14:paraId="3CD9D816" w14:textId="77777777" w:rsidTr="006F6815">
              <w:trPr>
                <w:trHeight w:val="300"/>
              </w:trPr>
              <w:tc>
                <w:tcPr>
                  <w:tcW w:w="3569" w:type="dxa"/>
                  <w:tcBorders>
                    <w:top w:val="nil"/>
                    <w:left w:val="nil"/>
                    <w:bottom w:val="nil"/>
                    <w:right w:val="nil"/>
                  </w:tcBorders>
                  <w:shd w:val="clear" w:color="auto" w:fill="auto"/>
                  <w:noWrap/>
                  <w:vAlign w:val="bottom"/>
                </w:tcPr>
                <w:p w14:paraId="0CE4B3FE"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Might apply</w:t>
                  </w:r>
                </w:p>
              </w:tc>
            </w:tr>
            <w:tr w:rsidR="004012FA" w:rsidRPr="004012FA" w14:paraId="19BA1E2A" w14:textId="77777777" w:rsidTr="006F6815">
              <w:trPr>
                <w:trHeight w:val="300"/>
              </w:trPr>
              <w:tc>
                <w:tcPr>
                  <w:tcW w:w="3569" w:type="dxa"/>
                  <w:tcBorders>
                    <w:top w:val="nil"/>
                    <w:left w:val="nil"/>
                    <w:bottom w:val="nil"/>
                    <w:right w:val="nil"/>
                  </w:tcBorders>
                  <w:shd w:val="clear" w:color="auto" w:fill="auto"/>
                  <w:noWrap/>
                  <w:vAlign w:val="bottom"/>
                </w:tcPr>
                <w:p w14:paraId="0C43A268"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Probably would apply</w:t>
                  </w:r>
                </w:p>
              </w:tc>
            </w:tr>
          </w:tbl>
          <w:p w14:paraId="1423F572" w14:textId="77777777" w:rsidR="004012FA" w:rsidRPr="004012FA" w:rsidRDefault="004012FA" w:rsidP="004012FA">
            <w:pPr>
              <w:spacing w:afterLines="120" w:after="288" w:line="240" w:lineRule="auto"/>
              <w:ind w:left="-1241" w:right="380"/>
              <w:jc w:val="center"/>
              <w:rPr>
                <w:sz w:val="22"/>
                <w:szCs w:val="22"/>
                <w:lang w:val="en-US"/>
              </w:rPr>
            </w:pPr>
          </w:p>
        </w:tc>
      </w:tr>
      <w:tr w:rsidR="004012FA" w:rsidRPr="004012FA" w14:paraId="5A7525E1" w14:textId="77777777" w:rsidTr="00F56F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pct"/>
            <w:gridSpan w:val="2"/>
            <w:tcBorders>
              <w:top w:val="single" w:sz="4" w:space="0" w:color="auto"/>
              <w:left w:val="nil"/>
              <w:right w:val="nil"/>
            </w:tcBorders>
          </w:tcPr>
          <w:p w14:paraId="097C2E1B" w14:textId="115B3EDB" w:rsidR="004012FA" w:rsidRPr="004012FA" w:rsidRDefault="004012FA" w:rsidP="004012FA">
            <w:pPr>
              <w:tabs>
                <w:tab w:val="left" w:pos="1871"/>
              </w:tabs>
              <w:spacing w:afterLines="120" w:after="288" w:line="240" w:lineRule="auto"/>
              <w:ind w:right="-140"/>
              <w:rPr>
                <w:sz w:val="22"/>
                <w:szCs w:val="22"/>
                <w:lang w:val="en-US"/>
              </w:rPr>
            </w:pPr>
            <w:r w:rsidRPr="004012FA">
              <w:rPr>
                <w:sz w:val="22"/>
                <w:szCs w:val="22"/>
                <w:lang w:val="en-US"/>
              </w:rPr>
              <w:br w:type="page"/>
            </w:r>
            <w:r w:rsidR="000C1758" w:rsidRPr="004012FA">
              <w:rPr>
                <w:sz w:val="22"/>
                <w:szCs w:val="22"/>
                <w:lang w:val="en-US"/>
              </w:rPr>
              <w:t>Performative</w:t>
            </w:r>
            <w:r w:rsidRPr="004012FA">
              <w:rPr>
                <w:sz w:val="22"/>
                <w:szCs w:val="22"/>
                <w:lang w:val="en-US"/>
              </w:rPr>
              <w:t xml:space="preserve"> – Agency is tough regulatory </w:t>
            </w:r>
            <w:proofErr w:type="gramStart"/>
            <w:r w:rsidRPr="004012FA">
              <w:rPr>
                <w:sz w:val="22"/>
                <w:szCs w:val="22"/>
                <w:lang w:val="en-US"/>
              </w:rPr>
              <w:t>enforcer</w:t>
            </w:r>
            <w:proofErr w:type="gramEnd"/>
          </w:p>
          <w:tbl>
            <w:tblPr>
              <w:tblW w:w="3431" w:type="dxa"/>
              <w:tblLayout w:type="fixed"/>
              <w:tblLook w:val="04A0" w:firstRow="1" w:lastRow="0" w:firstColumn="1" w:lastColumn="0" w:noHBand="0" w:noVBand="1"/>
            </w:tblPr>
            <w:tblGrid>
              <w:gridCol w:w="3431"/>
            </w:tblGrid>
            <w:tr w:rsidR="004012FA" w:rsidRPr="004012FA" w14:paraId="5E454B77" w14:textId="77777777" w:rsidTr="006F6815">
              <w:trPr>
                <w:trHeight w:val="300"/>
              </w:trPr>
              <w:tc>
                <w:tcPr>
                  <w:tcW w:w="3431" w:type="dxa"/>
                  <w:tcBorders>
                    <w:top w:val="nil"/>
                    <w:left w:val="nil"/>
                    <w:bottom w:val="nil"/>
                    <w:right w:val="nil"/>
                  </w:tcBorders>
                  <w:shd w:val="clear" w:color="auto" w:fill="auto"/>
                  <w:noWrap/>
                  <w:vAlign w:val="bottom"/>
                  <w:hideMark/>
                </w:tcPr>
                <w:p w14:paraId="7C01707C"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SB1</w:t>
                  </w:r>
                </w:p>
              </w:tc>
            </w:tr>
            <w:tr w:rsidR="004012FA" w:rsidRPr="004012FA" w14:paraId="29F240CB" w14:textId="77777777" w:rsidTr="006F6815">
              <w:trPr>
                <w:trHeight w:val="300"/>
              </w:trPr>
              <w:tc>
                <w:tcPr>
                  <w:tcW w:w="3431" w:type="dxa"/>
                  <w:tcBorders>
                    <w:top w:val="nil"/>
                    <w:left w:val="nil"/>
                    <w:bottom w:val="nil"/>
                    <w:right w:val="nil"/>
                  </w:tcBorders>
                  <w:shd w:val="clear" w:color="auto" w:fill="auto"/>
                  <w:noWrap/>
                  <w:vAlign w:val="bottom"/>
                  <w:hideMark/>
                </w:tcPr>
                <w:p w14:paraId="236D0F57"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SB5</w:t>
                  </w:r>
                </w:p>
              </w:tc>
            </w:tr>
            <w:tr w:rsidR="004012FA" w:rsidRPr="004012FA" w14:paraId="6A7D0BFA" w14:textId="77777777" w:rsidTr="006F6815">
              <w:trPr>
                <w:trHeight w:val="300"/>
              </w:trPr>
              <w:tc>
                <w:tcPr>
                  <w:tcW w:w="3431" w:type="dxa"/>
                  <w:tcBorders>
                    <w:top w:val="nil"/>
                    <w:left w:val="nil"/>
                    <w:bottom w:val="nil"/>
                    <w:right w:val="nil"/>
                  </w:tcBorders>
                  <w:shd w:val="clear" w:color="auto" w:fill="auto"/>
                  <w:noWrap/>
                  <w:vAlign w:val="bottom"/>
                  <w:hideMark/>
                </w:tcPr>
                <w:p w14:paraId="4DAC6A76"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lastRenderedPageBreak/>
                    <w:t>SB9</w:t>
                  </w:r>
                </w:p>
              </w:tc>
            </w:tr>
            <w:tr w:rsidR="004012FA" w:rsidRPr="004012FA" w14:paraId="1BA19E22" w14:textId="77777777" w:rsidTr="006F6815">
              <w:trPr>
                <w:trHeight w:val="300"/>
              </w:trPr>
              <w:tc>
                <w:tcPr>
                  <w:tcW w:w="3431" w:type="dxa"/>
                  <w:tcBorders>
                    <w:top w:val="nil"/>
                    <w:left w:val="nil"/>
                    <w:bottom w:val="nil"/>
                    <w:right w:val="nil"/>
                  </w:tcBorders>
                  <w:shd w:val="clear" w:color="auto" w:fill="auto"/>
                  <w:noWrap/>
                  <w:vAlign w:val="bottom"/>
                  <w:hideMark/>
                </w:tcPr>
                <w:p w14:paraId="5A41713A"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NSB3</w:t>
                  </w:r>
                </w:p>
              </w:tc>
            </w:tr>
            <w:tr w:rsidR="004012FA" w:rsidRPr="004012FA" w14:paraId="79872CBD" w14:textId="77777777" w:rsidTr="006F6815">
              <w:trPr>
                <w:trHeight w:val="300"/>
              </w:trPr>
              <w:tc>
                <w:tcPr>
                  <w:tcW w:w="3431" w:type="dxa"/>
                  <w:tcBorders>
                    <w:top w:val="nil"/>
                    <w:left w:val="nil"/>
                    <w:bottom w:val="nil"/>
                    <w:right w:val="nil"/>
                  </w:tcBorders>
                  <w:shd w:val="clear" w:color="auto" w:fill="auto"/>
                  <w:noWrap/>
                  <w:vAlign w:val="bottom"/>
                  <w:hideMark/>
                </w:tcPr>
                <w:p w14:paraId="223C2C96"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NSB5</w:t>
                  </w:r>
                </w:p>
              </w:tc>
            </w:tr>
          </w:tbl>
          <w:p w14:paraId="51CC3BFB" w14:textId="77777777" w:rsidR="004012FA" w:rsidRPr="004012FA" w:rsidRDefault="004012FA" w:rsidP="004012FA">
            <w:pPr>
              <w:spacing w:afterLines="120" w:after="288" w:line="240" w:lineRule="auto"/>
              <w:ind w:right="-140"/>
              <w:rPr>
                <w:sz w:val="22"/>
                <w:szCs w:val="22"/>
                <w:lang w:val="en-US"/>
              </w:rPr>
            </w:pPr>
          </w:p>
        </w:tc>
        <w:tc>
          <w:tcPr>
            <w:tcW w:w="1673" w:type="pct"/>
            <w:gridSpan w:val="2"/>
            <w:tcBorders>
              <w:top w:val="single" w:sz="4" w:space="0" w:color="auto"/>
              <w:left w:val="nil"/>
              <w:right w:val="nil"/>
            </w:tcBorders>
          </w:tcPr>
          <w:tbl>
            <w:tblPr>
              <w:tblW w:w="2439" w:type="dxa"/>
              <w:tblInd w:w="597" w:type="dxa"/>
              <w:tblLayout w:type="fixed"/>
              <w:tblLook w:val="04A0" w:firstRow="1" w:lastRow="0" w:firstColumn="1" w:lastColumn="0" w:noHBand="0" w:noVBand="1"/>
            </w:tblPr>
            <w:tblGrid>
              <w:gridCol w:w="2439"/>
            </w:tblGrid>
            <w:tr w:rsidR="004012FA" w:rsidRPr="004012FA" w14:paraId="000D44D2" w14:textId="77777777" w:rsidTr="006F6815">
              <w:trPr>
                <w:trHeight w:val="300"/>
              </w:trPr>
              <w:tc>
                <w:tcPr>
                  <w:tcW w:w="2439" w:type="dxa"/>
                  <w:tcBorders>
                    <w:top w:val="nil"/>
                    <w:left w:val="nil"/>
                    <w:bottom w:val="nil"/>
                    <w:right w:val="nil"/>
                  </w:tcBorders>
                  <w:shd w:val="clear" w:color="auto" w:fill="auto"/>
                  <w:noWrap/>
                  <w:vAlign w:val="bottom"/>
                </w:tcPr>
                <w:p w14:paraId="2325E6A0" w14:textId="77777777" w:rsidR="004012FA" w:rsidRPr="004012FA" w:rsidRDefault="004012FA" w:rsidP="004012FA">
                  <w:pPr>
                    <w:tabs>
                      <w:tab w:val="left" w:pos="2583"/>
                    </w:tabs>
                    <w:spacing w:afterLines="120" w:after="288" w:line="259" w:lineRule="auto"/>
                    <w:ind w:left="-388"/>
                    <w:jc w:val="center"/>
                    <w:rPr>
                      <w:sz w:val="22"/>
                      <w:szCs w:val="22"/>
                      <w:lang w:val="en-US"/>
                    </w:rPr>
                  </w:pPr>
                </w:p>
              </w:tc>
            </w:tr>
            <w:tr w:rsidR="004012FA" w:rsidRPr="004012FA" w14:paraId="1AF3EB58" w14:textId="77777777" w:rsidTr="006F6815">
              <w:trPr>
                <w:trHeight w:val="300"/>
              </w:trPr>
              <w:tc>
                <w:tcPr>
                  <w:tcW w:w="2439" w:type="dxa"/>
                  <w:tcBorders>
                    <w:top w:val="nil"/>
                    <w:left w:val="nil"/>
                    <w:bottom w:val="nil"/>
                    <w:right w:val="nil"/>
                  </w:tcBorders>
                  <w:shd w:val="clear" w:color="auto" w:fill="auto"/>
                  <w:noWrap/>
                  <w:vAlign w:val="bottom"/>
                </w:tcPr>
                <w:p w14:paraId="1815E4B6" w14:textId="77777777" w:rsidR="004012FA" w:rsidRPr="004012FA" w:rsidRDefault="004012FA" w:rsidP="004012FA">
                  <w:pPr>
                    <w:tabs>
                      <w:tab w:val="left" w:pos="2583"/>
                    </w:tabs>
                    <w:spacing w:before="200" w:afterLines="120" w:after="288" w:line="259" w:lineRule="auto"/>
                    <w:ind w:left="-388"/>
                    <w:jc w:val="center"/>
                    <w:rPr>
                      <w:sz w:val="22"/>
                      <w:szCs w:val="22"/>
                      <w:lang w:val="en-US"/>
                    </w:rPr>
                  </w:pPr>
                  <w:r w:rsidRPr="004012FA">
                    <w:rPr>
                      <w:sz w:val="22"/>
                      <w:szCs w:val="22"/>
                      <w:lang w:val="en-US"/>
                    </w:rPr>
                    <w:t>Agree</w:t>
                  </w:r>
                </w:p>
              </w:tc>
            </w:tr>
            <w:tr w:rsidR="004012FA" w:rsidRPr="004012FA" w14:paraId="5FB04839" w14:textId="77777777" w:rsidTr="006F6815">
              <w:trPr>
                <w:trHeight w:val="300"/>
              </w:trPr>
              <w:tc>
                <w:tcPr>
                  <w:tcW w:w="2439" w:type="dxa"/>
                  <w:tcBorders>
                    <w:top w:val="nil"/>
                    <w:left w:val="nil"/>
                    <w:bottom w:val="nil"/>
                    <w:right w:val="nil"/>
                  </w:tcBorders>
                  <w:shd w:val="clear" w:color="auto" w:fill="auto"/>
                  <w:noWrap/>
                  <w:vAlign w:val="bottom"/>
                </w:tcPr>
                <w:p w14:paraId="1A984C35"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Disagree</w:t>
                  </w:r>
                </w:p>
              </w:tc>
            </w:tr>
            <w:tr w:rsidR="004012FA" w:rsidRPr="004012FA" w14:paraId="1D07CBC4" w14:textId="77777777" w:rsidTr="006F6815">
              <w:trPr>
                <w:trHeight w:val="300"/>
              </w:trPr>
              <w:tc>
                <w:tcPr>
                  <w:tcW w:w="2439" w:type="dxa"/>
                  <w:tcBorders>
                    <w:top w:val="nil"/>
                    <w:left w:val="nil"/>
                    <w:bottom w:val="nil"/>
                    <w:right w:val="nil"/>
                  </w:tcBorders>
                  <w:shd w:val="clear" w:color="auto" w:fill="auto"/>
                  <w:noWrap/>
                  <w:vAlign w:val="bottom"/>
                </w:tcPr>
                <w:p w14:paraId="08CF8AAD"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lastRenderedPageBreak/>
                    <w:t>Agree</w:t>
                  </w:r>
                </w:p>
              </w:tc>
            </w:tr>
            <w:tr w:rsidR="004012FA" w:rsidRPr="004012FA" w14:paraId="3CF88544" w14:textId="77777777" w:rsidTr="006F6815">
              <w:trPr>
                <w:trHeight w:val="300"/>
              </w:trPr>
              <w:tc>
                <w:tcPr>
                  <w:tcW w:w="2439" w:type="dxa"/>
                  <w:tcBorders>
                    <w:top w:val="nil"/>
                    <w:left w:val="nil"/>
                    <w:bottom w:val="nil"/>
                    <w:right w:val="nil"/>
                  </w:tcBorders>
                  <w:shd w:val="clear" w:color="auto" w:fill="auto"/>
                  <w:noWrap/>
                  <w:vAlign w:val="bottom"/>
                </w:tcPr>
                <w:p w14:paraId="4F20EB87"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Agree</w:t>
                  </w:r>
                </w:p>
              </w:tc>
            </w:tr>
            <w:tr w:rsidR="004012FA" w:rsidRPr="004012FA" w14:paraId="71E359F3" w14:textId="77777777" w:rsidTr="006F6815">
              <w:trPr>
                <w:trHeight w:val="300"/>
              </w:trPr>
              <w:tc>
                <w:tcPr>
                  <w:tcW w:w="2439" w:type="dxa"/>
                  <w:tcBorders>
                    <w:top w:val="nil"/>
                    <w:left w:val="nil"/>
                    <w:bottom w:val="nil"/>
                    <w:right w:val="nil"/>
                  </w:tcBorders>
                  <w:shd w:val="clear" w:color="auto" w:fill="auto"/>
                  <w:noWrap/>
                  <w:vAlign w:val="bottom"/>
                </w:tcPr>
                <w:p w14:paraId="251D58C6"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Strongly agree</w:t>
                  </w:r>
                </w:p>
              </w:tc>
            </w:tr>
          </w:tbl>
          <w:p w14:paraId="39FEBE0F" w14:textId="77777777" w:rsidR="004012FA" w:rsidRPr="004012FA" w:rsidRDefault="004012FA" w:rsidP="004012FA">
            <w:pPr>
              <w:tabs>
                <w:tab w:val="left" w:pos="2583"/>
              </w:tabs>
              <w:spacing w:afterLines="120" w:after="288" w:line="240" w:lineRule="auto"/>
              <w:ind w:left="-388" w:right="380" w:hanging="380"/>
              <w:jc w:val="center"/>
              <w:rPr>
                <w:sz w:val="22"/>
                <w:szCs w:val="22"/>
                <w:lang w:val="en-US"/>
              </w:rPr>
            </w:pPr>
          </w:p>
        </w:tc>
        <w:tc>
          <w:tcPr>
            <w:tcW w:w="1635" w:type="pct"/>
            <w:gridSpan w:val="2"/>
            <w:tcBorders>
              <w:top w:val="single" w:sz="4" w:space="0" w:color="auto"/>
              <w:left w:val="nil"/>
              <w:right w:val="nil"/>
            </w:tcBorders>
          </w:tcPr>
          <w:tbl>
            <w:tblPr>
              <w:tblW w:w="3420" w:type="dxa"/>
              <w:tblLayout w:type="fixed"/>
              <w:tblLook w:val="04A0" w:firstRow="1" w:lastRow="0" w:firstColumn="1" w:lastColumn="0" w:noHBand="0" w:noVBand="1"/>
            </w:tblPr>
            <w:tblGrid>
              <w:gridCol w:w="3420"/>
            </w:tblGrid>
            <w:tr w:rsidR="004012FA" w:rsidRPr="004012FA" w14:paraId="06C1D787" w14:textId="77777777" w:rsidTr="006F6815">
              <w:trPr>
                <w:trHeight w:val="300"/>
              </w:trPr>
              <w:tc>
                <w:tcPr>
                  <w:tcW w:w="3420" w:type="dxa"/>
                  <w:tcBorders>
                    <w:top w:val="nil"/>
                    <w:left w:val="nil"/>
                    <w:bottom w:val="nil"/>
                    <w:right w:val="nil"/>
                  </w:tcBorders>
                  <w:shd w:val="clear" w:color="auto" w:fill="auto"/>
                  <w:noWrap/>
                  <w:vAlign w:val="bottom"/>
                </w:tcPr>
                <w:p w14:paraId="7CCE05CF" w14:textId="77777777" w:rsidR="004012FA" w:rsidRPr="004012FA" w:rsidRDefault="004012FA" w:rsidP="004012FA">
                  <w:pPr>
                    <w:spacing w:afterLines="120" w:after="288" w:line="259" w:lineRule="auto"/>
                    <w:ind w:left="-1241"/>
                    <w:jc w:val="center"/>
                    <w:rPr>
                      <w:sz w:val="22"/>
                      <w:szCs w:val="22"/>
                      <w:lang w:val="en-US"/>
                    </w:rPr>
                  </w:pPr>
                </w:p>
              </w:tc>
            </w:tr>
            <w:tr w:rsidR="004012FA" w:rsidRPr="004012FA" w14:paraId="2F4EE2D9" w14:textId="77777777" w:rsidTr="006F6815">
              <w:trPr>
                <w:trHeight w:val="300"/>
              </w:trPr>
              <w:tc>
                <w:tcPr>
                  <w:tcW w:w="3420" w:type="dxa"/>
                  <w:tcBorders>
                    <w:top w:val="nil"/>
                    <w:left w:val="nil"/>
                    <w:bottom w:val="nil"/>
                    <w:right w:val="nil"/>
                  </w:tcBorders>
                  <w:shd w:val="clear" w:color="auto" w:fill="auto"/>
                  <w:noWrap/>
                  <w:vAlign w:val="bottom"/>
                </w:tcPr>
                <w:p w14:paraId="55761D4C" w14:textId="77777777" w:rsidR="004012FA" w:rsidRPr="004012FA" w:rsidRDefault="004012FA" w:rsidP="004012FA">
                  <w:pPr>
                    <w:tabs>
                      <w:tab w:val="left" w:pos="2583"/>
                    </w:tabs>
                    <w:spacing w:before="200" w:afterLines="120" w:after="288" w:line="259" w:lineRule="auto"/>
                    <w:ind w:left="-964" w:hanging="306"/>
                    <w:jc w:val="center"/>
                    <w:rPr>
                      <w:sz w:val="22"/>
                      <w:szCs w:val="22"/>
                      <w:lang w:val="en-US"/>
                    </w:rPr>
                  </w:pPr>
                  <w:r w:rsidRPr="004012FA">
                    <w:rPr>
                      <w:sz w:val="22"/>
                      <w:szCs w:val="22"/>
                      <w:lang w:val="en-US"/>
                    </w:rPr>
                    <w:t>No stated beliefs</w:t>
                  </w:r>
                </w:p>
              </w:tc>
            </w:tr>
            <w:tr w:rsidR="004012FA" w:rsidRPr="004012FA" w14:paraId="343D08BB" w14:textId="77777777" w:rsidTr="006F6815">
              <w:trPr>
                <w:trHeight w:val="300"/>
              </w:trPr>
              <w:tc>
                <w:tcPr>
                  <w:tcW w:w="3420" w:type="dxa"/>
                  <w:tcBorders>
                    <w:top w:val="nil"/>
                    <w:left w:val="nil"/>
                    <w:bottom w:val="nil"/>
                    <w:right w:val="nil"/>
                  </w:tcBorders>
                  <w:shd w:val="clear" w:color="auto" w:fill="auto"/>
                  <w:noWrap/>
                  <w:vAlign w:val="bottom"/>
                </w:tcPr>
                <w:p w14:paraId="00616A70"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r w:rsidR="004012FA" w:rsidRPr="004012FA" w14:paraId="117B7ED3" w14:textId="77777777" w:rsidTr="006F6815">
              <w:trPr>
                <w:trHeight w:val="300"/>
              </w:trPr>
              <w:tc>
                <w:tcPr>
                  <w:tcW w:w="3420" w:type="dxa"/>
                  <w:tcBorders>
                    <w:top w:val="nil"/>
                    <w:left w:val="nil"/>
                    <w:bottom w:val="nil"/>
                    <w:right w:val="nil"/>
                  </w:tcBorders>
                  <w:shd w:val="clear" w:color="auto" w:fill="auto"/>
                  <w:noWrap/>
                  <w:vAlign w:val="bottom"/>
                </w:tcPr>
                <w:p w14:paraId="2484B0B3"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lastRenderedPageBreak/>
                    <w:t>No stated beliefs</w:t>
                  </w:r>
                </w:p>
              </w:tc>
            </w:tr>
            <w:tr w:rsidR="004012FA" w:rsidRPr="004012FA" w14:paraId="7608BF05" w14:textId="77777777" w:rsidTr="006F6815">
              <w:trPr>
                <w:trHeight w:val="300"/>
              </w:trPr>
              <w:tc>
                <w:tcPr>
                  <w:tcW w:w="3420" w:type="dxa"/>
                  <w:tcBorders>
                    <w:top w:val="nil"/>
                    <w:left w:val="nil"/>
                    <w:bottom w:val="nil"/>
                    <w:right w:val="nil"/>
                  </w:tcBorders>
                  <w:shd w:val="clear" w:color="auto" w:fill="auto"/>
                  <w:noWrap/>
                  <w:vAlign w:val="bottom"/>
                </w:tcPr>
                <w:p w14:paraId="49BD162E"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Agree</w:t>
                  </w:r>
                </w:p>
              </w:tc>
            </w:tr>
            <w:tr w:rsidR="004012FA" w:rsidRPr="004012FA" w14:paraId="1B2B570D" w14:textId="77777777" w:rsidTr="006F6815">
              <w:trPr>
                <w:trHeight w:val="300"/>
              </w:trPr>
              <w:tc>
                <w:tcPr>
                  <w:tcW w:w="3420" w:type="dxa"/>
                  <w:tcBorders>
                    <w:top w:val="nil"/>
                    <w:left w:val="nil"/>
                    <w:bottom w:val="nil"/>
                    <w:right w:val="nil"/>
                  </w:tcBorders>
                  <w:shd w:val="clear" w:color="auto" w:fill="auto"/>
                  <w:noWrap/>
                  <w:vAlign w:val="bottom"/>
                </w:tcPr>
                <w:p w14:paraId="48951AA0"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bl>
          <w:p w14:paraId="68B748EA" w14:textId="77777777" w:rsidR="004012FA" w:rsidRPr="004012FA" w:rsidRDefault="004012FA" w:rsidP="004012FA">
            <w:pPr>
              <w:spacing w:afterLines="120" w:after="288" w:line="240" w:lineRule="auto"/>
              <w:ind w:left="-1241" w:right="380"/>
              <w:jc w:val="center"/>
              <w:rPr>
                <w:sz w:val="22"/>
                <w:szCs w:val="22"/>
                <w:lang w:val="en-US"/>
              </w:rPr>
            </w:pPr>
          </w:p>
        </w:tc>
      </w:tr>
      <w:tr w:rsidR="004012FA" w:rsidRPr="004012FA" w14:paraId="18D06094" w14:textId="77777777" w:rsidTr="00F56F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pct"/>
            <w:gridSpan w:val="2"/>
            <w:tcBorders>
              <w:top w:val="single" w:sz="4" w:space="0" w:color="auto"/>
              <w:left w:val="nil"/>
              <w:right w:val="nil"/>
            </w:tcBorders>
          </w:tcPr>
          <w:p w14:paraId="5B3AFFA7" w14:textId="77777777" w:rsidR="004012FA" w:rsidRPr="004012FA" w:rsidRDefault="004012FA" w:rsidP="004012FA">
            <w:pPr>
              <w:spacing w:afterLines="120" w:after="288" w:line="240" w:lineRule="auto"/>
              <w:rPr>
                <w:sz w:val="22"/>
                <w:szCs w:val="22"/>
                <w:lang w:val="en-US"/>
              </w:rPr>
            </w:pPr>
            <w:r w:rsidRPr="004012FA">
              <w:rPr>
                <w:sz w:val="22"/>
                <w:szCs w:val="22"/>
                <w:lang w:val="en-US"/>
              </w:rPr>
              <w:t xml:space="preserve">Performative – Agency can help firm achieve its </w:t>
            </w:r>
            <w:proofErr w:type="gramStart"/>
            <w:r w:rsidRPr="004012FA">
              <w:rPr>
                <w:sz w:val="22"/>
                <w:szCs w:val="22"/>
                <w:lang w:val="en-US"/>
              </w:rPr>
              <w:t>goals</w:t>
            </w:r>
            <w:proofErr w:type="gramEnd"/>
          </w:p>
          <w:tbl>
            <w:tblPr>
              <w:tblW w:w="3431" w:type="dxa"/>
              <w:tblLayout w:type="fixed"/>
              <w:tblLook w:val="04A0" w:firstRow="1" w:lastRow="0" w:firstColumn="1" w:lastColumn="0" w:noHBand="0" w:noVBand="1"/>
            </w:tblPr>
            <w:tblGrid>
              <w:gridCol w:w="3431"/>
            </w:tblGrid>
            <w:tr w:rsidR="004012FA" w:rsidRPr="004012FA" w14:paraId="0BC2B558" w14:textId="77777777" w:rsidTr="006F6815">
              <w:trPr>
                <w:trHeight w:val="300"/>
              </w:trPr>
              <w:tc>
                <w:tcPr>
                  <w:tcW w:w="3431" w:type="dxa"/>
                  <w:tcBorders>
                    <w:top w:val="nil"/>
                    <w:left w:val="nil"/>
                    <w:bottom w:val="nil"/>
                    <w:right w:val="nil"/>
                  </w:tcBorders>
                  <w:shd w:val="clear" w:color="auto" w:fill="auto"/>
                  <w:noWrap/>
                  <w:vAlign w:val="bottom"/>
                  <w:hideMark/>
                </w:tcPr>
                <w:p w14:paraId="016E9E7C"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SB1</w:t>
                  </w:r>
                </w:p>
              </w:tc>
            </w:tr>
            <w:tr w:rsidR="004012FA" w:rsidRPr="004012FA" w14:paraId="538A31A3" w14:textId="77777777" w:rsidTr="006F6815">
              <w:trPr>
                <w:trHeight w:val="300"/>
              </w:trPr>
              <w:tc>
                <w:tcPr>
                  <w:tcW w:w="3431" w:type="dxa"/>
                  <w:tcBorders>
                    <w:top w:val="nil"/>
                    <w:left w:val="nil"/>
                    <w:bottom w:val="nil"/>
                    <w:right w:val="nil"/>
                  </w:tcBorders>
                  <w:shd w:val="clear" w:color="auto" w:fill="auto"/>
                  <w:noWrap/>
                  <w:vAlign w:val="bottom"/>
                  <w:hideMark/>
                </w:tcPr>
                <w:p w14:paraId="47B3B095"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SB5</w:t>
                  </w:r>
                </w:p>
              </w:tc>
            </w:tr>
            <w:tr w:rsidR="004012FA" w:rsidRPr="004012FA" w14:paraId="2CA050F5" w14:textId="77777777" w:rsidTr="006F6815">
              <w:trPr>
                <w:trHeight w:val="300"/>
              </w:trPr>
              <w:tc>
                <w:tcPr>
                  <w:tcW w:w="3431" w:type="dxa"/>
                  <w:tcBorders>
                    <w:top w:val="nil"/>
                    <w:left w:val="nil"/>
                    <w:bottom w:val="nil"/>
                    <w:right w:val="nil"/>
                  </w:tcBorders>
                  <w:shd w:val="clear" w:color="auto" w:fill="auto"/>
                  <w:noWrap/>
                  <w:vAlign w:val="bottom"/>
                  <w:hideMark/>
                </w:tcPr>
                <w:p w14:paraId="779F12C7"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SB9</w:t>
                  </w:r>
                </w:p>
              </w:tc>
            </w:tr>
            <w:tr w:rsidR="004012FA" w:rsidRPr="004012FA" w14:paraId="6B6F1C4B" w14:textId="77777777" w:rsidTr="006F6815">
              <w:trPr>
                <w:trHeight w:val="300"/>
              </w:trPr>
              <w:tc>
                <w:tcPr>
                  <w:tcW w:w="3431" w:type="dxa"/>
                  <w:tcBorders>
                    <w:top w:val="nil"/>
                    <w:left w:val="nil"/>
                    <w:bottom w:val="nil"/>
                    <w:right w:val="nil"/>
                  </w:tcBorders>
                  <w:shd w:val="clear" w:color="auto" w:fill="auto"/>
                  <w:noWrap/>
                  <w:vAlign w:val="bottom"/>
                  <w:hideMark/>
                </w:tcPr>
                <w:p w14:paraId="1D4E99CD"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NSB3</w:t>
                  </w:r>
                </w:p>
              </w:tc>
            </w:tr>
            <w:tr w:rsidR="004012FA" w:rsidRPr="004012FA" w14:paraId="5261ACD5" w14:textId="77777777" w:rsidTr="006F6815">
              <w:trPr>
                <w:trHeight w:val="300"/>
              </w:trPr>
              <w:tc>
                <w:tcPr>
                  <w:tcW w:w="3431" w:type="dxa"/>
                  <w:tcBorders>
                    <w:top w:val="nil"/>
                    <w:left w:val="nil"/>
                    <w:bottom w:val="nil"/>
                    <w:right w:val="nil"/>
                  </w:tcBorders>
                  <w:shd w:val="clear" w:color="auto" w:fill="auto"/>
                  <w:noWrap/>
                  <w:vAlign w:val="bottom"/>
                  <w:hideMark/>
                </w:tcPr>
                <w:p w14:paraId="209D6CBF"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NSB5</w:t>
                  </w:r>
                </w:p>
              </w:tc>
            </w:tr>
          </w:tbl>
          <w:p w14:paraId="0830523B" w14:textId="77777777" w:rsidR="004012FA" w:rsidRPr="004012FA" w:rsidRDefault="004012FA" w:rsidP="004012FA">
            <w:pPr>
              <w:spacing w:afterLines="120" w:after="288" w:line="240" w:lineRule="auto"/>
              <w:ind w:right="36"/>
              <w:rPr>
                <w:sz w:val="22"/>
                <w:szCs w:val="22"/>
                <w:lang w:val="en-US"/>
              </w:rPr>
            </w:pPr>
          </w:p>
        </w:tc>
        <w:tc>
          <w:tcPr>
            <w:tcW w:w="1673" w:type="pct"/>
            <w:gridSpan w:val="2"/>
            <w:tcBorders>
              <w:top w:val="single" w:sz="4" w:space="0" w:color="auto"/>
              <w:left w:val="nil"/>
              <w:right w:val="nil"/>
            </w:tcBorders>
          </w:tcPr>
          <w:tbl>
            <w:tblPr>
              <w:tblW w:w="2439" w:type="dxa"/>
              <w:tblInd w:w="597" w:type="dxa"/>
              <w:tblLayout w:type="fixed"/>
              <w:tblLook w:val="04A0" w:firstRow="1" w:lastRow="0" w:firstColumn="1" w:lastColumn="0" w:noHBand="0" w:noVBand="1"/>
            </w:tblPr>
            <w:tblGrid>
              <w:gridCol w:w="2439"/>
            </w:tblGrid>
            <w:tr w:rsidR="004012FA" w:rsidRPr="004012FA" w14:paraId="6D15FF05" w14:textId="77777777" w:rsidTr="006F6815">
              <w:trPr>
                <w:trHeight w:val="300"/>
              </w:trPr>
              <w:tc>
                <w:tcPr>
                  <w:tcW w:w="2439" w:type="dxa"/>
                  <w:tcBorders>
                    <w:top w:val="nil"/>
                    <w:left w:val="nil"/>
                    <w:bottom w:val="nil"/>
                    <w:right w:val="nil"/>
                  </w:tcBorders>
                  <w:shd w:val="clear" w:color="auto" w:fill="auto"/>
                  <w:noWrap/>
                  <w:vAlign w:val="bottom"/>
                </w:tcPr>
                <w:p w14:paraId="40CF55A9" w14:textId="77777777" w:rsidR="004012FA" w:rsidRPr="004012FA" w:rsidRDefault="004012FA" w:rsidP="004012FA">
                  <w:pPr>
                    <w:tabs>
                      <w:tab w:val="left" w:pos="2583"/>
                    </w:tabs>
                    <w:spacing w:afterLines="120" w:after="288" w:line="259" w:lineRule="auto"/>
                    <w:ind w:left="-388"/>
                    <w:jc w:val="center"/>
                    <w:rPr>
                      <w:sz w:val="22"/>
                      <w:szCs w:val="22"/>
                      <w:lang w:val="en-US"/>
                    </w:rPr>
                  </w:pPr>
                </w:p>
              </w:tc>
            </w:tr>
            <w:tr w:rsidR="004012FA" w:rsidRPr="004012FA" w14:paraId="1D960E42" w14:textId="77777777" w:rsidTr="006F6815">
              <w:trPr>
                <w:trHeight w:val="300"/>
              </w:trPr>
              <w:tc>
                <w:tcPr>
                  <w:tcW w:w="2439" w:type="dxa"/>
                  <w:tcBorders>
                    <w:top w:val="nil"/>
                    <w:left w:val="nil"/>
                    <w:bottom w:val="nil"/>
                    <w:right w:val="nil"/>
                  </w:tcBorders>
                  <w:shd w:val="clear" w:color="auto" w:fill="auto"/>
                  <w:noWrap/>
                  <w:vAlign w:val="bottom"/>
                </w:tcPr>
                <w:p w14:paraId="7FE55FB8" w14:textId="77777777" w:rsidR="004012FA" w:rsidRPr="004012FA" w:rsidRDefault="004012FA" w:rsidP="004012FA">
                  <w:pPr>
                    <w:tabs>
                      <w:tab w:val="left" w:pos="2583"/>
                    </w:tabs>
                    <w:spacing w:before="200" w:afterLines="120" w:after="288" w:line="259" w:lineRule="auto"/>
                    <w:ind w:left="-388"/>
                    <w:jc w:val="center"/>
                    <w:rPr>
                      <w:sz w:val="22"/>
                      <w:szCs w:val="22"/>
                      <w:lang w:val="en-US"/>
                    </w:rPr>
                  </w:pPr>
                  <w:r w:rsidRPr="004012FA">
                    <w:rPr>
                      <w:sz w:val="22"/>
                      <w:szCs w:val="22"/>
                      <w:lang w:val="en-US"/>
                    </w:rPr>
                    <w:t>Agree</w:t>
                  </w:r>
                </w:p>
              </w:tc>
            </w:tr>
            <w:tr w:rsidR="004012FA" w:rsidRPr="004012FA" w14:paraId="414E938A" w14:textId="77777777" w:rsidTr="006F6815">
              <w:trPr>
                <w:trHeight w:val="300"/>
              </w:trPr>
              <w:tc>
                <w:tcPr>
                  <w:tcW w:w="2439" w:type="dxa"/>
                  <w:tcBorders>
                    <w:top w:val="nil"/>
                    <w:left w:val="nil"/>
                    <w:bottom w:val="nil"/>
                    <w:right w:val="nil"/>
                  </w:tcBorders>
                  <w:shd w:val="clear" w:color="auto" w:fill="auto"/>
                  <w:noWrap/>
                  <w:vAlign w:val="bottom"/>
                </w:tcPr>
                <w:p w14:paraId="20ADA98F"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Agree</w:t>
                  </w:r>
                </w:p>
              </w:tc>
            </w:tr>
            <w:tr w:rsidR="004012FA" w:rsidRPr="004012FA" w14:paraId="642FF452" w14:textId="77777777" w:rsidTr="006F6815">
              <w:trPr>
                <w:trHeight w:val="300"/>
              </w:trPr>
              <w:tc>
                <w:tcPr>
                  <w:tcW w:w="2439" w:type="dxa"/>
                  <w:tcBorders>
                    <w:top w:val="nil"/>
                    <w:left w:val="nil"/>
                    <w:bottom w:val="nil"/>
                    <w:right w:val="nil"/>
                  </w:tcBorders>
                  <w:shd w:val="clear" w:color="auto" w:fill="auto"/>
                  <w:noWrap/>
                  <w:vAlign w:val="bottom"/>
                </w:tcPr>
                <w:p w14:paraId="7E7EDEA2"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Agree</w:t>
                  </w:r>
                </w:p>
              </w:tc>
            </w:tr>
            <w:tr w:rsidR="004012FA" w:rsidRPr="004012FA" w14:paraId="4D992243" w14:textId="77777777" w:rsidTr="006F6815">
              <w:trPr>
                <w:trHeight w:val="300"/>
              </w:trPr>
              <w:tc>
                <w:tcPr>
                  <w:tcW w:w="2439" w:type="dxa"/>
                  <w:tcBorders>
                    <w:top w:val="nil"/>
                    <w:left w:val="nil"/>
                    <w:bottom w:val="nil"/>
                    <w:right w:val="nil"/>
                  </w:tcBorders>
                  <w:shd w:val="clear" w:color="auto" w:fill="auto"/>
                  <w:noWrap/>
                  <w:vAlign w:val="bottom"/>
                </w:tcPr>
                <w:p w14:paraId="1EBCD737" w14:textId="1181AD9A" w:rsidR="004012FA" w:rsidRPr="004012FA" w:rsidRDefault="00F56F84" w:rsidP="004012FA">
                  <w:pPr>
                    <w:tabs>
                      <w:tab w:val="left" w:pos="2583"/>
                    </w:tabs>
                    <w:spacing w:afterLines="120" w:after="288" w:line="259" w:lineRule="auto"/>
                    <w:ind w:left="-388"/>
                    <w:jc w:val="center"/>
                    <w:rPr>
                      <w:sz w:val="22"/>
                      <w:szCs w:val="22"/>
                      <w:lang w:val="en-US"/>
                    </w:rPr>
                  </w:pPr>
                  <w:r>
                    <w:rPr>
                      <w:sz w:val="22"/>
                      <w:szCs w:val="22"/>
                      <w:lang w:val="en-US"/>
                    </w:rPr>
                    <w:t>Neutral</w:t>
                  </w:r>
                </w:p>
              </w:tc>
            </w:tr>
            <w:tr w:rsidR="004012FA" w:rsidRPr="004012FA" w14:paraId="2F8713EC" w14:textId="77777777" w:rsidTr="006F6815">
              <w:trPr>
                <w:trHeight w:val="300"/>
              </w:trPr>
              <w:tc>
                <w:tcPr>
                  <w:tcW w:w="2439" w:type="dxa"/>
                  <w:tcBorders>
                    <w:top w:val="nil"/>
                    <w:left w:val="nil"/>
                    <w:bottom w:val="nil"/>
                    <w:right w:val="nil"/>
                  </w:tcBorders>
                  <w:shd w:val="clear" w:color="auto" w:fill="auto"/>
                  <w:noWrap/>
                  <w:vAlign w:val="bottom"/>
                </w:tcPr>
                <w:p w14:paraId="06C4308C"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Strongly agree</w:t>
                  </w:r>
                </w:p>
              </w:tc>
            </w:tr>
          </w:tbl>
          <w:p w14:paraId="6C140CE3" w14:textId="77777777" w:rsidR="004012FA" w:rsidRPr="004012FA" w:rsidRDefault="004012FA" w:rsidP="004012FA">
            <w:pPr>
              <w:spacing w:line="240" w:lineRule="auto"/>
              <w:ind w:left="-388"/>
              <w:rPr>
                <w:sz w:val="22"/>
                <w:szCs w:val="22"/>
                <w:lang w:val="en-US"/>
              </w:rPr>
            </w:pPr>
          </w:p>
        </w:tc>
        <w:tc>
          <w:tcPr>
            <w:tcW w:w="1635" w:type="pct"/>
            <w:gridSpan w:val="2"/>
            <w:tcBorders>
              <w:top w:val="single" w:sz="4" w:space="0" w:color="auto"/>
              <w:left w:val="nil"/>
              <w:right w:val="nil"/>
            </w:tcBorders>
          </w:tcPr>
          <w:tbl>
            <w:tblPr>
              <w:tblW w:w="3420" w:type="dxa"/>
              <w:tblLayout w:type="fixed"/>
              <w:tblLook w:val="04A0" w:firstRow="1" w:lastRow="0" w:firstColumn="1" w:lastColumn="0" w:noHBand="0" w:noVBand="1"/>
            </w:tblPr>
            <w:tblGrid>
              <w:gridCol w:w="3420"/>
            </w:tblGrid>
            <w:tr w:rsidR="004012FA" w:rsidRPr="004012FA" w14:paraId="11F67740" w14:textId="77777777" w:rsidTr="006F6815">
              <w:trPr>
                <w:trHeight w:val="300"/>
              </w:trPr>
              <w:tc>
                <w:tcPr>
                  <w:tcW w:w="3420" w:type="dxa"/>
                  <w:tcBorders>
                    <w:top w:val="nil"/>
                    <w:left w:val="nil"/>
                    <w:bottom w:val="nil"/>
                    <w:right w:val="nil"/>
                  </w:tcBorders>
                  <w:shd w:val="clear" w:color="auto" w:fill="auto"/>
                  <w:noWrap/>
                  <w:vAlign w:val="bottom"/>
                </w:tcPr>
                <w:p w14:paraId="583F5D98" w14:textId="77777777" w:rsidR="004012FA" w:rsidRPr="004012FA" w:rsidRDefault="004012FA" w:rsidP="004012FA">
                  <w:pPr>
                    <w:spacing w:afterLines="120" w:after="288" w:line="259" w:lineRule="auto"/>
                    <w:ind w:left="-1241"/>
                    <w:jc w:val="center"/>
                    <w:rPr>
                      <w:sz w:val="22"/>
                      <w:szCs w:val="22"/>
                      <w:lang w:val="en-US"/>
                    </w:rPr>
                  </w:pPr>
                </w:p>
              </w:tc>
            </w:tr>
            <w:tr w:rsidR="004012FA" w:rsidRPr="004012FA" w14:paraId="1934B269" w14:textId="77777777" w:rsidTr="006F6815">
              <w:trPr>
                <w:trHeight w:val="300"/>
              </w:trPr>
              <w:tc>
                <w:tcPr>
                  <w:tcW w:w="3420" w:type="dxa"/>
                  <w:tcBorders>
                    <w:top w:val="nil"/>
                    <w:left w:val="nil"/>
                    <w:bottom w:val="nil"/>
                    <w:right w:val="nil"/>
                  </w:tcBorders>
                  <w:shd w:val="clear" w:color="auto" w:fill="auto"/>
                  <w:noWrap/>
                  <w:vAlign w:val="bottom"/>
                </w:tcPr>
                <w:p w14:paraId="37497C5C" w14:textId="77777777" w:rsidR="004012FA" w:rsidRPr="004012FA" w:rsidRDefault="004012FA" w:rsidP="004012FA">
                  <w:pPr>
                    <w:spacing w:before="200" w:afterLines="120" w:after="288" w:line="259" w:lineRule="auto"/>
                    <w:ind w:left="-1242"/>
                    <w:jc w:val="center"/>
                    <w:rPr>
                      <w:sz w:val="22"/>
                      <w:szCs w:val="22"/>
                      <w:lang w:val="en-US"/>
                    </w:rPr>
                  </w:pPr>
                  <w:r w:rsidRPr="004012FA">
                    <w:rPr>
                      <w:sz w:val="22"/>
                      <w:szCs w:val="22"/>
                      <w:lang w:val="en-US"/>
                    </w:rPr>
                    <w:t>Strongly agree</w:t>
                  </w:r>
                </w:p>
              </w:tc>
            </w:tr>
            <w:tr w:rsidR="004012FA" w:rsidRPr="004012FA" w14:paraId="2F20FEE3" w14:textId="77777777" w:rsidTr="006F6815">
              <w:trPr>
                <w:trHeight w:val="300"/>
              </w:trPr>
              <w:tc>
                <w:tcPr>
                  <w:tcW w:w="3420" w:type="dxa"/>
                  <w:tcBorders>
                    <w:top w:val="nil"/>
                    <w:left w:val="nil"/>
                    <w:bottom w:val="nil"/>
                    <w:right w:val="nil"/>
                  </w:tcBorders>
                  <w:shd w:val="clear" w:color="auto" w:fill="auto"/>
                  <w:noWrap/>
                  <w:vAlign w:val="bottom"/>
                </w:tcPr>
                <w:p w14:paraId="15AD2995"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Strongly agree</w:t>
                  </w:r>
                </w:p>
              </w:tc>
            </w:tr>
            <w:tr w:rsidR="004012FA" w:rsidRPr="004012FA" w14:paraId="4F1EAEE5" w14:textId="77777777" w:rsidTr="006F6815">
              <w:trPr>
                <w:trHeight w:val="300"/>
              </w:trPr>
              <w:tc>
                <w:tcPr>
                  <w:tcW w:w="3420" w:type="dxa"/>
                  <w:tcBorders>
                    <w:top w:val="nil"/>
                    <w:left w:val="nil"/>
                    <w:bottom w:val="nil"/>
                    <w:right w:val="nil"/>
                  </w:tcBorders>
                  <w:shd w:val="clear" w:color="auto" w:fill="auto"/>
                  <w:noWrap/>
                  <w:vAlign w:val="bottom"/>
                </w:tcPr>
                <w:p w14:paraId="1FDF286D"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Strongly agree</w:t>
                  </w:r>
                </w:p>
              </w:tc>
            </w:tr>
            <w:tr w:rsidR="004012FA" w:rsidRPr="004012FA" w14:paraId="13951C47" w14:textId="77777777" w:rsidTr="006F6815">
              <w:trPr>
                <w:trHeight w:val="300"/>
              </w:trPr>
              <w:tc>
                <w:tcPr>
                  <w:tcW w:w="3420" w:type="dxa"/>
                  <w:tcBorders>
                    <w:top w:val="nil"/>
                    <w:left w:val="nil"/>
                    <w:bottom w:val="nil"/>
                    <w:right w:val="nil"/>
                  </w:tcBorders>
                  <w:shd w:val="clear" w:color="auto" w:fill="auto"/>
                  <w:noWrap/>
                  <w:vAlign w:val="bottom"/>
                </w:tcPr>
                <w:p w14:paraId="6728641A" w14:textId="4FD0E7D0" w:rsidR="004012FA" w:rsidRPr="004012FA" w:rsidRDefault="00F56F84" w:rsidP="004012FA">
                  <w:pPr>
                    <w:spacing w:afterLines="120" w:after="288" w:line="259" w:lineRule="auto"/>
                    <w:ind w:left="-1241"/>
                    <w:jc w:val="center"/>
                    <w:rPr>
                      <w:sz w:val="22"/>
                      <w:szCs w:val="22"/>
                      <w:lang w:val="en-US"/>
                    </w:rPr>
                  </w:pPr>
                  <w:r>
                    <w:rPr>
                      <w:sz w:val="22"/>
                      <w:szCs w:val="22"/>
                      <w:lang w:val="en-US"/>
                    </w:rPr>
                    <w:t>Neutral</w:t>
                  </w:r>
                </w:p>
              </w:tc>
            </w:tr>
            <w:tr w:rsidR="004012FA" w:rsidRPr="004012FA" w14:paraId="46963912" w14:textId="77777777" w:rsidTr="006F6815">
              <w:trPr>
                <w:trHeight w:val="300"/>
              </w:trPr>
              <w:tc>
                <w:tcPr>
                  <w:tcW w:w="3420" w:type="dxa"/>
                  <w:tcBorders>
                    <w:top w:val="nil"/>
                    <w:left w:val="nil"/>
                    <w:bottom w:val="nil"/>
                    <w:right w:val="nil"/>
                  </w:tcBorders>
                  <w:shd w:val="clear" w:color="auto" w:fill="auto"/>
                  <w:noWrap/>
                  <w:vAlign w:val="bottom"/>
                </w:tcPr>
                <w:p w14:paraId="5A6A99AC"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Strongly agree</w:t>
                  </w:r>
                </w:p>
              </w:tc>
            </w:tr>
          </w:tbl>
          <w:p w14:paraId="0C183C5D" w14:textId="77777777" w:rsidR="004012FA" w:rsidRPr="004012FA" w:rsidRDefault="004012FA" w:rsidP="004012FA">
            <w:pPr>
              <w:spacing w:line="240" w:lineRule="auto"/>
              <w:rPr>
                <w:sz w:val="22"/>
                <w:szCs w:val="22"/>
                <w:lang w:val="en-US"/>
              </w:rPr>
            </w:pPr>
          </w:p>
        </w:tc>
      </w:tr>
      <w:tr w:rsidR="004012FA" w:rsidRPr="004012FA" w14:paraId="2820E95D" w14:textId="77777777" w:rsidTr="00F56F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4"/>
        </w:trPr>
        <w:tc>
          <w:tcPr>
            <w:tcW w:w="1691" w:type="pct"/>
            <w:gridSpan w:val="2"/>
            <w:tcBorders>
              <w:top w:val="single" w:sz="4" w:space="0" w:color="auto"/>
              <w:left w:val="nil"/>
              <w:right w:val="nil"/>
            </w:tcBorders>
          </w:tcPr>
          <w:p w14:paraId="0D15C85D" w14:textId="77777777" w:rsidR="004012FA" w:rsidRPr="004012FA" w:rsidRDefault="004012FA" w:rsidP="004012FA">
            <w:pPr>
              <w:spacing w:afterLines="120" w:after="288" w:line="240" w:lineRule="auto"/>
              <w:ind w:right="175"/>
              <w:rPr>
                <w:sz w:val="22"/>
                <w:szCs w:val="22"/>
                <w:lang w:val="en-US"/>
              </w:rPr>
            </w:pPr>
            <w:r w:rsidRPr="004012FA">
              <w:rPr>
                <w:sz w:val="22"/>
                <w:szCs w:val="22"/>
                <w:lang w:val="en-US"/>
              </w:rPr>
              <w:t xml:space="preserve">Moral – Agency generally aims to help firms achieve their </w:t>
            </w:r>
            <w:proofErr w:type="gramStart"/>
            <w:r w:rsidRPr="004012FA">
              <w:rPr>
                <w:sz w:val="22"/>
                <w:szCs w:val="22"/>
                <w:lang w:val="en-US"/>
              </w:rPr>
              <w:t>goals</w:t>
            </w:r>
            <w:proofErr w:type="gramEnd"/>
          </w:p>
          <w:tbl>
            <w:tblPr>
              <w:tblW w:w="3431" w:type="dxa"/>
              <w:tblLayout w:type="fixed"/>
              <w:tblLook w:val="04A0" w:firstRow="1" w:lastRow="0" w:firstColumn="1" w:lastColumn="0" w:noHBand="0" w:noVBand="1"/>
            </w:tblPr>
            <w:tblGrid>
              <w:gridCol w:w="3431"/>
            </w:tblGrid>
            <w:tr w:rsidR="004012FA" w:rsidRPr="004012FA" w14:paraId="7AF7582A" w14:textId="77777777" w:rsidTr="006F6815">
              <w:trPr>
                <w:trHeight w:val="300"/>
              </w:trPr>
              <w:tc>
                <w:tcPr>
                  <w:tcW w:w="3431" w:type="dxa"/>
                  <w:tcBorders>
                    <w:top w:val="nil"/>
                    <w:left w:val="nil"/>
                    <w:bottom w:val="nil"/>
                    <w:right w:val="nil"/>
                  </w:tcBorders>
                  <w:shd w:val="clear" w:color="auto" w:fill="auto"/>
                  <w:noWrap/>
                  <w:vAlign w:val="bottom"/>
                  <w:hideMark/>
                </w:tcPr>
                <w:p w14:paraId="17B44CE9"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SB1</w:t>
                  </w:r>
                </w:p>
              </w:tc>
            </w:tr>
            <w:tr w:rsidR="004012FA" w:rsidRPr="004012FA" w14:paraId="1C46F072" w14:textId="77777777" w:rsidTr="006F6815">
              <w:trPr>
                <w:trHeight w:val="300"/>
              </w:trPr>
              <w:tc>
                <w:tcPr>
                  <w:tcW w:w="3431" w:type="dxa"/>
                  <w:tcBorders>
                    <w:top w:val="nil"/>
                    <w:left w:val="nil"/>
                    <w:bottom w:val="nil"/>
                    <w:right w:val="nil"/>
                  </w:tcBorders>
                  <w:shd w:val="clear" w:color="auto" w:fill="auto"/>
                  <w:noWrap/>
                  <w:vAlign w:val="bottom"/>
                  <w:hideMark/>
                </w:tcPr>
                <w:p w14:paraId="7DFE3512"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SB5</w:t>
                  </w:r>
                </w:p>
              </w:tc>
            </w:tr>
            <w:tr w:rsidR="004012FA" w:rsidRPr="004012FA" w14:paraId="0827DFBD" w14:textId="77777777" w:rsidTr="006F6815">
              <w:trPr>
                <w:trHeight w:val="300"/>
              </w:trPr>
              <w:tc>
                <w:tcPr>
                  <w:tcW w:w="3431" w:type="dxa"/>
                  <w:tcBorders>
                    <w:top w:val="nil"/>
                    <w:left w:val="nil"/>
                    <w:bottom w:val="nil"/>
                    <w:right w:val="nil"/>
                  </w:tcBorders>
                  <w:shd w:val="clear" w:color="auto" w:fill="auto"/>
                  <w:noWrap/>
                  <w:vAlign w:val="bottom"/>
                  <w:hideMark/>
                </w:tcPr>
                <w:p w14:paraId="68831775"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SB9</w:t>
                  </w:r>
                </w:p>
              </w:tc>
            </w:tr>
            <w:tr w:rsidR="004012FA" w:rsidRPr="004012FA" w14:paraId="48BA0AC8" w14:textId="77777777" w:rsidTr="006F6815">
              <w:trPr>
                <w:trHeight w:val="300"/>
              </w:trPr>
              <w:tc>
                <w:tcPr>
                  <w:tcW w:w="3431" w:type="dxa"/>
                  <w:tcBorders>
                    <w:top w:val="nil"/>
                    <w:left w:val="nil"/>
                    <w:bottom w:val="nil"/>
                    <w:right w:val="nil"/>
                  </w:tcBorders>
                  <w:shd w:val="clear" w:color="auto" w:fill="auto"/>
                  <w:noWrap/>
                  <w:vAlign w:val="bottom"/>
                  <w:hideMark/>
                </w:tcPr>
                <w:p w14:paraId="7CBF0F47"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NSB3</w:t>
                  </w:r>
                </w:p>
              </w:tc>
            </w:tr>
            <w:tr w:rsidR="004012FA" w:rsidRPr="004012FA" w14:paraId="3F5671E9" w14:textId="77777777" w:rsidTr="006F6815">
              <w:trPr>
                <w:trHeight w:val="300"/>
              </w:trPr>
              <w:tc>
                <w:tcPr>
                  <w:tcW w:w="3431" w:type="dxa"/>
                  <w:tcBorders>
                    <w:top w:val="nil"/>
                    <w:left w:val="nil"/>
                    <w:bottom w:val="nil"/>
                    <w:right w:val="nil"/>
                  </w:tcBorders>
                  <w:shd w:val="clear" w:color="auto" w:fill="auto"/>
                  <w:noWrap/>
                  <w:vAlign w:val="bottom"/>
                  <w:hideMark/>
                </w:tcPr>
                <w:p w14:paraId="243C7B64"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NSB5</w:t>
                  </w:r>
                </w:p>
              </w:tc>
            </w:tr>
          </w:tbl>
          <w:p w14:paraId="725CD587" w14:textId="77777777" w:rsidR="004012FA" w:rsidRPr="004012FA" w:rsidRDefault="004012FA" w:rsidP="004012FA">
            <w:pPr>
              <w:spacing w:afterLines="120" w:after="288" w:line="240" w:lineRule="auto"/>
              <w:ind w:left="720" w:right="889"/>
              <w:jc w:val="right"/>
              <w:rPr>
                <w:sz w:val="22"/>
                <w:szCs w:val="22"/>
                <w:lang w:val="en-US"/>
              </w:rPr>
            </w:pPr>
          </w:p>
        </w:tc>
        <w:tc>
          <w:tcPr>
            <w:tcW w:w="1673" w:type="pct"/>
            <w:gridSpan w:val="2"/>
            <w:tcBorders>
              <w:top w:val="single" w:sz="4" w:space="0" w:color="auto"/>
              <w:left w:val="nil"/>
              <w:right w:val="nil"/>
            </w:tcBorders>
          </w:tcPr>
          <w:p w14:paraId="6E788CBC" w14:textId="77777777" w:rsidR="004012FA" w:rsidRPr="004012FA" w:rsidRDefault="004012FA" w:rsidP="004012FA">
            <w:pPr>
              <w:spacing w:line="240" w:lineRule="auto"/>
              <w:ind w:left="-388"/>
              <w:rPr>
                <w:sz w:val="22"/>
                <w:szCs w:val="22"/>
                <w:lang w:val="en-US"/>
              </w:rPr>
            </w:pPr>
          </w:p>
          <w:tbl>
            <w:tblPr>
              <w:tblW w:w="2439" w:type="dxa"/>
              <w:tblInd w:w="597" w:type="dxa"/>
              <w:tblLayout w:type="fixed"/>
              <w:tblLook w:val="04A0" w:firstRow="1" w:lastRow="0" w:firstColumn="1" w:lastColumn="0" w:noHBand="0" w:noVBand="1"/>
            </w:tblPr>
            <w:tblGrid>
              <w:gridCol w:w="2439"/>
            </w:tblGrid>
            <w:tr w:rsidR="004012FA" w:rsidRPr="004012FA" w14:paraId="40F31E0C" w14:textId="77777777" w:rsidTr="006F6815">
              <w:trPr>
                <w:trHeight w:val="300"/>
              </w:trPr>
              <w:tc>
                <w:tcPr>
                  <w:tcW w:w="2439" w:type="dxa"/>
                  <w:tcBorders>
                    <w:top w:val="nil"/>
                    <w:left w:val="nil"/>
                    <w:bottom w:val="nil"/>
                    <w:right w:val="nil"/>
                  </w:tcBorders>
                  <w:shd w:val="clear" w:color="auto" w:fill="auto"/>
                  <w:noWrap/>
                  <w:vAlign w:val="bottom"/>
                </w:tcPr>
                <w:p w14:paraId="21BBE955" w14:textId="3BF0B63D" w:rsidR="004012FA" w:rsidRPr="004012FA" w:rsidRDefault="00F56F84" w:rsidP="00F56F84">
                  <w:pPr>
                    <w:tabs>
                      <w:tab w:val="left" w:pos="2583"/>
                    </w:tabs>
                    <w:spacing w:before="740" w:afterLines="120" w:after="288" w:line="259" w:lineRule="auto"/>
                    <w:ind w:left="-386"/>
                    <w:jc w:val="center"/>
                    <w:rPr>
                      <w:sz w:val="22"/>
                      <w:szCs w:val="22"/>
                      <w:lang w:val="en-US"/>
                    </w:rPr>
                  </w:pPr>
                  <w:r>
                    <w:rPr>
                      <w:sz w:val="22"/>
                      <w:szCs w:val="22"/>
                      <w:lang w:val="en-US"/>
                    </w:rPr>
                    <w:t>Neutral</w:t>
                  </w:r>
                </w:p>
              </w:tc>
            </w:tr>
            <w:tr w:rsidR="004012FA" w:rsidRPr="004012FA" w14:paraId="79417BA3" w14:textId="77777777" w:rsidTr="006F6815">
              <w:trPr>
                <w:trHeight w:val="300"/>
              </w:trPr>
              <w:tc>
                <w:tcPr>
                  <w:tcW w:w="2439" w:type="dxa"/>
                  <w:tcBorders>
                    <w:top w:val="nil"/>
                    <w:left w:val="nil"/>
                    <w:bottom w:val="nil"/>
                    <w:right w:val="nil"/>
                  </w:tcBorders>
                  <w:shd w:val="clear" w:color="auto" w:fill="auto"/>
                  <w:noWrap/>
                  <w:vAlign w:val="bottom"/>
                </w:tcPr>
                <w:p w14:paraId="49D486BA"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Agree</w:t>
                  </w:r>
                </w:p>
              </w:tc>
            </w:tr>
            <w:tr w:rsidR="004012FA" w:rsidRPr="004012FA" w14:paraId="5621F1CB" w14:textId="77777777" w:rsidTr="006F6815">
              <w:trPr>
                <w:trHeight w:val="300"/>
              </w:trPr>
              <w:tc>
                <w:tcPr>
                  <w:tcW w:w="2439" w:type="dxa"/>
                  <w:tcBorders>
                    <w:top w:val="nil"/>
                    <w:left w:val="nil"/>
                    <w:bottom w:val="nil"/>
                    <w:right w:val="nil"/>
                  </w:tcBorders>
                  <w:shd w:val="clear" w:color="auto" w:fill="auto"/>
                  <w:noWrap/>
                  <w:vAlign w:val="bottom"/>
                </w:tcPr>
                <w:p w14:paraId="603115E6"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Strongly agree</w:t>
                  </w:r>
                </w:p>
              </w:tc>
            </w:tr>
            <w:tr w:rsidR="004012FA" w:rsidRPr="004012FA" w14:paraId="6698200C" w14:textId="77777777" w:rsidTr="006F6815">
              <w:trPr>
                <w:trHeight w:val="300"/>
              </w:trPr>
              <w:tc>
                <w:tcPr>
                  <w:tcW w:w="2439" w:type="dxa"/>
                  <w:tcBorders>
                    <w:top w:val="nil"/>
                    <w:left w:val="nil"/>
                    <w:bottom w:val="nil"/>
                    <w:right w:val="nil"/>
                  </w:tcBorders>
                  <w:shd w:val="clear" w:color="auto" w:fill="auto"/>
                  <w:noWrap/>
                  <w:vAlign w:val="bottom"/>
                </w:tcPr>
                <w:p w14:paraId="6F45DF65"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Disagree</w:t>
                  </w:r>
                </w:p>
              </w:tc>
            </w:tr>
            <w:tr w:rsidR="004012FA" w:rsidRPr="004012FA" w14:paraId="5CADFB12" w14:textId="77777777" w:rsidTr="006F6815">
              <w:trPr>
                <w:trHeight w:val="300"/>
              </w:trPr>
              <w:tc>
                <w:tcPr>
                  <w:tcW w:w="2439" w:type="dxa"/>
                  <w:tcBorders>
                    <w:top w:val="nil"/>
                    <w:left w:val="nil"/>
                    <w:bottom w:val="nil"/>
                    <w:right w:val="nil"/>
                  </w:tcBorders>
                  <w:shd w:val="clear" w:color="auto" w:fill="auto"/>
                  <w:noWrap/>
                  <w:vAlign w:val="bottom"/>
                </w:tcPr>
                <w:p w14:paraId="75125E06"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Strongly agree</w:t>
                  </w:r>
                </w:p>
              </w:tc>
            </w:tr>
          </w:tbl>
          <w:p w14:paraId="1985DB26" w14:textId="77777777" w:rsidR="004012FA" w:rsidRPr="004012FA" w:rsidRDefault="004012FA" w:rsidP="004012FA">
            <w:pPr>
              <w:tabs>
                <w:tab w:val="left" w:pos="2583"/>
              </w:tabs>
              <w:spacing w:afterLines="120" w:after="288" w:line="240" w:lineRule="auto"/>
              <w:ind w:left="-388" w:right="380"/>
              <w:rPr>
                <w:sz w:val="22"/>
                <w:szCs w:val="22"/>
                <w:lang w:val="en-US"/>
              </w:rPr>
            </w:pPr>
          </w:p>
        </w:tc>
        <w:tc>
          <w:tcPr>
            <w:tcW w:w="1635" w:type="pct"/>
            <w:gridSpan w:val="2"/>
            <w:tcBorders>
              <w:top w:val="single" w:sz="4" w:space="0" w:color="auto"/>
              <w:left w:val="nil"/>
              <w:right w:val="nil"/>
            </w:tcBorders>
          </w:tcPr>
          <w:p w14:paraId="3F351314" w14:textId="77777777" w:rsidR="004012FA" w:rsidRPr="004012FA" w:rsidRDefault="004012FA" w:rsidP="004012FA">
            <w:pPr>
              <w:spacing w:line="240" w:lineRule="auto"/>
              <w:rPr>
                <w:sz w:val="22"/>
                <w:szCs w:val="22"/>
                <w:lang w:val="en-US"/>
              </w:rPr>
            </w:pPr>
          </w:p>
          <w:tbl>
            <w:tblPr>
              <w:tblW w:w="3420" w:type="dxa"/>
              <w:tblLayout w:type="fixed"/>
              <w:tblLook w:val="04A0" w:firstRow="1" w:lastRow="0" w:firstColumn="1" w:lastColumn="0" w:noHBand="0" w:noVBand="1"/>
            </w:tblPr>
            <w:tblGrid>
              <w:gridCol w:w="3420"/>
            </w:tblGrid>
            <w:tr w:rsidR="004012FA" w:rsidRPr="004012FA" w14:paraId="43858278" w14:textId="77777777" w:rsidTr="006F6815">
              <w:trPr>
                <w:trHeight w:val="300"/>
              </w:trPr>
              <w:tc>
                <w:tcPr>
                  <w:tcW w:w="3420" w:type="dxa"/>
                  <w:tcBorders>
                    <w:top w:val="nil"/>
                    <w:left w:val="nil"/>
                    <w:bottom w:val="nil"/>
                    <w:right w:val="nil"/>
                  </w:tcBorders>
                  <w:shd w:val="clear" w:color="auto" w:fill="auto"/>
                  <w:noWrap/>
                  <w:vAlign w:val="bottom"/>
                </w:tcPr>
                <w:p w14:paraId="7229AAAC" w14:textId="77777777" w:rsidR="004012FA" w:rsidRPr="004012FA" w:rsidRDefault="004012FA" w:rsidP="00F56F84">
                  <w:pPr>
                    <w:tabs>
                      <w:tab w:val="left" w:pos="2583"/>
                    </w:tabs>
                    <w:spacing w:before="740" w:afterLines="120" w:after="288" w:line="259" w:lineRule="auto"/>
                    <w:ind w:left="-1042"/>
                    <w:jc w:val="center"/>
                    <w:rPr>
                      <w:sz w:val="22"/>
                      <w:szCs w:val="22"/>
                      <w:lang w:val="en-US"/>
                    </w:rPr>
                  </w:pPr>
                  <w:r w:rsidRPr="004012FA">
                    <w:rPr>
                      <w:sz w:val="22"/>
                      <w:szCs w:val="22"/>
                      <w:lang w:val="en-US"/>
                    </w:rPr>
                    <w:t>Strongly agree</w:t>
                  </w:r>
                </w:p>
              </w:tc>
            </w:tr>
            <w:tr w:rsidR="004012FA" w:rsidRPr="004012FA" w14:paraId="1A127A24" w14:textId="77777777" w:rsidTr="006F6815">
              <w:trPr>
                <w:trHeight w:val="300"/>
              </w:trPr>
              <w:tc>
                <w:tcPr>
                  <w:tcW w:w="3420" w:type="dxa"/>
                  <w:tcBorders>
                    <w:top w:val="nil"/>
                    <w:left w:val="nil"/>
                    <w:bottom w:val="nil"/>
                    <w:right w:val="nil"/>
                  </w:tcBorders>
                  <w:shd w:val="clear" w:color="auto" w:fill="auto"/>
                  <w:noWrap/>
                  <w:vAlign w:val="bottom"/>
                </w:tcPr>
                <w:p w14:paraId="73EB0457"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Agree</w:t>
                  </w:r>
                </w:p>
              </w:tc>
            </w:tr>
            <w:tr w:rsidR="004012FA" w:rsidRPr="004012FA" w14:paraId="4237A280" w14:textId="77777777" w:rsidTr="006F6815">
              <w:trPr>
                <w:trHeight w:val="300"/>
              </w:trPr>
              <w:tc>
                <w:tcPr>
                  <w:tcW w:w="3420" w:type="dxa"/>
                  <w:tcBorders>
                    <w:top w:val="nil"/>
                    <w:left w:val="nil"/>
                    <w:bottom w:val="nil"/>
                    <w:right w:val="nil"/>
                  </w:tcBorders>
                  <w:shd w:val="clear" w:color="auto" w:fill="auto"/>
                  <w:noWrap/>
                  <w:vAlign w:val="bottom"/>
                </w:tcPr>
                <w:p w14:paraId="51E4665B"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Strongly agree</w:t>
                  </w:r>
                </w:p>
              </w:tc>
            </w:tr>
            <w:tr w:rsidR="004012FA" w:rsidRPr="004012FA" w14:paraId="253AB505" w14:textId="77777777" w:rsidTr="006F6815">
              <w:trPr>
                <w:trHeight w:val="300"/>
              </w:trPr>
              <w:tc>
                <w:tcPr>
                  <w:tcW w:w="3420" w:type="dxa"/>
                  <w:tcBorders>
                    <w:top w:val="nil"/>
                    <w:left w:val="nil"/>
                    <w:bottom w:val="nil"/>
                    <w:right w:val="nil"/>
                  </w:tcBorders>
                  <w:shd w:val="clear" w:color="auto" w:fill="auto"/>
                  <w:noWrap/>
                  <w:vAlign w:val="bottom"/>
                </w:tcPr>
                <w:p w14:paraId="6B61E27D"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Disagree</w:t>
                  </w:r>
                </w:p>
              </w:tc>
            </w:tr>
            <w:tr w:rsidR="004012FA" w:rsidRPr="004012FA" w14:paraId="10383FB5" w14:textId="77777777" w:rsidTr="006F6815">
              <w:trPr>
                <w:trHeight w:val="300"/>
              </w:trPr>
              <w:tc>
                <w:tcPr>
                  <w:tcW w:w="3420" w:type="dxa"/>
                  <w:tcBorders>
                    <w:top w:val="nil"/>
                    <w:left w:val="nil"/>
                    <w:bottom w:val="nil"/>
                    <w:right w:val="nil"/>
                  </w:tcBorders>
                  <w:shd w:val="clear" w:color="auto" w:fill="auto"/>
                  <w:noWrap/>
                  <w:vAlign w:val="bottom"/>
                </w:tcPr>
                <w:p w14:paraId="583F51F6"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bl>
          <w:p w14:paraId="58F0C776" w14:textId="77777777" w:rsidR="004012FA" w:rsidRPr="004012FA" w:rsidRDefault="004012FA" w:rsidP="004012FA">
            <w:pPr>
              <w:spacing w:afterLines="120" w:after="288" w:line="240" w:lineRule="auto"/>
              <w:ind w:left="-1241" w:right="380"/>
              <w:rPr>
                <w:sz w:val="22"/>
                <w:szCs w:val="22"/>
                <w:lang w:val="en-US"/>
              </w:rPr>
            </w:pPr>
          </w:p>
        </w:tc>
      </w:tr>
      <w:tr w:rsidR="004012FA" w:rsidRPr="004012FA" w14:paraId="7F0A2BF0" w14:textId="77777777" w:rsidTr="00F56F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pct"/>
            <w:gridSpan w:val="2"/>
            <w:tcBorders>
              <w:top w:val="single" w:sz="4" w:space="0" w:color="auto"/>
              <w:left w:val="nil"/>
              <w:right w:val="nil"/>
            </w:tcBorders>
          </w:tcPr>
          <w:p w14:paraId="11A5530E" w14:textId="77777777" w:rsidR="004012FA" w:rsidRPr="004012FA" w:rsidRDefault="004012FA" w:rsidP="004012FA">
            <w:pPr>
              <w:spacing w:afterLines="120" w:after="288" w:line="240" w:lineRule="auto"/>
              <w:ind w:right="-140"/>
              <w:rPr>
                <w:sz w:val="22"/>
                <w:szCs w:val="22"/>
                <w:lang w:val="en-US"/>
              </w:rPr>
            </w:pPr>
            <w:r w:rsidRPr="004012FA">
              <w:rPr>
                <w:sz w:val="22"/>
                <w:szCs w:val="22"/>
                <w:lang w:val="en-US"/>
              </w:rPr>
              <w:t xml:space="preserve">Procedural – Agency is procedurally </w:t>
            </w:r>
            <w:proofErr w:type="gramStart"/>
            <w:r w:rsidRPr="004012FA">
              <w:rPr>
                <w:sz w:val="22"/>
                <w:szCs w:val="22"/>
                <w:lang w:val="en-US"/>
              </w:rPr>
              <w:t>correct</w:t>
            </w:r>
            <w:proofErr w:type="gramEnd"/>
          </w:p>
          <w:tbl>
            <w:tblPr>
              <w:tblW w:w="3431" w:type="dxa"/>
              <w:tblLayout w:type="fixed"/>
              <w:tblLook w:val="04A0" w:firstRow="1" w:lastRow="0" w:firstColumn="1" w:lastColumn="0" w:noHBand="0" w:noVBand="1"/>
            </w:tblPr>
            <w:tblGrid>
              <w:gridCol w:w="3431"/>
            </w:tblGrid>
            <w:tr w:rsidR="004012FA" w:rsidRPr="004012FA" w14:paraId="778C50BB" w14:textId="77777777" w:rsidTr="006F6815">
              <w:trPr>
                <w:trHeight w:val="300"/>
              </w:trPr>
              <w:tc>
                <w:tcPr>
                  <w:tcW w:w="3431" w:type="dxa"/>
                  <w:tcBorders>
                    <w:top w:val="nil"/>
                    <w:left w:val="nil"/>
                    <w:bottom w:val="nil"/>
                    <w:right w:val="nil"/>
                  </w:tcBorders>
                  <w:shd w:val="clear" w:color="auto" w:fill="auto"/>
                  <w:noWrap/>
                  <w:vAlign w:val="bottom"/>
                  <w:hideMark/>
                </w:tcPr>
                <w:p w14:paraId="0E6FF164"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SB1</w:t>
                  </w:r>
                </w:p>
              </w:tc>
            </w:tr>
            <w:tr w:rsidR="004012FA" w:rsidRPr="004012FA" w14:paraId="34B06789" w14:textId="77777777" w:rsidTr="006F6815">
              <w:trPr>
                <w:trHeight w:val="300"/>
              </w:trPr>
              <w:tc>
                <w:tcPr>
                  <w:tcW w:w="3431" w:type="dxa"/>
                  <w:tcBorders>
                    <w:top w:val="nil"/>
                    <w:left w:val="nil"/>
                    <w:bottom w:val="nil"/>
                    <w:right w:val="nil"/>
                  </w:tcBorders>
                  <w:shd w:val="clear" w:color="auto" w:fill="auto"/>
                  <w:noWrap/>
                  <w:vAlign w:val="bottom"/>
                  <w:hideMark/>
                </w:tcPr>
                <w:p w14:paraId="5D021A1B"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SB5</w:t>
                  </w:r>
                </w:p>
              </w:tc>
            </w:tr>
            <w:tr w:rsidR="004012FA" w:rsidRPr="004012FA" w14:paraId="5A289D07" w14:textId="77777777" w:rsidTr="006F6815">
              <w:trPr>
                <w:trHeight w:val="300"/>
              </w:trPr>
              <w:tc>
                <w:tcPr>
                  <w:tcW w:w="3431" w:type="dxa"/>
                  <w:tcBorders>
                    <w:top w:val="nil"/>
                    <w:left w:val="nil"/>
                    <w:bottom w:val="nil"/>
                    <w:right w:val="nil"/>
                  </w:tcBorders>
                  <w:shd w:val="clear" w:color="auto" w:fill="auto"/>
                  <w:noWrap/>
                  <w:vAlign w:val="bottom"/>
                  <w:hideMark/>
                </w:tcPr>
                <w:p w14:paraId="6E80B18F"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SB9</w:t>
                  </w:r>
                </w:p>
              </w:tc>
            </w:tr>
            <w:tr w:rsidR="004012FA" w:rsidRPr="004012FA" w14:paraId="6C84E151" w14:textId="77777777" w:rsidTr="006F6815">
              <w:trPr>
                <w:trHeight w:val="300"/>
              </w:trPr>
              <w:tc>
                <w:tcPr>
                  <w:tcW w:w="3431" w:type="dxa"/>
                  <w:tcBorders>
                    <w:top w:val="nil"/>
                    <w:left w:val="nil"/>
                    <w:bottom w:val="nil"/>
                    <w:right w:val="nil"/>
                  </w:tcBorders>
                  <w:shd w:val="clear" w:color="auto" w:fill="auto"/>
                  <w:noWrap/>
                  <w:vAlign w:val="bottom"/>
                  <w:hideMark/>
                </w:tcPr>
                <w:p w14:paraId="631D0CE7"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NSB3</w:t>
                  </w:r>
                </w:p>
              </w:tc>
            </w:tr>
            <w:tr w:rsidR="004012FA" w:rsidRPr="004012FA" w14:paraId="59FBE87A" w14:textId="77777777" w:rsidTr="006F6815">
              <w:trPr>
                <w:trHeight w:val="300"/>
              </w:trPr>
              <w:tc>
                <w:tcPr>
                  <w:tcW w:w="3431" w:type="dxa"/>
                  <w:tcBorders>
                    <w:top w:val="nil"/>
                    <w:left w:val="nil"/>
                    <w:bottom w:val="nil"/>
                    <w:right w:val="nil"/>
                  </w:tcBorders>
                  <w:shd w:val="clear" w:color="auto" w:fill="auto"/>
                  <w:noWrap/>
                  <w:vAlign w:val="bottom"/>
                  <w:hideMark/>
                </w:tcPr>
                <w:p w14:paraId="40C4D3BE"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NSB5</w:t>
                  </w:r>
                </w:p>
              </w:tc>
            </w:tr>
            <w:tr w:rsidR="004012FA" w:rsidRPr="004012FA" w14:paraId="5136EDC2" w14:textId="77777777" w:rsidTr="006F6815">
              <w:trPr>
                <w:trHeight w:val="300"/>
              </w:trPr>
              <w:tc>
                <w:tcPr>
                  <w:tcW w:w="3431" w:type="dxa"/>
                  <w:tcBorders>
                    <w:top w:val="nil"/>
                    <w:left w:val="nil"/>
                    <w:bottom w:val="nil"/>
                    <w:right w:val="nil"/>
                  </w:tcBorders>
                  <w:shd w:val="clear" w:color="auto" w:fill="auto"/>
                  <w:noWrap/>
                  <w:vAlign w:val="bottom"/>
                </w:tcPr>
                <w:p w14:paraId="301282F6" w14:textId="77777777" w:rsidR="004012FA" w:rsidRPr="004012FA" w:rsidRDefault="004012FA" w:rsidP="004012FA">
                  <w:pPr>
                    <w:spacing w:afterLines="120" w:after="288" w:line="259" w:lineRule="auto"/>
                    <w:ind w:right="889"/>
                    <w:rPr>
                      <w:sz w:val="22"/>
                      <w:szCs w:val="22"/>
                      <w:lang w:val="en-US"/>
                    </w:rPr>
                  </w:pPr>
                </w:p>
              </w:tc>
            </w:tr>
          </w:tbl>
          <w:p w14:paraId="434C15E0" w14:textId="77777777" w:rsidR="004012FA" w:rsidRPr="004012FA" w:rsidRDefault="004012FA" w:rsidP="004012FA">
            <w:pPr>
              <w:spacing w:afterLines="120" w:after="288" w:line="240" w:lineRule="auto"/>
              <w:ind w:left="720" w:right="889"/>
              <w:jc w:val="right"/>
              <w:rPr>
                <w:sz w:val="22"/>
                <w:szCs w:val="22"/>
                <w:lang w:val="en-US"/>
              </w:rPr>
            </w:pPr>
          </w:p>
        </w:tc>
        <w:tc>
          <w:tcPr>
            <w:tcW w:w="1673" w:type="pct"/>
            <w:gridSpan w:val="2"/>
            <w:tcBorders>
              <w:top w:val="single" w:sz="4" w:space="0" w:color="auto"/>
              <w:left w:val="nil"/>
              <w:right w:val="nil"/>
            </w:tcBorders>
          </w:tcPr>
          <w:p w14:paraId="58F00984" w14:textId="77777777" w:rsidR="004012FA" w:rsidRPr="004012FA" w:rsidRDefault="004012FA" w:rsidP="004012FA">
            <w:pPr>
              <w:tabs>
                <w:tab w:val="left" w:pos="2583"/>
              </w:tabs>
              <w:spacing w:afterLines="120" w:after="288" w:line="240" w:lineRule="auto"/>
              <w:ind w:left="-388" w:right="380" w:hanging="380"/>
              <w:jc w:val="center"/>
              <w:rPr>
                <w:sz w:val="22"/>
                <w:szCs w:val="22"/>
                <w:lang w:val="en-US"/>
              </w:rPr>
            </w:pPr>
          </w:p>
          <w:tbl>
            <w:tblPr>
              <w:tblW w:w="2439" w:type="dxa"/>
              <w:tblInd w:w="597" w:type="dxa"/>
              <w:tblLayout w:type="fixed"/>
              <w:tblLook w:val="04A0" w:firstRow="1" w:lastRow="0" w:firstColumn="1" w:lastColumn="0" w:noHBand="0" w:noVBand="1"/>
            </w:tblPr>
            <w:tblGrid>
              <w:gridCol w:w="2439"/>
            </w:tblGrid>
            <w:tr w:rsidR="004012FA" w:rsidRPr="004012FA" w14:paraId="1174DAFF" w14:textId="77777777" w:rsidTr="006F6815">
              <w:trPr>
                <w:trHeight w:val="300"/>
              </w:trPr>
              <w:tc>
                <w:tcPr>
                  <w:tcW w:w="2439" w:type="dxa"/>
                  <w:tcBorders>
                    <w:top w:val="nil"/>
                    <w:left w:val="nil"/>
                    <w:bottom w:val="nil"/>
                    <w:right w:val="nil"/>
                  </w:tcBorders>
                  <w:shd w:val="clear" w:color="auto" w:fill="auto"/>
                  <w:noWrap/>
                  <w:vAlign w:val="bottom"/>
                </w:tcPr>
                <w:p w14:paraId="0BA9F050" w14:textId="77777777" w:rsidR="004012FA" w:rsidRPr="004012FA" w:rsidRDefault="004012FA" w:rsidP="004012FA">
                  <w:pPr>
                    <w:tabs>
                      <w:tab w:val="left" w:pos="2583"/>
                    </w:tabs>
                    <w:spacing w:before="240" w:afterLines="120" w:after="288" w:line="259" w:lineRule="auto"/>
                    <w:ind w:left="-388"/>
                    <w:jc w:val="center"/>
                    <w:rPr>
                      <w:sz w:val="22"/>
                      <w:szCs w:val="22"/>
                      <w:lang w:val="en-US"/>
                    </w:rPr>
                  </w:pPr>
                  <w:r w:rsidRPr="004012FA">
                    <w:rPr>
                      <w:sz w:val="22"/>
                      <w:szCs w:val="22"/>
                      <w:lang w:val="en-US"/>
                    </w:rPr>
                    <w:t>Agree</w:t>
                  </w:r>
                </w:p>
              </w:tc>
            </w:tr>
            <w:tr w:rsidR="004012FA" w:rsidRPr="004012FA" w14:paraId="2CFA1F51" w14:textId="77777777" w:rsidTr="006F6815">
              <w:trPr>
                <w:trHeight w:val="300"/>
              </w:trPr>
              <w:tc>
                <w:tcPr>
                  <w:tcW w:w="2439" w:type="dxa"/>
                  <w:tcBorders>
                    <w:top w:val="nil"/>
                    <w:left w:val="nil"/>
                    <w:bottom w:val="nil"/>
                    <w:right w:val="nil"/>
                  </w:tcBorders>
                  <w:shd w:val="clear" w:color="auto" w:fill="auto"/>
                  <w:noWrap/>
                  <w:vAlign w:val="bottom"/>
                </w:tcPr>
                <w:p w14:paraId="4B022960"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Agree</w:t>
                  </w:r>
                </w:p>
              </w:tc>
            </w:tr>
            <w:tr w:rsidR="004012FA" w:rsidRPr="004012FA" w14:paraId="42D8E40E" w14:textId="77777777" w:rsidTr="006F6815">
              <w:trPr>
                <w:trHeight w:val="300"/>
              </w:trPr>
              <w:tc>
                <w:tcPr>
                  <w:tcW w:w="2439" w:type="dxa"/>
                  <w:tcBorders>
                    <w:top w:val="nil"/>
                    <w:left w:val="nil"/>
                    <w:bottom w:val="nil"/>
                    <w:right w:val="nil"/>
                  </w:tcBorders>
                  <w:shd w:val="clear" w:color="auto" w:fill="auto"/>
                  <w:noWrap/>
                  <w:vAlign w:val="bottom"/>
                </w:tcPr>
                <w:p w14:paraId="12903F4B"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Strongly agree</w:t>
                  </w:r>
                </w:p>
              </w:tc>
            </w:tr>
            <w:tr w:rsidR="004012FA" w:rsidRPr="004012FA" w14:paraId="625F8A4A" w14:textId="77777777" w:rsidTr="006F6815">
              <w:trPr>
                <w:trHeight w:val="300"/>
              </w:trPr>
              <w:tc>
                <w:tcPr>
                  <w:tcW w:w="2439" w:type="dxa"/>
                  <w:tcBorders>
                    <w:top w:val="nil"/>
                    <w:left w:val="nil"/>
                    <w:bottom w:val="nil"/>
                    <w:right w:val="nil"/>
                  </w:tcBorders>
                  <w:shd w:val="clear" w:color="auto" w:fill="auto"/>
                  <w:noWrap/>
                  <w:vAlign w:val="bottom"/>
                </w:tcPr>
                <w:p w14:paraId="15B1D5B0" w14:textId="15BE36F0" w:rsidR="004012FA" w:rsidRPr="004012FA" w:rsidRDefault="00F56F84" w:rsidP="004012FA">
                  <w:pPr>
                    <w:tabs>
                      <w:tab w:val="left" w:pos="2583"/>
                    </w:tabs>
                    <w:spacing w:afterLines="120" w:after="288" w:line="259" w:lineRule="auto"/>
                    <w:ind w:left="-388"/>
                    <w:jc w:val="center"/>
                    <w:rPr>
                      <w:sz w:val="22"/>
                      <w:szCs w:val="22"/>
                      <w:lang w:val="en-US"/>
                    </w:rPr>
                  </w:pPr>
                  <w:r>
                    <w:rPr>
                      <w:sz w:val="22"/>
                      <w:szCs w:val="22"/>
                      <w:lang w:val="en-US"/>
                    </w:rPr>
                    <w:t>Neutral</w:t>
                  </w:r>
                </w:p>
              </w:tc>
            </w:tr>
            <w:tr w:rsidR="004012FA" w:rsidRPr="004012FA" w14:paraId="411FFE2D" w14:textId="77777777" w:rsidTr="006F6815">
              <w:trPr>
                <w:trHeight w:val="300"/>
              </w:trPr>
              <w:tc>
                <w:tcPr>
                  <w:tcW w:w="2439" w:type="dxa"/>
                  <w:tcBorders>
                    <w:top w:val="nil"/>
                    <w:left w:val="nil"/>
                    <w:bottom w:val="nil"/>
                    <w:right w:val="nil"/>
                  </w:tcBorders>
                  <w:shd w:val="clear" w:color="auto" w:fill="auto"/>
                  <w:noWrap/>
                  <w:vAlign w:val="bottom"/>
                </w:tcPr>
                <w:p w14:paraId="0649326C"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Disagree</w:t>
                  </w:r>
                </w:p>
              </w:tc>
            </w:tr>
          </w:tbl>
          <w:p w14:paraId="0366CCE2" w14:textId="77777777" w:rsidR="004012FA" w:rsidRPr="004012FA" w:rsidRDefault="004012FA" w:rsidP="004012FA">
            <w:pPr>
              <w:tabs>
                <w:tab w:val="left" w:pos="2583"/>
              </w:tabs>
              <w:spacing w:afterLines="120" w:after="288" w:line="240" w:lineRule="auto"/>
              <w:ind w:left="-388" w:right="380"/>
              <w:rPr>
                <w:sz w:val="22"/>
                <w:szCs w:val="22"/>
                <w:lang w:val="en-US"/>
              </w:rPr>
            </w:pPr>
          </w:p>
        </w:tc>
        <w:tc>
          <w:tcPr>
            <w:tcW w:w="1635" w:type="pct"/>
            <w:gridSpan w:val="2"/>
            <w:tcBorders>
              <w:top w:val="single" w:sz="4" w:space="0" w:color="auto"/>
              <w:left w:val="nil"/>
              <w:right w:val="nil"/>
            </w:tcBorders>
          </w:tcPr>
          <w:p w14:paraId="19CEA6FC" w14:textId="77777777" w:rsidR="004012FA" w:rsidRPr="004012FA" w:rsidRDefault="004012FA" w:rsidP="004012FA">
            <w:pPr>
              <w:spacing w:afterLines="120" w:after="288" w:line="240" w:lineRule="auto"/>
              <w:ind w:left="-1241" w:right="380"/>
              <w:jc w:val="center"/>
              <w:rPr>
                <w:sz w:val="22"/>
                <w:szCs w:val="22"/>
                <w:lang w:val="en-US"/>
              </w:rPr>
            </w:pPr>
          </w:p>
          <w:tbl>
            <w:tblPr>
              <w:tblW w:w="3420" w:type="dxa"/>
              <w:tblLayout w:type="fixed"/>
              <w:tblLook w:val="04A0" w:firstRow="1" w:lastRow="0" w:firstColumn="1" w:lastColumn="0" w:noHBand="0" w:noVBand="1"/>
            </w:tblPr>
            <w:tblGrid>
              <w:gridCol w:w="3420"/>
            </w:tblGrid>
            <w:tr w:rsidR="004012FA" w:rsidRPr="004012FA" w14:paraId="2C78B3B3" w14:textId="77777777" w:rsidTr="006F6815">
              <w:trPr>
                <w:trHeight w:val="300"/>
              </w:trPr>
              <w:tc>
                <w:tcPr>
                  <w:tcW w:w="3420" w:type="dxa"/>
                  <w:tcBorders>
                    <w:top w:val="nil"/>
                    <w:left w:val="nil"/>
                    <w:bottom w:val="nil"/>
                    <w:right w:val="nil"/>
                  </w:tcBorders>
                  <w:shd w:val="clear" w:color="auto" w:fill="auto"/>
                  <w:noWrap/>
                  <w:vAlign w:val="bottom"/>
                </w:tcPr>
                <w:p w14:paraId="27E8E3D2" w14:textId="77777777" w:rsidR="004012FA" w:rsidRPr="004012FA" w:rsidRDefault="004012FA" w:rsidP="004012FA">
                  <w:pPr>
                    <w:spacing w:before="240" w:afterLines="120" w:after="288" w:line="259" w:lineRule="auto"/>
                    <w:ind w:left="-1242"/>
                    <w:jc w:val="center"/>
                    <w:rPr>
                      <w:sz w:val="22"/>
                      <w:szCs w:val="22"/>
                      <w:lang w:val="en-US"/>
                    </w:rPr>
                  </w:pPr>
                  <w:r w:rsidRPr="004012FA">
                    <w:rPr>
                      <w:sz w:val="22"/>
                      <w:szCs w:val="22"/>
                      <w:lang w:val="en-US"/>
                    </w:rPr>
                    <w:t>Strongly agree</w:t>
                  </w:r>
                </w:p>
              </w:tc>
            </w:tr>
            <w:tr w:rsidR="004012FA" w:rsidRPr="004012FA" w14:paraId="6F1C880D" w14:textId="77777777" w:rsidTr="006F6815">
              <w:trPr>
                <w:trHeight w:val="300"/>
              </w:trPr>
              <w:tc>
                <w:tcPr>
                  <w:tcW w:w="3420" w:type="dxa"/>
                  <w:tcBorders>
                    <w:top w:val="nil"/>
                    <w:left w:val="nil"/>
                    <w:bottom w:val="nil"/>
                    <w:right w:val="nil"/>
                  </w:tcBorders>
                  <w:shd w:val="clear" w:color="auto" w:fill="auto"/>
                  <w:noWrap/>
                  <w:vAlign w:val="bottom"/>
                </w:tcPr>
                <w:p w14:paraId="2D92ADA6"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Disagree</w:t>
                  </w:r>
                </w:p>
              </w:tc>
            </w:tr>
            <w:tr w:rsidR="004012FA" w:rsidRPr="004012FA" w14:paraId="6CCC2E41" w14:textId="77777777" w:rsidTr="006F6815">
              <w:trPr>
                <w:trHeight w:val="300"/>
              </w:trPr>
              <w:tc>
                <w:tcPr>
                  <w:tcW w:w="3420" w:type="dxa"/>
                  <w:tcBorders>
                    <w:top w:val="nil"/>
                    <w:left w:val="nil"/>
                    <w:bottom w:val="nil"/>
                    <w:right w:val="nil"/>
                  </w:tcBorders>
                  <w:shd w:val="clear" w:color="auto" w:fill="auto"/>
                  <w:noWrap/>
                  <w:vAlign w:val="bottom"/>
                </w:tcPr>
                <w:p w14:paraId="349C5741"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r w:rsidR="004012FA" w:rsidRPr="004012FA" w14:paraId="4C8CA439" w14:textId="77777777" w:rsidTr="006F6815">
              <w:trPr>
                <w:trHeight w:val="300"/>
              </w:trPr>
              <w:tc>
                <w:tcPr>
                  <w:tcW w:w="3420" w:type="dxa"/>
                  <w:tcBorders>
                    <w:top w:val="nil"/>
                    <w:left w:val="nil"/>
                    <w:bottom w:val="nil"/>
                    <w:right w:val="nil"/>
                  </w:tcBorders>
                  <w:shd w:val="clear" w:color="auto" w:fill="auto"/>
                  <w:noWrap/>
                  <w:vAlign w:val="bottom"/>
                </w:tcPr>
                <w:p w14:paraId="7017650D" w14:textId="70BB0038" w:rsidR="004012FA" w:rsidRPr="004012FA" w:rsidRDefault="00F56F84" w:rsidP="004012FA">
                  <w:pPr>
                    <w:spacing w:afterLines="120" w:after="288" w:line="259" w:lineRule="auto"/>
                    <w:ind w:left="-1241"/>
                    <w:jc w:val="center"/>
                    <w:rPr>
                      <w:sz w:val="22"/>
                      <w:szCs w:val="22"/>
                      <w:lang w:val="en-US"/>
                    </w:rPr>
                  </w:pPr>
                  <w:r>
                    <w:rPr>
                      <w:sz w:val="22"/>
                      <w:szCs w:val="22"/>
                      <w:lang w:val="en-US"/>
                    </w:rPr>
                    <w:t>Neutral</w:t>
                  </w:r>
                </w:p>
              </w:tc>
            </w:tr>
            <w:tr w:rsidR="004012FA" w:rsidRPr="004012FA" w14:paraId="6D36C263" w14:textId="77777777" w:rsidTr="006F6815">
              <w:trPr>
                <w:trHeight w:val="300"/>
              </w:trPr>
              <w:tc>
                <w:tcPr>
                  <w:tcW w:w="3420" w:type="dxa"/>
                  <w:tcBorders>
                    <w:top w:val="nil"/>
                    <w:left w:val="nil"/>
                    <w:bottom w:val="nil"/>
                    <w:right w:val="nil"/>
                  </w:tcBorders>
                  <w:shd w:val="clear" w:color="auto" w:fill="auto"/>
                  <w:noWrap/>
                  <w:vAlign w:val="bottom"/>
                </w:tcPr>
                <w:p w14:paraId="4A850C54"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bl>
          <w:p w14:paraId="68CC41EE" w14:textId="77777777" w:rsidR="004012FA" w:rsidRPr="004012FA" w:rsidRDefault="004012FA" w:rsidP="004012FA">
            <w:pPr>
              <w:spacing w:afterLines="120" w:after="288" w:line="240" w:lineRule="auto"/>
              <w:ind w:left="-1241" w:right="380"/>
              <w:rPr>
                <w:sz w:val="22"/>
                <w:szCs w:val="22"/>
                <w:lang w:val="en-US"/>
              </w:rPr>
            </w:pPr>
          </w:p>
        </w:tc>
      </w:tr>
      <w:tr w:rsidR="004012FA" w:rsidRPr="004012FA" w14:paraId="2CDCEC90" w14:textId="77777777" w:rsidTr="00F56F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pct"/>
            <w:gridSpan w:val="2"/>
            <w:tcBorders>
              <w:top w:val="single" w:sz="4" w:space="0" w:color="auto"/>
              <w:left w:val="nil"/>
              <w:right w:val="nil"/>
            </w:tcBorders>
          </w:tcPr>
          <w:p w14:paraId="44448648" w14:textId="77777777" w:rsidR="004012FA" w:rsidRPr="004012FA" w:rsidRDefault="004012FA" w:rsidP="004012FA">
            <w:pPr>
              <w:spacing w:afterLines="120" w:after="288" w:line="240" w:lineRule="auto"/>
              <w:ind w:right="33"/>
              <w:rPr>
                <w:sz w:val="22"/>
                <w:szCs w:val="22"/>
                <w:lang w:val="en-US"/>
              </w:rPr>
            </w:pPr>
            <w:r w:rsidRPr="004012FA">
              <w:rPr>
                <w:sz w:val="22"/>
                <w:szCs w:val="22"/>
                <w:lang w:val="en-US"/>
              </w:rPr>
              <w:lastRenderedPageBreak/>
              <w:t xml:space="preserve">Procedural – Agency is procedurally </w:t>
            </w:r>
            <w:proofErr w:type="gramStart"/>
            <w:r w:rsidRPr="004012FA">
              <w:rPr>
                <w:sz w:val="22"/>
                <w:szCs w:val="22"/>
                <w:lang w:val="en-US"/>
              </w:rPr>
              <w:t>flexible</w:t>
            </w:r>
            <w:proofErr w:type="gramEnd"/>
          </w:p>
          <w:tbl>
            <w:tblPr>
              <w:tblW w:w="3431" w:type="dxa"/>
              <w:tblLayout w:type="fixed"/>
              <w:tblLook w:val="04A0" w:firstRow="1" w:lastRow="0" w:firstColumn="1" w:lastColumn="0" w:noHBand="0" w:noVBand="1"/>
            </w:tblPr>
            <w:tblGrid>
              <w:gridCol w:w="3431"/>
            </w:tblGrid>
            <w:tr w:rsidR="004012FA" w:rsidRPr="004012FA" w14:paraId="1E2F86E6" w14:textId="77777777" w:rsidTr="006F6815">
              <w:trPr>
                <w:trHeight w:val="300"/>
              </w:trPr>
              <w:tc>
                <w:tcPr>
                  <w:tcW w:w="3431" w:type="dxa"/>
                  <w:tcBorders>
                    <w:top w:val="nil"/>
                    <w:left w:val="nil"/>
                    <w:bottom w:val="nil"/>
                    <w:right w:val="nil"/>
                  </w:tcBorders>
                  <w:shd w:val="clear" w:color="auto" w:fill="auto"/>
                  <w:noWrap/>
                  <w:vAlign w:val="bottom"/>
                  <w:hideMark/>
                </w:tcPr>
                <w:p w14:paraId="13E047CF"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SB1</w:t>
                  </w:r>
                </w:p>
              </w:tc>
            </w:tr>
            <w:tr w:rsidR="004012FA" w:rsidRPr="004012FA" w14:paraId="42407201" w14:textId="77777777" w:rsidTr="006F6815">
              <w:trPr>
                <w:trHeight w:val="300"/>
              </w:trPr>
              <w:tc>
                <w:tcPr>
                  <w:tcW w:w="3431" w:type="dxa"/>
                  <w:tcBorders>
                    <w:top w:val="nil"/>
                    <w:left w:val="nil"/>
                    <w:bottom w:val="nil"/>
                    <w:right w:val="nil"/>
                  </w:tcBorders>
                  <w:shd w:val="clear" w:color="auto" w:fill="auto"/>
                  <w:noWrap/>
                  <w:vAlign w:val="bottom"/>
                  <w:hideMark/>
                </w:tcPr>
                <w:p w14:paraId="2056EFF6"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SB5</w:t>
                  </w:r>
                </w:p>
              </w:tc>
            </w:tr>
            <w:tr w:rsidR="004012FA" w:rsidRPr="004012FA" w14:paraId="043D96CF" w14:textId="77777777" w:rsidTr="006F6815">
              <w:trPr>
                <w:trHeight w:val="300"/>
              </w:trPr>
              <w:tc>
                <w:tcPr>
                  <w:tcW w:w="3431" w:type="dxa"/>
                  <w:tcBorders>
                    <w:top w:val="nil"/>
                    <w:left w:val="nil"/>
                    <w:bottom w:val="nil"/>
                    <w:right w:val="nil"/>
                  </w:tcBorders>
                  <w:shd w:val="clear" w:color="auto" w:fill="auto"/>
                  <w:noWrap/>
                  <w:vAlign w:val="bottom"/>
                  <w:hideMark/>
                </w:tcPr>
                <w:p w14:paraId="3D626EB3"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SB9</w:t>
                  </w:r>
                </w:p>
              </w:tc>
            </w:tr>
            <w:tr w:rsidR="004012FA" w:rsidRPr="004012FA" w14:paraId="2AD0BAC9" w14:textId="77777777" w:rsidTr="006F6815">
              <w:trPr>
                <w:trHeight w:val="300"/>
              </w:trPr>
              <w:tc>
                <w:tcPr>
                  <w:tcW w:w="3431" w:type="dxa"/>
                  <w:tcBorders>
                    <w:top w:val="nil"/>
                    <w:left w:val="nil"/>
                    <w:bottom w:val="nil"/>
                    <w:right w:val="nil"/>
                  </w:tcBorders>
                  <w:shd w:val="clear" w:color="auto" w:fill="auto"/>
                  <w:noWrap/>
                  <w:vAlign w:val="bottom"/>
                  <w:hideMark/>
                </w:tcPr>
                <w:p w14:paraId="49CF2524"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NSB3</w:t>
                  </w:r>
                </w:p>
              </w:tc>
            </w:tr>
            <w:tr w:rsidR="004012FA" w:rsidRPr="004012FA" w14:paraId="52C62588" w14:textId="77777777" w:rsidTr="006F6815">
              <w:trPr>
                <w:trHeight w:val="300"/>
              </w:trPr>
              <w:tc>
                <w:tcPr>
                  <w:tcW w:w="3431" w:type="dxa"/>
                  <w:tcBorders>
                    <w:top w:val="nil"/>
                    <w:left w:val="nil"/>
                    <w:bottom w:val="nil"/>
                    <w:right w:val="nil"/>
                  </w:tcBorders>
                  <w:shd w:val="clear" w:color="auto" w:fill="auto"/>
                  <w:noWrap/>
                  <w:vAlign w:val="bottom"/>
                  <w:hideMark/>
                </w:tcPr>
                <w:p w14:paraId="249A694B"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NSB5</w:t>
                  </w:r>
                </w:p>
              </w:tc>
            </w:tr>
          </w:tbl>
          <w:p w14:paraId="169AB098" w14:textId="77777777" w:rsidR="004012FA" w:rsidRPr="004012FA" w:rsidRDefault="004012FA" w:rsidP="004012FA">
            <w:pPr>
              <w:spacing w:afterLines="120" w:after="288" w:line="240" w:lineRule="auto"/>
              <w:ind w:right="36"/>
              <w:rPr>
                <w:sz w:val="22"/>
                <w:szCs w:val="22"/>
                <w:lang w:val="en-US"/>
              </w:rPr>
            </w:pPr>
          </w:p>
        </w:tc>
        <w:tc>
          <w:tcPr>
            <w:tcW w:w="1673" w:type="pct"/>
            <w:gridSpan w:val="2"/>
            <w:tcBorders>
              <w:top w:val="single" w:sz="4" w:space="0" w:color="auto"/>
              <w:left w:val="nil"/>
              <w:right w:val="nil"/>
            </w:tcBorders>
          </w:tcPr>
          <w:tbl>
            <w:tblPr>
              <w:tblW w:w="2439" w:type="dxa"/>
              <w:tblInd w:w="597" w:type="dxa"/>
              <w:tblLayout w:type="fixed"/>
              <w:tblLook w:val="04A0" w:firstRow="1" w:lastRow="0" w:firstColumn="1" w:lastColumn="0" w:noHBand="0" w:noVBand="1"/>
            </w:tblPr>
            <w:tblGrid>
              <w:gridCol w:w="2439"/>
            </w:tblGrid>
            <w:tr w:rsidR="004012FA" w:rsidRPr="004012FA" w14:paraId="00654B00" w14:textId="77777777" w:rsidTr="006F6815">
              <w:trPr>
                <w:trHeight w:val="300"/>
              </w:trPr>
              <w:tc>
                <w:tcPr>
                  <w:tcW w:w="2439" w:type="dxa"/>
                  <w:tcBorders>
                    <w:top w:val="nil"/>
                    <w:left w:val="nil"/>
                    <w:bottom w:val="nil"/>
                    <w:right w:val="nil"/>
                  </w:tcBorders>
                  <w:shd w:val="clear" w:color="auto" w:fill="auto"/>
                  <w:noWrap/>
                  <w:vAlign w:val="bottom"/>
                </w:tcPr>
                <w:p w14:paraId="4775770F" w14:textId="77777777" w:rsidR="004012FA" w:rsidRPr="004012FA" w:rsidRDefault="004012FA" w:rsidP="004012FA">
                  <w:pPr>
                    <w:tabs>
                      <w:tab w:val="left" w:pos="2583"/>
                    </w:tabs>
                    <w:spacing w:afterLines="120" w:after="288" w:line="259" w:lineRule="auto"/>
                    <w:ind w:left="-388"/>
                    <w:jc w:val="center"/>
                    <w:rPr>
                      <w:sz w:val="22"/>
                      <w:szCs w:val="22"/>
                      <w:lang w:val="en-US"/>
                    </w:rPr>
                  </w:pPr>
                </w:p>
              </w:tc>
            </w:tr>
            <w:tr w:rsidR="004012FA" w:rsidRPr="004012FA" w14:paraId="5FB91288" w14:textId="77777777" w:rsidTr="006F6815">
              <w:trPr>
                <w:trHeight w:val="300"/>
              </w:trPr>
              <w:tc>
                <w:tcPr>
                  <w:tcW w:w="2439" w:type="dxa"/>
                  <w:tcBorders>
                    <w:top w:val="nil"/>
                    <w:left w:val="nil"/>
                    <w:bottom w:val="nil"/>
                    <w:right w:val="nil"/>
                  </w:tcBorders>
                  <w:shd w:val="clear" w:color="auto" w:fill="auto"/>
                  <w:noWrap/>
                  <w:vAlign w:val="bottom"/>
                </w:tcPr>
                <w:p w14:paraId="48FAFC97" w14:textId="2DF53E46" w:rsidR="004012FA" w:rsidRPr="004012FA" w:rsidRDefault="00F56F84" w:rsidP="004012FA">
                  <w:pPr>
                    <w:tabs>
                      <w:tab w:val="left" w:pos="2583"/>
                    </w:tabs>
                    <w:spacing w:before="200" w:afterLines="120" w:after="288" w:line="259" w:lineRule="auto"/>
                    <w:ind w:left="-388"/>
                    <w:jc w:val="center"/>
                    <w:rPr>
                      <w:sz w:val="22"/>
                      <w:szCs w:val="22"/>
                      <w:lang w:val="en-US"/>
                    </w:rPr>
                  </w:pPr>
                  <w:r>
                    <w:rPr>
                      <w:sz w:val="22"/>
                      <w:szCs w:val="22"/>
                      <w:lang w:val="en-US"/>
                    </w:rPr>
                    <w:t>Neutral</w:t>
                  </w:r>
                </w:p>
              </w:tc>
            </w:tr>
            <w:tr w:rsidR="004012FA" w:rsidRPr="004012FA" w14:paraId="22777A87" w14:textId="77777777" w:rsidTr="006F6815">
              <w:trPr>
                <w:trHeight w:val="300"/>
              </w:trPr>
              <w:tc>
                <w:tcPr>
                  <w:tcW w:w="2439" w:type="dxa"/>
                  <w:tcBorders>
                    <w:top w:val="nil"/>
                    <w:left w:val="nil"/>
                    <w:bottom w:val="nil"/>
                    <w:right w:val="nil"/>
                  </w:tcBorders>
                  <w:shd w:val="clear" w:color="auto" w:fill="auto"/>
                  <w:noWrap/>
                  <w:vAlign w:val="bottom"/>
                </w:tcPr>
                <w:p w14:paraId="5A08E64A"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Missing data</w:t>
                  </w:r>
                </w:p>
              </w:tc>
            </w:tr>
            <w:tr w:rsidR="004012FA" w:rsidRPr="004012FA" w14:paraId="27D57741" w14:textId="77777777" w:rsidTr="006F6815">
              <w:trPr>
                <w:trHeight w:val="300"/>
              </w:trPr>
              <w:tc>
                <w:tcPr>
                  <w:tcW w:w="2439" w:type="dxa"/>
                  <w:tcBorders>
                    <w:top w:val="nil"/>
                    <w:left w:val="nil"/>
                    <w:bottom w:val="nil"/>
                    <w:right w:val="nil"/>
                  </w:tcBorders>
                  <w:shd w:val="clear" w:color="auto" w:fill="auto"/>
                  <w:noWrap/>
                  <w:vAlign w:val="bottom"/>
                </w:tcPr>
                <w:p w14:paraId="5CA4581F"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Disagree</w:t>
                  </w:r>
                </w:p>
              </w:tc>
            </w:tr>
            <w:tr w:rsidR="004012FA" w:rsidRPr="004012FA" w14:paraId="70501611" w14:textId="77777777" w:rsidTr="006F6815">
              <w:trPr>
                <w:trHeight w:val="300"/>
              </w:trPr>
              <w:tc>
                <w:tcPr>
                  <w:tcW w:w="2439" w:type="dxa"/>
                  <w:tcBorders>
                    <w:top w:val="nil"/>
                    <w:left w:val="nil"/>
                    <w:bottom w:val="nil"/>
                    <w:right w:val="nil"/>
                  </w:tcBorders>
                  <w:shd w:val="clear" w:color="auto" w:fill="auto"/>
                  <w:noWrap/>
                  <w:vAlign w:val="bottom"/>
                </w:tcPr>
                <w:p w14:paraId="434CB1DC"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Disagree</w:t>
                  </w:r>
                </w:p>
              </w:tc>
            </w:tr>
            <w:tr w:rsidR="004012FA" w:rsidRPr="004012FA" w14:paraId="7607AFCF" w14:textId="77777777" w:rsidTr="006F6815">
              <w:trPr>
                <w:trHeight w:val="300"/>
              </w:trPr>
              <w:tc>
                <w:tcPr>
                  <w:tcW w:w="2439" w:type="dxa"/>
                  <w:tcBorders>
                    <w:top w:val="nil"/>
                    <w:left w:val="nil"/>
                    <w:bottom w:val="nil"/>
                    <w:right w:val="nil"/>
                  </w:tcBorders>
                  <w:shd w:val="clear" w:color="auto" w:fill="auto"/>
                  <w:noWrap/>
                  <w:vAlign w:val="bottom"/>
                </w:tcPr>
                <w:p w14:paraId="4B6B7F83" w14:textId="4371576A" w:rsidR="004012FA" w:rsidRPr="004012FA" w:rsidRDefault="00F56F84" w:rsidP="004012FA">
                  <w:pPr>
                    <w:tabs>
                      <w:tab w:val="left" w:pos="2583"/>
                    </w:tabs>
                    <w:spacing w:afterLines="120" w:after="288" w:line="259" w:lineRule="auto"/>
                    <w:ind w:left="-388"/>
                    <w:jc w:val="center"/>
                    <w:rPr>
                      <w:sz w:val="22"/>
                      <w:szCs w:val="22"/>
                      <w:lang w:val="en-US"/>
                    </w:rPr>
                  </w:pPr>
                  <w:r>
                    <w:rPr>
                      <w:sz w:val="22"/>
                      <w:szCs w:val="22"/>
                      <w:lang w:val="en-US"/>
                    </w:rPr>
                    <w:t>Neutral</w:t>
                  </w:r>
                </w:p>
              </w:tc>
            </w:tr>
          </w:tbl>
          <w:p w14:paraId="1FF095A2" w14:textId="77777777" w:rsidR="004012FA" w:rsidRPr="004012FA" w:rsidRDefault="004012FA" w:rsidP="004012FA">
            <w:pPr>
              <w:spacing w:line="240" w:lineRule="auto"/>
              <w:ind w:left="-388"/>
              <w:rPr>
                <w:sz w:val="22"/>
                <w:szCs w:val="22"/>
                <w:lang w:val="en-US"/>
              </w:rPr>
            </w:pPr>
          </w:p>
        </w:tc>
        <w:tc>
          <w:tcPr>
            <w:tcW w:w="1635" w:type="pct"/>
            <w:gridSpan w:val="2"/>
            <w:tcBorders>
              <w:top w:val="single" w:sz="4" w:space="0" w:color="auto"/>
              <w:left w:val="nil"/>
              <w:right w:val="nil"/>
            </w:tcBorders>
          </w:tcPr>
          <w:tbl>
            <w:tblPr>
              <w:tblW w:w="3420" w:type="dxa"/>
              <w:tblLayout w:type="fixed"/>
              <w:tblLook w:val="04A0" w:firstRow="1" w:lastRow="0" w:firstColumn="1" w:lastColumn="0" w:noHBand="0" w:noVBand="1"/>
            </w:tblPr>
            <w:tblGrid>
              <w:gridCol w:w="3420"/>
            </w:tblGrid>
            <w:tr w:rsidR="004012FA" w:rsidRPr="004012FA" w14:paraId="51F1B288" w14:textId="77777777" w:rsidTr="006F6815">
              <w:trPr>
                <w:trHeight w:val="300"/>
              </w:trPr>
              <w:tc>
                <w:tcPr>
                  <w:tcW w:w="3420" w:type="dxa"/>
                  <w:tcBorders>
                    <w:top w:val="nil"/>
                    <w:left w:val="nil"/>
                    <w:bottom w:val="nil"/>
                    <w:right w:val="nil"/>
                  </w:tcBorders>
                  <w:shd w:val="clear" w:color="auto" w:fill="auto"/>
                  <w:noWrap/>
                  <w:vAlign w:val="bottom"/>
                </w:tcPr>
                <w:p w14:paraId="6BA91E06" w14:textId="77777777" w:rsidR="004012FA" w:rsidRPr="004012FA" w:rsidRDefault="004012FA" w:rsidP="004012FA">
                  <w:pPr>
                    <w:spacing w:afterLines="120" w:after="288" w:line="259" w:lineRule="auto"/>
                    <w:ind w:left="-1241"/>
                    <w:jc w:val="center"/>
                    <w:rPr>
                      <w:sz w:val="22"/>
                      <w:szCs w:val="22"/>
                      <w:lang w:val="en-US"/>
                    </w:rPr>
                  </w:pPr>
                </w:p>
              </w:tc>
            </w:tr>
            <w:tr w:rsidR="004012FA" w:rsidRPr="004012FA" w14:paraId="7AD16B47" w14:textId="77777777" w:rsidTr="006F6815">
              <w:trPr>
                <w:trHeight w:val="300"/>
              </w:trPr>
              <w:tc>
                <w:tcPr>
                  <w:tcW w:w="3420" w:type="dxa"/>
                  <w:tcBorders>
                    <w:top w:val="nil"/>
                    <w:left w:val="nil"/>
                    <w:bottom w:val="nil"/>
                    <w:right w:val="nil"/>
                  </w:tcBorders>
                  <w:shd w:val="clear" w:color="auto" w:fill="auto"/>
                  <w:noWrap/>
                  <w:vAlign w:val="bottom"/>
                </w:tcPr>
                <w:p w14:paraId="405AEA0A" w14:textId="77777777" w:rsidR="004012FA" w:rsidRPr="004012FA" w:rsidRDefault="004012FA" w:rsidP="004012FA">
                  <w:pPr>
                    <w:spacing w:before="200" w:afterLines="120" w:after="288" w:line="259" w:lineRule="auto"/>
                    <w:ind w:left="-1242"/>
                    <w:jc w:val="center"/>
                    <w:rPr>
                      <w:sz w:val="22"/>
                      <w:szCs w:val="22"/>
                      <w:lang w:val="en-US"/>
                    </w:rPr>
                  </w:pPr>
                  <w:r w:rsidRPr="004012FA">
                    <w:rPr>
                      <w:sz w:val="22"/>
                      <w:szCs w:val="22"/>
                      <w:lang w:val="en-US"/>
                    </w:rPr>
                    <w:t>Agree</w:t>
                  </w:r>
                </w:p>
              </w:tc>
            </w:tr>
            <w:tr w:rsidR="004012FA" w:rsidRPr="004012FA" w14:paraId="550DFAE2" w14:textId="77777777" w:rsidTr="006F6815">
              <w:trPr>
                <w:trHeight w:val="300"/>
              </w:trPr>
              <w:tc>
                <w:tcPr>
                  <w:tcW w:w="3420" w:type="dxa"/>
                  <w:tcBorders>
                    <w:top w:val="nil"/>
                    <w:left w:val="nil"/>
                    <w:bottom w:val="nil"/>
                    <w:right w:val="nil"/>
                  </w:tcBorders>
                  <w:shd w:val="clear" w:color="auto" w:fill="auto"/>
                  <w:noWrap/>
                  <w:vAlign w:val="bottom"/>
                </w:tcPr>
                <w:p w14:paraId="4F0D8757"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Agree</w:t>
                  </w:r>
                </w:p>
              </w:tc>
            </w:tr>
            <w:tr w:rsidR="004012FA" w:rsidRPr="004012FA" w14:paraId="0985983C" w14:textId="77777777" w:rsidTr="006F6815">
              <w:trPr>
                <w:trHeight w:val="300"/>
              </w:trPr>
              <w:tc>
                <w:tcPr>
                  <w:tcW w:w="3420" w:type="dxa"/>
                  <w:tcBorders>
                    <w:top w:val="nil"/>
                    <w:left w:val="nil"/>
                    <w:bottom w:val="nil"/>
                    <w:right w:val="nil"/>
                  </w:tcBorders>
                  <w:shd w:val="clear" w:color="auto" w:fill="auto"/>
                  <w:noWrap/>
                  <w:vAlign w:val="bottom"/>
                </w:tcPr>
                <w:p w14:paraId="145E879F"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r w:rsidR="004012FA" w:rsidRPr="004012FA" w14:paraId="2F2F7F06" w14:textId="77777777" w:rsidTr="006F6815">
              <w:trPr>
                <w:trHeight w:val="300"/>
              </w:trPr>
              <w:tc>
                <w:tcPr>
                  <w:tcW w:w="3420" w:type="dxa"/>
                  <w:tcBorders>
                    <w:top w:val="nil"/>
                    <w:left w:val="nil"/>
                    <w:bottom w:val="nil"/>
                    <w:right w:val="nil"/>
                  </w:tcBorders>
                  <w:shd w:val="clear" w:color="auto" w:fill="auto"/>
                  <w:noWrap/>
                  <w:vAlign w:val="bottom"/>
                </w:tcPr>
                <w:p w14:paraId="652DF57C"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r w:rsidR="004012FA" w:rsidRPr="004012FA" w14:paraId="549A8B04" w14:textId="77777777" w:rsidTr="006F6815">
              <w:trPr>
                <w:trHeight w:val="300"/>
              </w:trPr>
              <w:tc>
                <w:tcPr>
                  <w:tcW w:w="3420" w:type="dxa"/>
                  <w:tcBorders>
                    <w:top w:val="nil"/>
                    <w:left w:val="nil"/>
                    <w:bottom w:val="nil"/>
                    <w:right w:val="nil"/>
                  </w:tcBorders>
                  <w:shd w:val="clear" w:color="auto" w:fill="auto"/>
                  <w:noWrap/>
                  <w:vAlign w:val="bottom"/>
                </w:tcPr>
                <w:p w14:paraId="4C28CF03"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bl>
          <w:p w14:paraId="47D40BFE" w14:textId="77777777" w:rsidR="004012FA" w:rsidRPr="004012FA" w:rsidRDefault="004012FA" w:rsidP="004012FA">
            <w:pPr>
              <w:spacing w:line="240" w:lineRule="auto"/>
              <w:rPr>
                <w:sz w:val="22"/>
                <w:szCs w:val="22"/>
                <w:lang w:val="en-US"/>
              </w:rPr>
            </w:pPr>
          </w:p>
        </w:tc>
      </w:tr>
      <w:tr w:rsidR="004012FA" w:rsidRPr="004012FA" w14:paraId="2D9BC91B" w14:textId="77777777" w:rsidTr="00F56F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pct"/>
            <w:gridSpan w:val="2"/>
            <w:tcBorders>
              <w:top w:val="single" w:sz="4" w:space="0" w:color="auto"/>
              <w:left w:val="nil"/>
              <w:right w:val="nil"/>
            </w:tcBorders>
          </w:tcPr>
          <w:p w14:paraId="326C0942" w14:textId="77777777" w:rsidR="004012FA" w:rsidRPr="004012FA" w:rsidRDefault="004012FA" w:rsidP="004012FA">
            <w:pPr>
              <w:spacing w:afterLines="120" w:after="288" w:line="240" w:lineRule="auto"/>
              <w:ind w:right="36"/>
              <w:rPr>
                <w:sz w:val="22"/>
                <w:szCs w:val="22"/>
                <w:lang w:val="en-US"/>
              </w:rPr>
            </w:pPr>
            <w:r w:rsidRPr="004012FA">
              <w:rPr>
                <w:sz w:val="22"/>
                <w:szCs w:val="22"/>
                <w:lang w:val="en-US"/>
              </w:rPr>
              <w:t xml:space="preserve">Technical – Agency is an expert in a given </w:t>
            </w:r>
            <w:proofErr w:type="gramStart"/>
            <w:r w:rsidRPr="004012FA">
              <w:rPr>
                <w:sz w:val="22"/>
                <w:szCs w:val="22"/>
                <w:lang w:val="en-US"/>
              </w:rPr>
              <w:t>sector</w:t>
            </w:r>
            <w:proofErr w:type="gramEnd"/>
          </w:p>
          <w:tbl>
            <w:tblPr>
              <w:tblW w:w="3431" w:type="dxa"/>
              <w:tblLayout w:type="fixed"/>
              <w:tblLook w:val="04A0" w:firstRow="1" w:lastRow="0" w:firstColumn="1" w:lastColumn="0" w:noHBand="0" w:noVBand="1"/>
            </w:tblPr>
            <w:tblGrid>
              <w:gridCol w:w="3431"/>
            </w:tblGrid>
            <w:tr w:rsidR="004012FA" w:rsidRPr="004012FA" w14:paraId="6339DA7E" w14:textId="77777777" w:rsidTr="006F6815">
              <w:trPr>
                <w:trHeight w:val="300"/>
              </w:trPr>
              <w:tc>
                <w:tcPr>
                  <w:tcW w:w="3431" w:type="dxa"/>
                  <w:tcBorders>
                    <w:top w:val="nil"/>
                    <w:left w:val="nil"/>
                    <w:bottom w:val="nil"/>
                    <w:right w:val="nil"/>
                  </w:tcBorders>
                  <w:shd w:val="clear" w:color="auto" w:fill="auto"/>
                  <w:noWrap/>
                  <w:vAlign w:val="bottom"/>
                  <w:hideMark/>
                </w:tcPr>
                <w:p w14:paraId="75AC049C"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SB1</w:t>
                  </w:r>
                </w:p>
              </w:tc>
            </w:tr>
            <w:tr w:rsidR="004012FA" w:rsidRPr="004012FA" w14:paraId="722CD64A" w14:textId="77777777" w:rsidTr="006F6815">
              <w:trPr>
                <w:trHeight w:val="300"/>
              </w:trPr>
              <w:tc>
                <w:tcPr>
                  <w:tcW w:w="3431" w:type="dxa"/>
                  <w:tcBorders>
                    <w:top w:val="nil"/>
                    <w:left w:val="nil"/>
                    <w:bottom w:val="nil"/>
                    <w:right w:val="nil"/>
                  </w:tcBorders>
                  <w:shd w:val="clear" w:color="auto" w:fill="auto"/>
                  <w:noWrap/>
                  <w:vAlign w:val="bottom"/>
                  <w:hideMark/>
                </w:tcPr>
                <w:p w14:paraId="3D7FFD7F"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SB5</w:t>
                  </w:r>
                </w:p>
              </w:tc>
            </w:tr>
            <w:tr w:rsidR="004012FA" w:rsidRPr="004012FA" w14:paraId="6AE8F2BA" w14:textId="77777777" w:rsidTr="006F6815">
              <w:trPr>
                <w:trHeight w:val="300"/>
              </w:trPr>
              <w:tc>
                <w:tcPr>
                  <w:tcW w:w="3431" w:type="dxa"/>
                  <w:tcBorders>
                    <w:top w:val="nil"/>
                    <w:left w:val="nil"/>
                    <w:bottom w:val="nil"/>
                    <w:right w:val="nil"/>
                  </w:tcBorders>
                  <w:shd w:val="clear" w:color="auto" w:fill="auto"/>
                  <w:noWrap/>
                  <w:vAlign w:val="bottom"/>
                  <w:hideMark/>
                </w:tcPr>
                <w:p w14:paraId="3D25B6F7"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SB9</w:t>
                  </w:r>
                </w:p>
              </w:tc>
            </w:tr>
            <w:tr w:rsidR="004012FA" w:rsidRPr="004012FA" w14:paraId="7FF60D68" w14:textId="77777777" w:rsidTr="006F6815">
              <w:trPr>
                <w:trHeight w:val="300"/>
              </w:trPr>
              <w:tc>
                <w:tcPr>
                  <w:tcW w:w="3431" w:type="dxa"/>
                  <w:tcBorders>
                    <w:top w:val="nil"/>
                    <w:left w:val="nil"/>
                    <w:bottom w:val="nil"/>
                    <w:right w:val="nil"/>
                  </w:tcBorders>
                  <w:shd w:val="clear" w:color="auto" w:fill="auto"/>
                  <w:noWrap/>
                  <w:vAlign w:val="bottom"/>
                  <w:hideMark/>
                </w:tcPr>
                <w:p w14:paraId="05B4B0FA"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NSB3</w:t>
                  </w:r>
                </w:p>
              </w:tc>
            </w:tr>
            <w:tr w:rsidR="004012FA" w:rsidRPr="004012FA" w14:paraId="02DE2981" w14:textId="77777777" w:rsidTr="006F6815">
              <w:trPr>
                <w:trHeight w:val="300"/>
              </w:trPr>
              <w:tc>
                <w:tcPr>
                  <w:tcW w:w="3431" w:type="dxa"/>
                  <w:tcBorders>
                    <w:top w:val="nil"/>
                    <w:left w:val="nil"/>
                    <w:bottom w:val="nil"/>
                    <w:right w:val="nil"/>
                  </w:tcBorders>
                  <w:shd w:val="clear" w:color="auto" w:fill="auto"/>
                  <w:noWrap/>
                  <w:vAlign w:val="bottom"/>
                  <w:hideMark/>
                </w:tcPr>
                <w:p w14:paraId="1D6D3D87" w14:textId="77777777" w:rsidR="004012FA" w:rsidRPr="004012FA" w:rsidRDefault="004012FA" w:rsidP="004012FA">
                  <w:pPr>
                    <w:spacing w:afterLines="120" w:after="288" w:line="259" w:lineRule="auto"/>
                    <w:ind w:left="720" w:right="889"/>
                    <w:jc w:val="right"/>
                    <w:rPr>
                      <w:sz w:val="22"/>
                      <w:szCs w:val="22"/>
                      <w:lang w:val="en-US"/>
                    </w:rPr>
                  </w:pPr>
                  <w:r w:rsidRPr="004012FA">
                    <w:rPr>
                      <w:sz w:val="22"/>
                      <w:szCs w:val="22"/>
                      <w:lang w:val="en-US"/>
                    </w:rPr>
                    <w:t>NSB5</w:t>
                  </w:r>
                </w:p>
              </w:tc>
            </w:tr>
          </w:tbl>
          <w:p w14:paraId="1FEAFBF4" w14:textId="77777777" w:rsidR="004012FA" w:rsidRPr="004012FA" w:rsidRDefault="004012FA" w:rsidP="004012FA">
            <w:pPr>
              <w:spacing w:afterLines="120" w:after="288" w:line="240" w:lineRule="auto"/>
              <w:ind w:left="720" w:right="889"/>
              <w:jc w:val="right"/>
              <w:rPr>
                <w:sz w:val="22"/>
                <w:szCs w:val="22"/>
                <w:lang w:val="en-US"/>
              </w:rPr>
            </w:pPr>
          </w:p>
        </w:tc>
        <w:tc>
          <w:tcPr>
            <w:tcW w:w="1673" w:type="pct"/>
            <w:gridSpan w:val="2"/>
            <w:tcBorders>
              <w:top w:val="single" w:sz="4" w:space="0" w:color="auto"/>
              <w:left w:val="nil"/>
              <w:right w:val="nil"/>
            </w:tcBorders>
          </w:tcPr>
          <w:p w14:paraId="14D07B10" w14:textId="77777777" w:rsidR="004012FA" w:rsidRPr="004012FA" w:rsidRDefault="004012FA" w:rsidP="004012FA">
            <w:pPr>
              <w:spacing w:line="240" w:lineRule="auto"/>
              <w:ind w:left="-388"/>
              <w:rPr>
                <w:sz w:val="22"/>
                <w:szCs w:val="22"/>
                <w:lang w:val="en-US"/>
              </w:rPr>
            </w:pPr>
          </w:p>
          <w:tbl>
            <w:tblPr>
              <w:tblW w:w="2439" w:type="dxa"/>
              <w:tblInd w:w="597" w:type="dxa"/>
              <w:tblLayout w:type="fixed"/>
              <w:tblLook w:val="04A0" w:firstRow="1" w:lastRow="0" w:firstColumn="1" w:lastColumn="0" w:noHBand="0" w:noVBand="1"/>
            </w:tblPr>
            <w:tblGrid>
              <w:gridCol w:w="2439"/>
            </w:tblGrid>
            <w:tr w:rsidR="004012FA" w:rsidRPr="004012FA" w14:paraId="38786623" w14:textId="77777777" w:rsidTr="006F6815">
              <w:trPr>
                <w:trHeight w:val="300"/>
              </w:trPr>
              <w:tc>
                <w:tcPr>
                  <w:tcW w:w="2439" w:type="dxa"/>
                  <w:tcBorders>
                    <w:top w:val="nil"/>
                    <w:left w:val="nil"/>
                    <w:bottom w:val="nil"/>
                    <w:right w:val="nil"/>
                  </w:tcBorders>
                  <w:shd w:val="clear" w:color="auto" w:fill="auto"/>
                  <w:noWrap/>
                  <w:vAlign w:val="bottom"/>
                </w:tcPr>
                <w:p w14:paraId="1D0DE0DE" w14:textId="77777777" w:rsidR="004012FA" w:rsidRPr="004012FA" w:rsidRDefault="004012FA" w:rsidP="004012FA">
                  <w:pPr>
                    <w:tabs>
                      <w:tab w:val="left" w:pos="2583"/>
                    </w:tabs>
                    <w:spacing w:before="400" w:afterLines="120" w:after="288" w:line="259" w:lineRule="auto"/>
                    <w:ind w:left="-388"/>
                    <w:jc w:val="center"/>
                    <w:rPr>
                      <w:sz w:val="22"/>
                      <w:szCs w:val="22"/>
                      <w:lang w:val="en-US"/>
                    </w:rPr>
                  </w:pPr>
                  <w:r w:rsidRPr="004012FA">
                    <w:rPr>
                      <w:sz w:val="22"/>
                      <w:szCs w:val="22"/>
                      <w:lang w:val="en-US"/>
                    </w:rPr>
                    <w:t>Agree</w:t>
                  </w:r>
                </w:p>
              </w:tc>
            </w:tr>
            <w:tr w:rsidR="004012FA" w:rsidRPr="004012FA" w14:paraId="72B0B78D" w14:textId="77777777" w:rsidTr="006F6815">
              <w:trPr>
                <w:trHeight w:val="300"/>
              </w:trPr>
              <w:tc>
                <w:tcPr>
                  <w:tcW w:w="2439" w:type="dxa"/>
                  <w:tcBorders>
                    <w:top w:val="nil"/>
                    <w:left w:val="nil"/>
                    <w:bottom w:val="nil"/>
                    <w:right w:val="nil"/>
                  </w:tcBorders>
                  <w:shd w:val="clear" w:color="auto" w:fill="auto"/>
                  <w:noWrap/>
                  <w:vAlign w:val="bottom"/>
                </w:tcPr>
                <w:p w14:paraId="7DF31D1C"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Agree</w:t>
                  </w:r>
                </w:p>
              </w:tc>
            </w:tr>
            <w:tr w:rsidR="004012FA" w:rsidRPr="004012FA" w14:paraId="118672E7" w14:textId="77777777" w:rsidTr="006F6815">
              <w:trPr>
                <w:trHeight w:val="300"/>
              </w:trPr>
              <w:tc>
                <w:tcPr>
                  <w:tcW w:w="2439" w:type="dxa"/>
                  <w:tcBorders>
                    <w:top w:val="nil"/>
                    <w:left w:val="nil"/>
                    <w:bottom w:val="nil"/>
                    <w:right w:val="nil"/>
                  </w:tcBorders>
                  <w:shd w:val="clear" w:color="auto" w:fill="auto"/>
                  <w:noWrap/>
                  <w:vAlign w:val="bottom"/>
                </w:tcPr>
                <w:p w14:paraId="007E8A26"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Strongly agree</w:t>
                  </w:r>
                </w:p>
              </w:tc>
            </w:tr>
            <w:tr w:rsidR="004012FA" w:rsidRPr="004012FA" w14:paraId="163C75A6" w14:textId="77777777" w:rsidTr="006F6815">
              <w:trPr>
                <w:trHeight w:val="300"/>
              </w:trPr>
              <w:tc>
                <w:tcPr>
                  <w:tcW w:w="2439" w:type="dxa"/>
                  <w:tcBorders>
                    <w:top w:val="nil"/>
                    <w:left w:val="nil"/>
                    <w:bottom w:val="nil"/>
                    <w:right w:val="nil"/>
                  </w:tcBorders>
                  <w:shd w:val="clear" w:color="auto" w:fill="auto"/>
                  <w:noWrap/>
                  <w:vAlign w:val="bottom"/>
                </w:tcPr>
                <w:p w14:paraId="6DF2CA01" w14:textId="7E7E5EC1" w:rsidR="004012FA" w:rsidRPr="004012FA" w:rsidRDefault="00F56F84" w:rsidP="004012FA">
                  <w:pPr>
                    <w:tabs>
                      <w:tab w:val="left" w:pos="2583"/>
                    </w:tabs>
                    <w:spacing w:afterLines="120" w:after="288" w:line="259" w:lineRule="auto"/>
                    <w:ind w:left="-388"/>
                    <w:jc w:val="center"/>
                    <w:rPr>
                      <w:sz w:val="22"/>
                      <w:szCs w:val="22"/>
                      <w:lang w:val="en-US"/>
                    </w:rPr>
                  </w:pPr>
                  <w:r>
                    <w:rPr>
                      <w:sz w:val="22"/>
                      <w:szCs w:val="22"/>
                      <w:lang w:val="en-US"/>
                    </w:rPr>
                    <w:t>Neutral</w:t>
                  </w:r>
                </w:p>
              </w:tc>
            </w:tr>
            <w:tr w:rsidR="004012FA" w:rsidRPr="004012FA" w14:paraId="70EEB222" w14:textId="77777777" w:rsidTr="006F6815">
              <w:trPr>
                <w:trHeight w:val="300"/>
              </w:trPr>
              <w:tc>
                <w:tcPr>
                  <w:tcW w:w="2439" w:type="dxa"/>
                  <w:tcBorders>
                    <w:top w:val="nil"/>
                    <w:left w:val="nil"/>
                    <w:bottom w:val="nil"/>
                    <w:right w:val="nil"/>
                  </w:tcBorders>
                  <w:shd w:val="clear" w:color="auto" w:fill="auto"/>
                  <w:noWrap/>
                  <w:vAlign w:val="bottom"/>
                </w:tcPr>
                <w:p w14:paraId="287A251E" w14:textId="77777777" w:rsidR="004012FA" w:rsidRPr="004012FA" w:rsidRDefault="004012FA" w:rsidP="004012FA">
                  <w:pPr>
                    <w:tabs>
                      <w:tab w:val="left" w:pos="2583"/>
                    </w:tabs>
                    <w:spacing w:afterLines="120" w:after="288" w:line="259" w:lineRule="auto"/>
                    <w:ind w:left="-388"/>
                    <w:jc w:val="center"/>
                    <w:rPr>
                      <w:sz w:val="22"/>
                      <w:szCs w:val="22"/>
                      <w:lang w:val="en-US"/>
                    </w:rPr>
                  </w:pPr>
                  <w:r w:rsidRPr="004012FA">
                    <w:rPr>
                      <w:sz w:val="22"/>
                      <w:szCs w:val="22"/>
                      <w:lang w:val="en-US"/>
                    </w:rPr>
                    <w:t>Strongly agree</w:t>
                  </w:r>
                </w:p>
              </w:tc>
            </w:tr>
          </w:tbl>
          <w:p w14:paraId="1034B213" w14:textId="77777777" w:rsidR="004012FA" w:rsidRPr="004012FA" w:rsidRDefault="004012FA" w:rsidP="004012FA">
            <w:pPr>
              <w:tabs>
                <w:tab w:val="left" w:pos="2583"/>
              </w:tabs>
              <w:spacing w:afterLines="120" w:after="288" w:line="240" w:lineRule="auto"/>
              <w:ind w:left="-388" w:right="380"/>
              <w:rPr>
                <w:sz w:val="22"/>
                <w:szCs w:val="22"/>
                <w:lang w:val="en-US"/>
              </w:rPr>
            </w:pPr>
          </w:p>
        </w:tc>
        <w:tc>
          <w:tcPr>
            <w:tcW w:w="1635" w:type="pct"/>
            <w:gridSpan w:val="2"/>
            <w:tcBorders>
              <w:top w:val="single" w:sz="4" w:space="0" w:color="auto"/>
              <w:left w:val="nil"/>
              <w:right w:val="nil"/>
            </w:tcBorders>
          </w:tcPr>
          <w:p w14:paraId="50A02FC9" w14:textId="77777777" w:rsidR="004012FA" w:rsidRPr="004012FA" w:rsidRDefault="004012FA" w:rsidP="004012FA">
            <w:pPr>
              <w:spacing w:line="240" w:lineRule="auto"/>
              <w:rPr>
                <w:sz w:val="22"/>
                <w:szCs w:val="22"/>
                <w:lang w:val="en-US"/>
              </w:rPr>
            </w:pPr>
          </w:p>
          <w:tbl>
            <w:tblPr>
              <w:tblW w:w="3420" w:type="dxa"/>
              <w:tblLayout w:type="fixed"/>
              <w:tblLook w:val="04A0" w:firstRow="1" w:lastRow="0" w:firstColumn="1" w:lastColumn="0" w:noHBand="0" w:noVBand="1"/>
            </w:tblPr>
            <w:tblGrid>
              <w:gridCol w:w="3420"/>
            </w:tblGrid>
            <w:tr w:rsidR="004012FA" w:rsidRPr="004012FA" w14:paraId="7AEF75A7" w14:textId="77777777" w:rsidTr="006F6815">
              <w:trPr>
                <w:trHeight w:val="300"/>
              </w:trPr>
              <w:tc>
                <w:tcPr>
                  <w:tcW w:w="3420" w:type="dxa"/>
                  <w:tcBorders>
                    <w:top w:val="nil"/>
                    <w:left w:val="nil"/>
                    <w:bottom w:val="nil"/>
                    <w:right w:val="nil"/>
                  </w:tcBorders>
                  <w:shd w:val="clear" w:color="auto" w:fill="auto"/>
                  <w:noWrap/>
                  <w:vAlign w:val="bottom"/>
                </w:tcPr>
                <w:p w14:paraId="2C56044B" w14:textId="77777777" w:rsidR="004012FA" w:rsidRPr="004012FA" w:rsidRDefault="004012FA" w:rsidP="004012FA">
                  <w:pPr>
                    <w:tabs>
                      <w:tab w:val="left" w:pos="2583"/>
                    </w:tabs>
                    <w:spacing w:before="400" w:afterLines="120" w:after="288" w:line="259" w:lineRule="auto"/>
                    <w:ind w:left="-1270"/>
                    <w:jc w:val="center"/>
                    <w:rPr>
                      <w:sz w:val="22"/>
                      <w:szCs w:val="22"/>
                      <w:lang w:val="en-US"/>
                    </w:rPr>
                  </w:pPr>
                  <w:r w:rsidRPr="004012FA">
                    <w:rPr>
                      <w:sz w:val="22"/>
                      <w:szCs w:val="22"/>
                      <w:lang w:val="en-US"/>
                    </w:rPr>
                    <w:t>No stated beliefs</w:t>
                  </w:r>
                </w:p>
              </w:tc>
            </w:tr>
            <w:tr w:rsidR="004012FA" w:rsidRPr="004012FA" w14:paraId="3657B26B" w14:textId="77777777" w:rsidTr="006F6815">
              <w:trPr>
                <w:trHeight w:val="300"/>
              </w:trPr>
              <w:tc>
                <w:tcPr>
                  <w:tcW w:w="3420" w:type="dxa"/>
                  <w:tcBorders>
                    <w:top w:val="nil"/>
                    <w:left w:val="nil"/>
                    <w:bottom w:val="nil"/>
                    <w:right w:val="nil"/>
                  </w:tcBorders>
                  <w:shd w:val="clear" w:color="auto" w:fill="auto"/>
                  <w:noWrap/>
                  <w:vAlign w:val="bottom"/>
                </w:tcPr>
                <w:p w14:paraId="4F8181A7"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r w:rsidR="004012FA" w:rsidRPr="004012FA" w14:paraId="74EA1A20" w14:textId="77777777" w:rsidTr="006F6815">
              <w:trPr>
                <w:trHeight w:val="300"/>
              </w:trPr>
              <w:tc>
                <w:tcPr>
                  <w:tcW w:w="3420" w:type="dxa"/>
                  <w:tcBorders>
                    <w:top w:val="nil"/>
                    <w:left w:val="nil"/>
                    <w:bottom w:val="nil"/>
                    <w:right w:val="nil"/>
                  </w:tcBorders>
                  <w:shd w:val="clear" w:color="auto" w:fill="auto"/>
                  <w:noWrap/>
                  <w:vAlign w:val="bottom"/>
                </w:tcPr>
                <w:p w14:paraId="5D64890A"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r w:rsidR="004012FA" w:rsidRPr="004012FA" w14:paraId="1778D139" w14:textId="77777777" w:rsidTr="006F6815">
              <w:trPr>
                <w:trHeight w:val="300"/>
              </w:trPr>
              <w:tc>
                <w:tcPr>
                  <w:tcW w:w="3420" w:type="dxa"/>
                  <w:tcBorders>
                    <w:top w:val="nil"/>
                    <w:left w:val="nil"/>
                    <w:bottom w:val="nil"/>
                    <w:right w:val="nil"/>
                  </w:tcBorders>
                  <w:shd w:val="clear" w:color="auto" w:fill="auto"/>
                  <w:noWrap/>
                  <w:vAlign w:val="bottom"/>
                </w:tcPr>
                <w:p w14:paraId="53F92121"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r w:rsidR="004012FA" w:rsidRPr="004012FA" w14:paraId="28E91315" w14:textId="77777777" w:rsidTr="006F6815">
              <w:trPr>
                <w:trHeight w:val="300"/>
              </w:trPr>
              <w:tc>
                <w:tcPr>
                  <w:tcW w:w="3420" w:type="dxa"/>
                  <w:tcBorders>
                    <w:top w:val="nil"/>
                    <w:left w:val="nil"/>
                    <w:bottom w:val="nil"/>
                    <w:right w:val="nil"/>
                  </w:tcBorders>
                  <w:shd w:val="clear" w:color="auto" w:fill="auto"/>
                  <w:noWrap/>
                  <w:vAlign w:val="bottom"/>
                </w:tcPr>
                <w:p w14:paraId="10FF3035" w14:textId="77777777" w:rsidR="004012FA" w:rsidRPr="004012FA" w:rsidRDefault="004012FA" w:rsidP="004012FA">
                  <w:pPr>
                    <w:spacing w:afterLines="120" w:after="288" w:line="259" w:lineRule="auto"/>
                    <w:ind w:left="-1241"/>
                    <w:jc w:val="center"/>
                    <w:rPr>
                      <w:sz w:val="22"/>
                      <w:szCs w:val="22"/>
                      <w:lang w:val="en-US"/>
                    </w:rPr>
                  </w:pPr>
                  <w:r w:rsidRPr="004012FA">
                    <w:rPr>
                      <w:sz w:val="22"/>
                      <w:szCs w:val="22"/>
                      <w:lang w:val="en-US"/>
                    </w:rPr>
                    <w:t>No stated beliefs</w:t>
                  </w:r>
                </w:p>
              </w:tc>
            </w:tr>
          </w:tbl>
          <w:p w14:paraId="108DDE74" w14:textId="77777777" w:rsidR="004012FA" w:rsidRPr="004012FA" w:rsidRDefault="004012FA" w:rsidP="004012FA">
            <w:pPr>
              <w:spacing w:afterLines="120" w:after="288" w:line="240" w:lineRule="auto"/>
              <w:ind w:left="-1241" w:right="380"/>
              <w:rPr>
                <w:sz w:val="22"/>
                <w:szCs w:val="22"/>
                <w:lang w:val="en-US"/>
              </w:rPr>
            </w:pPr>
          </w:p>
        </w:tc>
      </w:tr>
    </w:tbl>
    <w:p w14:paraId="277629A8" w14:textId="3DEEBEE1" w:rsidR="00D338BA" w:rsidRPr="00FB737D" w:rsidRDefault="00D338BA" w:rsidP="00400352">
      <w:pPr>
        <w:pStyle w:val="Heading2"/>
        <w:rPr>
          <w:lang w:val="en-US"/>
        </w:rPr>
      </w:pPr>
      <w:r w:rsidRPr="00FB737D">
        <w:rPr>
          <w:lang w:val="en-US"/>
        </w:rPr>
        <w:br w:type="page"/>
      </w:r>
      <w:r w:rsidR="00400352">
        <w:rPr>
          <w:lang w:val="en-US"/>
        </w:rPr>
        <w:lastRenderedPageBreak/>
        <w:t xml:space="preserve">III. </w:t>
      </w:r>
      <w:r w:rsidR="00400352" w:rsidRPr="00FB737D">
        <w:rPr>
          <w:lang w:val="en-US"/>
        </w:rPr>
        <w:t>INTERVIEW SCHEDULES</w:t>
      </w:r>
    </w:p>
    <w:p w14:paraId="7B28C91A" w14:textId="77777777" w:rsidR="00D338BA" w:rsidRPr="0044695B" w:rsidRDefault="00D338BA" w:rsidP="00D338BA">
      <w:pPr>
        <w:ind w:right="380"/>
        <w:jc w:val="center"/>
        <w:rPr>
          <w:sz w:val="22"/>
          <w:szCs w:val="22"/>
          <w:lang w:val="en-US"/>
        </w:rPr>
      </w:pPr>
      <w:r w:rsidRPr="0044695B">
        <w:rPr>
          <w:sz w:val="22"/>
          <w:szCs w:val="22"/>
          <w:lang w:val="en-US"/>
        </w:rPr>
        <w:t>UK FINTECH INTERVIEW TOPICS (version for ex-sandbox participants)</w:t>
      </w:r>
    </w:p>
    <w:p w14:paraId="66B7D7B0" w14:textId="77777777" w:rsidR="00D338BA" w:rsidRPr="00FB737D" w:rsidRDefault="00D338BA" w:rsidP="00D338BA">
      <w:pPr>
        <w:spacing w:line="360" w:lineRule="auto"/>
        <w:ind w:right="380"/>
        <w:rPr>
          <w:sz w:val="22"/>
          <w:szCs w:val="22"/>
          <w:lang w:val="en-US"/>
        </w:rPr>
      </w:pPr>
      <w:r w:rsidRPr="00FB737D">
        <w:rPr>
          <w:sz w:val="22"/>
          <w:szCs w:val="22"/>
          <w:lang w:val="en-US"/>
        </w:rPr>
        <w:t>Introduction</w:t>
      </w:r>
    </w:p>
    <w:p w14:paraId="35DA74D9" w14:textId="77777777" w:rsidR="00D338BA" w:rsidRPr="00FB737D" w:rsidRDefault="00D338BA" w:rsidP="00D338BA">
      <w:pPr>
        <w:spacing w:line="360" w:lineRule="auto"/>
        <w:ind w:right="380"/>
        <w:rPr>
          <w:sz w:val="22"/>
          <w:szCs w:val="22"/>
          <w:lang w:val="en-US"/>
        </w:rPr>
      </w:pPr>
      <w:r w:rsidRPr="00FB737D">
        <w:rPr>
          <w:sz w:val="22"/>
          <w:szCs w:val="22"/>
          <w:lang w:val="en-US"/>
        </w:rPr>
        <w:t>Pre-sandbox</w:t>
      </w:r>
    </w:p>
    <w:p w14:paraId="18C1709E" w14:textId="77777777" w:rsidR="00D338BA" w:rsidRPr="00FB737D" w:rsidRDefault="00D338BA" w:rsidP="00D338BA">
      <w:pPr>
        <w:numPr>
          <w:ilvl w:val="1"/>
          <w:numId w:val="2"/>
        </w:numPr>
        <w:spacing w:after="240" w:line="360" w:lineRule="auto"/>
        <w:ind w:right="380"/>
        <w:contextualSpacing/>
        <w:rPr>
          <w:sz w:val="22"/>
          <w:szCs w:val="22"/>
          <w:lang w:val="en-US"/>
        </w:rPr>
      </w:pPr>
      <w:r w:rsidRPr="00FB737D">
        <w:rPr>
          <w:sz w:val="22"/>
          <w:szCs w:val="22"/>
          <w:lang w:val="en-US"/>
        </w:rPr>
        <w:t>Getting started/</w:t>
      </w:r>
      <w:proofErr w:type="gramStart"/>
      <w:r w:rsidRPr="00FB737D">
        <w:rPr>
          <w:sz w:val="22"/>
          <w:szCs w:val="22"/>
          <w:lang w:val="en-US"/>
        </w:rPr>
        <w:t>expectations</w:t>
      </w:r>
      <w:proofErr w:type="gramEnd"/>
    </w:p>
    <w:p w14:paraId="500A1153" w14:textId="77777777" w:rsidR="00D338BA" w:rsidRPr="00FB737D" w:rsidRDefault="00D338BA" w:rsidP="00D338BA">
      <w:pPr>
        <w:numPr>
          <w:ilvl w:val="1"/>
          <w:numId w:val="2"/>
        </w:numPr>
        <w:spacing w:after="240" w:line="360" w:lineRule="auto"/>
        <w:ind w:right="380"/>
        <w:contextualSpacing/>
        <w:rPr>
          <w:sz w:val="22"/>
          <w:szCs w:val="22"/>
          <w:lang w:val="en-US"/>
        </w:rPr>
      </w:pPr>
      <w:r w:rsidRPr="00FB737D">
        <w:rPr>
          <w:sz w:val="22"/>
          <w:szCs w:val="22"/>
          <w:lang w:val="en-US"/>
        </w:rPr>
        <w:t xml:space="preserve">Motivation to apply for </w:t>
      </w:r>
      <w:proofErr w:type="gramStart"/>
      <w:r w:rsidRPr="00FB737D">
        <w:rPr>
          <w:sz w:val="22"/>
          <w:szCs w:val="22"/>
          <w:lang w:val="en-US"/>
        </w:rPr>
        <w:t>sandbox</w:t>
      </w:r>
      <w:proofErr w:type="gramEnd"/>
    </w:p>
    <w:p w14:paraId="2D477246" w14:textId="77777777" w:rsidR="00D338BA" w:rsidRPr="00FB737D" w:rsidRDefault="00D338BA" w:rsidP="00D338BA">
      <w:pPr>
        <w:numPr>
          <w:ilvl w:val="1"/>
          <w:numId w:val="2"/>
        </w:numPr>
        <w:spacing w:after="240" w:line="360" w:lineRule="auto"/>
        <w:ind w:right="380"/>
        <w:contextualSpacing/>
        <w:rPr>
          <w:sz w:val="22"/>
          <w:szCs w:val="22"/>
          <w:lang w:val="en-US"/>
        </w:rPr>
      </w:pPr>
      <w:r w:rsidRPr="00FB737D">
        <w:rPr>
          <w:sz w:val="22"/>
          <w:szCs w:val="22"/>
          <w:lang w:val="en-US"/>
        </w:rPr>
        <w:t>Impressions of the FCA</w:t>
      </w:r>
    </w:p>
    <w:p w14:paraId="28F7A818" w14:textId="77777777" w:rsidR="00D338BA" w:rsidRPr="00FB737D" w:rsidRDefault="00D338BA" w:rsidP="00D338BA">
      <w:pPr>
        <w:numPr>
          <w:ilvl w:val="2"/>
          <w:numId w:val="2"/>
        </w:numPr>
        <w:spacing w:after="240" w:line="360" w:lineRule="auto"/>
        <w:ind w:right="380"/>
        <w:contextualSpacing/>
        <w:rPr>
          <w:sz w:val="22"/>
          <w:szCs w:val="22"/>
          <w:lang w:val="en-US"/>
        </w:rPr>
      </w:pPr>
      <w:r w:rsidRPr="00FB737D">
        <w:rPr>
          <w:sz w:val="22"/>
          <w:szCs w:val="22"/>
          <w:lang w:val="en-US"/>
        </w:rPr>
        <w:t>Worked with before?</w:t>
      </w:r>
    </w:p>
    <w:p w14:paraId="3FF87131" w14:textId="77777777" w:rsidR="00D338BA" w:rsidRPr="00FB737D" w:rsidRDefault="00D338BA" w:rsidP="00D338BA">
      <w:pPr>
        <w:spacing w:line="360" w:lineRule="auto"/>
        <w:ind w:right="380"/>
        <w:rPr>
          <w:sz w:val="22"/>
          <w:szCs w:val="22"/>
          <w:lang w:val="en-US"/>
        </w:rPr>
      </w:pPr>
      <w:r w:rsidRPr="00FB737D">
        <w:rPr>
          <w:sz w:val="22"/>
          <w:szCs w:val="22"/>
          <w:lang w:val="en-US"/>
        </w:rPr>
        <w:t>Sandbox</w:t>
      </w:r>
    </w:p>
    <w:p w14:paraId="391B41CA" w14:textId="77777777" w:rsidR="00D338BA" w:rsidRPr="00FB737D" w:rsidRDefault="00D338BA" w:rsidP="00D338BA">
      <w:pPr>
        <w:numPr>
          <w:ilvl w:val="0"/>
          <w:numId w:val="3"/>
        </w:numPr>
        <w:spacing w:after="240" w:line="360" w:lineRule="auto"/>
        <w:ind w:right="380"/>
        <w:contextualSpacing/>
        <w:rPr>
          <w:sz w:val="22"/>
          <w:szCs w:val="22"/>
          <w:lang w:val="en-US"/>
        </w:rPr>
      </w:pPr>
      <w:r w:rsidRPr="00FB737D">
        <w:rPr>
          <w:sz w:val="22"/>
          <w:szCs w:val="22"/>
          <w:lang w:val="en-US"/>
        </w:rPr>
        <w:t>Process</w:t>
      </w:r>
    </w:p>
    <w:p w14:paraId="65B7A5D1" w14:textId="77777777" w:rsidR="00D338BA" w:rsidRPr="00FB737D" w:rsidRDefault="00D338BA" w:rsidP="00D338BA">
      <w:pPr>
        <w:numPr>
          <w:ilvl w:val="0"/>
          <w:numId w:val="3"/>
        </w:numPr>
        <w:spacing w:after="240" w:line="360" w:lineRule="auto"/>
        <w:ind w:right="380"/>
        <w:contextualSpacing/>
        <w:rPr>
          <w:sz w:val="22"/>
          <w:szCs w:val="22"/>
          <w:lang w:val="en-US"/>
        </w:rPr>
      </w:pPr>
      <w:r w:rsidRPr="00FB737D">
        <w:rPr>
          <w:sz w:val="22"/>
          <w:szCs w:val="22"/>
          <w:lang w:val="en-US"/>
        </w:rPr>
        <w:t>Roles and responsibilities of company and regulator</w:t>
      </w:r>
    </w:p>
    <w:p w14:paraId="51612F0C" w14:textId="77777777" w:rsidR="00D338BA" w:rsidRPr="00FB737D" w:rsidRDefault="00D338BA" w:rsidP="00D338BA">
      <w:pPr>
        <w:numPr>
          <w:ilvl w:val="0"/>
          <w:numId w:val="3"/>
        </w:numPr>
        <w:spacing w:after="240" w:line="360" w:lineRule="auto"/>
        <w:ind w:right="380"/>
        <w:contextualSpacing/>
        <w:rPr>
          <w:sz w:val="22"/>
          <w:szCs w:val="22"/>
          <w:lang w:val="en-US"/>
        </w:rPr>
      </w:pPr>
      <w:r w:rsidRPr="00FB737D">
        <w:rPr>
          <w:sz w:val="22"/>
          <w:szCs w:val="22"/>
          <w:lang w:val="en-US"/>
        </w:rPr>
        <w:t xml:space="preserve">Information sharing and </w:t>
      </w:r>
      <w:proofErr w:type="gramStart"/>
      <w:r w:rsidRPr="00FB737D">
        <w:rPr>
          <w:sz w:val="22"/>
          <w:szCs w:val="22"/>
          <w:lang w:val="en-US"/>
        </w:rPr>
        <w:t>communications</w:t>
      </w:r>
      <w:proofErr w:type="gramEnd"/>
    </w:p>
    <w:p w14:paraId="1856BD52" w14:textId="77777777" w:rsidR="00D338BA" w:rsidRPr="00FB737D" w:rsidRDefault="00D338BA" w:rsidP="00D338BA">
      <w:pPr>
        <w:numPr>
          <w:ilvl w:val="0"/>
          <w:numId w:val="3"/>
        </w:numPr>
        <w:spacing w:after="240" w:line="360" w:lineRule="auto"/>
        <w:ind w:right="380"/>
        <w:contextualSpacing/>
        <w:rPr>
          <w:sz w:val="22"/>
          <w:szCs w:val="22"/>
          <w:lang w:val="en-US"/>
        </w:rPr>
      </w:pPr>
      <w:r w:rsidRPr="00FB737D">
        <w:rPr>
          <w:sz w:val="22"/>
          <w:szCs w:val="22"/>
          <w:lang w:val="en-US"/>
        </w:rPr>
        <w:t>Nature of interactions</w:t>
      </w:r>
    </w:p>
    <w:p w14:paraId="52A9C416" w14:textId="77777777" w:rsidR="00D338BA" w:rsidRPr="00FB737D" w:rsidRDefault="00D338BA" w:rsidP="00D338BA">
      <w:pPr>
        <w:numPr>
          <w:ilvl w:val="0"/>
          <w:numId w:val="3"/>
        </w:numPr>
        <w:spacing w:after="240" w:line="360" w:lineRule="auto"/>
        <w:ind w:right="380"/>
        <w:contextualSpacing/>
        <w:rPr>
          <w:sz w:val="22"/>
          <w:szCs w:val="22"/>
          <w:lang w:val="en-US"/>
        </w:rPr>
      </w:pPr>
      <w:r w:rsidRPr="00FB737D">
        <w:rPr>
          <w:sz w:val="22"/>
          <w:szCs w:val="22"/>
          <w:lang w:val="en-US"/>
        </w:rPr>
        <w:t>Case officer</w:t>
      </w:r>
    </w:p>
    <w:p w14:paraId="55D45CE7" w14:textId="77777777" w:rsidR="00D338BA" w:rsidRPr="00FB737D" w:rsidRDefault="00D338BA" w:rsidP="00D338BA">
      <w:pPr>
        <w:numPr>
          <w:ilvl w:val="0"/>
          <w:numId w:val="3"/>
        </w:numPr>
        <w:spacing w:after="240" w:line="360" w:lineRule="auto"/>
        <w:ind w:right="380"/>
        <w:contextualSpacing/>
        <w:rPr>
          <w:sz w:val="22"/>
          <w:szCs w:val="22"/>
          <w:lang w:val="en-US"/>
        </w:rPr>
      </w:pPr>
      <w:r w:rsidRPr="00FB737D">
        <w:rPr>
          <w:sz w:val="22"/>
          <w:szCs w:val="22"/>
          <w:lang w:val="en-US"/>
        </w:rPr>
        <w:t>How disagreements/issues were handled in testing</w:t>
      </w:r>
    </w:p>
    <w:p w14:paraId="4EFCECBF" w14:textId="77777777" w:rsidR="00D338BA" w:rsidRPr="00FB737D" w:rsidRDefault="00D338BA" w:rsidP="00D338BA">
      <w:pPr>
        <w:numPr>
          <w:ilvl w:val="0"/>
          <w:numId w:val="3"/>
        </w:numPr>
        <w:spacing w:after="240" w:line="360" w:lineRule="auto"/>
        <w:ind w:right="380"/>
        <w:contextualSpacing/>
        <w:rPr>
          <w:sz w:val="22"/>
          <w:szCs w:val="22"/>
          <w:lang w:val="en-US"/>
        </w:rPr>
      </w:pPr>
      <w:proofErr w:type="gramStart"/>
      <w:r w:rsidRPr="00FB737D">
        <w:rPr>
          <w:sz w:val="22"/>
          <w:szCs w:val="22"/>
          <w:lang w:val="en-US"/>
        </w:rPr>
        <w:t>What</w:t>
      </w:r>
      <w:proofErr w:type="gramEnd"/>
      <w:r w:rsidRPr="00FB737D">
        <w:rPr>
          <w:sz w:val="22"/>
          <w:szCs w:val="22"/>
          <w:lang w:val="en-US"/>
        </w:rPr>
        <w:t xml:space="preserve"> you expected?</w:t>
      </w:r>
    </w:p>
    <w:p w14:paraId="58134BA1" w14:textId="77777777" w:rsidR="00D338BA" w:rsidRPr="00FB737D" w:rsidRDefault="00D338BA" w:rsidP="00D338BA">
      <w:pPr>
        <w:spacing w:line="360" w:lineRule="auto"/>
        <w:ind w:left="720" w:right="380"/>
        <w:contextualSpacing/>
        <w:rPr>
          <w:sz w:val="22"/>
          <w:szCs w:val="22"/>
          <w:lang w:val="en-US"/>
        </w:rPr>
      </w:pPr>
    </w:p>
    <w:p w14:paraId="77493D12" w14:textId="77777777" w:rsidR="00D338BA" w:rsidRPr="00FB737D" w:rsidRDefault="00D338BA" w:rsidP="00D338BA">
      <w:pPr>
        <w:spacing w:line="360" w:lineRule="auto"/>
        <w:ind w:right="380"/>
        <w:rPr>
          <w:sz w:val="22"/>
          <w:szCs w:val="22"/>
          <w:lang w:val="en-US"/>
        </w:rPr>
      </w:pPr>
      <w:r w:rsidRPr="00FB737D">
        <w:rPr>
          <w:sz w:val="22"/>
          <w:szCs w:val="22"/>
          <w:lang w:val="en-US"/>
        </w:rPr>
        <w:t>Post-sandbox</w:t>
      </w:r>
    </w:p>
    <w:p w14:paraId="4FB8D6B8" w14:textId="77777777" w:rsidR="00D338BA" w:rsidRPr="00FB737D" w:rsidRDefault="00D338BA" w:rsidP="00D338BA">
      <w:pPr>
        <w:numPr>
          <w:ilvl w:val="0"/>
          <w:numId w:val="4"/>
        </w:numPr>
        <w:spacing w:after="240" w:line="360" w:lineRule="auto"/>
        <w:ind w:right="380"/>
        <w:contextualSpacing/>
        <w:rPr>
          <w:sz w:val="22"/>
          <w:szCs w:val="22"/>
          <w:lang w:val="en-US"/>
        </w:rPr>
      </w:pPr>
      <w:r w:rsidRPr="00FB737D">
        <w:rPr>
          <w:sz w:val="22"/>
          <w:szCs w:val="22"/>
          <w:lang w:val="en-US"/>
        </w:rPr>
        <w:t>Attitudes to regulation</w:t>
      </w:r>
    </w:p>
    <w:p w14:paraId="0112425D" w14:textId="77777777" w:rsidR="00D338BA" w:rsidRPr="00FB737D" w:rsidRDefault="00D338BA" w:rsidP="00D338BA">
      <w:pPr>
        <w:numPr>
          <w:ilvl w:val="0"/>
          <w:numId w:val="5"/>
        </w:numPr>
        <w:spacing w:after="240" w:line="360" w:lineRule="auto"/>
        <w:ind w:right="380"/>
        <w:contextualSpacing/>
        <w:rPr>
          <w:sz w:val="22"/>
          <w:szCs w:val="22"/>
          <w:lang w:val="en-US"/>
        </w:rPr>
      </w:pPr>
      <w:r w:rsidRPr="00FB737D">
        <w:rPr>
          <w:sz w:val="22"/>
          <w:szCs w:val="22"/>
          <w:lang w:val="en-US"/>
        </w:rPr>
        <w:t>Do you find it challenging to comply with the letter of the law?</w:t>
      </w:r>
    </w:p>
    <w:p w14:paraId="3488A461" w14:textId="77777777" w:rsidR="00D338BA" w:rsidRPr="00FB737D" w:rsidRDefault="00D338BA" w:rsidP="00D338BA">
      <w:pPr>
        <w:numPr>
          <w:ilvl w:val="0"/>
          <w:numId w:val="4"/>
        </w:numPr>
        <w:spacing w:after="240" w:line="360" w:lineRule="auto"/>
        <w:ind w:right="380"/>
        <w:contextualSpacing/>
        <w:rPr>
          <w:sz w:val="22"/>
          <w:szCs w:val="22"/>
          <w:lang w:val="en-US"/>
        </w:rPr>
      </w:pPr>
      <w:r w:rsidRPr="00FB737D">
        <w:rPr>
          <w:sz w:val="22"/>
          <w:szCs w:val="22"/>
          <w:lang w:val="en-US"/>
        </w:rPr>
        <w:t>Impressions of the FCA today</w:t>
      </w:r>
    </w:p>
    <w:p w14:paraId="7916F8B9" w14:textId="77777777" w:rsidR="00D338BA" w:rsidRPr="00FB737D" w:rsidRDefault="00D338BA" w:rsidP="00D338BA">
      <w:pPr>
        <w:numPr>
          <w:ilvl w:val="0"/>
          <w:numId w:val="4"/>
        </w:numPr>
        <w:spacing w:after="240" w:line="360" w:lineRule="auto"/>
        <w:ind w:right="380"/>
        <w:contextualSpacing/>
        <w:rPr>
          <w:sz w:val="22"/>
          <w:szCs w:val="22"/>
          <w:lang w:val="en-US"/>
        </w:rPr>
      </w:pPr>
      <w:r w:rsidRPr="00FB737D">
        <w:rPr>
          <w:sz w:val="22"/>
          <w:szCs w:val="22"/>
          <w:lang w:val="en-US"/>
        </w:rPr>
        <w:t>Relationship with FCA today</w:t>
      </w:r>
    </w:p>
    <w:p w14:paraId="0150D499" w14:textId="77777777" w:rsidR="00D338BA" w:rsidRPr="00FB737D" w:rsidRDefault="00D338BA" w:rsidP="00D338BA">
      <w:pPr>
        <w:numPr>
          <w:ilvl w:val="0"/>
          <w:numId w:val="4"/>
        </w:numPr>
        <w:spacing w:after="240" w:line="360" w:lineRule="auto"/>
        <w:ind w:right="380"/>
        <w:contextualSpacing/>
        <w:rPr>
          <w:sz w:val="22"/>
          <w:szCs w:val="22"/>
          <w:lang w:val="en-US"/>
        </w:rPr>
      </w:pPr>
      <w:r w:rsidRPr="00FB737D">
        <w:rPr>
          <w:sz w:val="22"/>
          <w:szCs w:val="22"/>
          <w:lang w:val="en-US"/>
        </w:rPr>
        <w:t>Willing to apply again?</w:t>
      </w:r>
    </w:p>
    <w:p w14:paraId="14F8A55C" w14:textId="77777777" w:rsidR="00D338BA" w:rsidRPr="00FB737D" w:rsidRDefault="00D338BA" w:rsidP="00D338BA">
      <w:pPr>
        <w:numPr>
          <w:ilvl w:val="0"/>
          <w:numId w:val="4"/>
        </w:numPr>
        <w:spacing w:after="240" w:line="360" w:lineRule="auto"/>
        <w:ind w:right="380"/>
        <w:contextualSpacing/>
        <w:rPr>
          <w:sz w:val="22"/>
          <w:szCs w:val="22"/>
          <w:lang w:val="en-US"/>
        </w:rPr>
      </w:pPr>
      <w:r w:rsidRPr="00FB737D">
        <w:rPr>
          <w:sz w:val="22"/>
          <w:szCs w:val="22"/>
          <w:lang w:val="en-US"/>
        </w:rPr>
        <w:t>Anything else to add?</w:t>
      </w:r>
    </w:p>
    <w:p w14:paraId="21EC819B" w14:textId="77777777" w:rsidR="00D338BA" w:rsidRPr="00FB737D" w:rsidRDefault="00D338BA" w:rsidP="00D338BA">
      <w:pPr>
        <w:spacing w:line="360" w:lineRule="auto"/>
        <w:ind w:left="720" w:right="380"/>
        <w:contextualSpacing/>
        <w:rPr>
          <w:sz w:val="22"/>
          <w:szCs w:val="22"/>
          <w:lang w:val="en-US"/>
        </w:rPr>
      </w:pPr>
    </w:p>
    <w:p w14:paraId="0934EBB8" w14:textId="77777777" w:rsidR="00D338BA" w:rsidRPr="00FB737D" w:rsidRDefault="00D338BA" w:rsidP="00D338BA">
      <w:pPr>
        <w:spacing w:line="360" w:lineRule="auto"/>
        <w:ind w:right="380"/>
        <w:rPr>
          <w:sz w:val="22"/>
          <w:szCs w:val="22"/>
          <w:lang w:val="en-US"/>
        </w:rPr>
      </w:pPr>
      <w:r w:rsidRPr="00FB737D">
        <w:rPr>
          <w:sz w:val="22"/>
          <w:szCs w:val="22"/>
          <w:lang w:val="en-US"/>
        </w:rPr>
        <w:t>Conclusion</w:t>
      </w:r>
    </w:p>
    <w:p w14:paraId="4E43A9DA" w14:textId="77777777" w:rsidR="00D338BA" w:rsidRPr="00FB737D" w:rsidRDefault="00D338BA" w:rsidP="00D338BA">
      <w:pPr>
        <w:spacing w:line="259" w:lineRule="auto"/>
        <w:rPr>
          <w:sz w:val="22"/>
          <w:szCs w:val="22"/>
          <w:lang w:val="en-US"/>
        </w:rPr>
      </w:pPr>
      <w:r w:rsidRPr="00FB737D">
        <w:rPr>
          <w:sz w:val="22"/>
          <w:szCs w:val="22"/>
          <w:lang w:val="en-US"/>
        </w:rPr>
        <w:br w:type="page"/>
      </w:r>
    </w:p>
    <w:p w14:paraId="14D7F4A4" w14:textId="77777777" w:rsidR="00D338BA" w:rsidRPr="00FB737D" w:rsidRDefault="00D338BA" w:rsidP="00D338BA">
      <w:pPr>
        <w:spacing w:line="360" w:lineRule="auto"/>
        <w:ind w:right="380"/>
        <w:rPr>
          <w:sz w:val="22"/>
          <w:szCs w:val="22"/>
          <w:lang w:val="en-US"/>
        </w:rPr>
      </w:pPr>
    </w:p>
    <w:p w14:paraId="3BD0EAAE" w14:textId="77777777" w:rsidR="00D338BA" w:rsidRPr="0044695B" w:rsidRDefault="00D338BA" w:rsidP="00D338BA">
      <w:pPr>
        <w:spacing w:line="360" w:lineRule="auto"/>
        <w:ind w:right="380"/>
        <w:jc w:val="center"/>
        <w:rPr>
          <w:sz w:val="22"/>
          <w:szCs w:val="22"/>
          <w:lang w:val="en-US"/>
        </w:rPr>
      </w:pPr>
      <w:r w:rsidRPr="0044695B">
        <w:rPr>
          <w:sz w:val="22"/>
          <w:szCs w:val="22"/>
          <w:lang w:val="en-US"/>
        </w:rPr>
        <w:t>UK FINTECH INTERVIEW TOPICS (version non- sandbox participants)</w:t>
      </w:r>
    </w:p>
    <w:p w14:paraId="58C7EA67" w14:textId="77777777" w:rsidR="00D338BA" w:rsidRPr="00FB737D" w:rsidRDefault="00D338BA" w:rsidP="00D338BA">
      <w:pPr>
        <w:spacing w:line="360" w:lineRule="auto"/>
        <w:ind w:right="380"/>
        <w:rPr>
          <w:sz w:val="22"/>
          <w:szCs w:val="22"/>
          <w:lang w:val="en-US"/>
        </w:rPr>
      </w:pPr>
      <w:r w:rsidRPr="00FB737D">
        <w:rPr>
          <w:sz w:val="22"/>
          <w:szCs w:val="22"/>
          <w:lang w:val="en-US"/>
        </w:rPr>
        <w:t>Introduction</w:t>
      </w:r>
    </w:p>
    <w:p w14:paraId="08785F6B" w14:textId="77777777" w:rsidR="00D338BA" w:rsidRPr="00FB737D" w:rsidRDefault="00D338BA" w:rsidP="00D338BA">
      <w:pPr>
        <w:spacing w:line="360" w:lineRule="auto"/>
        <w:ind w:right="380"/>
        <w:rPr>
          <w:sz w:val="22"/>
          <w:szCs w:val="22"/>
          <w:lang w:val="en-US"/>
        </w:rPr>
      </w:pPr>
      <w:r w:rsidRPr="00FB737D">
        <w:rPr>
          <w:sz w:val="22"/>
          <w:szCs w:val="22"/>
          <w:lang w:val="en-US"/>
        </w:rPr>
        <w:t>Pre-authorization</w:t>
      </w:r>
    </w:p>
    <w:p w14:paraId="0CF131DD" w14:textId="77777777" w:rsidR="00D338BA" w:rsidRPr="00FB737D" w:rsidRDefault="00D338BA" w:rsidP="00D338BA">
      <w:pPr>
        <w:numPr>
          <w:ilvl w:val="1"/>
          <w:numId w:val="6"/>
        </w:numPr>
        <w:spacing w:after="240" w:line="360" w:lineRule="auto"/>
        <w:ind w:right="380"/>
        <w:contextualSpacing/>
        <w:rPr>
          <w:sz w:val="22"/>
          <w:szCs w:val="22"/>
          <w:lang w:val="en-US"/>
        </w:rPr>
      </w:pPr>
      <w:r w:rsidRPr="00FB737D">
        <w:rPr>
          <w:sz w:val="22"/>
          <w:szCs w:val="22"/>
          <w:lang w:val="en-US"/>
        </w:rPr>
        <w:t>Getting started/</w:t>
      </w:r>
      <w:proofErr w:type="gramStart"/>
      <w:r w:rsidRPr="00FB737D">
        <w:rPr>
          <w:sz w:val="22"/>
          <w:szCs w:val="22"/>
          <w:lang w:val="en-US"/>
        </w:rPr>
        <w:t>expectations</w:t>
      </w:r>
      <w:proofErr w:type="gramEnd"/>
    </w:p>
    <w:p w14:paraId="1C12A249" w14:textId="77777777" w:rsidR="00D338BA" w:rsidRPr="00FB737D" w:rsidRDefault="00D338BA" w:rsidP="00D338BA">
      <w:pPr>
        <w:numPr>
          <w:ilvl w:val="2"/>
          <w:numId w:val="6"/>
        </w:numPr>
        <w:spacing w:after="240" w:line="360" w:lineRule="auto"/>
        <w:ind w:right="380"/>
        <w:contextualSpacing/>
        <w:rPr>
          <w:sz w:val="22"/>
          <w:szCs w:val="22"/>
          <w:lang w:val="en-US"/>
        </w:rPr>
      </w:pPr>
      <w:r w:rsidRPr="00FB737D">
        <w:rPr>
          <w:sz w:val="22"/>
          <w:szCs w:val="22"/>
          <w:lang w:val="en-US"/>
        </w:rPr>
        <w:t>Why did you choose this authorization path?</w:t>
      </w:r>
    </w:p>
    <w:p w14:paraId="11E88A70" w14:textId="77777777" w:rsidR="00D338BA" w:rsidRPr="00FB737D" w:rsidRDefault="00D338BA" w:rsidP="00D338BA">
      <w:pPr>
        <w:numPr>
          <w:ilvl w:val="1"/>
          <w:numId w:val="6"/>
        </w:numPr>
        <w:spacing w:after="240" w:line="360" w:lineRule="auto"/>
        <w:ind w:right="380"/>
        <w:contextualSpacing/>
        <w:rPr>
          <w:sz w:val="22"/>
          <w:szCs w:val="22"/>
          <w:lang w:val="en-US"/>
        </w:rPr>
      </w:pPr>
      <w:r w:rsidRPr="00FB737D">
        <w:rPr>
          <w:sz w:val="22"/>
          <w:szCs w:val="22"/>
          <w:lang w:val="en-US"/>
        </w:rPr>
        <w:t>Impressions of the FCA</w:t>
      </w:r>
    </w:p>
    <w:p w14:paraId="21139BD8" w14:textId="77777777" w:rsidR="00D338BA" w:rsidRPr="00FB737D" w:rsidRDefault="00D338BA" w:rsidP="00D338BA">
      <w:pPr>
        <w:numPr>
          <w:ilvl w:val="2"/>
          <w:numId w:val="6"/>
        </w:numPr>
        <w:spacing w:after="240" w:line="360" w:lineRule="auto"/>
        <w:ind w:right="380"/>
        <w:contextualSpacing/>
        <w:rPr>
          <w:sz w:val="22"/>
          <w:szCs w:val="22"/>
          <w:lang w:val="en-US"/>
        </w:rPr>
      </w:pPr>
      <w:r w:rsidRPr="00FB737D">
        <w:rPr>
          <w:sz w:val="22"/>
          <w:szCs w:val="22"/>
          <w:lang w:val="en-US"/>
        </w:rPr>
        <w:t>Worked with before?</w:t>
      </w:r>
    </w:p>
    <w:p w14:paraId="084E66F1" w14:textId="77777777" w:rsidR="00D338BA" w:rsidRPr="00FB737D" w:rsidRDefault="00D338BA" w:rsidP="00D338BA">
      <w:pPr>
        <w:spacing w:line="360" w:lineRule="auto"/>
        <w:ind w:right="380"/>
        <w:rPr>
          <w:sz w:val="22"/>
          <w:szCs w:val="22"/>
          <w:lang w:val="en-US"/>
        </w:rPr>
      </w:pPr>
      <w:r w:rsidRPr="00FB737D">
        <w:rPr>
          <w:sz w:val="22"/>
          <w:szCs w:val="22"/>
          <w:lang w:val="en-US"/>
        </w:rPr>
        <w:t>Authorization (if relevant)</w:t>
      </w:r>
    </w:p>
    <w:p w14:paraId="42CFEB3D" w14:textId="77777777" w:rsidR="00D338BA" w:rsidRPr="00FB737D" w:rsidRDefault="00D338BA" w:rsidP="00D338BA">
      <w:pPr>
        <w:numPr>
          <w:ilvl w:val="0"/>
          <w:numId w:val="7"/>
        </w:numPr>
        <w:spacing w:after="240" w:line="360" w:lineRule="auto"/>
        <w:ind w:right="380"/>
        <w:contextualSpacing/>
        <w:rPr>
          <w:sz w:val="22"/>
          <w:szCs w:val="22"/>
          <w:lang w:val="en-US"/>
        </w:rPr>
      </w:pPr>
      <w:r w:rsidRPr="00FB737D">
        <w:rPr>
          <w:sz w:val="22"/>
          <w:szCs w:val="22"/>
          <w:lang w:val="en-US"/>
        </w:rPr>
        <w:t xml:space="preserve">Process </w:t>
      </w:r>
    </w:p>
    <w:p w14:paraId="3D806C23" w14:textId="77777777" w:rsidR="00D338BA" w:rsidRPr="00FB737D" w:rsidRDefault="00D338BA" w:rsidP="00D338BA">
      <w:pPr>
        <w:numPr>
          <w:ilvl w:val="0"/>
          <w:numId w:val="7"/>
        </w:numPr>
        <w:spacing w:after="240" w:line="360" w:lineRule="auto"/>
        <w:ind w:right="380"/>
        <w:contextualSpacing/>
        <w:rPr>
          <w:sz w:val="22"/>
          <w:szCs w:val="22"/>
          <w:lang w:val="en-US"/>
        </w:rPr>
      </w:pPr>
      <w:r w:rsidRPr="00FB737D">
        <w:rPr>
          <w:sz w:val="22"/>
          <w:szCs w:val="22"/>
          <w:lang w:val="en-US"/>
        </w:rPr>
        <w:t>Roles and responsibilities of company and regulator</w:t>
      </w:r>
    </w:p>
    <w:p w14:paraId="02C1408D" w14:textId="77777777" w:rsidR="00D338BA" w:rsidRPr="00FB737D" w:rsidRDefault="00D338BA" w:rsidP="00D338BA">
      <w:pPr>
        <w:numPr>
          <w:ilvl w:val="0"/>
          <w:numId w:val="7"/>
        </w:numPr>
        <w:spacing w:after="240" w:line="360" w:lineRule="auto"/>
        <w:ind w:right="380"/>
        <w:contextualSpacing/>
        <w:rPr>
          <w:sz w:val="22"/>
          <w:szCs w:val="22"/>
          <w:lang w:val="en-US"/>
        </w:rPr>
      </w:pPr>
      <w:r w:rsidRPr="00FB737D">
        <w:rPr>
          <w:sz w:val="22"/>
          <w:szCs w:val="22"/>
          <w:lang w:val="en-US"/>
        </w:rPr>
        <w:t xml:space="preserve">Information sharing and </w:t>
      </w:r>
      <w:proofErr w:type="gramStart"/>
      <w:r w:rsidRPr="00FB737D">
        <w:rPr>
          <w:sz w:val="22"/>
          <w:szCs w:val="22"/>
          <w:lang w:val="en-US"/>
        </w:rPr>
        <w:t>communications</w:t>
      </w:r>
      <w:proofErr w:type="gramEnd"/>
      <w:r w:rsidRPr="00FB737D">
        <w:rPr>
          <w:sz w:val="22"/>
          <w:szCs w:val="22"/>
          <w:lang w:val="en-US"/>
        </w:rPr>
        <w:t xml:space="preserve"> </w:t>
      </w:r>
    </w:p>
    <w:p w14:paraId="4AD61FCA" w14:textId="77777777" w:rsidR="00D338BA" w:rsidRPr="00FB737D" w:rsidRDefault="00D338BA" w:rsidP="00D338BA">
      <w:pPr>
        <w:numPr>
          <w:ilvl w:val="0"/>
          <w:numId w:val="7"/>
        </w:numPr>
        <w:spacing w:after="240" w:line="360" w:lineRule="auto"/>
        <w:ind w:right="380"/>
        <w:contextualSpacing/>
        <w:rPr>
          <w:sz w:val="22"/>
          <w:szCs w:val="22"/>
          <w:lang w:val="en-US"/>
        </w:rPr>
      </w:pPr>
      <w:r w:rsidRPr="00FB737D">
        <w:rPr>
          <w:sz w:val="22"/>
          <w:szCs w:val="22"/>
          <w:lang w:val="en-US"/>
        </w:rPr>
        <w:t>Nature of interactions</w:t>
      </w:r>
    </w:p>
    <w:p w14:paraId="138E5590" w14:textId="77777777" w:rsidR="00D338BA" w:rsidRPr="00FB737D" w:rsidRDefault="00D338BA" w:rsidP="00D338BA">
      <w:pPr>
        <w:numPr>
          <w:ilvl w:val="0"/>
          <w:numId w:val="7"/>
        </w:numPr>
        <w:spacing w:after="240" w:line="360" w:lineRule="auto"/>
        <w:ind w:right="380"/>
        <w:contextualSpacing/>
        <w:rPr>
          <w:sz w:val="22"/>
          <w:szCs w:val="22"/>
          <w:lang w:val="en-US"/>
        </w:rPr>
      </w:pPr>
      <w:r w:rsidRPr="00FB737D">
        <w:rPr>
          <w:sz w:val="22"/>
          <w:szCs w:val="22"/>
          <w:lang w:val="en-US"/>
        </w:rPr>
        <w:t>How disagreements/issues were handled</w:t>
      </w:r>
    </w:p>
    <w:p w14:paraId="5675433D" w14:textId="77777777" w:rsidR="00D338BA" w:rsidRPr="00FB737D" w:rsidRDefault="00D338BA" w:rsidP="00D338BA">
      <w:pPr>
        <w:numPr>
          <w:ilvl w:val="0"/>
          <w:numId w:val="7"/>
        </w:numPr>
        <w:spacing w:after="240" w:line="360" w:lineRule="auto"/>
        <w:ind w:right="380"/>
        <w:contextualSpacing/>
        <w:rPr>
          <w:sz w:val="22"/>
          <w:szCs w:val="22"/>
          <w:lang w:val="en-US"/>
        </w:rPr>
      </w:pPr>
      <w:proofErr w:type="gramStart"/>
      <w:r w:rsidRPr="00FB737D">
        <w:rPr>
          <w:sz w:val="22"/>
          <w:szCs w:val="22"/>
          <w:lang w:val="en-US"/>
        </w:rPr>
        <w:t>What</w:t>
      </w:r>
      <w:proofErr w:type="gramEnd"/>
      <w:r w:rsidRPr="00FB737D">
        <w:rPr>
          <w:sz w:val="22"/>
          <w:szCs w:val="22"/>
          <w:lang w:val="en-US"/>
        </w:rPr>
        <w:t xml:space="preserve"> you expected?</w:t>
      </w:r>
    </w:p>
    <w:p w14:paraId="6BA15166" w14:textId="77777777" w:rsidR="00D338BA" w:rsidRPr="00FB737D" w:rsidRDefault="00D338BA" w:rsidP="00D338BA">
      <w:pPr>
        <w:numPr>
          <w:ilvl w:val="0"/>
          <w:numId w:val="7"/>
        </w:numPr>
        <w:spacing w:after="240" w:line="360" w:lineRule="auto"/>
        <w:ind w:right="380"/>
        <w:contextualSpacing/>
        <w:rPr>
          <w:sz w:val="22"/>
          <w:szCs w:val="22"/>
          <w:lang w:val="en-US"/>
        </w:rPr>
      </w:pPr>
      <w:r w:rsidRPr="00FB737D">
        <w:rPr>
          <w:sz w:val="22"/>
          <w:szCs w:val="22"/>
          <w:lang w:val="en-US"/>
        </w:rPr>
        <w:t>Motivation to (not) apply for sandbox?</w:t>
      </w:r>
    </w:p>
    <w:p w14:paraId="26BCB8E2" w14:textId="77777777" w:rsidR="00D338BA" w:rsidRPr="00FB737D" w:rsidRDefault="00D338BA" w:rsidP="00D338BA">
      <w:pPr>
        <w:spacing w:line="360" w:lineRule="auto"/>
        <w:ind w:right="380"/>
        <w:rPr>
          <w:sz w:val="22"/>
          <w:szCs w:val="22"/>
          <w:lang w:val="en-US"/>
        </w:rPr>
      </w:pPr>
      <w:r w:rsidRPr="00FB737D">
        <w:rPr>
          <w:sz w:val="22"/>
          <w:szCs w:val="22"/>
          <w:lang w:val="en-US"/>
        </w:rPr>
        <w:t>Post-authorization (if relevant)</w:t>
      </w:r>
    </w:p>
    <w:p w14:paraId="310D6F46" w14:textId="77777777" w:rsidR="00D338BA" w:rsidRPr="00FB737D" w:rsidRDefault="00D338BA" w:rsidP="00D338BA">
      <w:pPr>
        <w:numPr>
          <w:ilvl w:val="0"/>
          <w:numId w:val="8"/>
        </w:numPr>
        <w:spacing w:after="240" w:line="360" w:lineRule="auto"/>
        <w:ind w:right="380"/>
        <w:contextualSpacing/>
        <w:rPr>
          <w:sz w:val="22"/>
          <w:szCs w:val="22"/>
          <w:lang w:val="en-US"/>
        </w:rPr>
      </w:pPr>
      <w:r w:rsidRPr="00FB737D">
        <w:rPr>
          <w:sz w:val="22"/>
          <w:szCs w:val="22"/>
          <w:lang w:val="en-US"/>
        </w:rPr>
        <w:t>Attitudes to regulation</w:t>
      </w:r>
    </w:p>
    <w:p w14:paraId="6B729A9B" w14:textId="77777777" w:rsidR="00D338BA" w:rsidRPr="00FB737D" w:rsidRDefault="00D338BA" w:rsidP="00D338BA">
      <w:pPr>
        <w:numPr>
          <w:ilvl w:val="0"/>
          <w:numId w:val="9"/>
        </w:numPr>
        <w:spacing w:after="240" w:line="360" w:lineRule="auto"/>
        <w:ind w:right="380"/>
        <w:contextualSpacing/>
        <w:rPr>
          <w:sz w:val="22"/>
          <w:szCs w:val="22"/>
          <w:lang w:val="en-US"/>
        </w:rPr>
      </w:pPr>
      <w:r w:rsidRPr="00FB737D">
        <w:rPr>
          <w:sz w:val="22"/>
          <w:szCs w:val="22"/>
          <w:lang w:val="en-US"/>
        </w:rPr>
        <w:t>Do you find it challenging to comply with the letter of the law?</w:t>
      </w:r>
    </w:p>
    <w:p w14:paraId="26A225C5" w14:textId="77777777" w:rsidR="00D338BA" w:rsidRPr="00FB737D" w:rsidRDefault="00D338BA" w:rsidP="00D338BA">
      <w:pPr>
        <w:numPr>
          <w:ilvl w:val="0"/>
          <w:numId w:val="8"/>
        </w:numPr>
        <w:spacing w:after="240" w:line="360" w:lineRule="auto"/>
        <w:ind w:right="380"/>
        <w:contextualSpacing/>
        <w:rPr>
          <w:sz w:val="22"/>
          <w:szCs w:val="22"/>
          <w:lang w:val="en-US"/>
        </w:rPr>
      </w:pPr>
      <w:r w:rsidRPr="00FB737D">
        <w:rPr>
          <w:sz w:val="22"/>
          <w:szCs w:val="22"/>
          <w:lang w:val="en-US"/>
        </w:rPr>
        <w:t>Impressions of the FCA today?</w:t>
      </w:r>
    </w:p>
    <w:p w14:paraId="358FBAFA" w14:textId="77777777" w:rsidR="00D338BA" w:rsidRPr="00FB737D" w:rsidRDefault="00D338BA" w:rsidP="00D338BA">
      <w:pPr>
        <w:numPr>
          <w:ilvl w:val="0"/>
          <w:numId w:val="8"/>
        </w:numPr>
        <w:spacing w:after="240" w:line="360" w:lineRule="auto"/>
        <w:ind w:right="380"/>
        <w:contextualSpacing/>
        <w:rPr>
          <w:sz w:val="22"/>
          <w:szCs w:val="22"/>
          <w:lang w:val="en-US"/>
        </w:rPr>
      </w:pPr>
      <w:r w:rsidRPr="00FB737D">
        <w:rPr>
          <w:sz w:val="22"/>
          <w:szCs w:val="22"/>
          <w:lang w:val="en-US"/>
        </w:rPr>
        <w:t>Relationship with FCA today?</w:t>
      </w:r>
    </w:p>
    <w:p w14:paraId="6604DC70" w14:textId="77777777" w:rsidR="00D338BA" w:rsidRPr="00FB737D" w:rsidRDefault="00D338BA" w:rsidP="00D338BA">
      <w:pPr>
        <w:numPr>
          <w:ilvl w:val="0"/>
          <w:numId w:val="8"/>
        </w:numPr>
        <w:spacing w:after="240" w:line="360" w:lineRule="auto"/>
        <w:ind w:right="380"/>
        <w:contextualSpacing/>
        <w:rPr>
          <w:sz w:val="22"/>
          <w:szCs w:val="22"/>
          <w:lang w:val="en-US"/>
        </w:rPr>
      </w:pPr>
      <w:r w:rsidRPr="00FB737D">
        <w:rPr>
          <w:sz w:val="22"/>
          <w:szCs w:val="22"/>
          <w:lang w:val="en-US"/>
        </w:rPr>
        <w:t>Anything else to add?</w:t>
      </w:r>
    </w:p>
    <w:p w14:paraId="6389A9CC" w14:textId="77777777" w:rsidR="00D338BA" w:rsidRPr="00FB737D" w:rsidRDefault="00D338BA" w:rsidP="00D338BA">
      <w:pPr>
        <w:spacing w:line="360" w:lineRule="auto"/>
        <w:ind w:left="720" w:right="380"/>
        <w:contextualSpacing/>
        <w:rPr>
          <w:sz w:val="22"/>
          <w:szCs w:val="22"/>
          <w:lang w:val="en-US"/>
        </w:rPr>
      </w:pPr>
    </w:p>
    <w:p w14:paraId="13A1B80B" w14:textId="0C512013" w:rsidR="00760831" w:rsidRDefault="00D338BA" w:rsidP="00795C88">
      <w:pPr>
        <w:spacing w:line="360" w:lineRule="auto"/>
        <w:ind w:right="380"/>
        <w:rPr>
          <w:lang w:val="en-US"/>
        </w:rPr>
      </w:pPr>
      <w:r w:rsidRPr="00FB737D">
        <w:rPr>
          <w:sz w:val="22"/>
          <w:szCs w:val="22"/>
          <w:lang w:val="en-US"/>
        </w:rPr>
        <w:t>Conclusion</w:t>
      </w:r>
    </w:p>
    <w:sectPr w:rsidR="00760831" w:rsidSect="00571FD2">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1699" w14:textId="77777777" w:rsidR="007E4438" w:rsidRDefault="007E4438" w:rsidP="00A579AA">
      <w:r>
        <w:separator/>
      </w:r>
    </w:p>
  </w:endnote>
  <w:endnote w:type="continuationSeparator" w:id="0">
    <w:p w14:paraId="2EA8B101" w14:textId="77777777" w:rsidR="007E4438" w:rsidRDefault="007E4438" w:rsidP="00A5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073359"/>
      <w:docPartObj>
        <w:docPartGallery w:val="Page Numbers (Bottom of Page)"/>
        <w:docPartUnique/>
      </w:docPartObj>
    </w:sdtPr>
    <w:sdtEndPr>
      <w:rPr>
        <w:noProof/>
      </w:rPr>
    </w:sdtEndPr>
    <w:sdtContent>
      <w:p w14:paraId="7AC3C667" w14:textId="546CE7C8" w:rsidR="00E06758" w:rsidRDefault="00E067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DC2D90" w14:textId="77777777" w:rsidR="00E06758" w:rsidRDefault="00E0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4778" w14:textId="77777777" w:rsidR="007E4438" w:rsidRDefault="007E4438" w:rsidP="00A579AA">
      <w:r>
        <w:separator/>
      </w:r>
    </w:p>
  </w:footnote>
  <w:footnote w:type="continuationSeparator" w:id="0">
    <w:p w14:paraId="16C32944" w14:textId="77777777" w:rsidR="007E4438" w:rsidRDefault="007E4438" w:rsidP="00A579AA">
      <w:r>
        <w:continuationSeparator/>
      </w:r>
    </w:p>
  </w:footnote>
  <w:footnote w:id="1">
    <w:p w14:paraId="05ED44A0" w14:textId="7F0D1786" w:rsidR="00795C88" w:rsidRDefault="00795C88">
      <w:pPr>
        <w:pStyle w:val="FootnoteText"/>
      </w:pPr>
      <w:r w:rsidRPr="00B2206F">
        <w:rPr>
          <w:rStyle w:val="FootnoteReference"/>
        </w:rPr>
        <w:footnoteRef/>
      </w:r>
      <w:r>
        <w:t xml:space="preserve"> </w:t>
      </w:r>
      <w:r w:rsidRPr="0044695B">
        <w:rPr>
          <w:lang w:val="en-US"/>
        </w:rPr>
        <w:fldChar w:fldCharType="begin"/>
      </w:r>
      <w:r w:rsidR="00F56F84">
        <w:rPr>
          <w:lang w:val="en-US"/>
        </w:rPr>
        <w:instrText xml:space="preserve"> ADDIN ZOTERO_ITEM CSL_CITATION {"citationID":"JbQPQiAD","properties":{"formattedCitation":"(n 68).","plainCitation":"(n 68).","noteIndex":125},"citationItems":[{"id":79,"uris":["http://zotero.org/users/7218282/items/N6DKU4HG"],"uri":["http://zotero.org/users/7218282/items/N6DKU4HG"],"itemData":{"id":79,"type":"article-journal","abstract":"Despite growing interest in bureaucratic reputation as a theoretical construct, the field lacks a standardized measure that can be used in surveys to capture individual-level variation in the reputation judgments of citizens and other audiences. The aim of this article, therefore, is to develop a standardized, individual-level measure of bureaucratic reputation based on the conceptual definition provided by Carpenter (). Employing feedback from experts and data from a survey of over 300 U.S. citizens, this article develops and tests a unidimensional scale of bureaucratic reputation, representing the content domains of performance, morality, procedural fairness, technical competence, and general reputation. Results suggest that our proposed bureaucratic reputation scale (BRS) has good internal reliability and that it is positively associated with support for autonomy, budget, and power, which provides evidence of criterion validity. Potential uses of the scale to study bureaucratic reputation are discussed.","container-title":"Governance","DOI":"https://doi.org/10.1111/gove.12371","ISSN":"1468-0491","issue":"1","language":"en","note":"_eprint: https://onlinelibrary.wiley.com/doi/pdf/10.1111/gove.12371","page":"177-192","source":"Wiley Online Library","title":"Measuring bureaucratic reputation: Scale development and validation","title-short":"Measuring bureaucratic reputation","volume":"32","author":[{"family":"Lee","given":"Danbee"},{"family":"Ryzin","given":"Gregg G. Van"}],"issued":{"date-parts":[["2019"]]}},"suppress-author":true}],"schema":"https://github.com/citation-style-language/schema/raw/master/csl-citation.json"} </w:instrText>
      </w:r>
      <w:r w:rsidRPr="0044695B">
        <w:rPr>
          <w:lang w:val="en-US"/>
        </w:rPr>
        <w:fldChar w:fldCharType="separate"/>
      </w:r>
      <w:r w:rsidR="00F56F84" w:rsidRPr="00F56F84">
        <w:t>(n 68).</w:t>
      </w:r>
      <w:r w:rsidRPr="0044695B">
        <w:rPr>
          <w:lang w:val="en-US"/>
        </w:rPr>
        <w:fldChar w:fldCharType="end"/>
      </w:r>
    </w:p>
  </w:footnote>
  <w:footnote w:id="2">
    <w:p w14:paraId="3FDBD211" w14:textId="7F82A78B" w:rsidR="00B2206F" w:rsidRDefault="00B2206F">
      <w:pPr>
        <w:pStyle w:val="FootnoteText"/>
      </w:pPr>
      <w:r>
        <w:rPr>
          <w:rStyle w:val="FootnoteReference"/>
        </w:rPr>
        <w:footnoteRef/>
      </w:r>
      <w:r>
        <w:t xml:space="preserve"> </w:t>
      </w:r>
      <w:r>
        <w:fldChar w:fldCharType="begin"/>
      </w:r>
      <w:r>
        <w:instrText xml:space="preserve"> ADDIN ZOTERO_ITEM CSL_CITATION {"citationID":"h5Mz8pkM","properties":{"formattedCitation":"Nielsen and Parker (n 83).","plainCitation":"Nielsen and Parker (n 83).","noteIndex":126},"citationItems":[{"id":63,"uris":["http://zotero.org/users/7218282/items/2EWWVFG9"],"uri":["http://zotero.org/users/7218282/items/2EWWVFG9"],"itemData":{"id":63,"type":"article-journal","abstract":"The policy ideals of responsive regulation have been developed on the basis of substantial empirical evidence. The overall formulation of responsive regulation theory itself, however, has rarely been empirically tested. This article sets out the theoretical concept of responsive regulation in the context of business regulation enforcement and discusses how we might operationalize and empirically measure it. We develop two alternative theoretical interpretations of responsive regulatory enforcement: “tit for tat” responsive regulation and “restorative justice” responsive regulation. We then measure business firms' perceptions of the reactions and counter-reactions of a regulatory enforcement agency throughout the investigation and enforcement process. We find little evidence of tit for tat responsiveness actually occurring in practice. To the extent that tit for tat responsiveness does exist, we find a small amount of evidence that it has the hypothesized effects on behavior but not on attitudes. We find clearer evidence of restorative justice responsiveness having the hypothesized effects on attitudes but not on behavior.","container-title":"Regulation &amp; Governance","DOI":"https://doi.org/10.1111/j.1748-5991.2009.01064.x","ISSN":"1748-5991","issue":"4","language":"en","note":"_eprint: https://onlinelibrary.wiley.com/doi/pdf/10.1111/j.1748-5991.2009.01064.x","page":"376-399","source":"Wiley Online Library","title":"Testing responsive regulation in regulatory enforcement","volume":"3","author":[{"family":"Nielsen","given":"Vibeke Lehmann"},{"family":"Parker","given":"Christine"}],"issued":{"date-parts":[["2009"]]}}}],"schema":"https://github.com/citation-style-language/schema/raw/master/csl-citation.json"} </w:instrText>
      </w:r>
      <w:r>
        <w:fldChar w:fldCharType="separate"/>
      </w:r>
      <w:r w:rsidRPr="00B2206F">
        <w:t>Nielsen and Parker (n 83).</w:t>
      </w:r>
      <w:r>
        <w:fldChar w:fldCharType="end"/>
      </w:r>
    </w:p>
  </w:footnote>
  <w:footnote w:id="3">
    <w:p w14:paraId="40116FBE" w14:textId="1A150154" w:rsidR="00B2206F" w:rsidRDefault="00B2206F">
      <w:pPr>
        <w:pStyle w:val="FootnoteText"/>
      </w:pPr>
      <w:r>
        <w:rPr>
          <w:rStyle w:val="FootnoteReference"/>
        </w:rPr>
        <w:footnoteRef/>
      </w:r>
      <w:r>
        <w:t xml:space="preserve"> </w:t>
      </w:r>
      <w:r>
        <w:fldChar w:fldCharType="begin"/>
      </w:r>
      <w:r>
        <w:instrText xml:space="preserve"> ADDIN ZOTERO_ITEM CSL_CITATION {"citationID":"gFi5N3JZ","properties":{"formattedCitation":"A Graham Peace, Dennis F Galletta and James YL Thong, \\uc0\\u8216{}Software Piracy in the Workplace: A Model and Empirical Test\\uc0\\u8217{} (2003) 20 Journal of Management Information Systems 153.","plainCitation":"A Graham Peace, Dennis F Galletta and James YL Thong, ‘Software Piracy in the Workplace: A Model and Empirical Test’ (2003) 20 Journal of Management Information Systems 153.","noteIndex":127},"citationItems":[{"id":43,"uris":["http://zotero.org/users/7218282/items/HH846BYF"],"uri":["http://zotero.org/users/7218282/items/HH846BYF"],"itemData":{"id":43,"type":"article-journal","abstract":"Theft of software and other intellectual property has become one of the most visible problems in computing today. This paper details the development and empirical validation of a model of software piracy by individuals in the workplace. The model was developed from the results of prior research into software piracy, and the reference disciplines of the theory of planned behavior, expected utility theory, and deterrence theory. A survey of 201 respondents was used to test the model. The results indicate that individual attitudes, subjective norms, and perceived behavioral control are significant precursors to the intention to illegally copy software. In addition, punishment severity, punishment certainty, and software cost have direct effects on the individual's attitude toward software piracy, whereas punishment certainty has a significant effect on perceived behavioral control. Consequently, strategies to reduce software piracy should focus on these factors. The results add to a growing stream of information systems research into illegal software copying behavior and have significant implications for organizations and industry groups aiming to reduce software piracy.","container-title":"Journal of Management Information Systems","DOI":"10.1080/07421222.2003.11045759","ISSN":"0742-1222","issue":"1","note":"publisher: Routledge\n_eprint: https://doi.org/10.1080/07421222.2003.11045759","page":"153-177","source":"Taylor and Francis+NEJM","title":"Software Piracy in the Workplace: A Model and Empirical Test","title-short":"Software Piracy in the Workplace","volume":"20","author":[{"family":"Peace","given":"A. Graham"},{"family":"Galletta","given":"Dennis F."},{"family":"Thong","given":"James Y. L."}],"issued":{"date-parts":[["2003",7,1]]}}}],"schema":"https://github.com/citation-style-language/schema/raw/master/csl-citation.json"} </w:instrText>
      </w:r>
      <w:r>
        <w:fldChar w:fldCharType="separate"/>
      </w:r>
      <w:r w:rsidRPr="00B2206F">
        <w:rPr>
          <w:szCs w:val="24"/>
        </w:rPr>
        <w:t>A Graham Peace, Dennis F Galletta and James YL Thong, ‘Software Piracy in the Workplace: A Model and Empirical Test’ (2003) 20 Journal of Management Information Systems 153.</w:t>
      </w:r>
      <w:r>
        <w:fldChar w:fldCharType="end"/>
      </w:r>
    </w:p>
  </w:footnote>
  <w:footnote w:id="4">
    <w:p w14:paraId="53D6390A" w14:textId="18D2ADF4" w:rsidR="00B2206F" w:rsidRDefault="00B2206F">
      <w:pPr>
        <w:pStyle w:val="FootnoteText"/>
      </w:pPr>
      <w:r>
        <w:rPr>
          <w:rStyle w:val="FootnoteReference"/>
        </w:rPr>
        <w:footnoteRef/>
      </w:r>
      <w:r>
        <w:t xml:space="preserve"> </w:t>
      </w:r>
      <w:r>
        <w:fldChar w:fldCharType="begin"/>
      </w:r>
      <w:r>
        <w:instrText xml:space="preserve"> ADDIN ZOTERO_ITEM CSL_CITATION {"citationID":"niJFdAXb","properties":{"formattedCitation":"Peter J May and Robert S Wood, \\uc0\\u8216{}At the Regulatory Front Lines: Inspectors\\uc0\\u8217{} Enforcement Styles and Regulatory Compliance\\uc0\\u8217{} (2003) 13 Journal of Public Administration Research and Theory 117.","plainCitation":"Peter J May and Robert S Wood, ‘At the Regulatory Front Lines: Inspectors’ Enforcement Styles and Regulatory Compliance’ (2003) 13 Journal of Public Administration Research and Theory 117.","noteIndex":128},"citationItems":[{"id":71,"uris":["http://zotero.org/users/7218282/items/AA8ASPUC"],"uri":["http://zotero.org/users/7218282/items/AA8ASPUC"],"itemData":{"id":71,"type":"article-journal","abstract":"This study contributes to the understanding of how those street‐level bureaucrats who are at the front lines of regulatory enforcement help to bring about compliance with regulations. Hypotheses concerning the impact of inspectors' differing enforcement styles on compliance are examined for data concerning municipal enforcement of building codes. Building inspectors vary in their day‐to‐day style of interaction with homebuilders with respect to facilitation—how helpful and supportive they are—and with respect to formalism—how rigid and picky they are. We fail to find a direct effect of differing enforcement styles on compliance. However, enforcement styles influence homebuilders' knowledge of rules and the degree of cooperation between homebuilders and inspectors. We attribute the limited impact of enforcement style to inconsistencies in inspection that tend to immunize homebuilders to stylistic differences among inspectors. This suggests a downside to “responsive regulation” as a preferred mode of regulatory enforcement: such inconsistencies undermine regulatees' understanding of rules and the development of shared expectations concerning compliance.","container-title":"Journal of Public Administration Research and Theory","DOI":"10.1093/jpart/mug014","ISSN":"1053-1858","issue":"2","journalAbbreviation":"Journal of Public Administration Research and Theory","page":"117-139","source":"Silverchair","title":"At the Regulatory Front Lines: Inspectors' Enforcement Styles and Regulatory Compliance","title-short":"At the Regulatory Front Lines","volume":"13","author":[{"family":"May","given":"Peter J."},{"family":"Wood","given":"Robert S."}],"issued":{"date-parts":[["2003",4,1]]}}}],"schema":"https://github.com/citation-style-language/schema/raw/master/csl-citation.json"} </w:instrText>
      </w:r>
      <w:r>
        <w:fldChar w:fldCharType="separate"/>
      </w:r>
      <w:r w:rsidRPr="00B2206F">
        <w:rPr>
          <w:szCs w:val="24"/>
        </w:rPr>
        <w:t>Peter J May and Robert S Wood, ‘At the Regulatory Front Lines: Inspectors’ Enforcement Styles and Regulatory Compliance’ (2003) 13 Journal of Public Administration Research and Theory 117.</w:t>
      </w:r>
      <w:r>
        <w:fldChar w:fldCharType="end"/>
      </w:r>
    </w:p>
  </w:footnote>
  <w:footnote w:id="5">
    <w:p w14:paraId="11855B86" w14:textId="7D200888" w:rsidR="00B2206F" w:rsidRDefault="00B2206F">
      <w:pPr>
        <w:pStyle w:val="FootnoteText"/>
      </w:pPr>
      <w:r>
        <w:rPr>
          <w:rStyle w:val="FootnoteReference"/>
        </w:rPr>
        <w:footnoteRef/>
      </w:r>
      <w:r>
        <w:t xml:space="preserve"> </w:t>
      </w:r>
      <w:r>
        <w:fldChar w:fldCharType="begin"/>
      </w:r>
      <w:r>
        <w:instrText xml:space="preserve"> ADDIN ZOTERO_ITEM CSL_CITATION {"citationID":"Yu2KUMTa","properties":{"formattedCitation":"Lee and Ryzin (n 68).","plainCitation":"Lee and Ryzin (n 68).","noteIndex":129},"citationItems":[{"id":79,"uris":["http://zotero.org/users/7218282/items/N6DKU4HG"],"uri":["http://zotero.org/users/7218282/items/N6DKU4HG"],"itemData":{"id":79,"type":"article-journal","abstract":"Despite growing interest in bureaucratic reputation as a theoretical construct, the field lacks a standardized measure that can be used in surveys to capture individual-level variation in the reputation judgments of citizens and other audiences. The aim of this article, therefore, is to develop a standardized, individual-level measure of bureaucratic reputation based on the conceptual definition provided by Carpenter (). Employing feedback from experts and data from a survey of over 300 U.S. citizens, this article develops and tests a unidimensional scale of bureaucratic reputation, representing the content domains of performance, morality, procedural fairness, technical competence, and general reputation. Results suggest that our proposed bureaucratic reputation scale (BRS) has good internal reliability and that it is positively associated with support for autonomy, budget, and power, which provides evidence of criterion validity. Potential uses of the scale to study bureaucratic reputation are discussed.","container-title":"Governance","DOI":"https://doi.org/10.1111/gove.12371","ISSN":"1468-0491","issue":"1","language":"en","note":"_eprint: https://onlinelibrary.wiley.com/doi/pdf/10.1111/gove.12371","page":"177-192","source":"Wiley Online Library","title":"Measuring bureaucratic reputation: Scale development and validation","title-short":"Measuring bureaucratic reputation","volume":"32","author":[{"family":"Lee","given":"Danbee"},{"family":"Ryzin","given":"Gregg G. Van"}],"issued":{"date-parts":[["2019"]]}}}],"schema":"https://github.com/citation-style-language/schema/raw/master/csl-citation.json"} </w:instrText>
      </w:r>
      <w:r>
        <w:fldChar w:fldCharType="separate"/>
      </w:r>
      <w:r w:rsidRPr="00B2206F">
        <w:t>Lee and Ryzin (n 68).</w:t>
      </w:r>
      <w:r>
        <w:fldChar w:fldCharType="end"/>
      </w:r>
    </w:p>
  </w:footnote>
  <w:footnote w:id="6">
    <w:p w14:paraId="4E9D67AD" w14:textId="5000F96A" w:rsidR="00B2206F" w:rsidRDefault="00B2206F">
      <w:pPr>
        <w:pStyle w:val="FootnoteText"/>
      </w:pPr>
      <w:r>
        <w:rPr>
          <w:rStyle w:val="FootnoteReference"/>
        </w:rPr>
        <w:footnoteRef/>
      </w:r>
      <w:r>
        <w:t xml:space="preserve"> </w:t>
      </w:r>
      <w:r>
        <w:fldChar w:fldCharType="begin"/>
      </w:r>
      <w:r>
        <w:instrText xml:space="preserve"> ADDIN ZOTERO_ITEM CSL_CITATION {"citationID":"AWzJuKf3","properties":{"formattedCitation":"May and Wood (n 128).","plainCitation":"May and Wood (n 128).","noteIndex":130},"citationItems":[{"id":71,"uris":["http://zotero.org/users/7218282/items/AA8ASPUC"],"uri":["http://zotero.org/users/7218282/items/AA8ASPUC"],"itemData":{"id":71,"type":"article-journal","abstract":"This study contributes to the understanding of how those street‐level bureaucrats who are at the front lines of regulatory enforcement help to bring about compliance with regulations. Hypotheses concerning the impact of inspectors' differing enforcement styles on compliance are examined for data concerning municipal enforcement of building codes. Building inspectors vary in their day‐to‐day style of interaction with homebuilders with respect to facilitation—how helpful and supportive they are—and with respect to formalism—how rigid and picky they are. We fail to find a direct effect of differing enforcement styles on compliance. However, enforcement styles influence homebuilders' knowledge of rules and the degree of cooperation between homebuilders and inspectors. We attribute the limited impact of enforcement style to inconsistencies in inspection that tend to immunize homebuilders to stylistic differences among inspectors. This suggests a downside to “responsive regulation” as a preferred mode of regulatory enforcement: such inconsistencies undermine regulatees' understanding of rules and the development of shared expectations concerning compliance.","container-title":"Journal of Public Administration Research and Theory","DOI":"10.1093/jpart/mug014","ISSN":"1053-1858","issue":"2","journalAbbreviation":"Journal of Public Administration Research and Theory","page":"117-139","source":"Silverchair","title":"At the Regulatory Front Lines: Inspectors' Enforcement Styles and Regulatory Compliance","title-short":"At the Regulatory Front Lines","volume":"13","author":[{"family":"May","given":"Peter J."},{"family":"Wood","given":"Robert S."}],"issued":{"date-parts":[["2003",4,1]]}}}],"schema":"https://github.com/citation-style-language/schema/raw/master/csl-citation.json"} </w:instrText>
      </w:r>
      <w:r>
        <w:fldChar w:fldCharType="separate"/>
      </w:r>
      <w:r w:rsidRPr="00B2206F">
        <w:t>May and Wood (n 128).</w:t>
      </w:r>
      <w:r>
        <w:fldChar w:fldCharType="end"/>
      </w:r>
    </w:p>
  </w:footnote>
  <w:footnote w:id="7">
    <w:p w14:paraId="1022AACB" w14:textId="77777777" w:rsidR="00B2206F" w:rsidRDefault="00B2206F" w:rsidP="00B2206F">
      <w:pPr>
        <w:pStyle w:val="FootnoteText"/>
      </w:pPr>
      <w:r>
        <w:rPr>
          <w:rStyle w:val="FootnoteReference"/>
        </w:rPr>
        <w:footnoteRef/>
      </w:r>
      <w:r>
        <w:t xml:space="preserve"> </w:t>
      </w:r>
      <w:r>
        <w:fldChar w:fldCharType="begin"/>
      </w:r>
      <w:r>
        <w:instrText xml:space="preserve"> ADDIN ZOTERO_ITEM CSL_CITATION {"citationID":"Yu2KUMTa","properties":{"formattedCitation":"Lee and Ryzin (n 68).","plainCitation":"Lee and Ryzin (n 68).","noteIndex":129},"citationItems":[{"id":79,"uris":["http://zotero.org/users/7218282/items/N6DKU4HG"],"uri":["http://zotero.org/users/7218282/items/N6DKU4HG"],"itemData":{"id":79,"type":"article-journal","abstract":"Despite growing interest in bureaucratic reputation as a theoretical construct, the field lacks a standardized measure that can be used in surveys to capture individual-level variation in the reputation judgments of citizens and other audiences. The aim of this article, therefore, is to develop a standardized, individual-level measure of bureaucratic reputation based on the conceptual definition provided by Carpenter (). Employing feedback from experts and data from a survey of over 300 U.S. citizens, this article develops and tests a unidimensional scale of bureaucratic reputation, representing the content domains of performance, morality, procedural fairness, technical competence, and general reputation. Results suggest that our proposed bureaucratic reputation scale (BRS) has good internal reliability and that it is positively associated with support for autonomy, budget, and power, which provides evidence of criterion validity. Potential uses of the scale to study bureaucratic reputation are discussed.","container-title":"Governance","DOI":"https://doi.org/10.1111/gove.12371","ISSN":"1468-0491","issue":"1","language":"en","note":"_eprint: https://onlinelibrary.wiley.com/doi/pdf/10.1111/gove.12371","page":"177-192","source":"Wiley Online Library","title":"Measuring bureaucratic reputation: Scale development and validation","title-short":"Measuring bureaucratic reputation","volume":"32","author":[{"family":"Lee","given":"Danbee"},{"family":"Ryzin","given":"Gregg G. Van"}],"issued":{"date-parts":[["2019"]]}}}],"schema":"https://github.com/citation-style-language/schema/raw/master/csl-citation.json"} </w:instrText>
      </w:r>
      <w:r>
        <w:fldChar w:fldCharType="separate"/>
      </w:r>
      <w:r w:rsidRPr="00B2206F">
        <w:t>Lee and Ryzin (n 68).</w:t>
      </w:r>
      <w:r>
        <w:fldChar w:fldCharType="end"/>
      </w:r>
    </w:p>
  </w:footnote>
  <w:footnote w:id="8">
    <w:p w14:paraId="44785336" w14:textId="0C241E69" w:rsidR="00FE3C2F" w:rsidRDefault="00FE3C2F">
      <w:pPr>
        <w:pStyle w:val="FootnoteText"/>
      </w:pPr>
      <w:r w:rsidRPr="00B2206F">
        <w:rPr>
          <w:rStyle w:val="FootnoteReference"/>
        </w:rPr>
        <w:footnoteRef/>
      </w:r>
      <w:r>
        <w:t xml:space="preserve"> </w:t>
      </w:r>
      <w:r>
        <w:fldChar w:fldCharType="begin"/>
      </w:r>
      <w:r w:rsidR="00B2206F">
        <w:instrText xml:space="preserve"> ADDIN ZOTERO_ITEM CSL_CITATION {"citationID":"VIr38yWv","properties":{"formattedCitation":"Huiqi Yan, Benjamin van Rooij and Jeroen van der Heijden, \\uc0\\u8216{}Contextual Compliance: Situational and Subjective Cost-Benefit Decisions about Pesticides by Chinese Farmers\\uc0\\u8217{} (2015) 37 Law &amp; Policy 240.","plainCitation":"Huiqi Yan, Benjamin van Rooij and Jeroen van der Heijden, ‘Contextual Compliance: Situational and Subjective Cost-Benefit Decisions about Pesticides by Chinese Farmers’ (2015) 37 Law &amp; Policy 240.","noteIndex":131},"citationItems":[{"id":6,"uris":["http://zotero.org/users/7218282/items/GGNSZTNP"],"uri":["http://zotero.org/users/7218282/items/GGNSZTNP"],"itemData":{"id":6,"type":"article-journal","abstract":"This article analyzes how cost-benefit calculation influences compliance with pesticide regulation by Chinese farmers. Building on a study including 150 farmers and experts, it studies how operational costs and benefits and deterrence affect compliance. Moreover, it studies what variation in cost-benefit perceptions there are with different types of rules, farms, and villages. It finds that, in this context, cost-benefit calculation matters for compliance; with operational costs and benefits being more clearly related to compliant behavior than deterrence. It highlights that perceptions about costs and benefits are situational and vary along the type of legal rule and the type of regulated actor. It also shows that such perceptions are individually subjective, as even with similar rules and similar types of actors, perceptions vary. The paper concludes by stating expectations on how the situational and subjective nature of cost-benefit calculation can inform regulators seeking to enhance compliance.","container-title":"Law &amp; Policy","DOI":"https://doi.org/10.1111/lapo.12035","ISSN":"1467-9930","issue":"3","language":"en","note":"_eprint: https://onlinelibrary.wiley.com/doi/pdf/10.1111/lapo.12035","page":"240-263","source":"Wiley Online Library","title":"Contextual Compliance: Situational and Subjective Cost-Benefit Decisions about Pesticides by Chinese Farmers","title-short":"Contextual Compliance","volume":"37","author":[{"family":"Yan","given":"Huiqi"},{"family":"Rooij","given":"Benjamin","dropping-particle":"van"},{"family":"Heijden","given":"Jeroen","dropping-particle":"van der"}],"issued":{"date-parts":[["2015"]]}}}],"schema":"https://github.com/citation-style-language/schema/raw/master/csl-citation.json"} </w:instrText>
      </w:r>
      <w:r>
        <w:fldChar w:fldCharType="separate"/>
      </w:r>
      <w:r w:rsidRPr="00FE3C2F">
        <w:rPr>
          <w:szCs w:val="24"/>
        </w:rPr>
        <w:t>Huiqi Yan, Benjamin van Rooij and Jeroen van der Heijden, ‘Contextual Compliance: Situational and Subjective Cost-Benefit Decisions about Pesticides by Chinese Farmers’ (2015) 37 Law &amp; Policy 240.</w:t>
      </w:r>
      <w:r>
        <w:fldChar w:fldCharType="end"/>
      </w:r>
    </w:p>
  </w:footnote>
  <w:footnote w:id="9">
    <w:p w14:paraId="3E28E7F7" w14:textId="69083F68" w:rsidR="00FE3C2F" w:rsidRDefault="00FE3C2F">
      <w:pPr>
        <w:pStyle w:val="FootnoteText"/>
      </w:pPr>
      <w:r w:rsidRPr="00B2206F">
        <w:rPr>
          <w:rStyle w:val="FootnoteReference"/>
        </w:rPr>
        <w:footnoteRef/>
      </w:r>
      <w:r>
        <w:t xml:space="preserve"> </w:t>
      </w:r>
      <w:r>
        <w:fldChar w:fldCharType="begin"/>
      </w:r>
      <w:r w:rsidR="00B2206F">
        <w:instrText xml:space="preserve"> ADDIN ZOTERO_ITEM CSL_CITATION {"citationID":"oqojRdNR","properties":{"formattedCitation":"Kilkon Ko, John Mendeloff and Wayne Gray, \\uc0\\u8216{}The Role of Inspection Sequence in Compliance with the US Occupational Safety and Health Administration\\uc0\\u8217{}s (OSHA) Standards: Interpretations and Implications\\uc0\\u8217{} (2010) 4 Regulation &amp; Governance 48; Gunningham, Thornton and Kagan (n 78); F Corneliussen, \\uc0\\u8216{}Justifying Non-Compliance. A Case Study of Norwegian Biotech Firm\\uc0\\u8217{} (London School of Economics and Political Science Centre for Analysis of Risk and Regulation 2004).","plainCitation":"Kilkon Ko, John Mendeloff and Wayne Gray, ‘The Role of Inspection Sequence in Compliance with the US Occupational Safety and Health Administration’s (OSHA) Standards: Interpretations and Implications’ (2010) 4 Regulation &amp; Governance 48; Gunningham, Thornton and Kagan (n 78); F Corneliussen, ‘Justifying Non-Compliance. A Case Study of Norwegian Biotech Firm’ (London School of Economics and Political Science Centre for Analysis of Risk and Regulation 2004).","noteIndex":132},"citationItems":[{"id":84,"uris":["http://zotero.org/users/7218282/items/9Y8YUU5E"],"uri":["http://zotero.org/users/7218282/items/9Y8YUU5E"],"itemData":{"id":84,"type":"article-journal","abstract":"We examined the Occupational Safety and Health Administration's (OSHA) inspections in the US to identify the effects of repeated inspections and the time between inspections on non-compliance. Our sample included 549,398 inspections conducted from 1972 through 2006 in manufacturing plants in the 29 states where federal OSHA enforces the law. We controlled for inspection type, industry, establishment size, and year. The number of total violations cited fell by 28%–48% from the first to the second inspection; after that, the numbers declined much more slowly. These effects were found in every one of the four sub-periods examined. The number of violations cited increased with each additional year since the prior inspection after controlling for other variables; however, the increases were small, totaling approximately 15% over five years. OSHA should probably give higher priority to first time inspections than to repeated inspections. The current requirement that at least two years elapse between planned inspections should probably be lengthened.","container-title":"Regulation &amp; Governance","DOI":"https://doi.org/10.1111/j.1748-5991.2010.01070.x","ISSN":"1748-5991","issue":"1","language":"en","note":"_eprint: https://onlinelibrary.wiley.com/doi/pdf/10.1111/j.1748-5991.2010.01070.x","page":"48-70","source":"Wiley Online Library","title":"The role of inspection sequence in compliance with the US Occupational Safety and Health Administration's (OSHA) standards: Interpretations and implications","title-short":"The role of inspection sequence in compliance with the US Occupational Safety and Health Administration's (OSHA) standards","volume":"4","author":[{"family":"Ko","given":"Kilkon"},{"family":"Mendeloff","given":"John"},{"family":"Gray","given":"Wayne"}],"issued":{"date-parts":[["2010"]]}}},{"id":92,"uris":["http://zotero.org/users/7218282/items/FMKRA7G3"],"uri":["http://zotero.org/users/7218282/items/FMKRA7G3"],"itemData":{"id":92,"type":"article-journal","abstract":"Based on interviews with facility managers in the electroplating and chemical industries, this study examines regulated firms’ perceptions of how various instrumental, normative, and social factors motivated their firms’ environmental actions. We found that “implicit general deterrence” (the overall effect of sustained inspection and enforcement activity) was far more important than either specific or general deterrence, and that deterrence in any form was of far greater concern to small and medium-sized enterprises than it was to large ones. Most reputation-sensitive firms in the environmentally sensitive chemical industry chose to go substantially beyond compliance for reasons that related to risk management and to the perceived need to protect their social license to operate. Almost half our respondents also provided normative explanations for why they complied. Overall, we conclude that there are various, often interwoven, strands that must be taken into account in understanding what motivates corporate environmental behavior, and how they play out depends very much on the size and sophistication of companies themselves and on the characteristics of the industry sector within which they are located.","container-title":"Law &amp; Policy","DOI":"https://doi.org/10.1111/j.1467-9930.2005.00201.x","ISSN":"1467-9930","issue":"2","language":"en","note":"_eprint: https://onlinelibrary.wiley.com/doi/pdf/10.1111/j.1467-9930.2005.00201.x","page":"289-316","source":"Wiley Online Library","title":"Motivating Management: Corporate Compliance in Environmental Protection*","title-short":"Motivating Management","volume":"27","author":[{"family":"Gunningham","given":"Neil A."},{"family":"Thornton","given":"Dorothy"},{"family":"Kagan","given":"Robert A."}],"issued":{"date-parts":[["2005"]]}}},{"id":210,"uris":["http://zotero.org/users/7218282/items/YNLWS9M5"],"uri":["http://zotero.org/users/7218282/items/YNLWS9M5"],"itemData":{"id":210,"type":"paper-conference","event":"CARR Discussion Papers","event-place":"London, UK","publisher":"London School of Economics and Political Science Centre for Analysis of Risk and Regulation","publisher-place":"London, UK","title":"Justifying Non-Compliance. A Case Study of Norwegian Biotech Firm","volume":"DP 20","author":[{"family":"Corneliussen","given":"F"}],"issued":{"date-parts":[["2004"]]}}}],"schema":"https://github.com/citation-style-language/schema/raw/master/csl-citation.json"} </w:instrText>
      </w:r>
      <w:r>
        <w:fldChar w:fldCharType="separate"/>
      </w:r>
      <w:r w:rsidRPr="00FE3C2F">
        <w:rPr>
          <w:szCs w:val="24"/>
        </w:rPr>
        <w:t>Kilkon Ko, John Mendeloff and Wayne Gray, ‘The Role of Inspection Sequence in Compliance with the US Occupational Safety and Health Administration’s (OSHA) Standards: Interpretations and Implications’ (2010) 4 Regulation &amp; Governance 48; Gunningham, Thornton and Kagan (n 78); F Corneliussen, ‘Justifying Non-Compliance. A Case Study of Norwegian Biotech Firm’ (London School of Economics and Political Science Centre for Analysis of Risk and Regulation 2004).</w:t>
      </w:r>
      <w:r>
        <w:fldChar w:fldCharType="end"/>
      </w:r>
    </w:p>
  </w:footnote>
  <w:footnote w:id="10">
    <w:p w14:paraId="3E1BA4FF" w14:textId="467E11EF" w:rsidR="00FE3C2F" w:rsidRDefault="00FE3C2F">
      <w:pPr>
        <w:pStyle w:val="FootnoteText"/>
      </w:pPr>
      <w:r w:rsidRPr="00B2206F">
        <w:rPr>
          <w:rStyle w:val="FootnoteReference"/>
        </w:rPr>
        <w:footnoteRef/>
      </w:r>
      <w:r>
        <w:t xml:space="preserve"> </w:t>
      </w:r>
      <w:r>
        <w:fldChar w:fldCharType="begin"/>
      </w:r>
      <w:r w:rsidR="00B2206F">
        <w:instrText xml:space="preserve"> ADDIN ZOTERO_ITEM CSL_CITATION {"citationID":"Ajh7NUSl","properties":{"formattedCitation":"Yan, Rooij and Heijden (n 131); R Kent Weaver, \\uc0\\u8216{}Getting People to Behave: Research Lessons for Policy Makers\\uc0\\u8217{} (2015) 75 Public Administration Review 806.","plainCitation":"Yan, Rooij and Heijden (n 131); R Kent Weaver, ‘Getting People to Behave: Research Lessons for Policy Makers’ (2015) 75 Public Administration Review 806.","noteIndex":133},"citationItems":[{"id":6,"uris":["http://zotero.org/users/7218282/items/GGNSZTNP"],"uri":["http://zotero.org/users/7218282/items/GGNSZTNP"],"itemData":{"id":6,"type":"article-journal","abstract":"This article analyzes how cost-benefit calculation influences compliance with pesticide regulation by Chinese farmers. Building on a study including 150 farmers and experts, it studies how operational costs and benefits and deterrence affect compliance. Moreover, it studies what variation in cost-benefit perceptions there are with different types of rules, farms, and villages. It finds that, in this context, cost-benefit calculation matters for compliance; with operational costs and benefits being more clearly related to compliant behavior than deterrence. It highlights that perceptions about costs and benefits are situational and vary along the type of legal rule and the type of regulated actor. It also shows that such perceptions are individually subjective, as even with similar rules and similar types of actors, perceptions vary. The paper concludes by stating expectations on how the situational and subjective nature of cost-benefit calculation can inform regulators seeking to enhance compliance.","container-title":"Law &amp; Policy","DOI":"https://doi.org/10.1111/lapo.12035","ISSN":"1467-9930","issue":"3","language":"en","note":"_eprint: https://onlinelibrary.wiley.com/doi/pdf/10.1111/lapo.12035","page":"240-263","source":"Wiley Online Library","title":"Contextual Compliance: Situational and Subjective Cost-Benefit Decisions about Pesticides by Chinese Farmers","title-short":"Contextual Compliance","volume":"37","author":[{"family":"Yan","given":"Huiqi"},{"family":"Rooij","given":"Benjamin","dropping-particle":"van"},{"family":"Heijden","given":"Jeroen","dropping-particle":"van der"}],"issued":{"date-parts":[["2015"]]}}},{"id":12,"uris":["http://zotero.org/users/7218282/items/ZBF9PA3H"],"uri":["http://zotero.org/users/7218282/items/ZBF9PA3H"],"itemData":{"id":12,"type":"article-journal","abstract":"Many government policies attempt to change the behavior of individuals and businesses. This article argues that policy makers and administrators should (1) think comprehensively about the barriers that may keep target populations from complying with government policies, (2) match policy instruments to the most important barriers that inhibit compliance, and (3) take into account heterogeneity within the target population. Relatively nonintrusive strategies such as social marketing, providing resources to targets to help them comply, and manipulating options and defaults (choice architecture) are politically attractive but unlikely to secure compliance when incentives for noncompliance are high. Based on the three basic principles outlined in the article, the author recommends strategies to increase compliance, including the use of leverage points and secondary targets, adjusting for unanticipated behavioral responses, and employing long-term, multiphase strategic management of behavior change initiatives.","container-title":"Public Administration Review","DOI":"https://doi.org/10.1111/puar.12412","ISSN":"1540-6210","issue":"6","language":"en","note":"_eprint: https://onlinelibrary.wiley.com/doi/pdf/10.1111/puar.12412","page":"806-816","source":"Wiley Online Library","title":"Getting People to Behave: Research Lessons for Policy Makers","title-short":"Getting People to Behave","volume":"75","author":[{"family":"Weaver","given":"R. Kent"}],"issued":{"date-parts":[["2015"]]}}}],"schema":"https://github.com/citation-style-language/schema/raw/master/csl-citation.json"} </w:instrText>
      </w:r>
      <w:r>
        <w:fldChar w:fldCharType="separate"/>
      </w:r>
      <w:r w:rsidR="00B2206F" w:rsidRPr="00B2206F">
        <w:rPr>
          <w:szCs w:val="24"/>
        </w:rPr>
        <w:t>Yan, Rooij and Heijden (n 131); R Kent Weaver, ‘Getting People to Behave: Research Lessons for Policy Makers’ (2015) 75 Public Administration Review 806.</w:t>
      </w:r>
      <w:r>
        <w:fldChar w:fldCharType="end"/>
      </w:r>
    </w:p>
  </w:footnote>
  <w:footnote w:id="11">
    <w:p w14:paraId="624388B6" w14:textId="0A6964F1" w:rsidR="00FE3C2F" w:rsidRDefault="00FE3C2F">
      <w:pPr>
        <w:pStyle w:val="FootnoteText"/>
      </w:pPr>
      <w:r w:rsidRPr="00B2206F">
        <w:rPr>
          <w:rStyle w:val="FootnoteReference"/>
        </w:rPr>
        <w:footnoteRef/>
      </w:r>
      <w:r>
        <w:t xml:space="preserve"> </w:t>
      </w:r>
      <w:r>
        <w:fldChar w:fldCharType="begin"/>
      </w:r>
      <w:r w:rsidR="00B2206F">
        <w:instrText xml:space="preserve"> ADDIN ZOTERO_ITEM CSL_CITATION {"citationID":"5BLb0B94","properties":{"formattedCitation":"Yan, Rooij and Heijden (n 131).","plainCitation":"Yan, Rooij and Heijden (n 131).","noteIndex":134},"citationItems":[{"id":6,"uris":["http://zotero.org/users/7218282/items/GGNSZTNP"],"uri":["http://zotero.org/users/7218282/items/GGNSZTNP"],"itemData":{"id":6,"type":"article-journal","abstract":"This article analyzes how cost-benefit calculation influences compliance with pesticide regulation by Chinese farmers. Building on a study including 150 farmers and experts, it studies how operational costs and benefits and deterrence affect compliance. Moreover, it studies what variation in cost-benefit perceptions there are with different types of rules, farms, and villages. It finds that, in this context, cost-benefit calculation matters for compliance; with operational costs and benefits being more clearly related to compliant behavior than deterrence. It highlights that perceptions about costs and benefits are situational and vary along the type of legal rule and the type of regulated actor. It also shows that such perceptions are individually subjective, as even with similar rules and similar types of actors, perceptions vary. The paper concludes by stating expectations on how the situational and subjective nature of cost-benefit calculation can inform regulators seeking to enhance compliance.","container-title":"Law &amp; Policy","DOI":"https://doi.org/10.1111/lapo.12035","ISSN":"1467-9930","issue":"3","language":"en","note":"_eprint: https://onlinelibrary.wiley.com/doi/pdf/10.1111/lapo.12035","page":"240-263","source":"Wiley Online Library","title":"Contextual Compliance: Situational and Subjective Cost-Benefit Decisions about Pesticides by Chinese Farmers","title-short":"Contextual Compliance","volume":"37","author":[{"family":"Yan","given":"Huiqi"},{"family":"Rooij","given":"Benjamin","dropping-particle":"van"},{"family":"Heijden","given":"Jeroen","dropping-particle":"van der"}],"issued":{"date-parts":[["2015"]]}}}],"schema":"https://github.com/citation-style-language/schema/raw/master/csl-citation.json"} </w:instrText>
      </w:r>
      <w:r>
        <w:fldChar w:fldCharType="separate"/>
      </w:r>
      <w:r w:rsidR="00B2206F" w:rsidRPr="00B2206F">
        <w:t>Yan, Rooij and Heijden (n 131).</w:t>
      </w:r>
      <w:r>
        <w:fldChar w:fldCharType="end"/>
      </w:r>
    </w:p>
  </w:footnote>
  <w:footnote w:id="12">
    <w:p w14:paraId="687BFC97" w14:textId="5C72AD0D" w:rsidR="00FE3C2F" w:rsidRDefault="00FE3C2F">
      <w:pPr>
        <w:pStyle w:val="FootnoteText"/>
      </w:pPr>
      <w:r w:rsidRPr="00B2206F">
        <w:rPr>
          <w:rStyle w:val="FootnoteReference"/>
        </w:rPr>
        <w:footnoteRef/>
      </w:r>
      <w:r>
        <w:t xml:space="preserve"> </w:t>
      </w:r>
      <w:r>
        <w:fldChar w:fldCharType="begin"/>
      </w:r>
      <w:r w:rsidR="00B2206F">
        <w:instrText xml:space="preserve"> ADDIN ZOTERO_ITEM CSL_CITATION {"citationID":"ajgUoReU","properties":{"formattedCitation":"Erich Kirchler and others, \\uc0\\u8216{}Why Pay Taxes? A Review of Tax Compliance Decisions\\uc0\\u8217{} (International Center for Public Policy, Andrew Young School of Policy Studies, Georgia State University 2007) paper0730 &lt;https://ideas.repec.org/p/ays/ispwps/paper0730.html&gt; accessed 7 December 2020; Lin Mei Tan and Valerie Braithwaite, \\uc0\\u8216{}Motivations for Tax Compliance: The Case of Small Business Taxpayers in New Zealand\\uc0\\u8217{} (Social Science Research Network 2018) SSRN Scholarly Paper ID 3215528 &lt;https://papers.ssrn.com/abstract=3215528&gt; accessed 7 December 2020; Peter J May, \\uc0\\u8216{}Compliance Motivations: Perspectives of Farmers, Homebuilders, and Marine Facilities*\\uc0\\u8217{} (2005) 27 Law &amp; Policy 317.","plainCitation":"Erich Kirchler and others, ‘Why Pay Taxes? A Review of Tax Compliance Decisions’ (International Center for Public Policy, Andrew Young School of Policy Studies, Georgia State University 2007) paper0730 &lt;https://ideas.repec.org/p/ays/ispwps/paper0730.html&gt; accessed 7 December 2020; Lin Mei Tan and Valerie Braithwaite, ‘Motivations for Tax Compliance: The Case of Small Business Taxpayers in New Zealand’ (Social Science Research Network 2018) SSRN Scholarly Paper ID 3215528 &lt;https://papers.ssrn.com/abstract=3215528&gt; accessed 7 December 2020; Peter J May, ‘Compliance Motivations: Perspectives of Farmers, Homebuilders, and Marine Facilities*’ (2005) 27 Law &amp; Policy 317.","noteIndex":135},"citationItems":[{"id":87,"uris":["http://zotero.org/users/7218282/items/7N9QB76I"],"uri":["http://zotero.org/users/7218282/items/7N9QB76I"],"itemData":{"id":87,"type":"report","abstract":"Since the standard model of income tax evasion (Allingham &amp; Sandmo, 1972; Srinivasan, 1973) was published, much research has tested its four parameters (level of actual income, tax rate, audit probability, penalty rate) for empirical validity. Surveys, laboratory experiments and analysis of aggregate data revealed ambiguous evidence for the model’s behavioral implications. The present article reviews these studies and concludes that compliance decisions can only partly be explained by the rational choice approach. We suggest that depending on the climate in a society, compliance stems from two different factors. In a climate of distrust, high power of authorities is needed to enforce tax compliance and increasing fines and audit probabilities may be an effective tax policy. In a climate where taxpayers trust the authorities of their state, however, other variables gain in importance. Knowledge, attitudes, moral appeals, fairness and democracy may lead to voluntary compliance. In this case, draconian fines and intrusive audits can take unintentional effects and would corrupt tax morale.","collection-title":"International Center for Public Policy Working Paper Series, at AYSPS, GSU","language":"en","note":"container-title: International Center for Public Policy Working Paper Series, at AYSPS, GSU","number":"paper0730","publisher":"International Center for Public Policy, Andrew Young School of Policy Studies, Georgia State University","source":"ideas.repec.org","title":"Why Pay Taxes? A Review of Tax Compliance Decisions","title-short":"Why Pay Taxes?","URL":"https://ideas.repec.org/p/ays/ispwps/paper0730.html","author":[{"family":"Kirchler","given":"Erich"},{"family":"Muehlbacher","given":"Stephan"},{"family":"Kastlunger","given":"Barbara"},{"family":"Wahl","given":"Ingrid"}],"accessed":{"date-parts":[["2020",12,7]]},"issued":{"date-parts":[["2007",12,1]]}}},{"id":23,"uris":["http://zotero.org/users/7218282/items/LZ5LCXJA"],"uri":["http://zotero.org/users/7218282/items/LZ5LCXJA"],"itemData":{"id":23,"type":"report","abstract":"This study investigates small business taxpayers’ psychological and social disposition towards taxation based on the motivational postures framework. Our findings show that small business taxpayers can adopt more than one posture towards taxpaying. Sometimes they cooperate and sometimes they defy, depending on the circumstances. In general, the perception of an authority’s trustworthiness and fairness helps to close the perceived social distance between taxpayers and the authority. Resistant defiance is about grievance over the way an authority carries out its duties and could be reduced by treating people fairly, fostering trust and improving tax knowledge. Game playing and disengagement postures indicate that people are questioning why an authority exists. This deeper form of defiance is not easily managed. The results support the call for authorities to deal with taxpayers in a fair, respectful and trustworthy manner before deep defiance sets in.","event-place":"Rochester, NY","genre":"SSRN Scholarly Paper","language":"en","number":"ID 3215528","publisher":"Social Science Research Network","publisher-place":"Rochester, NY","source":"papers.ssrn.com","title":"Motivations for Tax Compliance: The Case of Small Business Taxpayers in New Zealand","title-short":"Motivations for Tax Compliance","URL":"https://papers.ssrn.com/abstract=3215528","author":[{"family":"Tan","given":"Lin Mei"},{"family":"Braithwaite","given":"Valerie"}],"accessed":{"date-parts":[["2020",12,7]]},"issued":{"date-parts":[["2018",10,27]]}}},{"id":226,"uris":["http://zotero.org/users/7218282/items/IWTUK3M4"],"uri":["http://zotero.org/users/7218282/items/IWTUK3M4"],"itemData":{"id":226,"type":"article-journal","abstract":"This paper addresses the role of differing regulatory contexts in shaping compliance motivations. These are examined for farmers and environmental regulation in Denmark, homebuilders and building safety in the United States, and marine facilities and water quality in the United States. The findings show that the influence of different regulatory practices and the relevance of normative and social considerations differ among these regulatory contexts. This calls attention to the need for more research on the interplay of regulatory arrangements and contexts in shaping motivations for regulatory compliance.","container-title":"Law &amp; Policy","DOI":"https://doi.org/10.1111/j.1467-9930.2005.00202.x","ISSN":"1467-9930","issue":"2","language":"en","note":"_eprint: https://onlinelibrary.wiley.com/doi/pdf/10.1111/j.1467-9930.2005.00202.x","page":"317-347","source":"Wiley Online Library","title":"Compliance Motivations: Perspectives of Farmers, Homebuilders, and Marine Facilities*","title-short":"Compliance Motivations","volume":"27","author":[{"family":"May","given":"Peter J."}],"issued":{"date-parts":[["2005"]]}}}],"schema":"https://github.com/citation-style-language/schema/raw/master/csl-citation.json"} </w:instrText>
      </w:r>
      <w:r>
        <w:fldChar w:fldCharType="separate"/>
      </w:r>
      <w:r w:rsidRPr="00FE3C2F">
        <w:rPr>
          <w:szCs w:val="24"/>
        </w:rPr>
        <w:t>Erich Kirchler and others, ‘Why Pay Taxes? A Review of Tax Compliance Decisions’ (International Center for Public Policy, Andrew Young School of Policy Studies, Georgia State University 2007) paper0730 &lt;https://ideas.repec.org/p/ays/ispwps/paper0730.html&gt; accessed 7 December 2020; Lin Mei Tan and Valerie Braithwaite, ‘Motivations for Tax Compliance: The Case of Small Business Taxpayers in New Zealand’ (Social Science Research Network 2018) SSRN Scholarly Paper ID 3215528 &lt;https://papers.ssrn.com/abstract=3215528&gt; accessed 7 December 2020; Peter J May, ‘Compliance Motivations: Perspectives of Farmers, Homebuilders, and Marine Facilities*’ (2005) 27 Law &amp; Policy 317.</w:t>
      </w:r>
      <w:r>
        <w:fldChar w:fldCharType="end"/>
      </w:r>
    </w:p>
  </w:footnote>
  <w:footnote w:id="13">
    <w:p w14:paraId="0FBA8AAC" w14:textId="77777777" w:rsidR="00FE3C2F" w:rsidRDefault="00FE3C2F" w:rsidP="00FE3C2F">
      <w:pPr>
        <w:pStyle w:val="FootnoteText"/>
      </w:pPr>
      <w:r w:rsidRPr="00B2206F">
        <w:rPr>
          <w:rStyle w:val="FootnoteReference"/>
        </w:rPr>
        <w:footnoteRef/>
      </w:r>
      <w:r>
        <w:t xml:space="preserve"> </w:t>
      </w:r>
      <w:r>
        <w:fldChar w:fldCharType="begin"/>
      </w:r>
      <w:r>
        <w:instrText xml:space="preserve"> ADDIN ZOTERO_ITEM CSL_CITATION {"citationID":"6dQGBZM8","properties":{"formattedCitation":"Gregory Porumbescu and others, \\uc0\\u8216{}Translating Policy Transparency into Policy Understanding and Policy Support: Evidence from a Survey Experiment\\uc0\\u8217{} (2017) 95 Public Administration 990.","plainCitation":"Gregory Porumbescu and others, ‘Translating Policy Transparency into Policy Understanding and Policy Support: Evidence from a Survey Experiment’ (2017) 95 Public Administration 990.","noteIndex":127},"citationItems":[{"id":40,"uris":["http://zotero.org/users/7218282/items/NCQZGCXW"],"uri":["http://zotero.org/users/7218282/items/NCQZGCXW"],"itemData":{"id":40,"type":"article-journal","abstract":"While transparency is viewed as a means of improving citizen understanding of public policies and eliciting policy support, there are few empirical assessments of these relationships. We address this gap in the literature using an experimental design. We predict that exposure to less detailed policy information improves policy understanding, and that this effect varies according to presentation format. Further, we predict that policy understanding will correspond to greater policy support. Using a nationally representative panel of US citizens we find that exposure to detailed policy information decreases policy understanding and that the effect varies by presentation format. In addition, policy understanding is negatively associated with policy support. These findings culminate in a positive indirect effect—increasing detail reduces understanding, which in turn is negatively associated with policy support. However, interestingly, policy support was highest among those who felt they understood the policy best, yet possessed the lowest levels of actual understanding.","container-title":"Public Administration","DOI":"https://doi.org/10.1111/padm.12347","ISSN":"1467-9299","issue":"4","language":"en","note":"_eprint: https://onlinelibrary.wiley.com/doi/pdf/10.1111/padm.12347","page":"990-1008","source":"Wiley Online Library","title":"Translating policy transparency into policy understanding and policy support: Evidence from a survey experiment","title-short":"Translating policy transparency into policy understanding and policy support","volume":"95","author":[{"family":"Porumbescu","given":"Gregory"},{"family":"Bellé","given":"Nicola"},{"family":"Cucciniello","given":"Maria"},{"family":"Nasi","given":"Greta"}],"issued":{"date-parts":[["2017"]]}}}],"schema":"https://github.com/citation-style-language/schema/raw/master/csl-citation.json"} </w:instrText>
      </w:r>
      <w:r>
        <w:fldChar w:fldCharType="separate"/>
      </w:r>
      <w:r w:rsidRPr="00FE3C2F">
        <w:rPr>
          <w:szCs w:val="24"/>
        </w:rPr>
        <w:t>Gregory Porumbescu and others, ‘Translating Policy Transparency into Policy Understanding and Policy Support: Evidence from a Survey Experiment’ (2017) 95 Public Administration 990.</w:t>
      </w:r>
      <w:r>
        <w:fldChar w:fldCharType="end"/>
      </w:r>
    </w:p>
  </w:footnote>
  <w:footnote w:id="14">
    <w:p w14:paraId="14B4C8D2" w14:textId="6C948F9F" w:rsidR="00FE3C2F" w:rsidRDefault="00FE3C2F">
      <w:pPr>
        <w:pStyle w:val="FootnoteText"/>
      </w:pPr>
      <w:r w:rsidRPr="00B2206F">
        <w:rPr>
          <w:rStyle w:val="FootnoteReference"/>
        </w:rPr>
        <w:footnoteRef/>
      </w:r>
      <w:r>
        <w:t xml:space="preserve"> </w:t>
      </w:r>
      <w:r>
        <w:fldChar w:fldCharType="begin"/>
      </w:r>
      <w:r>
        <w:instrText xml:space="preserve"> ADDIN ZOTERO_ITEM CSL_CITATION {"citationID":"EHWQDTb2","properties":{"formattedCitation":"Gunningham, Thornton and Kagan (n 78).","plainCitation":"Gunningham, Thornton and Kagan (n 78).","noteIndex":131},"citationItems":[{"id":92,"uris":["http://zotero.org/users/7218282/items/FMKRA7G3"],"uri":["http://zotero.org/users/7218282/items/FMKRA7G3"],"itemData":{"id":92,"type":"article-journal","abstract":"Based on interviews with facility managers in the electroplating and chemical industries, this study examines regulated firms’ perceptions of how various instrumental, normative, and social factors motivated their firms’ environmental actions. We found that “implicit general deterrence” (the overall effect of sustained inspection and enforcement activity) was far more important than either specific or general deterrence, and that deterrence in any form was of far greater concern to small and medium-sized enterprises than it was to large ones. Most reputation-sensitive firms in the environmentally sensitive chemical industry chose to go substantially beyond compliance for reasons that related to risk management and to the perceived need to protect their social license to operate. Almost half our respondents also provided normative explanations for why they complied. Overall, we conclude that there are various, often interwoven, strands that must be taken into account in understanding what motivates corporate environmental behavior, and how they play out depends very much on the size and sophistication of companies themselves and on the characteristics of the industry sector within which they are located.","container-title":"Law &amp; Policy","DOI":"https://doi.org/10.1111/j.1467-9930.2005.00201.x","ISSN":"1467-9930","issue":"2","language":"en","note":"_eprint: https://onlinelibrary.wiley.com/doi/pdf/10.1111/j.1467-9930.2005.00201.x","page":"289-316","source":"Wiley Online Library","title":"Motivating Management: Corporate Compliance in Environmental Protection*","title-short":"Motivating Management","volume":"27","author":[{"family":"Gunningham","given":"Neil A."},{"family":"Thornton","given":"Dorothy"},{"family":"Kagan","given":"Robert A."}],"issued":{"date-parts":[["2005"]]}}}],"schema":"https://github.com/citation-style-language/schema/raw/master/csl-citation.json"} </w:instrText>
      </w:r>
      <w:r>
        <w:fldChar w:fldCharType="separate"/>
      </w:r>
      <w:r w:rsidRPr="00FE3C2F">
        <w:t>Gunningham, Thornton and Kagan (n 78).</w:t>
      </w:r>
      <w:r>
        <w:fldChar w:fldCharType="end"/>
      </w:r>
    </w:p>
  </w:footnote>
  <w:footnote w:id="15">
    <w:p w14:paraId="25B7CF93" w14:textId="6E4996FD" w:rsidR="00FE3C2F" w:rsidRDefault="00FE3C2F">
      <w:pPr>
        <w:pStyle w:val="FootnoteText"/>
      </w:pPr>
      <w:r w:rsidRPr="00B2206F">
        <w:rPr>
          <w:rStyle w:val="FootnoteReference"/>
        </w:rPr>
        <w:footnoteRef/>
      </w:r>
      <w:r>
        <w:t xml:space="preserve"> </w:t>
      </w:r>
      <w:r>
        <w:fldChar w:fldCharType="begin"/>
      </w:r>
      <w:r>
        <w:instrText xml:space="preserve"> ADDIN ZOTERO_ITEM CSL_CITATION {"citationID":"ffi4ujzi","properties":{"formattedCitation":"Christine H Roch, John T Scholz and Kathleen M McGraw, \\uc0\\u8216{}Social Networks and Citizen Response to Legal Change\\uc0\\u8217{} (2000) 44 American Journal of Political Science 777; Anthony Bottoms and others, \\uc0\\u8216{}Towards Desistance: Theoretical Underpinnings for an Empirical Study\\uc0\\u8217{} (2004) 43 The Howard Journal of Criminal Justice 368; Stephan Farral and Adam Calverley, {\\i{}Understanding Desistance From Crime} (McGraw-Hill Education (UK) 2005); Shadd Maruna, {\\i{}Making Good: How Ex-Convicts Reform and Rebuild Their Lives} (American Psychological Association 2007).","plainCitation":"Christine H Roch, John T Scholz and Kathleen M McGraw, ‘Social Networks and Citizen Response to Legal Change’ (2000) 44 American Journal of Political Science 777; Anthony Bottoms and others, ‘Towards Desistance: Theoretical Underpinnings for an Empirical Study’ (2004) 43 The Howard Journal of Criminal Justice 368; Stephan Farral and Adam Calverley, Understanding Desistance From Crime (McGraw-Hill Education (UK) 2005); Shadd Maruna, Making Good: How Ex-Convicts Reform and Rebuild Their Lives (American Psychological Association 2007).","noteIndex":126},"citationItems":[{"id":33,"uris":["http://zotero.org/users/7218282/items/P5WCKFM3"],"uri":["http://zotero.org/users/7218282/items/P5WCKFM3"],"itemData":{"id":33,"type":"article-journal","abstract":"Our goal is to extend the research on the political importance of social networks by investigating the role of networks in shaping citizen responses to changes in the law. We emphasize the development of special-purpose social networks to cope with changing legal requirements and analyze these networks from a problem-solving perspective. The empirical focus of the work is taxpayers' adaptation to the 1986 Tax Reform Act. The results from a panel survey of 475 taxpayers demonstrate that specialized, weak-tie networks play a critical role in shaping responses to legal change. More important problems (i.e., tax increases) stimulate search among broader networks. Broader networks, in turn, lead to greater knowledge about the 1986 Tax Reform Act. Network search is biased by both taxpayer attitudes and motivation: taxpayers seek like-minded discussants, and bigger tax increases lead to more noncompliant weak-tie discussants. Finally, the attitudes of weak-tie discussants produce changes in taxpayers' attitudes about compliance, confirming the important role of networks in shaping compliance behavior.","container-title":"American Journal of Political Science","DOI":"10.2307/2669281","ISSN":"0092-5853","issue":"4","note":"publisher: [Midwest Political Science Association, Wiley]","page":"777-791","source":"JSTOR","title":"Social Networks and Citizen Response to Legal Change","volume":"44","author":[{"family":"Roch","given":"Christine H."},{"family":"Scholz","given":"John T."},{"family":"McGraw","given":"Kathleen M."}],"issued":{"date-parts":[["2000"]]}}},{"id":165,"uris":["http://zotero.org/users/7218282/items/XQ2J8KKR"],"uri":["http://zotero.org/users/7218282/items/XQ2J8KKR"],"itemData":{"id":165,"type":"article-journal","abstract":"Abstract: This article presents the initial theoretical underpinnings for a fresh prospective study of desistance, focused on 20-year-old recidivists. It is argued that significant crime-free gaps appropriately form part of the subject matter of desistance. An interactive theoretical framework is presented, involving ‘programmed potential’, ‘social context’ (structures, culture, situations) and ‘agency’. It is argued that agency, while rightly attracting increasing interest within criminology, needs to be used with greater precision. Aspects of the social context of the research subjects' lives are summarised, with special reference to their age-transitional status and the relevance of ‘community’ in their lives. Since most criminal careers, even of recidivists, are short, the implications of subjects' movement from conformity to criminality and back to conformity require greater thought among criminologists and criminal justice professionals. However, these broad movements contain significant oscillations, and ‘crime’ is not a unidimensional concept in the lives of the research subjects. Capturing and explaining the complexity of these matters longitudinally is a significant challenge for the research.","container-title":"The Howard Journal of Criminal Justice","DOI":"https://doi.org/10.1111/j.1468-2311.2004.00336.x","ISSN":"1468-2311","issue":"4","language":"en","note":"_eprint: https://onlinelibrary.wiley.com/doi/pdf/10.1111/j.1468-2311.2004.00336.x","page":"368-389","source":"Wiley Online Library","title":"Towards Desistance: Theoretical Underpinnings for an Empirical Study","title-short":"Towards Desistance","volume":"43","author":[{"family":"Bottoms","given":"Anthony"},{"family":"Shapland","given":"Joanna"},{"family":"Costello","given":"Andrew"},{"family":"Holmes","given":"Deborah"},{"family":"Muir","given":"Grant"}],"issued":{"date-parts":[["2004"]]}}},{"id":236,"uris":["http://zotero.org/users/7218282/items/7CX7JE5V"],"uri":["http://zotero.org/users/7218282/items/7CX7JE5V"],"itemData":{"id":236,"type":"book","abstract":"This book is both an introduction to research on desistance, and the report on a follow-up of two hundred probationers sentenced to supervision in the late 1990s. The reader is introduced to some of the wider issues and debates surrounding desistance via a consideration of the criminal careers of a group of ex-offenders. This lively engagement with both data and theoretical matters makes the book a useful tool for both academics and students.","ISBN":"978-0-335-22497-5","language":"en","note":"Google-Books-ID: BfdDBgAAQBAJ","number-of-pages":"248","publisher":"McGraw-Hill Education (UK)","source":"Google Books","title":"Understanding Desistance From Crime","author":[{"family":"Farral","given":"Stephan"},{"family":"Calverley","given":"Adam"}],"issued":{"date-parts":[["2005"]]}}},{"id":241,"uris":["http://zotero.org/users/7218282/items/IU6TDEBL"],"uri":["http://zotero.org/users/7218282/items/IU6TDEBL"],"itemData":{"id":241,"type":"book","abstract":"Annotation Noting that so-called super-predators \"may not exist, but they certainly sell a lot of books,\" Maruna (criminal justice, State U. of New York, Albany) instead focuses on the class of people that, according to common wisdom, should commit more crime, but do not. Basing his analysis largely on the findings of the Liverpool Desistance Study (a qualitative investigation of desistance from crime by British ex-convicts conducted between 1996 and 1998, he argues that in order to successfully maintain an abstinence from crime, ex- offenders need to \"develop a coherent, prosocial identity for themselves,\" often by developing self-narratives that describe to themselves and others how they have transformed themselves from criminals into new, reformed identities. Redemption rituals in which reformed individuals have had their reform \"certified\" by authorities and relatives often reinforce the success of this process. The possible institutionalization of this reintegration practice is recommended. Annotation c. Book News, Inc., Portland, OR (booknews.com).","ISBN":"978-1-4338-0214-0","language":"en","note":"Google-Books-ID: Sjo6HAAACAAJ","number-of-pages":"211","publisher":"American Psychological Association","source":"Google Books","title":"Making Good: How Ex-convicts Reform and Rebuild Their Lives","title-short":"Making Good","author":[{"family":"Maruna","given":"Shadd"}],"issued":{"date-parts":[["2007"]]}}}],"schema":"https://github.com/citation-style-language/schema/raw/master/csl-citation.json"} </w:instrText>
      </w:r>
      <w:r>
        <w:fldChar w:fldCharType="separate"/>
      </w:r>
      <w:r w:rsidRPr="00FE3C2F">
        <w:rPr>
          <w:szCs w:val="24"/>
        </w:rPr>
        <w:t xml:space="preserve">Christine H Roch, John T Scholz and Kathleen M McGraw, ‘Social Networks and Citizen Response to Legal Change’ (2000) 44 American Journal of Political Science 777; Anthony Bottoms and others, ‘Towards Desistance: Theoretical Underpinnings for an Empirical Study’ (2004) 43 The Howard Journal of Criminal Justice 368; Stephan Farral and Adam Calverley, </w:t>
      </w:r>
      <w:r w:rsidRPr="00FE3C2F">
        <w:rPr>
          <w:i/>
          <w:iCs/>
          <w:szCs w:val="24"/>
        </w:rPr>
        <w:t>Understanding Desistance From Crime</w:t>
      </w:r>
      <w:r w:rsidRPr="00FE3C2F">
        <w:rPr>
          <w:szCs w:val="24"/>
        </w:rPr>
        <w:t xml:space="preserve"> (McGraw-Hill Education (UK) 2005); Shadd Maruna, </w:t>
      </w:r>
      <w:r w:rsidRPr="00FE3C2F">
        <w:rPr>
          <w:i/>
          <w:iCs/>
          <w:szCs w:val="24"/>
        </w:rPr>
        <w:t>Making Good: How Ex-Convicts Reform and Rebuild Their Lives</w:t>
      </w:r>
      <w:r w:rsidRPr="00FE3C2F">
        <w:rPr>
          <w:szCs w:val="24"/>
        </w:rPr>
        <w:t xml:space="preserve"> (American Psychological Association 2007).</w:t>
      </w:r>
      <w:r>
        <w:fldChar w:fldCharType="end"/>
      </w:r>
    </w:p>
  </w:footnote>
  <w:footnote w:id="16">
    <w:p w14:paraId="5B7124FB" w14:textId="28877DD2" w:rsidR="00FE3C2F" w:rsidRDefault="00FE3C2F">
      <w:pPr>
        <w:pStyle w:val="FootnoteText"/>
      </w:pPr>
      <w:r w:rsidRPr="00B2206F">
        <w:rPr>
          <w:rStyle w:val="FootnoteReference"/>
        </w:rPr>
        <w:footnoteRef/>
      </w:r>
      <w:r>
        <w:t xml:space="preserve"> </w:t>
      </w:r>
      <w:r>
        <w:fldChar w:fldCharType="begin"/>
      </w:r>
      <w:r>
        <w:instrText xml:space="preserve"> ADDIN ZOTERO_ITEM CSL_CITATION {"citationID":"2YGdUcmf","properties":{"formattedCitation":"RS Burt, \\uc0\\u8216{}The Network Structure of Social Capital\\uc0\\u8217{} in RJ Sutton and BM Staw (eds), {\\i{}Research in Organizational Behavior} (JAI Press 2000).","plainCitation":"RS Burt, ‘The Network Structure of Social Capital’ in RJ Sutton and BM Staw (eds), Research in Organizational Behavior (JAI Press 2000).","noteIndex":126},"citationItems":[{"id":211,"uris":["http://zotero.org/users/7218282/items/XQ9RB3U4"],"uri":["http://zotero.org/users/7218282/items/XQ9RB3U4"],"itemData":{"id":211,"type":"chapter","container-title":"Research in Organizational Behavior","event-place":"Greenwich, CT","publisher":"JAI Press","publisher-place":"Greenwich, CT","title":"The Network Structure of Social Capital","author":[{"family":"Burt","given":"RS"}],"editor":[{"family":"Sutton","given":"RJ"},{"family":"Staw","given":"BM"}],"issued":{"date-parts":[["2000"]]}}}],"schema":"https://github.com/citation-style-language/schema/raw/master/csl-citation.json"} </w:instrText>
      </w:r>
      <w:r>
        <w:fldChar w:fldCharType="separate"/>
      </w:r>
      <w:r w:rsidRPr="00FE3C2F">
        <w:rPr>
          <w:szCs w:val="24"/>
        </w:rPr>
        <w:t xml:space="preserve">RS Burt, ‘The Network Structure of Social Capital’ in RJ Sutton and BM Staw (eds), </w:t>
      </w:r>
      <w:r w:rsidRPr="00FE3C2F">
        <w:rPr>
          <w:i/>
          <w:iCs/>
          <w:szCs w:val="24"/>
        </w:rPr>
        <w:t>Research in Organizational Behavior</w:t>
      </w:r>
      <w:r w:rsidRPr="00FE3C2F">
        <w:rPr>
          <w:szCs w:val="24"/>
        </w:rPr>
        <w:t xml:space="preserve"> (JAI Press 2000).</w:t>
      </w:r>
      <w:r>
        <w:fldChar w:fldCharType="end"/>
      </w:r>
    </w:p>
  </w:footnote>
  <w:footnote w:id="17">
    <w:p w14:paraId="29476302" w14:textId="240D9338" w:rsidR="00FE3C2F" w:rsidRDefault="00FE3C2F">
      <w:pPr>
        <w:pStyle w:val="FootnoteText"/>
      </w:pPr>
      <w:r w:rsidRPr="00B2206F">
        <w:rPr>
          <w:rStyle w:val="FootnoteReference"/>
        </w:rPr>
        <w:footnoteRef/>
      </w:r>
      <w:r>
        <w:t xml:space="preserve"> </w:t>
      </w:r>
      <w:r>
        <w:fldChar w:fldCharType="begin"/>
      </w:r>
      <w:r w:rsidR="00B2206F">
        <w:instrText xml:space="preserve"> ADDIN ZOTERO_ITEM CSL_CITATION {"citationID":"v9cUTSV5","properties":{"formattedCitation":"May (n 135); Valerie Braithwaite and Monika Reinhart, \\uc0\\u8216{}Deterrence, Coping Styles and Defiance\\uc0\\u8217{} (2013) 69 FinanzArchiv / Public Finance Analysis 439; Kirchler and others (n 135).","plainCitation":"May (n 135); Valerie Braithwaite and Monika Reinhart, ‘Deterrence, Coping Styles and Defiance’ (2013) 69 FinanzArchiv / Public Finance Analysis 439; Kirchler and others (n 135).","noteIndex":140},"citationItems":[{"id":226,"uris":["http://zotero.org/users/7218282/items/IWTUK3M4"],"uri":["http://zotero.org/users/7218282/items/IWTUK3M4"],"itemData":{"id":226,"type":"article-journal","abstract":"This paper addresses the role of differing regulatory contexts in shaping compliance motivations. These are examined for farmers and environmental regulation in Denmark, homebuilders and building safety in the United States, and marine facilities and water quality in the United States. The findings show that the influence of different regulatory practices and the relevance of normative and social considerations differ among these regulatory contexts. This calls attention to the need for more research on the interplay of regulatory arrangements and contexts in shaping motivations for regulatory compliance.","container-title":"Law &amp; Policy","DOI":"https://doi.org/10.1111/j.1467-9930.2005.00202.x","ISSN":"1467-9930","issue":"2","language":"en","note":"_eprint: https://onlinelibrary.wiley.com/doi/pdf/10.1111/j.1467-9930.2005.00202.x","page":"317-347","source":"Wiley Online Library","title":"Compliance Motivations: Perspectives of Farmers, Homebuilders, and Marine Facilities*","title-short":"Compliance Motivations","volume":"27","author":[{"family":"May","given":"Peter J."}],"issued":{"date-parts":[["2005"]]}}},{"id":158,"uris":["http://zotero.org/users/7218282/items/6DXL4RVI"],"uri":["http://zotero.org/users/7218282/items/6DXL4RVI"],"itemData":{"id":158,"type":"article-journal","abstract":"Deterrence can boost compliance with tax authorities or undermine it depending on whether taxpayers cope with the threat of taxation through thinking morally, or feeling oppressed, or taking control of the tax they pay. When feeling oppressed dominates thinking morally in response to deterrence, resistant defiance is expressed. When taking control and feeling oppressed dominate thinking morally, dismissive defiance is expressed. Longitudinal data show that perceived deterrence predicts lower tax evasion. Over and above this prediction is the finding that dismissive defiance (which can increase or decrease with deterrence) predicts higher tax evasion. Deterrence needs to be used judiciously. If deterrence promotes dismissive defiance through being seen as too weak or too oppressive, deterrence may prove counterproductive.","container-title":"FinanzArchiv / Public Finance Analysis","ISSN":"0015-2218","issue":"4","note":"publisher: Mohr Siebeck GmbH &amp; Co. KG","page":"439-468","source":"JSTOR","title":"Deterrence, Coping Styles and Defiance","volume":"69","author":[{"family":"Braithwaite","given":"Valerie"},{"family":"Reinhart","given":"Monika"}],"issued":{"date-parts":[["2013"]]}}},{"id":87,"uris":["http://zotero.org/users/7218282/items/7N9QB76I"],"uri":["http://zotero.org/users/7218282/items/7N9QB76I"],"itemData":{"id":87,"type":"report","abstract":"Since the standard model of income tax evasion (Allingham &amp; Sandmo, 1972; Srinivasan, 1973) was published, much research has tested its four parameters (level of actual income, tax rate, audit probability, penalty rate) for empirical validity. Surveys, laboratory experiments and analysis of aggregate data revealed ambiguous evidence for the model’s behavioral implications. The present article reviews these studies and concludes that compliance decisions can only partly be explained by the rational choice approach. We suggest that depending on the climate in a society, compliance stems from two different factors. In a climate of distrust, high power of authorities is needed to enforce tax compliance and increasing fines and audit probabilities may be an effective tax policy. In a climate where taxpayers trust the authorities of their state, however, other variables gain in importance. Knowledge, attitudes, moral appeals, fairness and democracy may lead to voluntary compliance. In this case, draconian fines and intrusive audits can take unintentional effects and would corrupt tax morale.","collection-title":"International Center for Public Policy Working Paper Series, at AYSPS, GSU","language":"en","note":"container-title: International Center for Public Policy Working Paper Series, at AYSPS, GSU","number":"paper0730","publisher":"International Center for Public Policy, Andrew Young School of Policy Studies, Georgia State University","source":"ideas.repec.org","title":"Why Pay Taxes? A Review of Tax Compliance Decisions","title-short":"Why Pay Taxes?","URL":"https://ideas.repec.org/p/ays/ispwps/paper0730.html","author":[{"family":"Kirchler","given":"Erich"},{"family":"Muehlbacher","given":"Stephan"},{"family":"Kastlunger","given":"Barbara"},{"family":"Wahl","given":"Ingrid"}],"accessed":{"date-parts":[["2020",12,7]]},"issued":{"date-parts":[["2007",12,1]]}}}],"schema":"https://github.com/citation-style-language/schema/raw/master/csl-citation.json"} </w:instrText>
      </w:r>
      <w:r>
        <w:fldChar w:fldCharType="separate"/>
      </w:r>
      <w:r w:rsidR="00B2206F" w:rsidRPr="00B2206F">
        <w:rPr>
          <w:szCs w:val="24"/>
        </w:rPr>
        <w:t>May (n 135); Valerie Braithwaite and Monika Reinhart, ‘Deterrence, Coping Styles and Defiance’ (2013) 69 FinanzArchiv / Public Finance Analysis 439; Kirchler and others (n 135).</w:t>
      </w:r>
      <w:r>
        <w:fldChar w:fldCharType="end"/>
      </w:r>
    </w:p>
  </w:footnote>
  <w:footnote w:id="18">
    <w:p w14:paraId="062AA6AB" w14:textId="134536A7" w:rsidR="00FE3C2F" w:rsidRDefault="00FE3C2F">
      <w:pPr>
        <w:pStyle w:val="FootnoteText"/>
      </w:pPr>
      <w:r w:rsidRPr="00B2206F">
        <w:rPr>
          <w:rStyle w:val="FootnoteReference"/>
        </w:rPr>
        <w:footnoteRef/>
      </w:r>
      <w:r>
        <w:t xml:space="preserve"> </w:t>
      </w:r>
      <w:r>
        <w:fldChar w:fldCharType="begin"/>
      </w:r>
      <w:r w:rsidR="00B2206F">
        <w:instrText xml:space="preserve"> ADDIN ZOTERO_ITEM CSL_CITATION {"citationID":"PUQU6qVN","properties":{"formattedCitation":"Kirchler and others (n 135); Corneliussen (n 132); Saba Siddiki, Xavier Basurto and Christopher M Weible, \\uc0\\u8216{}Using the Institutional Grammar Tool to Understand Regulatory Compliance: The Case of Colorado Aquaculture\\uc0\\u8217{} (2012) 6 Regulation &amp; Governance 167.","plainCitation":"Kirchler and others (n 135); Corneliussen (n 132); Saba Siddiki, Xavier Basurto and Christopher M Weible, ‘Using the Institutional Grammar Tool to Understand Regulatory Compliance: The Case of Colorado Aquaculture’ (2012) 6 Regulation &amp; Governance 167.","noteIndex":141},"citationItems":[{"id":87,"uris":["http://zotero.org/users/7218282/items/7N9QB76I"],"uri":["http://zotero.org/users/7218282/items/7N9QB76I"],"itemData":{"id":87,"type":"report","abstract":"Since the standard model of income tax evasion (Allingham &amp; Sandmo, 1972; Srinivasan, 1973) was published, much research has tested its four parameters (level of actual income, tax rate, audit probability, penalty rate) for empirical validity. Surveys, laboratory experiments and analysis of aggregate data revealed ambiguous evidence for the model’s behavioral implications. The present article reviews these studies and concludes that compliance decisions can only partly be explained by the rational choice approach. We suggest that depending on the climate in a society, compliance stems from two different factors. In a climate of distrust, high power of authorities is needed to enforce tax compliance and increasing fines and audit probabilities may be an effective tax policy. In a climate where taxpayers trust the authorities of their state, however, other variables gain in importance. Knowledge, attitudes, moral appeals, fairness and democracy may lead to voluntary compliance. In this case, draconian fines and intrusive audits can take unintentional effects and would corrupt tax morale.","collection-title":"International Center for Public Policy Working Paper Series, at AYSPS, GSU","language":"en","note":"container-title: International Center for Public Policy Working Paper Series, at AYSPS, GSU","number":"paper0730","publisher":"International Center for Public Policy, Andrew Young School of Policy Studies, Georgia State University","source":"ideas.repec.org","title":"Why Pay Taxes? A Review of Tax Compliance Decisions","title-short":"Why Pay Taxes?","URL":"https://ideas.repec.org/p/ays/ispwps/paper0730.html","author":[{"family":"Kirchler","given":"Erich"},{"family":"Muehlbacher","given":"Stephan"},{"family":"Kastlunger","given":"Barbara"},{"family":"Wahl","given":"Ingrid"}],"accessed":{"date-parts":[["2020",12,7]]},"issued":{"date-parts":[["2007",12,1]]}}},{"id":210,"uris":["http://zotero.org/users/7218282/items/YNLWS9M5"],"uri":["http://zotero.org/users/7218282/items/YNLWS9M5"],"itemData":{"id":210,"type":"paper-conference","event":"CARR Discussion Papers","event-place":"London, UK","publisher":"London School of Economics and Political Science Centre for Analysis of Risk and Regulation","publisher-place":"London, UK","title":"Justifying Non-Compliance. A Case Study of Norwegian Biotech Firm","volume":"DP 20","author":[{"family":"Corneliussen","given":"F"}],"issued":{"date-parts":[["2004"]]}}},{"id":27,"uris":["http://zotero.org/users/7218282/items/FZVXDNJR"],"uri":["http://zotero.org/users/7218282/items/FZVXDNJR"],"itemData":{"id":27,"type":"article-journal","abstract":"What is the relationship between the design of regulations and levels of individual compliance? To answer this question, Crawford and Ostrom's institutional grammar tool is used to deconstruct regulations governing the aquaculture industry in Colorado, USA. Compliance with the deconstructed regulatory components is then assessed based on the perceptions of the appropriateness of the regulations, involvement in designing the regulations, and intrinsic and extrinsic motivations. The findings suggest that levels of compliance with regulations vary across and within individuals regarding various aspects of the regulatory components. As expected, the level of compliance is affected by the perceived appropriateness of regulations, participation in designing the regulations, and feelings of guilt and fear of social disapproval. Furthermore, there is a strong degree of interdependence among the written components, as identified by the institutional grammar tool, in affecting compliance levels. The paper contributes to the regulation and compliance literature by illustrating the utility of the institutional grammar tool in understanding regulatory content, applying a new Q-Sort technique for measuring individual levels of compliance, and providing a rare exploration into feelings of guilt and fear outside of the laboratory setting.","container-title":"Regulation &amp; Governance","DOI":"https://doi.org/10.1111/j.1748-5991.2012.01132.x","ISSN":"1748-5991","issue":"2","language":"en","note":"_eprint: https://onlinelibrary.wiley.com/doi/pdf/10.1111/j.1748-5991.2012.01132.x","page":"167-188","source":"Wiley Online Library","title":"Using the institutional grammar tool to understand regulatory compliance: The case of Colorado aquaculture","title-short":"Using the institutional grammar tool to understand regulatory compliance","volume":"6","author":[{"family":"Siddiki","given":"Saba"},{"family":"Basurto","given":"Xavier"},{"family":"Weible","given":"Christopher M."}],"issued":{"date-parts":[["2012"]]}}}],"schema":"https://github.com/citation-style-language/schema/raw/master/csl-citation.json"} </w:instrText>
      </w:r>
      <w:r>
        <w:fldChar w:fldCharType="separate"/>
      </w:r>
      <w:r w:rsidR="00B2206F" w:rsidRPr="00B2206F">
        <w:rPr>
          <w:szCs w:val="24"/>
        </w:rPr>
        <w:t>Kirchler and others (n 135); Corneliussen (n 132); Saba Siddiki, Xavier Basurto and Christopher M Weible, ‘Using the Institutional Grammar Tool to Understand Regulatory Compliance: The Case of Colorado Aquaculture’ (2012) 6 Regulation &amp; Governance 167.</w:t>
      </w:r>
      <w:r>
        <w:fldChar w:fldCharType="end"/>
      </w:r>
    </w:p>
  </w:footnote>
  <w:footnote w:id="19">
    <w:p w14:paraId="0B48A03D" w14:textId="6641CB29" w:rsidR="00FE3C2F" w:rsidRDefault="00FE3C2F">
      <w:pPr>
        <w:pStyle w:val="FootnoteText"/>
      </w:pPr>
      <w:r w:rsidRPr="00B2206F">
        <w:rPr>
          <w:rStyle w:val="FootnoteReference"/>
        </w:rPr>
        <w:footnoteRef/>
      </w:r>
      <w:r>
        <w:t xml:space="preserve"> </w:t>
      </w:r>
      <w:r>
        <w:fldChar w:fldCharType="begin"/>
      </w:r>
      <w:r w:rsidR="00B2206F">
        <w:instrText xml:space="preserve"> ADDIN ZOTERO_ITEM CSL_CITATION {"citationID":"sWydXKbS","properties":{"formattedCitation":"May (n 135).","plainCitation":"May (n 135).","noteIndex":142},"citationItems":[{"id":226,"uris":["http://zotero.org/users/7218282/items/IWTUK3M4"],"uri":["http://zotero.org/users/7218282/items/IWTUK3M4"],"itemData":{"id":226,"type":"article-journal","abstract":"This paper addresses the role of differing regulatory contexts in shaping compliance motivations. These are examined for farmers and environmental regulation in Denmark, homebuilders and building safety in the United States, and marine facilities and water quality in the United States. The findings show that the influence of different regulatory practices and the relevance of normative and social considerations differ among these regulatory contexts. This calls attention to the need for more research on the interplay of regulatory arrangements and contexts in shaping motivations for regulatory compliance.","container-title":"Law &amp; Policy","DOI":"https://doi.org/10.1111/j.1467-9930.2005.00202.x","ISSN":"1467-9930","issue":"2","language":"en","note":"_eprint: https://onlinelibrary.wiley.com/doi/pdf/10.1111/j.1467-9930.2005.00202.x","page":"317-347","source":"Wiley Online Library","title":"Compliance Motivations: Perspectives of Farmers, Homebuilders, and Marine Facilities*","title-short":"Compliance Motivations","volume":"27","author":[{"family":"May","given":"Peter J."}],"issued":{"date-parts":[["2005"]]}}}],"schema":"https://github.com/citation-style-language/schema/raw/master/csl-citation.json"} </w:instrText>
      </w:r>
      <w:r>
        <w:fldChar w:fldCharType="separate"/>
      </w:r>
      <w:r w:rsidR="00B2206F" w:rsidRPr="00B2206F">
        <w:t>May (n 135).</w:t>
      </w:r>
      <w:r>
        <w:fldChar w:fldCharType="end"/>
      </w:r>
    </w:p>
  </w:footnote>
  <w:footnote w:id="20">
    <w:p w14:paraId="44591A20" w14:textId="36815838" w:rsidR="00795C88" w:rsidRDefault="00795C88">
      <w:pPr>
        <w:pStyle w:val="FootnoteText"/>
      </w:pPr>
      <w:r w:rsidRPr="00B2206F">
        <w:rPr>
          <w:rStyle w:val="FootnoteReference"/>
        </w:rPr>
        <w:footnoteRef/>
      </w:r>
      <w:r>
        <w:t xml:space="preserve"> </w:t>
      </w:r>
      <w:r>
        <w:rPr>
          <w:lang w:val="en-US"/>
        </w:rPr>
        <w:fldChar w:fldCharType="begin"/>
      </w:r>
      <w:r w:rsidR="00F56F84">
        <w:rPr>
          <w:lang w:val="en-US"/>
        </w:rPr>
        <w:instrText xml:space="preserve"> ADDIN ZOTERO_ITEM CSL_CITATION {"citationID":"wqCYpCaz","properties":{"formattedCitation":"Ahmad Alaassar, Anne-Laure Mention and Tor Helge Aas, \\uc0\\u8216{}Exploring How Social Interactions Influence Regulators and Innovators: The Case of Regulatory Sandboxes\\uc0\\u8217{} (2020) 160 Technological Forecasting and Social Change 120257.","plainCitation":"Ahmad Alaassar, Anne-Laure Mention and Tor Helge Aas, ‘Exploring How Social Interactions Influence Regulators and Innovators: The Case of Regulatory Sandboxes’ (2020) 160 Technological Forecasting and Social Change 120257.","noteIndex":126},"citationItems":[{"id":621,"uris":["http://zotero.org/users/7218282/items/IWAPVYVS"],"uri":["http://zotero.org/users/7218282/items/IWAPVYVS"],"itemData":{"id":621,"type":"article-journal","abstract":"Like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Helge"}],"issued":{"date-parts":[["2020",11,1]]}}}],"schema":"https://github.com/citation-style-language/schema/raw/master/csl-citation.json"} </w:instrText>
      </w:r>
      <w:r>
        <w:rPr>
          <w:lang w:val="en-US"/>
        </w:rPr>
        <w:fldChar w:fldCharType="separate"/>
      </w:r>
      <w:r w:rsidR="00F56F84" w:rsidRPr="00F56F84">
        <w:rPr>
          <w:szCs w:val="24"/>
        </w:rPr>
        <w:t>Ahmad Alaassar, Anne-Laure Mention and Tor Helge Aas, ‘Exploring How Social Interactions Influence Regulators and Innovators: The Case of Regulatory Sandboxes’ (2020) 160 Technological Forecasting and Social Change 120257.</w:t>
      </w:r>
      <w:r>
        <w:rPr>
          <w:lang w:val="en-US"/>
        </w:rPr>
        <w:fldChar w:fldCharType="end"/>
      </w:r>
    </w:p>
  </w:footnote>
  <w:footnote w:id="21">
    <w:p w14:paraId="4967F4AF" w14:textId="0B0B623C" w:rsidR="005056A4" w:rsidRDefault="005056A4" w:rsidP="005056A4">
      <w:pPr>
        <w:pStyle w:val="FootnoteText"/>
      </w:pPr>
      <w:r w:rsidRPr="00B2206F">
        <w:rPr>
          <w:rStyle w:val="FootnoteReference"/>
        </w:rPr>
        <w:footnoteRef/>
      </w:r>
      <w:r>
        <w:t xml:space="preserve"> </w:t>
      </w:r>
      <w:r w:rsidRPr="0044695B">
        <w:rPr>
          <w:lang w:val="en-US"/>
        </w:rPr>
        <w:fldChar w:fldCharType="begin"/>
      </w:r>
      <w:r w:rsidR="00F56F84">
        <w:rPr>
          <w:lang w:val="en-US"/>
        </w:rPr>
        <w:instrText xml:space="preserve"> ADDIN ZOTERO_ITEM CSL_CITATION {"citationID":"SpNYvvOi","properties":{"formattedCitation":"Don A Dillman, {\\i{}Mail and Telephone Surveys: The Total Design Method} (Wiley 1978).","plainCitation":"Don A Dillman, Mail and Telephone Surveys: The Total Design Method (Wiley 1978).","noteIndex":127},"citationItems":[{"id":120,"uris":["http://zotero.org/users/7218282/items/MY5FZMRR"],"uri":["http://zotero.org/users/7218282/items/MY5FZMRR"],"itemData":{"id":120,"type":"book","abstract":"Develops a theoretically based system guided by principles of social exchange and administration that ensure high quality surveys at low cost. Presents step-by-step procedures and shows why each step is important. Contains many examples and, where appropriate, contrasts acceptable and unacceptable procedures.","ISBN":"978-0-471-21555-4","language":"en","note":"Google-Books-ID: hDhHAAAAMAAJ","number-of-pages":"352","publisher":"Wiley","source":"Google Books","title":"Mail and Telephone Surveys: The Total Design Method","title-short":"Mail and Telephone Surveys","author":[{"family":"Dillman","given":"Don A."}],"issued":{"date-parts":[["1978",5,1]]}}}],"schema":"https://github.com/citation-style-language/schema/raw/master/csl-citation.json"} </w:instrText>
      </w:r>
      <w:r w:rsidRPr="0044695B">
        <w:rPr>
          <w:lang w:val="en-US"/>
        </w:rPr>
        <w:fldChar w:fldCharType="separate"/>
      </w:r>
      <w:r w:rsidR="00F56F84" w:rsidRPr="00F56F84">
        <w:rPr>
          <w:szCs w:val="24"/>
        </w:rPr>
        <w:t xml:space="preserve">Don A Dillman, </w:t>
      </w:r>
      <w:r w:rsidR="00F56F84" w:rsidRPr="00F56F84">
        <w:rPr>
          <w:i/>
          <w:iCs/>
          <w:szCs w:val="24"/>
        </w:rPr>
        <w:t>Mail and Telephone Surveys: The Total Design Method</w:t>
      </w:r>
      <w:r w:rsidR="00F56F84" w:rsidRPr="00F56F84">
        <w:rPr>
          <w:szCs w:val="24"/>
        </w:rPr>
        <w:t xml:space="preserve"> (Wiley 1978).</w:t>
      </w:r>
      <w:r w:rsidRPr="0044695B">
        <w:rPr>
          <w:lang w:val="en-US"/>
        </w:rPr>
        <w:fldChar w:fldCharType="end"/>
      </w:r>
    </w:p>
  </w:footnote>
  <w:footnote w:id="22">
    <w:p w14:paraId="532A63A7" w14:textId="77777777" w:rsidR="00795C88" w:rsidRPr="0044695B" w:rsidRDefault="00795C88" w:rsidP="005056A4">
      <w:pPr>
        <w:pStyle w:val="FootnoteText"/>
        <w:rPr>
          <w:sz w:val="18"/>
          <w:szCs w:val="18"/>
          <w:lang w:val="en-US"/>
        </w:rPr>
      </w:pPr>
      <w:r w:rsidRPr="00B2206F">
        <w:rPr>
          <w:rStyle w:val="FootnoteReference"/>
        </w:rPr>
        <w:footnoteRef/>
      </w:r>
      <w:r w:rsidRPr="0044695B">
        <w:rPr>
          <w:sz w:val="18"/>
          <w:szCs w:val="18"/>
          <w:lang w:val="en-US"/>
        </w:rPr>
        <w:t xml:space="preserve"> </w:t>
      </w:r>
      <w:r w:rsidRPr="005056A4">
        <w:rPr>
          <w:lang w:val="en-US"/>
        </w:rPr>
        <w:t>In addition to piloting the survey, recommended techniques were used to make the questionnaire easy to read and use. Firms were sent email reminders halfway through the survey period and again three days before it closed. Firms were also contacted over the phone, where possible, to follow up.</w:t>
      </w:r>
    </w:p>
  </w:footnote>
  <w:footnote w:id="23">
    <w:p w14:paraId="6D879196" w14:textId="0DD79839" w:rsidR="00795C88" w:rsidRDefault="00795C88">
      <w:pPr>
        <w:pStyle w:val="FootnoteText"/>
      </w:pPr>
      <w:r w:rsidRPr="00B2206F">
        <w:rPr>
          <w:rStyle w:val="FootnoteReference"/>
        </w:rPr>
        <w:footnoteRef/>
      </w:r>
      <w:r>
        <w:t xml:space="preserve"> </w:t>
      </w:r>
      <w:r w:rsidRPr="0044695B">
        <w:rPr>
          <w:lang w:val="en-US"/>
        </w:rPr>
        <w:fldChar w:fldCharType="begin"/>
      </w:r>
      <w:r w:rsidR="00F56F84">
        <w:rPr>
          <w:lang w:val="en-US"/>
        </w:rPr>
        <w:instrText xml:space="preserve"> ADDIN ZOTERO_ITEM CSL_CITATION {"citationID":"BxmerpbY","properties":{"formattedCitation":"Carpenter, {\\i{}Reputation and Power} (n 31) 45.","plainCitation":"Carpenter, Reputation and Power (n 31) 45.","noteIndex":129},"citationItems":[{"id":135,"uris":["http://zotero.org/users/7218282/items/F4R82PBA"],"uri":["http://zotero.org/users/7218282/items/F4R82PBA"],"itemData":{"id":135,"type":"book","abstract":"How the FDA became the world's most powerful regulatory agencyThe U.S. Food and Drug Administration is the most powerful regulatory agency in the world. How did the FDA become so influential? And how exactly does it wield its extraordinary power? Reputation and Power traces the history of FDA regulation of pharmaceuticals, revealing how the agency's organizational reputation has been the primary source of its power, yet also one of its ultimate constraints.Daniel Carpenter describes how the FDA cultivated a reputation for competence and vigilance throughout the last century, and how this organizational image has enabled the agency to regulate an industry as powerful as American pharmaceuticals while resisting efforts to curb its own authority. Carpenter explains how the FDA's reputation and power have played out among committees in Congress, and with drug companies, advocacy groups, the media, research hospitals and universities, and governments in Europe and India. He shows how FDA regulatory power has influenced the way that business, medicine, and science are conducted in the United States and worldwide. Along the way, Carpenter offers new insights into the therapeutic revolution of the 1940s and 1950s; the 1980s AIDS crisis; the advent of oral contraceptives and cancer chemotherapy; the rise of antiregulatory conservatism; and the FDA's waning influence in drug regulation today.Reputation and Power demonstrates how reputation shapes the power and behavior of government agencies, and sheds new light on how that power is used and contested.Some images inside the book are unavailable due to digital copyright restrictions.","ISBN":"978-1-4008-3511-9","language":"en","note":"Google-Books-ID: e2EhL1vALjIC","number-of-pages":"825","publisher":"Princeton University Press","source":"Google Books","title":"Reputation and Power: Organizational Image and Pharmaceutical Regulation at the FDA","title-short":"Reputation and Power","author":[{"family":"Carpenter","given":"Daniel"}],"issued":{"date-parts":[["2010"]]}},"locator":"45"}],"schema":"https://github.com/citation-style-language/schema/raw/master/csl-citation.json"} </w:instrText>
      </w:r>
      <w:r w:rsidRPr="0044695B">
        <w:rPr>
          <w:lang w:val="en-US"/>
        </w:rPr>
        <w:fldChar w:fldCharType="separate"/>
      </w:r>
      <w:r w:rsidR="00F56F84" w:rsidRPr="00F56F84">
        <w:rPr>
          <w:szCs w:val="24"/>
        </w:rPr>
        <w:t xml:space="preserve">Carpenter, </w:t>
      </w:r>
      <w:r w:rsidR="00F56F84" w:rsidRPr="00F56F84">
        <w:rPr>
          <w:i/>
          <w:iCs/>
          <w:szCs w:val="24"/>
        </w:rPr>
        <w:t>Reputation and Power</w:t>
      </w:r>
      <w:r w:rsidR="00F56F84" w:rsidRPr="00F56F84">
        <w:rPr>
          <w:szCs w:val="24"/>
        </w:rPr>
        <w:t xml:space="preserve"> (n 31) 45.</w:t>
      </w:r>
      <w:r w:rsidRPr="0044695B">
        <w:rPr>
          <w:lang w:val="en-US"/>
        </w:rPr>
        <w:fldChar w:fldCharType="end"/>
      </w:r>
    </w:p>
  </w:footnote>
  <w:footnote w:id="24">
    <w:p w14:paraId="6FB2CD26" w14:textId="626517AA" w:rsidR="00795C88" w:rsidRDefault="00795C88">
      <w:pPr>
        <w:pStyle w:val="FootnoteText"/>
      </w:pPr>
      <w:r w:rsidRPr="00B2206F">
        <w:rPr>
          <w:rStyle w:val="FootnoteReference"/>
        </w:rPr>
        <w:footnoteRef/>
      </w:r>
      <w:r>
        <w:t xml:space="preserve"> </w:t>
      </w:r>
      <w:r w:rsidRPr="0044695B">
        <w:rPr>
          <w:lang w:val="en-US"/>
        </w:rPr>
        <w:fldChar w:fldCharType="begin"/>
      </w:r>
      <w:r w:rsidR="00FE3C2F">
        <w:rPr>
          <w:lang w:val="en-US"/>
        </w:rPr>
        <w:instrText xml:space="preserve"> ADDIN ZOTERO_ITEM CSL_CITATION {"citationID":"6O6TgQd7","properties":{"formattedCitation":"(n 68).","plainCitation":"(n 68).","noteIndex":131},"citationItems":[{"id":79,"uris":["http://zotero.org/users/7218282/items/N6DKU4HG"],"uri":["http://zotero.org/users/7218282/items/N6DKU4HG"],"itemData":{"id":79,"type":"article-journal","abstract":"Despite growing interest in bureaucratic reputation as a theoretical construct, the field lacks a standardized measure that can be used in surveys to capture individual-level variation in the reputation judgments of citizens and other audiences. The aim of this article, therefore, is to develop a standardized, individual-level measure of bureaucratic reputation based on the conceptual definition provided by Carpenter (). Employing feedback from experts and data from a survey of over 300 U.S. citizens, this article develops and tests a unidimensional scale of bureaucratic reputation, representing the content domains of performance, morality, procedural fairness, technical competence, and general reputation. Results suggest that our proposed bureaucratic reputation scale (BRS) has good internal reliability and that it is positively associated with support for autonomy, budget, and power, which provides evidence of criterion validity. Potential uses of the scale to study bureaucratic reputation are discussed.","container-title":"Governance","DOI":"https://doi.org/10.1111/gove.12371","ISSN":"1468-0491","issue":"1","language":"en","note":"_eprint: https://onlinelibrary.wiley.com/doi/pdf/10.1111/gove.12371","page":"177-192","source":"Wiley Online Library","title":"Measuring bureaucratic reputation: Scale development and validation","title-short":"Measuring bureaucratic reputation","volume":"32","author":[{"family":"Lee","given":"Danbee"},{"family":"Ryzin","given":"Gregg G. Van"}],"issued":{"date-parts":[["2019"]]}},"suppress-author":true}],"schema":"https://github.com/citation-style-language/schema/raw/master/csl-citation.json"} </w:instrText>
      </w:r>
      <w:r w:rsidRPr="0044695B">
        <w:rPr>
          <w:lang w:val="en-US"/>
        </w:rPr>
        <w:fldChar w:fldCharType="separate"/>
      </w:r>
      <w:r w:rsidR="00F56F84" w:rsidRPr="00F56F84">
        <w:t>(n 68).</w:t>
      </w:r>
      <w:r w:rsidRPr="0044695B">
        <w:rPr>
          <w:lang w:val="en-US"/>
        </w:rPr>
        <w:fldChar w:fldCharType="end"/>
      </w:r>
    </w:p>
  </w:footnote>
  <w:footnote w:id="25">
    <w:p w14:paraId="7F937C1C" w14:textId="5284E381" w:rsidR="00795C88" w:rsidRDefault="00795C88">
      <w:pPr>
        <w:pStyle w:val="FootnoteText"/>
      </w:pPr>
      <w:r w:rsidRPr="00B2206F">
        <w:rPr>
          <w:rStyle w:val="FootnoteReference"/>
        </w:rPr>
        <w:footnoteRef/>
      </w:r>
      <w:r>
        <w:t xml:space="preserve"> </w:t>
      </w:r>
      <w:r w:rsidRPr="0044695B">
        <w:rPr>
          <w:lang w:val="en-US"/>
        </w:rPr>
        <w:fldChar w:fldCharType="begin"/>
      </w:r>
      <w:r w:rsidR="00B2206F">
        <w:rPr>
          <w:lang w:val="en-US"/>
        </w:rPr>
        <w:instrText xml:space="preserve"> ADDIN ZOTERO_ITEM CSL_CITATION {"citationID":"L4YJQk1C","properties":{"formattedCitation":"Patricia Bazeley and Kristi Jackson, {\\i{}Qualitative Data Analysis with NVivo} (SAGE 2013) 95.","plainCitation":"Patricia Bazeley and Kristi Jackson, Qualitative Data Analysis with NVivo (SAGE 2013) 95.","noteIndex":148},"citationItems":[{"id":173,"uris":["http://zotero.org/users/7218282/items/SRR47XN6"],"uri":["http://zotero.org/users/7218282/items/SRR47XN6"],"itemData":{"id":173,"type":"book","abstract":"Lecturers/instructors only - request a free digital inspection copy here  This straightforward, jargon-free book provides an invaluable introduction to planning and conducting qualitative data analysis with NVivo. Written by leading authorities, with over 40 years combined experience in computer-assisted analysis of qualitative and mixed-mode data, the new edition of this best selling textbook is an ideal mix of practical instruction, methodology and real world examples. Practical, clear and focused the book effectively shows how NVivo software can accommodate and assist analysis across a wide range of research questions, data types, perspectives and methodologies. It sets out:  The power and flexibility of the NVivo software  How best to use NVivo at each stage in your research project  Examples from the authors′ own research and the sample data that accompanies the software, supplemented with vignettes drawn from across the social sciences  Annotated screen shots  A website with links to data, sample projects, supplementary/updated instructions, and SAGE journal content   This second edition contains new chapters on handling a literature review, visualizing data, working in mixed methods and social media datasets, and approaching NVivo as a team. An insightful step-by-step guide to the messy reality of doing computer-assisted analysis, this successful book is essential reading for anyone considering using NVivo software.","ISBN":"978-1-4462-8141-3","language":"en","note":"Google-Books-ID: Px8cJ3suqccC","number-of-pages":"330","publisher":"SAGE","source":"Google Books","title":"Qualitative Data Analysis with NVivo","author":[{"family":"Bazeley","given":"Patricia"},{"family":"Jackson","given":"Kristi"}],"issued":{"date-parts":[["2013",4,30]]}},"locator":"95"}],"schema":"https://github.com/citation-style-language/schema/raw/master/csl-citation.json"} </w:instrText>
      </w:r>
      <w:r w:rsidRPr="0044695B">
        <w:rPr>
          <w:lang w:val="en-US"/>
        </w:rPr>
        <w:fldChar w:fldCharType="separate"/>
      </w:r>
      <w:r w:rsidR="00F56F84" w:rsidRPr="00F56F84">
        <w:rPr>
          <w:szCs w:val="24"/>
        </w:rPr>
        <w:t xml:space="preserve">Patricia Bazeley and Kristi Jackson, </w:t>
      </w:r>
      <w:r w:rsidR="00F56F84" w:rsidRPr="00F56F84">
        <w:rPr>
          <w:i/>
          <w:iCs/>
          <w:szCs w:val="24"/>
        </w:rPr>
        <w:t>Qualitative Data Analysis with NVivo</w:t>
      </w:r>
      <w:r w:rsidR="00F56F84" w:rsidRPr="00F56F84">
        <w:rPr>
          <w:szCs w:val="24"/>
        </w:rPr>
        <w:t xml:space="preserve"> (SAGE 2013) 95.</w:t>
      </w:r>
      <w:r w:rsidRPr="0044695B">
        <w:rPr>
          <w:lang w:val="en-US"/>
        </w:rPr>
        <w:fldChar w:fldCharType="end"/>
      </w:r>
    </w:p>
  </w:footnote>
  <w:footnote w:id="26">
    <w:p w14:paraId="19207F05" w14:textId="6D5CAB13" w:rsidR="00FE3C2F" w:rsidRDefault="00FE3C2F">
      <w:pPr>
        <w:pStyle w:val="FootnoteText"/>
      </w:pPr>
      <w:r w:rsidRPr="00B2206F">
        <w:rPr>
          <w:rStyle w:val="FootnoteReference"/>
        </w:rPr>
        <w:footnoteRef/>
      </w:r>
      <w:r>
        <w:t xml:space="preserve"> </w:t>
      </w:r>
      <w:r>
        <w:fldChar w:fldCharType="begin"/>
      </w:r>
      <w:r>
        <w:instrText xml:space="preserve"> ADDIN ZOTERO_ITEM CSL_CITATION {"citationID":"odmpbqfs","properties":{"formattedCitation":"Carpenter, {\\i{}Reputation and Power} (n 31) 72.","plainCitation":"Carpenter, Reputation and Power (n 31) 72.","noteIndex":132},"citationItems":[{"id":135,"uris":["http://zotero.org/users/7218282/items/F4R82PBA"],"uri":["http://zotero.org/users/7218282/items/F4R82PBA"],"itemData":{"id":135,"type":"book","abstract":"How the FDA became the world's most powerful regulatory agencyThe U.S. Food and Drug Administration is the most powerful regulatory agency in the world. How did the FDA become so influential? And how exactly does it wield its extraordinary power? Reputation and Power traces the history of FDA regulation of pharmaceuticals, revealing how the agency's organizational reputation has been the primary source of its power, yet also one of its ultimate constraints.Daniel Carpenter describes how the FDA cultivated a reputation for competence and vigilance throughout the last century, and how this organizational image has enabled the agency to regulate an industry as powerful as American pharmaceuticals while resisting efforts to curb its own authority. Carpenter explains how the FDA's reputation and power have played out among committees in Congress, and with drug companies, advocacy groups, the media, research hospitals and universities, and governments in Europe and India. He shows how FDA regulatory power has influenced the way that business, medicine, and science are conducted in the United States and worldwide. Along the way, Carpenter offers new insights into the therapeutic revolution of the 1940s and 1950s; the 1980s AIDS crisis; the advent of oral contraceptives and cancer chemotherapy; the rise of antiregulatory conservatism; and the FDA's waning influence in drug regulation today.Reputation and Power demonstrates how reputation shapes the power and behavior of government agencies, and sheds new light on how that power is used and contested.Some images inside the book are unavailable due to digital copyright restrictions.","ISBN":"978-1-4008-3511-9","language":"en","note":"Google-Books-ID: e2EhL1vALjIC","number-of-pages":"825","publisher":"Princeton University Press","source":"Google Books","title":"Reputation and Power: Organizational Image and Pharmaceutical Regulation at the FDA","title-short":"Reputation and Power","author":[{"family":"Carpenter","given":"Daniel"}],"issued":{"date-parts":[["2010"]]}},"locator":"72"}],"schema":"https://github.com/citation-style-language/schema/raw/master/csl-citation.json"} </w:instrText>
      </w:r>
      <w:r>
        <w:fldChar w:fldCharType="separate"/>
      </w:r>
      <w:r w:rsidRPr="00FE3C2F">
        <w:rPr>
          <w:szCs w:val="24"/>
        </w:rPr>
        <w:t xml:space="preserve">Carpenter, </w:t>
      </w:r>
      <w:r w:rsidRPr="00FE3C2F">
        <w:rPr>
          <w:i/>
          <w:iCs/>
          <w:szCs w:val="24"/>
        </w:rPr>
        <w:t>Reputation and Power</w:t>
      </w:r>
      <w:r w:rsidRPr="00FE3C2F">
        <w:rPr>
          <w:szCs w:val="24"/>
        </w:rPr>
        <w:t xml:space="preserve"> (n 31) 72.</w:t>
      </w:r>
      <w:r>
        <w:fldChar w:fldCharType="end"/>
      </w:r>
    </w:p>
  </w:footnote>
  <w:footnote w:id="27">
    <w:p w14:paraId="74671696" w14:textId="0C54D22A" w:rsidR="005056A4" w:rsidRDefault="005056A4" w:rsidP="005056A4">
      <w:pPr>
        <w:pStyle w:val="FootnoteText"/>
      </w:pPr>
      <w:r w:rsidRPr="00B2206F">
        <w:rPr>
          <w:rStyle w:val="FootnoteReference"/>
        </w:rPr>
        <w:footnoteRef/>
      </w:r>
      <w:r>
        <w:t xml:space="preserve"> </w:t>
      </w:r>
      <w:r w:rsidRPr="0044695B">
        <w:rPr>
          <w:lang w:val="en-US"/>
        </w:rPr>
        <w:fldChar w:fldCharType="begin"/>
      </w:r>
      <w:r w:rsidR="00B2206F">
        <w:rPr>
          <w:lang w:val="en-US"/>
        </w:rPr>
        <w:instrText xml:space="preserve"> ADDIN ZOTERO_ITEM CSL_CITATION {"citationID":"b9dPjR1v","properties":{"formattedCitation":"Bazeley and Jackson (n 148) 34.","plainCitation":"Bazeley and Jackson (n 148) 34.","noteIndex":150},"citationItems":[{"id":173,"uris":["http://zotero.org/users/7218282/items/SRR47XN6"],"uri":["http://zotero.org/users/7218282/items/SRR47XN6"],"itemData":{"id":173,"type":"book","abstract":"Lecturers/instructors only - request a free digital inspection copy here  This straightforward, jargon-free book provides an invaluable introduction to planning and conducting qualitative data analysis with NVivo. Written by leading authorities, with over 40 years combined experience in computer-assisted analysis of qualitative and mixed-mode data, the new edition of this best selling textbook is an ideal mix of practical instruction, methodology and real world examples. Practical, clear and focused the book effectively shows how NVivo software can accommodate and assist analysis across a wide range of research questions, data types, perspectives and methodologies. It sets out:  The power and flexibility of the NVivo software  How best to use NVivo at each stage in your research project  Examples from the authors′ own research and the sample data that accompanies the software, supplemented with vignettes drawn from across the social sciences  Annotated screen shots  A website with links to data, sample projects, supplementary/updated instructions, and SAGE journal content   This second edition contains new chapters on handling a literature review, visualizing data, working in mixed methods and social media datasets, and approaching NVivo as a team. An insightful step-by-step guide to the messy reality of doing computer-assisted analysis, this successful book is essential reading for anyone considering using NVivo software.","ISBN":"978-1-4462-8141-3","language":"en","note":"Google-Books-ID: Px8cJ3suqccC","number-of-pages":"330","publisher":"SAGE","source":"Google Books","title":"Qualitative Data Analysis with NVivo","author":[{"family":"Bazeley","given":"Patricia"},{"family":"Jackson","given":"Kristi"}],"issued":{"date-parts":[["2013",4,30]]}},"locator":"34"}],"schema":"https://github.com/citation-style-language/schema/raw/master/csl-citation.json"} </w:instrText>
      </w:r>
      <w:r w:rsidRPr="0044695B">
        <w:rPr>
          <w:lang w:val="en-US"/>
        </w:rPr>
        <w:fldChar w:fldCharType="separate"/>
      </w:r>
      <w:r w:rsidR="00B2206F" w:rsidRPr="00B2206F">
        <w:t>Bazeley and Jackson (n 148) 34.</w:t>
      </w:r>
      <w:r w:rsidRPr="0044695B">
        <w:rPr>
          <w:lang w:val="en-US"/>
        </w:rPr>
        <w:fldChar w:fldCharType="end"/>
      </w:r>
    </w:p>
  </w:footnote>
  <w:footnote w:id="28">
    <w:p w14:paraId="2B42F2FA" w14:textId="337E6005" w:rsidR="005056A4" w:rsidRDefault="005056A4" w:rsidP="005056A4">
      <w:pPr>
        <w:pStyle w:val="FootnoteText"/>
      </w:pPr>
      <w:r w:rsidRPr="00B2206F">
        <w:rPr>
          <w:rStyle w:val="FootnoteReference"/>
        </w:rPr>
        <w:footnoteRef/>
      </w:r>
      <w:r>
        <w:t xml:space="preserve"> </w:t>
      </w:r>
      <w:r w:rsidRPr="0044695B">
        <w:rPr>
          <w:lang w:val="en-US"/>
        </w:rPr>
        <w:fldChar w:fldCharType="begin"/>
      </w:r>
      <w:r w:rsidR="00B2206F">
        <w:rPr>
          <w:lang w:val="en-US"/>
        </w:rPr>
        <w:instrText xml:space="preserve"> ADDIN ZOTERO_ITEM CSL_CITATION {"citationID":"nCXp2rbT","properties":{"formattedCitation":"Bazeley and Jackson (n 148) 108.","plainCitation":"Bazeley and Jackson (n 148) 108.","noteIndex":151},"citationItems":[{"id":173,"uris":["http://zotero.org/users/7218282/items/SRR47XN6"],"uri":["http://zotero.org/users/7218282/items/SRR47XN6"],"itemData":{"id":173,"type":"book","abstract":"Lecturers/instructors only - request a free digital inspection copy here  This straightforward, jargon-free book provides an invaluable introduction to planning and conducting qualitative data analysis with NVivo. Written by leading authorities, with over 40 years combined experience in computer-assisted analysis of qualitative and mixed-mode data, the new edition of this best selling textbook is an ideal mix of practical instruction, methodology and real world examples. Practical, clear and focused the book effectively shows how NVivo software can accommodate and assist analysis across a wide range of research questions, data types, perspectives and methodologies. It sets out:  The power and flexibility of the NVivo software  How best to use NVivo at each stage in your research project  Examples from the authors′ own research and the sample data that accompanies the software, supplemented with vignettes drawn from across the social sciences  Annotated screen shots  A website with links to data, sample projects, supplementary/updated instructions, and SAGE journal content   This second edition contains new chapters on handling a literature review, visualizing data, working in mixed methods and social media datasets, and approaching NVivo as a team. An insightful step-by-step guide to the messy reality of doing computer-assisted analysis, this successful book is essential reading for anyone considering using NVivo software.","ISBN":"978-1-4462-8141-3","language":"en","note":"Google-Books-ID: Px8cJ3suqccC","number-of-pages":"330","publisher":"SAGE","source":"Google Books","title":"Qualitative Data Analysis with NVivo","author":[{"family":"Bazeley","given":"Patricia"},{"family":"Jackson","given":"Kristi"}],"issued":{"date-parts":[["2013",4,30]]}},"locator":"108"}],"schema":"https://github.com/citation-style-language/schema/raw/master/csl-citation.json"} </w:instrText>
      </w:r>
      <w:r w:rsidRPr="0044695B">
        <w:rPr>
          <w:lang w:val="en-US"/>
        </w:rPr>
        <w:fldChar w:fldCharType="separate"/>
      </w:r>
      <w:r w:rsidR="00B2206F" w:rsidRPr="00B2206F">
        <w:t>Bazeley and Jackson (n 148) 108.</w:t>
      </w:r>
      <w:r w:rsidRPr="0044695B">
        <w:rPr>
          <w:lang w:val="en-US"/>
        </w:rPr>
        <w:fldChar w:fldCharType="end"/>
      </w:r>
    </w:p>
  </w:footnote>
  <w:footnote w:id="29">
    <w:p w14:paraId="555E29F3" w14:textId="0A3ACFB9" w:rsidR="00795C88" w:rsidRDefault="00795C88">
      <w:pPr>
        <w:pStyle w:val="FootnoteText"/>
      </w:pPr>
      <w:r w:rsidRPr="00B2206F">
        <w:rPr>
          <w:rStyle w:val="FootnoteReference"/>
        </w:rPr>
        <w:footnoteRef/>
      </w:r>
      <w:r>
        <w:t xml:space="preserve"> </w:t>
      </w:r>
      <w:r w:rsidRPr="0044695B">
        <w:rPr>
          <w:lang w:val="en-US"/>
        </w:rPr>
        <w:fldChar w:fldCharType="begin"/>
      </w:r>
      <w:r w:rsidR="00F56F84">
        <w:rPr>
          <w:lang w:val="en-US"/>
        </w:rPr>
        <w:instrText xml:space="preserve"> ADDIN ZOTERO_ITEM CSL_CITATION {"citationID":"hbnGdmkN","properties":{"formattedCitation":"\\uc0\\u193{}ine M Humble, \\uc0\\u8216{}Technique Triangulation for Validation in Directed Content Analysis\\uc0\\u8217{} (2009) 8 International Journal of Qualitative Methods 34.","plainCitation":"Áine M Humble, ‘Technique Triangulation for Validation in Directed Content Analysis’ (2009) 8 International Journal of Qualitative Methods 34.","noteIndex":134},"citationItems":[{"id":95,"uris":["http://zotero.org/users/7218282/items/4IWS45VW"],"uri":["http://zotero.org/users/7218282/items/4IWS45VW"],"itemData":{"id":95,"type":"article-journal","abstract":"Division of labor in wedding planning varies for first-time marriages, with three types of couples—traditional, transitional, and egalitarian—identified, but nothing is known about wedding planning for remarrying individuals. Using semistructured interviews, the author interviewed 14 couples in which at least one person had remarried and used directed content analysis to investigate the extent to which the aforementioned typology could be transferred to this different context. In this paper she describes how a triangulation of analytic techniques provided validation for couple classifications and also helped with moving beyond “blind spots” in data analysis. Analytic approaches were the constant comparative technique, rank order comparison, and visual representation of coding, using MAXQDA 2007's tool called TextPortraits.","container-title":"International Journal of Qualitative Methods","DOI":"10.1177/160940690900800305","ISSN":"1609-4069","issue":"3","journalAbbreviation":"International Journal of Qualitative Methods","language":"en","note":"publisher: SAGE Publications Inc","page":"34-51","source":"SAGE Journals","title":"Technique Triangulation for Validation in Directed Content Analysis","volume":"8","author":[{"family":"Humble","given":"Áine M."}],"issued":{"date-parts":[["2009",9,1]]}}}],"schema":"https://github.com/citation-style-language/schema/raw/master/csl-citation.json"} </w:instrText>
      </w:r>
      <w:r w:rsidRPr="0044695B">
        <w:rPr>
          <w:lang w:val="en-US"/>
        </w:rPr>
        <w:fldChar w:fldCharType="separate"/>
      </w:r>
      <w:r w:rsidR="00F56F84" w:rsidRPr="00F56F84">
        <w:rPr>
          <w:szCs w:val="24"/>
        </w:rPr>
        <w:t>Áine M Humble, ‘Technique Triangulation for Validation in Directed Content Analysis’ (2009) 8 International Journal of Qualitative Methods 34.</w:t>
      </w:r>
      <w:r w:rsidRPr="0044695B">
        <w:rPr>
          <w:lang w:val="en-US"/>
        </w:rPr>
        <w:fldChar w:fldCharType="end"/>
      </w:r>
    </w:p>
  </w:footnote>
  <w:footnote w:id="30">
    <w:p w14:paraId="506EF07C" w14:textId="049B0D80" w:rsidR="00487596" w:rsidRDefault="00487596" w:rsidP="00487596">
      <w:pPr>
        <w:pStyle w:val="FootnoteText"/>
      </w:pPr>
      <w:r w:rsidRPr="00B2206F">
        <w:rPr>
          <w:rStyle w:val="FootnoteReference"/>
        </w:rPr>
        <w:footnoteRef/>
      </w:r>
      <w:r>
        <w:t xml:space="preserve"> </w:t>
      </w:r>
      <w:r w:rsidRPr="0044695B">
        <w:rPr>
          <w:lang w:val="en-US"/>
        </w:rPr>
        <w:fldChar w:fldCharType="begin"/>
      </w:r>
      <w:r w:rsidR="00FE3C2F">
        <w:rPr>
          <w:lang w:val="en-US"/>
        </w:rPr>
        <w:instrText xml:space="preserve"> ADDIN ZOTERO_ITEM CSL_CITATION {"citationID":"jQCvefqR","properties":{"formattedCitation":"Carpenter, {\\i{}Reputation and Power} (n 31) 45.","plainCitation":"Carpenter, Reputation and Power (n 31) 45.","noteIndex":136},"citationItems":[{"id":135,"uris":["http://zotero.org/users/7218282/items/F4R82PBA"],"uri":["http://zotero.org/users/7218282/items/F4R82PBA"],"itemData":{"id":135,"type":"book","abstract":"How the FDA became the world's most powerful regulatory agencyThe U.S. Food and Drug Administration is the most powerful regulatory agency in the world. How did the FDA become so influential? And how exactly does it wield its extraordinary power? Reputation and Power traces the history of FDA regulation of pharmaceuticals, revealing how the agency's organizational reputation has been the primary source of its power, yet also one of its ultimate constraints.Daniel Carpenter describes how the FDA cultivated a reputation for competence and vigilance throughout the last century, and how this organizational image has enabled the agency to regulate an industry as powerful as American pharmaceuticals while resisting efforts to curb its own authority. Carpenter explains how the FDA's reputation and power have played out among committees in Congress, and with drug companies, advocacy groups, the media, research hospitals and universities, and governments in Europe and India. He shows how FDA regulatory power has influenced the way that business, medicine, and science are conducted in the United States and worldwide. Along the way, Carpenter offers new insights into the therapeutic revolution of the 1940s and 1950s; the 1980s AIDS crisis; the advent of oral contraceptives and cancer chemotherapy; the rise of antiregulatory conservatism; and the FDA's waning influence in drug regulation today.Reputation and Power demonstrates how reputation shapes the power and behavior of government agencies, and sheds new light on how that power is used and contested.Some images inside the book are unavailable due to digital copyright restrictions.","ISBN":"978-1-4008-3511-9","language":"en","note":"Google-Books-ID: e2EhL1vALjIC","number-of-pages":"825","publisher":"Princeton University Press","source":"Google Books","title":"Reputation and Power: Organizational Image and Pharmaceutical Regulation at the FDA","title-short":"Reputation and Power","author":[{"family":"Carpenter","given":"Daniel"}],"issued":{"date-parts":[["2010"]]}},"locator":"45"}],"schema":"https://github.com/citation-style-language/schema/raw/master/csl-citation.json"} </w:instrText>
      </w:r>
      <w:r w:rsidRPr="0044695B">
        <w:rPr>
          <w:lang w:val="en-US"/>
        </w:rPr>
        <w:fldChar w:fldCharType="separate"/>
      </w:r>
      <w:r w:rsidR="00F56F84" w:rsidRPr="00F56F84">
        <w:rPr>
          <w:szCs w:val="24"/>
        </w:rPr>
        <w:t xml:space="preserve">Carpenter, </w:t>
      </w:r>
      <w:r w:rsidR="00F56F84" w:rsidRPr="00F56F84">
        <w:rPr>
          <w:i/>
          <w:iCs/>
          <w:szCs w:val="24"/>
        </w:rPr>
        <w:t>Reputation and Power</w:t>
      </w:r>
      <w:r w:rsidR="00F56F84" w:rsidRPr="00F56F84">
        <w:rPr>
          <w:szCs w:val="24"/>
        </w:rPr>
        <w:t xml:space="preserve"> (n 31) 45.</w:t>
      </w:r>
      <w:r w:rsidRPr="0044695B">
        <w:rPr>
          <w:lang w:val="en-US"/>
        </w:rPr>
        <w:fldChar w:fldCharType="end"/>
      </w:r>
    </w:p>
  </w:footnote>
  <w:footnote w:id="31">
    <w:p w14:paraId="3142060A" w14:textId="3461620E" w:rsidR="00795C88" w:rsidRDefault="00795C88">
      <w:pPr>
        <w:pStyle w:val="FootnoteText"/>
      </w:pPr>
      <w:r w:rsidRPr="00B2206F">
        <w:rPr>
          <w:rStyle w:val="FootnoteReference"/>
        </w:rPr>
        <w:footnoteRef/>
      </w:r>
      <w:r>
        <w:t xml:space="preserve"> </w:t>
      </w:r>
      <w:r w:rsidRPr="0044695B">
        <w:rPr>
          <w:lang w:val="en-US"/>
        </w:rPr>
        <w:fldChar w:fldCharType="begin"/>
      </w:r>
      <w:r w:rsidR="00F56F84">
        <w:rPr>
          <w:lang w:val="en-US"/>
        </w:rPr>
        <w:instrText xml:space="preserve"> ADDIN ZOTERO_ITEM CSL_CITATION {"citationID":"P5WtQZaE","properties":{"formattedCitation":"e.g. Overman, Busuioc and Wood (n 115).","plainCitation":"e.g. Overman, Busuioc and Wood (n 115).","noteIndex":136},"citationItems":[{"id":57,"uris":["http://zotero.org/users/7218282/items/GV8JNHSQ"],"uri":["http://zotero.org/users/7218282/items/GV8JNHSQ"],"itemData":{"id":57,"type":"article-journal","abstract":"Reputation is of growing interest for the study of public bureaucracies, but a measurement that can discern between the subdimensions of reputation and is validated on real-life audiences has remained elusive. The authors deductively build, test, and cross-validate a survey instrument through two surveys of 2,100 key stakeholders of the European Chemicals Agency, the European Union chemicals regulator. This empirical tool measures an agency's reputation and its building blocks. This scale represents an important contribution to reputation literature, as it allows scholars to distinguish and measure which aspects of reputation public organizations are “known for” and build their claim to authority on, as well as how the profiles of public organizations differ. The authors find that direct stakeholder contact with the agency is necessary for stakeholders to be able to evaluate the separate dimensions of reputation independently. Evidence for Practice This study equips practitioners with a reputation barometer tailored to the public sector. It allows them to measure the reputation of their organization, in a differentiated fashion, among different stakeholder groups. While public organizations increasingly engage in reputation management activities, a potential caveat that emerges from our exercise is that managers might be steering in non-astute directions. While our study shows that, as for private actors, “performance matters,” procedural and moral aspects also weigh heavily in the eyes of stakeholders when it comes to public regulators. To secure a positive organizational image and the authority crucial for public agencies to operate, the performance management turn in the public sector may need to be supplemented by an enhanced organizational attention to procedural and moral aspects.","container-title":"Public Administration Review","DOI":"https://doi.org/10.1111/puar.13158","ISSN":"1540-6210","issue":"3","language":"en","note":"_eprint: https://onlinelibrary.wiley.com/doi/pdf/10.1111/puar.13158","page":"415-425","source":"Wiley Online Library","title":"A Multidimensional Reputation Barometer for Public Agencies: A Validated Instrument","title-short":"A Multidimensional Reputation Barometer for Public Agencies","volume":"80","author":[{"family":"Overman","given":"Sjors"},{"family":"Busuioc","given":"Madalina"},{"family":"Wood","given":"Matthew"}],"issued":{"date-parts":[["2020"]]}},"prefix":"e.g. "}],"schema":"https://github.com/citation-style-language/schema/raw/master/csl-citation.json"} </w:instrText>
      </w:r>
      <w:r w:rsidRPr="0044695B">
        <w:rPr>
          <w:lang w:val="en-US"/>
        </w:rPr>
        <w:fldChar w:fldCharType="separate"/>
      </w:r>
      <w:r w:rsidR="00F56F84" w:rsidRPr="00F56F84">
        <w:t>e.g. Overman, Busuioc and Wood (n 115).</w:t>
      </w:r>
      <w:r w:rsidRPr="0044695B">
        <w:rPr>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4B2"/>
    <w:multiLevelType w:val="hybridMultilevel"/>
    <w:tmpl w:val="C1DA5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53B39"/>
    <w:multiLevelType w:val="hybridMultilevel"/>
    <w:tmpl w:val="66820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D10C4D"/>
    <w:multiLevelType w:val="hybridMultilevel"/>
    <w:tmpl w:val="367458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C722D5"/>
    <w:multiLevelType w:val="multilevel"/>
    <w:tmpl w:val="F1E69F1A"/>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622CA6"/>
    <w:multiLevelType w:val="hybridMultilevel"/>
    <w:tmpl w:val="BC4898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E91375"/>
    <w:multiLevelType w:val="hybridMultilevel"/>
    <w:tmpl w:val="3C2828A0"/>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AEA48FA"/>
    <w:multiLevelType w:val="multilevel"/>
    <w:tmpl w:val="DEA4D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327FAE"/>
    <w:multiLevelType w:val="multilevel"/>
    <w:tmpl w:val="2A427E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7B2520C"/>
    <w:multiLevelType w:val="hybridMultilevel"/>
    <w:tmpl w:val="BDBED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D51D2F"/>
    <w:multiLevelType w:val="hybridMultilevel"/>
    <w:tmpl w:val="3674589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DF933E9"/>
    <w:multiLevelType w:val="multilevel"/>
    <w:tmpl w:val="63C02B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6"/>
  </w:num>
  <w:num w:numId="3">
    <w:abstractNumId w:val="10"/>
  </w:num>
  <w:num w:numId="4">
    <w:abstractNumId w:val="7"/>
  </w:num>
  <w:num w:numId="5">
    <w:abstractNumId w:val="3"/>
  </w:num>
  <w:num w:numId="6">
    <w:abstractNumId w:val="0"/>
  </w:num>
  <w:num w:numId="7">
    <w:abstractNumId w:val="2"/>
  </w:num>
  <w:num w:numId="8">
    <w:abstractNumId w:val="9"/>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E0"/>
    <w:rsid w:val="00002DDB"/>
    <w:rsid w:val="00002EF9"/>
    <w:rsid w:val="00010175"/>
    <w:rsid w:val="00013FA5"/>
    <w:rsid w:val="00014A3D"/>
    <w:rsid w:val="00021729"/>
    <w:rsid w:val="000314E1"/>
    <w:rsid w:val="00051C18"/>
    <w:rsid w:val="0005287D"/>
    <w:rsid w:val="000623AD"/>
    <w:rsid w:val="000623C5"/>
    <w:rsid w:val="00062A8D"/>
    <w:rsid w:val="00072A8A"/>
    <w:rsid w:val="00074AAD"/>
    <w:rsid w:val="000774EE"/>
    <w:rsid w:val="00077710"/>
    <w:rsid w:val="00081D58"/>
    <w:rsid w:val="000831B3"/>
    <w:rsid w:val="000860F6"/>
    <w:rsid w:val="0009710C"/>
    <w:rsid w:val="000A2CE4"/>
    <w:rsid w:val="000A636E"/>
    <w:rsid w:val="000A7470"/>
    <w:rsid w:val="000B3770"/>
    <w:rsid w:val="000B5C32"/>
    <w:rsid w:val="000B69DD"/>
    <w:rsid w:val="000B7E71"/>
    <w:rsid w:val="000C1758"/>
    <w:rsid w:val="000D0E4F"/>
    <w:rsid w:val="000D16BE"/>
    <w:rsid w:val="000E0D1A"/>
    <w:rsid w:val="000E3024"/>
    <w:rsid w:val="000E3B10"/>
    <w:rsid w:val="000E7E35"/>
    <w:rsid w:val="000F1427"/>
    <w:rsid w:val="000F159C"/>
    <w:rsid w:val="000F63CF"/>
    <w:rsid w:val="00111242"/>
    <w:rsid w:val="00114D71"/>
    <w:rsid w:val="00115CCF"/>
    <w:rsid w:val="00120017"/>
    <w:rsid w:val="001227D7"/>
    <w:rsid w:val="001231BC"/>
    <w:rsid w:val="00141411"/>
    <w:rsid w:val="00142747"/>
    <w:rsid w:val="001504DB"/>
    <w:rsid w:val="00155DC2"/>
    <w:rsid w:val="00162D7E"/>
    <w:rsid w:val="00164C4D"/>
    <w:rsid w:val="00165F11"/>
    <w:rsid w:val="00171FFE"/>
    <w:rsid w:val="001738F3"/>
    <w:rsid w:val="001760CA"/>
    <w:rsid w:val="00177F76"/>
    <w:rsid w:val="00196289"/>
    <w:rsid w:val="00196F10"/>
    <w:rsid w:val="001A08D0"/>
    <w:rsid w:val="001A6118"/>
    <w:rsid w:val="001B05A3"/>
    <w:rsid w:val="001B4D31"/>
    <w:rsid w:val="001B685F"/>
    <w:rsid w:val="001C3217"/>
    <w:rsid w:val="001D4303"/>
    <w:rsid w:val="001E2203"/>
    <w:rsid w:val="001E3093"/>
    <w:rsid w:val="001E3467"/>
    <w:rsid w:val="001F20D6"/>
    <w:rsid w:val="001F3763"/>
    <w:rsid w:val="001F3A86"/>
    <w:rsid w:val="001F3BD7"/>
    <w:rsid w:val="001F7606"/>
    <w:rsid w:val="00200029"/>
    <w:rsid w:val="00201A25"/>
    <w:rsid w:val="002031BB"/>
    <w:rsid w:val="002066C5"/>
    <w:rsid w:val="002074A2"/>
    <w:rsid w:val="00207C93"/>
    <w:rsid w:val="0021131D"/>
    <w:rsid w:val="00227495"/>
    <w:rsid w:val="00230A2B"/>
    <w:rsid w:val="002313E0"/>
    <w:rsid w:val="00233984"/>
    <w:rsid w:val="0023572A"/>
    <w:rsid w:val="002400F2"/>
    <w:rsid w:val="0024065C"/>
    <w:rsid w:val="00256E8F"/>
    <w:rsid w:val="00266E70"/>
    <w:rsid w:val="00267C4A"/>
    <w:rsid w:val="00271B09"/>
    <w:rsid w:val="00276667"/>
    <w:rsid w:val="00282CE3"/>
    <w:rsid w:val="00287862"/>
    <w:rsid w:val="0029208D"/>
    <w:rsid w:val="002A02AB"/>
    <w:rsid w:val="002A0D5B"/>
    <w:rsid w:val="002A2E06"/>
    <w:rsid w:val="002A7DC1"/>
    <w:rsid w:val="002B1531"/>
    <w:rsid w:val="002B7DEA"/>
    <w:rsid w:val="002B7EF2"/>
    <w:rsid w:val="002C0EDC"/>
    <w:rsid w:val="002C1849"/>
    <w:rsid w:val="002C1DEC"/>
    <w:rsid w:val="002C4688"/>
    <w:rsid w:val="002D0352"/>
    <w:rsid w:val="002D1C63"/>
    <w:rsid w:val="002E4148"/>
    <w:rsid w:val="002F18F6"/>
    <w:rsid w:val="00301E4B"/>
    <w:rsid w:val="0031146B"/>
    <w:rsid w:val="003141B3"/>
    <w:rsid w:val="00317725"/>
    <w:rsid w:val="00324F83"/>
    <w:rsid w:val="00332938"/>
    <w:rsid w:val="00333481"/>
    <w:rsid w:val="00341AB3"/>
    <w:rsid w:val="00346448"/>
    <w:rsid w:val="0036015D"/>
    <w:rsid w:val="003663DA"/>
    <w:rsid w:val="0038142F"/>
    <w:rsid w:val="00386158"/>
    <w:rsid w:val="00391245"/>
    <w:rsid w:val="0039142D"/>
    <w:rsid w:val="003952A7"/>
    <w:rsid w:val="003A0956"/>
    <w:rsid w:val="003A59C8"/>
    <w:rsid w:val="003A62D7"/>
    <w:rsid w:val="003B3AA4"/>
    <w:rsid w:val="003B3DC6"/>
    <w:rsid w:val="003C4DFD"/>
    <w:rsid w:val="003C52BF"/>
    <w:rsid w:val="003C738F"/>
    <w:rsid w:val="003D062B"/>
    <w:rsid w:val="003D7F30"/>
    <w:rsid w:val="003E046E"/>
    <w:rsid w:val="00400352"/>
    <w:rsid w:val="00400B1D"/>
    <w:rsid w:val="004012FA"/>
    <w:rsid w:val="00402782"/>
    <w:rsid w:val="004046FA"/>
    <w:rsid w:val="00406A5B"/>
    <w:rsid w:val="00412FEF"/>
    <w:rsid w:val="00417862"/>
    <w:rsid w:val="00424C1C"/>
    <w:rsid w:val="00424C8F"/>
    <w:rsid w:val="004309E8"/>
    <w:rsid w:val="00435E02"/>
    <w:rsid w:val="00441736"/>
    <w:rsid w:val="00452455"/>
    <w:rsid w:val="00455729"/>
    <w:rsid w:val="00463843"/>
    <w:rsid w:val="0046399C"/>
    <w:rsid w:val="0047150D"/>
    <w:rsid w:val="00471FE8"/>
    <w:rsid w:val="004723D3"/>
    <w:rsid w:val="004805C7"/>
    <w:rsid w:val="00481580"/>
    <w:rsid w:val="00481DCB"/>
    <w:rsid w:val="00482168"/>
    <w:rsid w:val="00487596"/>
    <w:rsid w:val="00487C19"/>
    <w:rsid w:val="0049334D"/>
    <w:rsid w:val="004A0B7B"/>
    <w:rsid w:val="004A1570"/>
    <w:rsid w:val="004A1673"/>
    <w:rsid w:val="004B05D8"/>
    <w:rsid w:val="004B0F46"/>
    <w:rsid w:val="004B4DA7"/>
    <w:rsid w:val="004B7CD4"/>
    <w:rsid w:val="004C227C"/>
    <w:rsid w:val="004D3859"/>
    <w:rsid w:val="004D40AB"/>
    <w:rsid w:val="004D424C"/>
    <w:rsid w:val="004D4C73"/>
    <w:rsid w:val="004D64BB"/>
    <w:rsid w:val="004D731C"/>
    <w:rsid w:val="004E2C96"/>
    <w:rsid w:val="004E7DDB"/>
    <w:rsid w:val="004F06D2"/>
    <w:rsid w:val="004F5B65"/>
    <w:rsid w:val="005056A4"/>
    <w:rsid w:val="00507ACF"/>
    <w:rsid w:val="00507BC2"/>
    <w:rsid w:val="00515861"/>
    <w:rsid w:val="005219D6"/>
    <w:rsid w:val="005230AD"/>
    <w:rsid w:val="00524855"/>
    <w:rsid w:val="00537F0E"/>
    <w:rsid w:val="005417FC"/>
    <w:rsid w:val="00543DB4"/>
    <w:rsid w:val="00545310"/>
    <w:rsid w:val="00550AE5"/>
    <w:rsid w:val="0055165C"/>
    <w:rsid w:val="005603D1"/>
    <w:rsid w:val="00571ACB"/>
    <w:rsid w:val="00571FD2"/>
    <w:rsid w:val="00574EA0"/>
    <w:rsid w:val="00575D9C"/>
    <w:rsid w:val="00577B7B"/>
    <w:rsid w:val="0058359D"/>
    <w:rsid w:val="0058615F"/>
    <w:rsid w:val="005864ED"/>
    <w:rsid w:val="005A4E0C"/>
    <w:rsid w:val="005A5072"/>
    <w:rsid w:val="005A7283"/>
    <w:rsid w:val="005C2E24"/>
    <w:rsid w:val="005C49B6"/>
    <w:rsid w:val="005C6F3B"/>
    <w:rsid w:val="005C7869"/>
    <w:rsid w:val="005D1170"/>
    <w:rsid w:val="005D3C8B"/>
    <w:rsid w:val="005D576A"/>
    <w:rsid w:val="005E21B9"/>
    <w:rsid w:val="005E22D0"/>
    <w:rsid w:val="005E2371"/>
    <w:rsid w:val="005E5FD3"/>
    <w:rsid w:val="005E61B3"/>
    <w:rsid w:val="005E70D3"/>
    <w:rsid w:val="005F2515"/>
    <w:rsid w:val="005F2936"/>
    <w:rsid w:val="005F5245"/>
    <w:rsid w:val="00603ED8"/>
    <w:rsid w:val="0060507F"/>
    <w:rsid w:val="0061006B"/>
    <w:rsid w:val="006129AF"/>
    <w:rsid w:val="0061647A"/>
    <w:rsid w:val="0062341D"/>
    <w:rsid w:val="00624889"/>
    <w:rsid w:val="00635775"/>
    <w:rsid w:val="0064371D"/>
    <w:rsid w:val="00651995"/>
    <w:rsid w:val="006523C4"/>
    <w:rsid w:val="006528D6"/>
    <w:rsid w:val="006751DB"/>
    <w:rsid w:val="006759B5"/>
    <w:rsid w:val="00676E76"/>
    <w:rsid w:val="00692BB6"/>
    <w:rsid w:val="006968BF"/>
    <w:rsid w:val="006A1BF7"/>
    <w:rsid w:val="006A40E6"/>
    <w:rsid w:val="006A41F6"/>
    <w:rsid w:val="006A4461"/>
    <w:rsid w:val="006B015D"/>
    <w:rsid w:val="006B0FC8"/>
    <w:rsid w:val="006B1FA9"/>
    <w:rsid w:val="006B2F73"/>
    <w:rsid w:val="006B71A3"/>
    <w:rsid w:val="006C6453"/>
    <w:rsid w:val="006C7559"/>
    <w:rsid w:val="006D56C5"/>
    <w:rsid w:val="006F1A90"/>
    <w:rsid w:val="006F323C"/>
    <w:rsid w:val="006F3A53"/>
    <w:rsid w:val="006F5538"/>
    <w:rsid w:val="00700369"/>
    <w:rsid w:val="00700E5C"/>
    <w:rsid w:val="00710A4D"/>
    <w:rsid w:val="007131A2"/>
    <w:rsid w:val="0071798A"/>
    <w:rsid w:val="007231F6"/>
    <w:rsid w:val="0072522E"/>
    <w:rsid w:val="007321DF"/>
    <w:rsid w:val="00735A74"/>
    <w:rsid w:val="00745DDC"/>
    <w:rsid w:val="00753411"/>
    <w:rsid w:val="007548B0"/>
    <w:rsid w:val="007576A5"/>
    <w:rsid w:val="00760831"/>
    <w:rsid w:val="00763AA2"/>
    <w:rsid w:val="00764466"/>
    <w:rsid w:val="007659FD"/>
    <w:rsid w:val="00766B38"/>
    <w:rsid w:val="007675B1"/>
    <w:rsid w:val="007763E9"/>
    <w:rsid w:val="00780E3F"/>
    <w:rsid w:val="0078311E"/>
    <w:rsid w:val="0079183E"/>
    <w:rsid w:val="007950E4"/>
    <w:rsid w:val="00795C88"/>
    <w:rsid w:val="007962AF"/>
    <w:rsid w:val="007A0C61"/>
    <w:rsid w:val="007A3753"/>
    <w:rsid w:val="007A4701"/>
    <w:rsid w:val="007A5B8D"/>
    <w:rsid w:val="007A694A"/>
    <w:rsid w:val="007B2171"/>
    <w:rsid w:val="007B4334"/>
    <w:rsid w:val="007B5221"/>
    <w:rsid w:val="007B6BF4"/>
    <w:rsid w:val="007B7719"/>
    <w:rsid w:val="007C127B"/>
    <w:rsid w:val="007C1894"/>
    <w:rsid w:val="007C5C6A"/>
    <w:rsid w:val="007D09C0"/>
    <w:rsid w:val="007D4C6A"/>
    <w:rsid w:val="007D7AE4"/>
    <w:rsid w:val="007D7E25"/>
    <w:rsid w:val="007E0C7D"/>
    <w:rsid w:val="007E2337"/>
    <w:rsid w:val="007E3593"/>
    <w:rsid w:val="007E4438"/>
    <w:rsid w:val="007E5B58"/>
    <w:rsid w:val="007F02AC"/>
    <w:rsid w:val="007F7944"/>
    <w:rsid w:val="00804218"/>
    <w:rsid w:val="00824B61"/>
    <w:rsid w:val="00825673"/>
    <w:rsid w:val="0083393D"/>
    <w:rsid w:val="00842C64"/>
    <w:rsid w:val="0084376E"/>
    <w:rsid w:val="008500DB"/>
    <w:rsid w:val="00853102"/>
    <w:rsid w:val="00857065"/>
    <w:rsid w:val="00866264"/>
    <w:rsid w:val="00867AA6"/>
    <w:rsid w:val="00870E81"/>
    <w:rsid w:val="00871146"/>
    <w:rsid w:val="008731F8"/>
    <w:rsid w:val="008753C2"/>
    <w:rsid w:val="008808D7"/>
    <w:rsid w:val="0088210B"/>
    <w:rsid w:val="008956A0"/>
    <w:rsid w:val="00897C0E"/>
    <w:rsid w:val="008A316C"/>
    <w:rsid w:val="008A47E7"/>
    <w:rsid w:val="008B0651"/>
    <w:rsid w:val="008B0784"/>
    <w:rsid w:val="008B4EB7"/>
    <w:rsid w:val="008B781B"/>
    <w:rsid w:val="008C0909"/>
    <w:rsid w:val="008C22B0"/>
    <w:rsid w:val="008C483A"/>
    <w:rsid w:val="008C5011"/>
    <w:rsid w:val="008D579A"/>
    <w:rsid w:val="008E22C5"/>
    <w:rsid w:val="008E3456"/>
    <w:rsid w:val="008E49D1"/>
    <w:rsid w:val="008E77EF"/>
    <w:rsid w:val="008E7B6E"/>
    <w:rsid w:val="008F189F"/>
    <w:rsid w:val="008F2447"/>
    <w:rsid w:val="009038D6"/>
    <w:rsid w:val="009111E1"/>
    <w:rsid w:val="0091455F"/>
    <w:rsid w:val="00915AD9"/>
    <w:rsid w:val="00924C11"/>
    <w:rsid w:val="00931152"/>
    <w:rsid w:val="0093286A"/>
    <w:rsid w:val="0094055A"/>
    <w:rsid w:val="00940713"/>
    <w:rsid w:val="00943C8D"/>
    <w:rsid w:val="009508E6"/>
    <w:rsid w:val="0095206A"/>
    <w:rsid w:val="00960F77"/>
    <w:rsid w:val="009614DB"/>
    <w:rsid w:val="009658D0"/>
    <w:rsid w:val="009713D8"/>
    <w:rsid w:val="00974005"/>
    <w:rsid w:val="00976A55"/>
    <w:rsid w:val="00977EFB"/>
    <w:rsid w:val="00980F3B"/>
    <w:rsid w:val="00985191"/>
    <w:rsid w:val="009915FD"/>
    <w:rsid w:val="009920EA"/>
    <w:rsid w:val="00996381"/>
    <w:rsid w:val="0099732F"/>
    <w:rsid w:val="009A6EC0"/>
    <w:rsid w:val="009B0B18"/>
    <w:rsid w:val="009B15C6"/>
    <w:rsid w:val="009B391E"/>
    <w:rsid w:val="009B6EB0"/>
    <w:rsid w:val="009B6FD6"/>
    <w:rsid w:val="009C2252"/>
    <w:rsid w:val="009D385E"/>
    <w:rsid w:val="009D5633"/>
    <w:rsid w:val="009F4CA4"/>
    <w:rsid w:val="00A02457"/>
    <w:rsid w:val="00A03B05"/>
    <w:rsid w:val="00A040DF"/>
    <w:rsid w:val="00A158BD"/>
    <w:rsid w:val="00A22E0D"/>
    <w:rsid w:val="00A2376D"/>
    <w:rsid w:val="00A23819"/>
    <w:rsid w:val="00A27215"/>
    <w:rsid w:val="00A30870"/>
    <w:rsid w:val="00A35214"/>
    <w:rsid w:val="00A36B98"/>
    <w:rsid w:val="00A3702C"/>
    <w:rsid w:val="00A40A1F"/>
    <w:rsid w:val="00A42927"/>
    <w:rsid w:val="00A536E0"/>
    <w:rsid w:val="00A55C4A"/>
    <w:rsid w:val="00A574E1"/>
    <w:rsid w:val="00A579AA"/>
    <w:rsid w:val="00A74281"/>
    <w:rsid w:val="00A927B1"/>
    <w:rsid w:val="00A940A3"/>
    <w:rsid w:val="00A948EF"/>
    <w:rsid w:val="00A95F2F"/>
    <w:rsid w:val="00A96E48"/>
    <w:rsid w:val="00AA21DA"/>
    <w:rsid w:val="00AA4C27"/>
    <w:rsid w:val="00AA5477"/>
    <w:rsid w:val="00AB51C5"/>
    <w:rsid w:val="00AB5E49"/>
    <w:rsid w:val="00AB6C3D"/>
    <w:rsid w:val="00AC451A"/>
    <w:rsid w:val="00AE2D1D"/>
    <w:rsid w:val="00AF6A42"/>
    <w:rsid w:val="00B00FF5"/>
    <w:rsid w:val="00B06645"/>
    <w:rsid w:val="00B1011E"/>
    <w:rsid w:val="00B11844"/>
    <w:rsid w:val="00B12569"/>
    <w:rsid w:val="00B2206F"/>
    <w:rsid w:val="00B228D6"/>
    <w:rsid w:val="00B24D16"/>
    <w:rsid w:val="00B34FA9"/>
    <w:rsid w:val="00B35F35"/>
    <w:rsid w:val="00B3673B"/>
    <w:rsid w:val="00B41850"/>
    <w:rsid w:val="00B419BB"/>
    <w:rsid w:val="00B41A71"/>
    <w:rsid w:val="00B46101"/>
    <w:rsid w:val="00B51578"/>
    <w:rsid w:val="00B51C6D"/>
    <w:rsid w:val="00B64D4E"/>
    <w:rsid w:val="00B74FDB"/>
    <w:rsid w:val="00B85D34"/>
    <w:rsid w:val="00B85F3C"/>
    <w:rsid w:val="00B90A33"/>
    <w:rsid w:val="00B95B82"/>
    <w:rsid w:val="00B962CB"/>
    <w:rsid w:val="00BA0BF1"/>
    <w:rsid w:val="00BA1B1C"/>
    <w:rsid w:val="00BA2C52"/>
    <w:rsid w:val="00BA3A01"/>
    <w:rsid w:val="00BA458D"/>
    <w:rsid w:val="00BA4C8C"/>
    <w:rsid w:val="00BA7C95"/>
    <w:rsid w:val="00BB47C0"/>
    <w:rsid w:val="00BB5CB1"/>
    <w:rsid w:val="00BB72F4"/>
    <w:rsid w:val="00BC4498"/>
    <w:rsid w:val="00BC675F"/>
    <w:rsid w:val="00BE7C0E"/>
    <w:rsid w:val="00BF5167"/>
    <w:rsid w:val="00BF5306"/>
    <w:rsid w:val="00C0039D"/>
    <w:rsid w:val="00C00AAC"/>
    <w:rsid w:val="00C043E1"/>
    <w:rsid w:val="00C049BD"/>
    <w:rsid w:val="00C07221"/>
    <w:rsid w:val="00C07DBA"/>
    <w:rsid w:val="00C07FC8"/>
    <w:rsid w:val="00C117DB"/>
    <w:rsid w:val="00C14766"/>
    <w:rsid w:val="00C20B4E"/>
    <w:rsid w:val="00C25691"/>
    <w:rsid w:val="00C318AF"/>
    <w:rsid w:val="00C320F5"/>
    <w:rsid w:val="00C36369"/>
    <w:rsid w:val="00C41809"/>
    <w:rsid w:val="00C45B0C"/>
    <w:rsid w:val="00C4655C"/>
    <w:rsid w:val="00C50DD7"/>
    <w:rsid w:val="00C514D2"/>
    <w:rsid w:val="00C5404A"/>
    <w:rsid w:val="00C63C34"/>
    <w:rsid w:val="00C713DE"/>
    <w:rsid w:val="00C84977"/>
    <w:rsid w:val="00C86103"/>
    <w:rsid w:val="00CA409B"/>
    <w:rsid w:val="00CB1D6E"/>
    <w:rsid w:val="00CB2A07"/>
    <w:rsid w:val="00CB3066"/>
    <w:rsid w:val="00CB6EA5"/>
    <w:rsid w:val="00CC40DC"/>
    <w:rsid w:val="00CD2896"/>
    <w:rsid w:val="00CD6F68"/>
    <w:rsid w:val="00CE0FAA"/>
    <w:rsid w:val="00CE2EDE"/>
    <w:rsid w:val="00CE371A"/>
    <w:rsid w:val="00CE5EC3"/>
    <w:rsid w:val="00CF082F"/>
    <w:rsid w:val="00CF32B5"/>
    <w:rsid w:val="00CF7AF5"/>
    <w:rsid w:val="00D014B1"/>
    <w:rsid w:val="00D038FD"/>
    <w:rsid w:val="00D0514D"/>
    <w:rsid w:val="00D06C81"/>
    <w:rsid w:val="00D07BF9"/>
    <w:rsid w:val="00D13566"/>
    <w:rsid w:val="00D1404A"/>
    <w:rsid w:val="00D16400"/>
    <w:rsid w:val="00D16696"/>
    <w:rsid w:val="00D178FE"/>
    <w:rsid w:val="00D17AEC"/>
    <w:rsid w:val="00D2068E"/>
    <w:rsid w:val="00D23849"/>
    <w:rsid w:val="00D26D81"/>
    <w:rsid w:val="00D279D3"/>
    <w:rsid w:val="00D338BA"/>
    <w:rsid w:val="00D4055A"/>
    <w:rsid w:val="00D411DD"/>
    <w:rsid w:val="00D438DE"/>
    <w:rsid w:val="00D4458C"/>
    <w:rsid w:val="00D46362"/>
    <w:rsid w:val="00D47540"/>
    <w:rsid w:val="00D548B6"/>
    <w:rsid w:val="00D56D2A"/>
    <w:rsid w:val="00D6166C"/>
    <w:rsid w:val="00D64E85"/>
    <w:rsid w:val="00D66720"/>
    <w:rsid w:val="00D669CA"/>
    <w:rsid w:val="00D71644"/>
    <w:rsid w:val="00D770E9"/>
    <w:rsid w:val="00D80A21"/>
    <w:rsid w:val="00D8650F"/>
    <w:rsid w:val="00D87C61"/>
    <w:rsid w:val="00D90665"/>
    <w:rsid w:val="00D90921"/>
    <w:rsid w:val="00D90A2A"/>
    <w:rsid w:val="00D956CD"/>
    <w:rsid w:val="00DA3180"/>
    <w:rsid w:val="00DA5DBA"/>
    <w:rsid w:val="00DA62C6"/>
    <w:rsid w:val="00DB094C"/>
    <w:rsid w:val="00DB179A"/>
    <w:rsid w:val="00DB1ECD"/>
    <w:rsid w:val="00DC04D4"/>
    <w:rsid w:val="00DC6C16"/>
    <w:rsid w:val="00DD4502"/>
    <w:rsid w:val="00DD5F6F"/>
    <w:rsid w:val="00DE5DD7"/>
    <w:rsid w:val="00DF1F8B"/>
    <w:rsid w:val="00DF3D9D"/>
    <w:rsid w:val="00DF6E7C"/>
    <w:rsid w:val="00DF7911"/>
    <w:rsid w:val="00E05A37"/>
    <w:rsid w:val="00E06758"/>
    <w:rsid w:val="00E167EA"/>
    <w:rsid w:val="00E21897"/>
    <w:rsid w:val="00E23F2B"/>
    <w:rsid w:val="00E267C5"/>
    <w:rsid w:val="00E37E8C"/>
    <w:rsid w:val="00E37F75"/>
    <w:rsid w:val="00E41B53"/>
    <w:rsid w:val="00E52819"/>
    <w:rsid w:val="00E613AD"/>
    <w:rsid w:val="00E743B7"/>
    <w:rsid w:val="00E765D7"/>
    <w:rsid w:val="00E845C5"/>
    <w:rsid w:val="00E97DF3"/>
    <w:rsid w:val="00EA0393"/>
    <w:rsid w:val="00EB209C"/>
    <w:rsid w:val="00EB20E6"/>
    <w:rsid w:val="00ED144F"/>
    <w:rsid w:val="00ED5697"/>
    <w:rsid w:val="00EF24D4"/>
    <w:rsid w:val="00EF7AB6"/>
    <w:rsid w:val="00F0119D"/>
    <w:rsid w:val="00F05D22"/>
    <w:rsid w:val="00F06579"/>
    <w:rsid w:val="00F06FAE"/>
    <w:rsid w:val="00F1191F"/>
    <w:rsid w:val="00F123DA"/>
    <w:rsid w:val="00F13E47"/>
    <w:rsid w:val="00F15A50"/>
    <w:rsid w:val="00F25784"/>
    <w:rsid w:val="00F2648E"/>
    <w:rsid w:val="00F34113"/>
    <w:rsid w:val="00F34C32"/>
    <w:rsid w:val="00F4748F"/>
    <w:rsid w:val="00F52699"/>
    <w:rsid w:val="00F53E27"/>
    <w:rsid w:val="00F56F84"/>
    <w:rsid w:val="00F61065"/>
    <w:rsid w:val="00F67CEC"/>
    <w:rsid w:val="00F708EA"/>
    <w:rsid w:val="00F71CFD"/>
    <w:rsid w:val="00F73145"/>
    <w:rsid w:val="00F74150"/>
    <w:rsid w:val="00F7526D"/>
    <w:rsid w:val="00F75F38"/>
    <w:rsid w:val="00F77E22"/>
    <w:rsid w:val="00F869EF"/>
    <w:rsid w:val="00F90DB4"/>
    <w:rsid w:val="00FA3EF5"/>
    <w:rsid w:val="00FB18F8"/>
    <w:rsid w:val="00FB791E"/>
    <w:rsid w:val="00FC074F"/>
    <w:rsid w:val="00FC7BD1"/>
    <w:rsid w:val="00FD05CD"/>
    <w:rsid w:val="00FD3DBB"/>
    <w:rsid w:val="00FD51AF"/>
    <w:rsid w:val="00FE3C2F"/>
    <w:rsid w:val="00FF7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79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AA"/>
    <w:pPr>
      <w:spacing w:line="48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571FD2"/>
    <w:pPr>
      <w:outlineLvl w:val="0"/>
    </w:pPr>
    <w:rPr>
      <w:b/>
      <w:bCs/>
      <w:sz w:val="28"/>
      <w:szCs w:val="28"/>
    </w:rPr>
  </w:style>
  <w:style w:type="paragraph" w:styleId="Heading2">
    <w:name w:val="heading 2"/>
    <w:basedOn w:val="Heading1"/>
    <w:next w:val="Normal"/>
    <w:link w:val="Heading2Char"/>
    <w:uiPriority w:val="9"/>
    <w:unhideWhenUsed/>
    <w:qFormat/>
    <w:rsid w:val="00400352"/>
    <w:pPr>
      <w:jc w:val="center"/>
      <w:outlineLvl w:val="1"/>
    </w:pPr>
    <w:rPr>
      <w:b w:val="0"/>
      <w:sz w:val="24"/>
      <w:szCs w:val="24"/>
    </w:rPr>
  </w:style>
  <w:style w:type="paragraph" w:styleId="Heading3">
    <w:name w:val="heading 3"/>
    <w:basedOn w:val="Normal"/>
    <w:next w:val="Normal"/>
    <w:link w:val="Heading3Char"/>
    <w:uiPriority w:val="9"/>
    <w:unhideWhenUsed/>
    <w:qFormat/>
    <w:rsid w:val="00400352"/>
    <w:pPr>
      <w:keepNext/>
      <w:jc w:val="center"/>
      <w:outlineLvl w:val="2"/>
    </w:pPr>
    <w:rPr>
      <w:rFonts w:eastAsia="Calibri"/>
      <w:b/>
      <w:bCs/>
      <w:iCs/>
      <w:lang w:val="en-US"/>
    </w:rPr>
  </w:style>
  <w:style w:type="paragraph" w:styleId="Heading4">
    <w:name w:val="heading 4"/>
    <w:basedOn w:val="Normal"/>
    <w:next w:val="Normal"/>
    <w:link w:val="Heading4Char"/>
    <w:uiPriority w:val="9"/>
    <w:unhideWhenUsed/>
    <w:qFormat/>
    <w:rsid w:val="00400352"/>
    <w:pPr>
      <w:jc w:val="center"/>
      <w:outlineLvl w:val="3"/>
    </w:pPr>
    <w:rPr>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FD2"/>
    <w:rPr>
      <w:rFonts w:ascii="Times New Roman" w:hAnsi="Times New Roman" w:cs="Times New Roman"/>
      <w:b/>
      <w:bCs/>
      <w:sz w:val="28"/>
      <w:szCs w:val="28"/>
      <w:lang w:val="en-GB"/>
    </w:rPr>
  </w:style>
  <w:style w:type="character" w:styleId="CommentReference">
    <w:name w:val="annotation reference"/>
    <w:basedOn w:val="DefaultParagraphFont"/>
    <w:uiPriority w:val="99"/>
    <w:semiHidden/>
    <w:unhideWhenUsed/>
    <w:rsid w:val="00EF24D4"/>
    <w:rPr>
      <w:sz w:val="16"/>
      <w:szCs w:val="16"/>
    </w:rPr>
  </w:style>
  <w:style w:type="paragraph" w:styleId="CommentText">
    <w:name w:val="annotation text"/>
    <w:basedOn w:val="Normal"/>
    <w:link w:val="CommentTextChar"/>
    <w:uiPriority w:val="99"/>
    <w:semiHidden/>
    <w:unhideWhenUsed/>
    <w:rsid w:val="00EF24D4"/>
    <w:pPr>
      <w:spacing w:line="240" w:lineRule="auto"/>
    </w:pPr>
    <w:rPr>
      <w:sz w:val="20"/>
      <w:szCs w:val="20"/>
    </w:rPr>
  </w:style>
  <w:style w:type="character" w:customStyle="1" w:styleId="CommentTextChar">
    <w:name w:val="Comment Text Char"/>
    <w:basedOn w:val="DefaultParagraphFont"/>
    <w:link w:val="CommentText"/>
    <w:uiPriority w:val="99"/>
    <w:semiHidden/>
    <w:rsid w:val="00EF24D4"/>
    <w:rPr>
      <w:sz w:val="20"/>
      <w:szCs w:val="20"/>
      <w:lang w:val="en-GB"/>
    </w:rPr>
  </w:style>
  <w:style w:type="paragraph" w:styleId="FootnoteText">
    <w:name w:val="footnote text"/>
    <w:basedOn w:val="Normal"/>
    <w:link w:val="FootnoteTextChar"/>
    <w:uiPriority w:val="99"/>
    <w:unhideWhenUsed/>
    <w:rsid w:val="00EF24D4"/>
    <w:pPr>
      <w:spacing w:after="0" w:line="240" w:lineRule="auto"/>
    </w:pPr>
    <w:rPr>
      <w:sz w:val="20"/>
      <w:szCs w:val="20"/>
    </w:rPr>
  </w:style>
  <w:style w:type="character" w:customStyle="1" w:styleId="FootnoteTextChar">
    <w:name w:val="Footnote Text Char"/>
    <w:basedOn w:val="DefaultParagraphFont"/>
    <w:link w:val="FootnoteText"/>
    <w:uiPriority w:val="99"/>
    <w:rsid w:val="00EF24D4"/>
    <w:rPr>
      <w:sz w:val="20"/>
      <w:szCs w:val="20"/>
      <w:lang w:val="en-GB"/>
    </w:rPr>
  </w:style>
  <w:style w:type="character" w:styleId="FootnoteReference">
    <w:name w:val="footnote reference"/>
    <w:basedOn w:val="DefaultParagraphFont"/>
    <w:uiPriority w:val="99"/>
    <w:semiHidden/>
    <w:unhideWhenUsed/>
    <w:rsid w:val="00EF24D4"/>
    <w:rPr>
      <w:vertAlign w:val="superscript"/>
    </w:rPr>
  </w:style>
  <w:style w:type="character" w:styleId="EndnoteReference">
    <w:name w:val="endnote reference"/>
    <w:basedOn w:val="DefaultParagraphFont"/>
    <w:uiPriority w:val="99"/>
    <w:semiHidden/>
    <w:unhideWhenUsed/>
    <w:rsid w:val="007B6BF4"/>
    <w:rPr>
      <w:vertAlign w:val="superscript"/>
    </w:rPr>
  </w:style>
  <w:style w:type="paragraph" w:styleId="EndnoteText">
    <w:name w:val="endnote text"/>
    <w:basedOn w:val="Normal"/>
    <w:link w:val="EndnoteTextChar"/>
    <w:uiPriority w:val="99"/>
    <w:unhideWhenUsed/>
    <w:rsid w:val="007B6BF4"/>
    <w:pPr>
      <w:spacing w:after="0" w:line="240" w:lineRule="auto"/>
    </w:pPr>
    <w:rPr>
      <w:sz w:val="20"/>
      <w:szCs w:val="20"/>
      <w:lang w:val="nl-NL"/>
    </w:rPr>
  </w:style>
  <w:style w:type="character" w:customStyle="1" w:styleId="EndnoteTextChar">
    <w:name w:val="Endnote Text Char"/>
    <w:basedOn w:val="DefaultParagraphFont"/>
    <w:link w:val="EndnoteText"/>
    <w:uiPriority w:val="99"/>
    <w:rsid w:val="007B6BF4"/>
    <w:rPr>
      <w:sz w:val="20"/>
      <w:szCs w:val="20"/>
      <w:lang w:val="nl-NL"/>
    </w:rPr>
  </w:style>
  <w:style w:type="character" w:customStyle="1" w:styleId="Heading2Char">
    <w:name w:val="Heading 2 Char"/>
    <w:basedOn w:val="DefaultParagraphFont"/>
    <w:link w:val="Heading2"/>
    <w:uiPriority w:val="9"/>
    <w:rsid w:val="00400352"/>
    <w:rPr>
      <w:rFonts w:ascii="Times New Roman" w:hAnsi="Times New Roman" w:cs="Times New Roman"/>
      <w:bCs/>
      <w:sz w:val="24"/>
      <w:szCs w:val="24"/>
      <w:lang w:val="en-GB"/>
    </w:rPr>
  </w:style>
  <w:style w:type="paragraph" w:customStyle="1" w:styleId="Foonote">
    <w:name w:val="Foonote"/>
    <w:basedOn w:val="EndnoteText"/>
    <w:qFormat/>
    <w:rsid w:val="001C3217"/>
    <w:pPr>
      <w:spacing w:line="480" w:lineRule="auto"/>
    </w:pPr>
    <w:rPr>
      <w:lang w:val="en-US"/>
    </w:rPr>
  </w:style>
  <w:style w:type="table" w:styleId="PlainTable2">
    <w:name w:val="Plain Table 2"/>
    <w:basedOn w:val="TableNormal"/>
    <w:uiPriority w:val="42"/>
    <w:rsid w:val="001C3217"/>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17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869"/>
    <w:pPr>
      <w:ind w:left="720"/>
      <w:contextualSpacing/>
    </w:pPr>
  </w:style>
  <w:style w:type="paragraph" w:customStyle="1" w:styleId="Standard">
    <w:name w:val="Standard"/>
    <w:basedOn w:val="Normal"/>
    <w:uiPriority w:val="99"/>
    <w:rsid w:val="005F2936"/>
    <w:pPr>
      <w:autoSpaceDE w:val="0"/>
      <w:autoSpaceDN w:val="0"/>
      <w:adjustRightInd w:val="0"/>
      <w:spacing w:after="240" w:line="240" w:lineRule="auto"/>
    </w:pPr>
    <w:rPr>
      <w:rFonts w:ascii="Liberation Serif" w:hAnsi="Liberation Serif" w:cs="Liberation Serif"/>
    </w:rPr>
  </w:style>
  <w:style w:type="paragraph" w:styleId="Bibliography">
    <w:name w:val="Bibliography"/>
    <w:basedOn w:val="Normal"/>
    <w:next w:val="Normal"/>
    <w:uiPriority w:val="37"/>
    <w:unhideWhenUsed/>
    <w:rsid w:val="008D579A"/>
    <w:pPr>
      <w:spacing w:after="0" w:line="240" w:lineRule="auto"/>
      <w:ind w:left="720" w:hanging="720"/>
    </w:pPr>
  </w:style>
  <w:style w:type="paragraph" w:styleId="BalloonText">
    <w:name w:val="Balloon Text"/>
    <w:basedOn w:val="Normal"/>
    <w:link w:val="BalloonTextChar"/>
    <w:uiPriority w:val="99"/>
    <w:semiHidden/>
    <w:unhideWhenUsed/>
    <w:rsid w:val="00E41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5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E41B53"/>
    <w:rPr>
      <w:b/>
      <w:bCs/>
    </w:rPr>
  </w:style>
  <w:style w:type="character" w:customStyle="1" w:styleId="CommentSubjectChar">
    <w:name w:val="Comment Subject Char"/>
    <w:basedOn w:val="CommentTextChar"/>
    <w:link w:val="CommentSubject"/>
    <w:uiPriority w:val="99"/>
    <w:semiHidden/>
    <w:rsid w:val="00E41B53"/>
    <w:rPr>
      <w:rFonts w:ascii="Times New Roman" w:hAnsi="Times New Roman" w:cs="Times New Roman"/>
      <w:b/>
      <w:bCs/>
      <w:sz w:val="20"/>
      <w:szCs w:val="20"/>
      <w:lang w:val="en-GB"/>
    </w:rPr>
  </w:style>
  <w:style w:type="paragraph" w:styleId="Header">
    <w:name w:val="header"/>
    <w:basedOn w:val="Normal"/>
    <w:link w:val="HeaderChar"/>
    <w:uiPriority w:val="99"/>
    <w:unhideWhenUsed/>
    <w:rsid w:val="00441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736"/>
    <w:rPr>
      <w:rFonts w:ascii="Times New Roman" w:hAnsi="Times New Roman" w:cs="Times New Roman"/>
      <w:sz w:val="24"/>
      <w:szCs w:val="24"/>
      <w:lang w:val="en-GB"/>
    </w:rPr>
  </w:style>
  <w:style w:type="paragraph" w:styleId="Footer">
    <w:name w:val="footer"/>
    <w:basedOn w:val="Normal"/>
    <w:link w:val="FooterChar"/>
    <w:uiPriority w:val="99"/>
    <w:unhideWhenUsed/>
    <w:rsid w:val="00441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736"/>
    <w:rPr>
      <w:rFonts w:ascii="Times New Roman" w:hAnsi="Times New Roman" w:cs="Times New Roman"/>
      <w:sz w:val="24"/>
      <w:szCs w:val="24"/>
      <w:lang w:val="en-GB"/>
    </w:rPr>
  </w:style>
  <w:style w:type="character" w:customStyle="1" w:styleId="Heading3Char">
    <w:name w:val="Heading 3 Char"/>
    <w:basedOn w:val="DefaultParagraphFont"/>
    <w:link w:val="Heading3"/>
    <w:uiPriority w:val="9"/>
    <w:rsid w:val="00400352"/>
    <w:rPr>
      <w:rFonts w:ascii="Times New Roman" w:eastAsia="Calibri" w:hAnsi="Times New Roman" w:cs="Times New Roman"/>
      <w:b/>
      <w:bCs/>
      <w:iCs/>
      <w:sz w:val="24"/>
      <w:szCs w:val="24"/>
      <w:lang w:val="en-US"/>
    </w:rPr>
  </w:style>
  <w:style w:type="character" w:customStyle="1" w:styleId="Heading4Char">
    <w:name w:val="Heading 4 Char"/>
    <w:basedOn w:val="DefaultParagraphFont"/>
    <w:link w:val="Heading4"/>
    <w:uiPriority w:val="9"/>
    <w:rsid w:val="00400352"/>
    <w:rPr>
      <w:rFonts w:ascii="Times New Roman" w:hAnsi="Times New Roman" w:cs="Times New Roman"/>
      <w:iCs/>
      <w:sz w:val="24"/>
      <w:szCs w:val="24"/>
      <w:lang w:val="en-US"/>
    </w:rPr>
  </w:style>
  <w:style w:type="table" w:customStyle="1" w:styleId="TableGrid1">
    <w:name w:val="Table Grid1"/>
    <w:basedOn w:val="TableNormal"/>
    <w:next w:val="TableGrid"/>
    <w:uiPriority w:val="39"/>
    <w:rsid w:val="00D338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338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ABCA-6DEA-44C6-A004-F02B102B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2021-06-03T12:43:00Z</dcterms:created>
  <dcterms:modified xsi:type="dcterms:W3CDTF">2021-06-03T12:44:00Z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id="ndEokZtn"/&gt;&lt;style id="http://www.zotero.org/styles/oscola-no-ibid" hasBibliography="1" bibliographyStyleHasBeenSet="0"/&gt;&lt;prefs&gt;&lt;pref name="fieldType" value="Field"/&gt;&lt;pref name="noteType" value=</vt:lpwstr>
  </property>
  <property fmtid="{D5CDD505-2E9C-101B-9397-08002B2CF9AE}" pid="3" name="ZOTERO_PREF_2">
    <vt:lpwstr>"1"/&gt;&lt;/prefs&gt;&lt;/data&gt;</vt:lpwstr>
  </property>
</Properties>
</file>