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40" w:rsidRDefault="006E0F40" w:rsidP="006422F0">
      <w:pPr>
        <w:spacing w:after="100" w:afterAutospacing="1" w:line="480" w:lineRule="auto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S</w:t>
      </w:r>
      <w:r w:rsidR="00777430">
        <w:rPr>
          <w:sz w:val="24"/>
          <w:szCs w:val="24"/>
        </w:rPr>
        <w:t>1</w:t>
      </w:r>
      <w:r>
        <w:rPr>
          <w:sz w:val="24"/>
          <w:szCs w:val="24"/>
        </w:rPr>
        <w:t xml:space="preserve"> Table.</w:t>
      </w:r>
      <w:proofErr w:type="gramEnd"/>
      <w:r>
        <w:rPr>
          <w:sz w:val="24"/>
          <w:szCs w:val="24"/>
        </w:rPr>
        <w:t xml:space="preserve">  Cohort Characteristics, including Details of </w:t>
      </w:r>
      <w:r w:rsidR="00463FA8">
        <w:rPr>
          <w:sz w:val="24"/>
          <w:szCs w:val="24"/>
        </w:rPr>
        <w:t>Wellbeing</w:t>
      </w:r>
      <w:r>
        <w:rPr>
          <w:sz w:val="24"/>
          <w:szCs w:val="24"/>
        </w:rPr>
        <w:t xml:space="preserve"> Phenotype and of Genetic Data used for Polygenic Score Calculation.</w:t>
      </w:r>
    </w:p>
    <w:tbl>
      <w:tblPr>
        <w:tblStyle w:val="TableGrid"/>
        <w:tblW w:w="135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134"/>
        <w:gridCol w:w="1985"/>
        <w:gridCol w:w="2551"/>
        <w:gridCol w:w="2552"/>
        <w:gridCol w:w="1276"/>
        <w:gridCol w:w="1842"/>
        <w:gridCol w:w="1101"/>
      </w:tblGrid>
      <w:tr w:rsidR="006E0F40" w:rsidRPr="00F171EE" w:rsidTr="008F510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Cohort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Sample Characteristics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(ethnicity, range, mean, SD)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Phenotype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Genotyping Chip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 xml:space="preserve">Sample call rate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exclusion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filter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 xml:space="preserve">Polygenic Scores: Observed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vs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Imputed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Number of SNPs after LD pruning</w:t>
            </w:r>
          </w:p>
        </w:tc>
      </w:tr>
      <w:tr w:rsidR="006E0F40" w:rsidRPr="00F171EE" w:rsidTr="008F5106"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ASPS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796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European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; 45-85 years, 65.1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SD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7.89)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How do you feel at the moment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 item sampling 11 descriptors from EWL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&lt;EndNote&gt;&lt;Cite&gt;&lt;Author&gt;Janke WD&lt;/Author&gt;&lt;Year&gt;1977&lt;/Year&gt;&lt;RecNum&gt;94&lt;/RecNum&gt;&lt;DisplayText&gt;(Janke WD, 1977)&lt;/DisplayText&gt;&lt;record&gt;&lt;rec-number&gt;94&lt;/rec-number&gt;&lt;foreign-keys&gt;&lt;key app="EN" db-id="sv5xrvsvhepsa0ezwvm5pae4ep5sddedae0p" timestamp="1442932503"&gt;94&lt;/key&gt;&lt;/foreign-keys&gt;&lt;ref-type name="Book"&gt;6&lt;/ref-type&gt;&lt;contributors&gt;&lt;authors&gt;&lt;author&gt;Janke WD, G.&lt;/author&gt;&lt;/authors&gt;&lt;/contributors&gt;&lt;titles&gt;&lt;title&gt; Die Eigenschaftswörterliste (EWL). &lt;/title&gt;&lt;/titles&gt;&lt;dates&gt;&lt;year&gt;1977&lt;/year&gt;&lt;/dates&gt;&lt;pub-location&gt;Göttingen, Germany&lt;/pub-location&gt;&lt;publisher&gt;Dr CJ Hogrefe Verlag für Psychologie&lt;/publisher&gt;&lt;urls&gt;&lt;/urls&gt;&lt;/record&gt;&lt;/Cite&gt;&lt;/EndNote&gt;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(Janke WD, 1977)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 [PA]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Human610-Quad </w:t>
            </w: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BeadChip</w:t>
            </w:r>
            <w:proofErr w:type="spellEnd"/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≤0.98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HapMap</w:t>
            </w:r>
            <w:proofErr w:type="spellEnd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CEU,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Phase II, 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release 22, build 36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116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818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0F40" w:rsidRPr="00F171EE" w:rsidTr="008F5106">
        <w:tc>
          <w:tcPr>
            <w:tcW w:w="1134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HRS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9938 [LS];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9117 [PA]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 xml:space="preserve">European Americans;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30-107, 67.21 (SD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10.98)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years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E0F40" w:rsidRPr="00F171EE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 xml:space="preserve">Satisfaction with Life Scale </w:t>
            </w:r>
            <w:r w:rsidR="00FA2746" w:rsidRPr="00CE0E3A">
              <w:rPr>
                <w:sz w:val="24"/>
                <w:szCs w:val="24"/>
              </w:rPr>
              <w:fldChar w:fldCharType="begin"/>
            </w:r>
            <w:r w:rsidR="00993F4E">
              <w:rPr>
                <w:sz w:val="24"/>
                <w:szCs w:val="24"/>
              </w:rPr>
              <w:instrText xml:space="preserve"> ADDIN EN.CITE &lt;EndNote&gt;&lt;Cite&gt;&lt;Author&gt;Diener&lt;/Author&gt;&lt;Year&gt;1985&lt;/Year&gt;&lt;RecNum&gt;186&lt;/RecNum&gt;&lt;DisplayText&gt;(Diener, Emmons, Larsen, &amp;amp; Griffin, 1985)&lt;/DisplayText&gt;&lt;record&gt;&lt;rec-number&gt;186&lt;/rec-number&gt;&lt;foreign-keys&gt;&lt;key app="EN" db-id="sv5xrvsvhepsa0ezwvm5pae4ep5sddedae0p" timestamp="1445602228"&gt;186&lt;/key&gt;&lt;/foreign-keys&gt;&lt;ref-type name="Journal Article"&gt;17&lt;/ref-type&gt;&lt;contributors&gt;&lt;authors&gt;&lt;author&gt;Diener, E.&lt;/author&gt;&lt;author&gt;Emmons, R. A.&lt;/author&gt;&lt;author&gt;Larsen, R. J.&lt;/author&gt;&lt;author&gt;Griffin, S.&lt;/author&gt;&lt;/authors&gt;&lt;/contributors&gt;&lt;auth-address&gt;Diener, E&amp;#xD;Univ Illinois,Dept Psychol,603 E Daniel,Champaign,Il 61820, USA&amp;#xD;Univ Illinois,Dept Psychol,603 E Daniel,Champaign,Il 61820, USA&lt;/auth-address&gt;&lt;titles&gt;&lt;title&gt;The Satisfaction with Life Scale&lt;/title&gt;&lt;secondary-title&gt;Journal of Personality Assessment&lt;/secondary-title&gt;&lt;alt-title&gt;J Pers Assess&lt;/alt-title&gt;&lt;/titles&gt;&lt;alt-periodical&gt;&lt;full-title&gt;J Pers Assess&lt;/full-title&gt;&lt;/alt-periodical&gt;&lt;pages&gt;71-75&lt;/pages&gt;&lt;volume&gt;49&lt;/volume&gt;&lt;number&gt;1&lt;/number&gt;&lt;dates&gt;&lt;year&gt;1985&lt;/year&gt;&lt;/dates&gt;&lt;isbn&gt;0022-3891&lt;/isbn&gt;&lt;accession-num&gt;ISI:A1985AEV0700014&lt;/accession-num&gt;&lt;urls&gt;&lt;related-urls&gt;&lt;url&gt;&amp;lt;Go to ISI&amp;gt;://A1985AEV0700014&lt;/url&gt;&lt;/related-urls&gt;&lt;/urls&gt;&lt;electronic-resource-num&gt;DOI 10.1207/s15327752jpa4901_13&lt;/electronic-resource-num&gt;&lt;language&gt;English&lt;/language&gt;&lt;/record&gt;&lt;/Cite&gt;&lt;/EndNote&gt;</w:instrText>
            </w:r>
            <w:r w:rsidR="00FA2746" w:rsidRPr="00CE0E3A">
              <w:rPr>
                <w:sz w:val="24"/>
                <w:szCs w:val="24"/>
              </w:rPr>
              <w:fldChar w:fldCharType="separate"/>
            </w:r>
            <w:r w:rsidR="00993F4E">
              <w:rPr>
                <w:noProof/>
                <w:sz w:val="24"/>
                <w:szCs w:val="24"/>
              </w:rPr>
              <w:t>(Diener, Emmons, Larsen, &amp; Griffin, 1985)</w:t>
            </w:r>
            <w:r w:rsidR="00FA2746" w:rsidRPr="00CE0E3A">
              <w:rPr>
                <w:sz w:val="24"/>
                <w:szCs w:val="24"/>
              </w:rPr>
              <w:fldChar w:fldCharType="end"/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 [LS]</w:t>
            </w:r>
            <w:r>
              <w:rPr>
                <w:rFonts w:asciiTheme="minorHAnsi" w:hAnsiTheme="minorHAnsi"/>
                <w:sz w:val="24"/>
                <w:szCs w:val="24"/>
              </w:rPr>
              <w:t>;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MIDI affect scales </w:t>
            </w:r>
            <w:r w:rsidR="00FA2746">
              <w:rPr>
                <w:rFonts w:asciiTheme="minorHAnsi" w:hAnsiTheme="minorHAnsi"/>
                <w:sz w:val="24"/>
                <w:szCs w:val="24"/>
              </w:rPr>
              <w:lastRenderedPageBreak/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&lt;EndNote&gt;&lt;Cite&gt;&lt;Author&gt;Mroczek&lt;/Author&gt;&lt;Year&gt;1998&lt;/Year&gt;&lt;RecNum&gt;280&lt;/RecNum&gt;&lt;DisplayText&gt;(Mroczek &amp;amp; Kolarz, 1998)&lt;/DisplayText&gt;&lt;record&gt;&lt;rec-number&gt;280&lt;/rec-number&gt;&lt;foreign-keys&gt;&lt;key app="EN" db-id="sv5xrvsvhepsa0ezwvm5pae4ep5sddedae0p" timestamp="1447148862"&gt;280&lt;/key&gt;&lt;/foreign-keys&gt;&lt;ref-type name="Journal Article"&gt;17&lt;/ref-type&gt;&lt;contributors&gt;&lt;authors&gt;&lt;author&gt;Mroczek, D. K.&lt;/author&gt;&lt;author&gt;Kolarz, C. M.&lt;/author&gt;&lt;/authors&gt;&lt;/contributors&gt;&lt;auth-address&gt;Mroczek, DK&amp;#xD;Fordham Univ, Dept Psychol, Dealy Hall,441 E Fordham Rd, Bronx, NY 10458 USA&amp;#xD;Fordham Univ, Dept Psychol, Dealy Hall,441 E Fordham Rd, Bronx, NY 10458 USA&amp;#xD;Fordham Univ, Dept Psychol, Bronx, NY 10458 USA&lt;/auth-address&gt;&lt;titles&gt;&lt;title&gt;The effect of age on positive and negative affect: A developmental perspective on happiness&lt;/title&gt;&lt;secondary-title&gt;Journal of Personality and Social Psychology&lt;/secondary-title&gt;&lt;alt-title&gt;J Pers Soc Psychol&lt;/alt-title&gt;&lt;/titles&gt;&lt;alt-periodical&gt;&lt;full-title&gt;J Pers Soc Psychol&lt;/full-title&gt;&lt;/alt-periodical&gt;&lt;pages&gt;1333-1349&lt;/pages&gt;&lt;volume&gt;75&lt;/volume&gt;&lt;number&gt;5&lt;/number&gt;&lt;keywords&gt;&lt;keyword&gt;emotional experience&lt;/keyword&gt;&lt;keyword&gt;national sample&lt;/keyword&gt;&lt;keyword&gt;bottom-up&lt;/keyword&gt;&lt;keyword&gt;life-span&lt;/keyword&gt;&lt;keyword&gt;top-down&lt;/keyword&gt;&lt;keyword&gt;personality&lt;/keyword&gt;&lt;keyword&gt;stability&lt;/keyword&gt;&lt;keyword&gt;health&lt;/keyword&gt;&lt;keyword&gt;traits&lt;/keyword&gt;&lt;keyword&gt;happy&lt;/keyword&gt;&lt;/keywords&gt;&lt;dates&gt;&lt;year&gt;1998&lt;/year&gt;&lt;pub-dates&gt;&lt;date&gt;Nov&lt;/date&gt;&lt;/pub-dates&gt;&lt;/dates&gt;&lt;isbn&gt;0022-3514&lt;/isbn&gt;&lt;accession-num&gt;ISI:000077460900016&lt;/accession-num&gt;&lt;urls&gt;&lt;related-urls&gt;&lt;url&gt;&amp;lt;Go to ISI&amp;gt;://000077460900016&lt;/url&gt;&lt;/related-urls&gt;&lt;/urls&gt;&lt;electronic-resource-num&gt;Doi 10.1037/0022-3514.75.5.1333&lt;/electronic-resource-num&gt;&lt;language&gt;English&lt;/language&gt;&lt;/record&gt;&lt;/Cite&gt;&lt;/EndNote&gt;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(Mroczek &amp; Kolarz, 1998)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, PANAS-X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&lt;EndNote&gt;&lt;Cite&gt;&lt;Author&gt;Watson&lt;/Author&gt;&lt;Year&gt;1999&lt;/Year&gt;&lt;RecNum&gt;282&lt;/RecNum&gt;&lt;DisplayText&gt;(David Watson &amp;amp; Clark, 1999)&lt;/DisplayText&gt;&lt;record&gt;&lt;rec-number&gt;282&lt;/rec-number&gt;&lt;foreign-keys&gt;&lt;key app="EN" db-id="sv5xrvsvhepsa0ezwvm5pae4ep5sddedae0p" timestamp="1447148986"&gt;282&lt;/key&gt;&lt;/foreign-keys&gt;&lt;ref-type name="Journal Article"&gt;17&lt;/ref-type&gt;&lt;contributors&gt;&lt;authors&gt;&lt;author&gt;Watson, David&lt;/author&gt;&lt;author&gt;Clark, Lee Anna&lt;/author&gt;&lt;/authors&gt;&lt;/contributors&gt;&lt;titles&gt;&lt;title&gt;The PANAS-X: Manual for the positive and negative affect schedule-expanded form&lt;/title&gt;&lt;/titles&gt;&lt;dates&gt;&lt;year&gt;1999&lt;/year&gt;&lt;/dates&gt;&lt;urls&gt;&lt;/urls&gt;&lt;/record&gt;&lt;/Cite&gt;&lt;/EndNote&gt;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(David Watson &amp; Clark, 1999)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[PA]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lastRenderedPageBreak/>
              <w:t>HumanOmni2.5-4v1 and HumanOmni2.5-8v1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&lt;0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.98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Observed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166,084</w:t>
            </w:r>
          </w:p>
        </w:tc>
      </w:tr>
      <w:tr w:rsidR="006E0F40" w:rsidRPr="00F171EE" w:rsidTr="008F510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lastRenderedPageBreak/>
              <w:t>Lifelines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1051 [LS]</w:t>
            </w:r>
          </w:p>
          <w:p w:rsidR="006E0F40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E0F40" w:rsidRDefault="006E0F40" w:rsidP="006422F0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11,971 [PA]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80043B">
              <w:rPr>
                <w:rFonts w:asciiTheme="minorHAnsi" w:hAnsiTheme="minorHAnsi"/>
                <w:sz w:val="24"/>
                <w:szCs w:val="24"/>
              </w:rPr>
              <w:t>Dutch; 26-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80043B">
              <w:rPr>
                <w:rFonts w:asciiTheme="minorHAnsi" w:hAnsiTheme="minorHAnsi"/>
                <w:sz w:val="24"/>
                <w:szCs w:val="24"/>
              </w:rPr>
              <w:t>8, 69.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4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SD 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5.7)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years</w:t>
            </w:r>
          </w:p>
          <w:p w:rsidR="006E0F40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Dutch; 18-88, 47.7 (SD 11.7) years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68DD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4F2F3A">
              <w:rPr>
                <w:rFonts w:cs="Arial"/>
                <w:sz w:val="24"/>
                <w:szCs w:val="24"/>
              </w:rPr>
              <w:t xml:space="preserve">“Are you basically satisfied with your life?” </w:t>
            </w:r>
            <w:r w:rsidRPr="004F2F3A">
              <w:rPr>
                <w:rFonts w:asciiTheme="minorHAnsi" w:hAnsiTheme="minorHAnsi"/>
                <w:sz w:val="24"/>
                <w:szCs w:val="24"/>
              </w:rPr>
              <w:t>on a 5-point scale [LS]</w:t>
            </w:r>
          </w:p>
          <w:p w:rsidR="006E0F40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PANAS (10 </w:t>
            </w:r>
            <w:r w:rsidRPr="004F2F3A">
              <w:rPr>
                <w:rFonts w:asciiTheme="minorHAnsi" w:hAnsiTheme="minorHAnsi"/>
                <w:sz w:val="24"/>
                <w:szCs w:val="24"/>
              </w:rPr>
              <w:t xml:space="preserve">items) </w:t>
            </w:r>
            <w:r w:rsidR="00FA2746" w:rsidRPr="004F2F3A">
              <w:rPr>
                <w:rFonts w:cs="Arial"/>
                <w:sz w:val="24"/>
                <w:szCs w:val="24"/>
              </w:rPr>
              <w:fldChar w:fldCharType="begin"/>
            </w:r>
            <w:r w:rsidR="00993F4E">
              <w:rPr>
                <w:rFonts w:cs="Arial"/>
                <w:sz w:val="24"/>
                <w:szCs w:val="24"/>
              </w:rPr>
              <w:instrText xml:space="preserve"> ADDIN EN.CITE &lt;EndNote&gt;&lt;Cite&gt;&lt;Author&gt;Watson&lt;/Author&gt;&lt;Year&gt;1988&lt;/Year&gt;&lt;RecNum&gt;242&lt;/RecNum&gt;&lt;DisplayText&gt;(D. Watson, Clark, &amp;amp; Tellegen, 1988)&lt;/DisplayText&gt;&lt;record&gt;&lt;rec-number&gt;242&lt;/rec-number&gt;&lt;foreign-keys&gt;&lt;key app="EN" db-id="sv5xrvsvhepsa0ezwvm5pae4ep5sddedae0p" timestamp="1445604025"&gt;242&lt;/key&gt;&lt;/foreign-keys&gt;&lt;ref-type name="Journal Article"&gt;17&lt;/ref-type&gt;&lt;contributors&gt;&lt;authors&gt;&lt;author&gt;Watson, D.&lt;/author&gt;&lt;author&gt;Clark, L. A.&lt;/author&gt;&lt;author&gt;Tellegen, A.&lt;/author&gt;&lt;/authors&gt;&lt;/contributors&gt;&lt;auth-address&gt;Watson, D&amp;#xD;So Methodist Univ,Dept Psychol,Dallas,Tx 75275, USA&amp;#xD;So Methodist Univ,Dept Psychol,Dallas,Tx 75275, USA&amp;#xD;Univ Minnesota,Minneapolis,Mn 55455&lt;/auth-address&gt;&lt;titles&gt;&lt;title&gt;Development and Validation of Brief Measures of Positive and Negative Affect - the Panas Scales&lt;/title&gt;&lt;secondary-title&gt;Journal of Personality and Social Psychology&lt;/secondary-title&gt;&lt;alt-title&gt;J Pers Soc Psychol&lt;/alt-title&gt;&lt;/titles&gt;&lt;alt-periodical&gt;&lt;full-title&gt;J Pers Soc Psychol&lt;/full-title&gt;&lt;/alt-periodical&gt;&lt;pages&gt;1063-1070&lt;/pages&gt;&lt;volume&gt;54&lt;/volume&gt;&lt;number&gt;6&lt;/number&gt;&lt;dates&gt;&lt;year&gt;1988&lt;/year&gt;&lt;pub-dates&gt;&lt;date&gt;Jun&lt;/date&gt;&lt;/pub-dates&gt;&lt;/dates&gt;&lt;isbn&gt;0022-3514&lt;/isbn&gt;&lt;accession-num&gt;ISI:A1988N666500016&lt;/accession-num&gt;&lt;urls&gt;&lt;related-urls&gt;&lt;url&gt;&amp;lt;Go to ISI&amp;gt;://A1988N666500016&lt;/url&gt;&lt;/related-urls&gt;&lt;/urls&gt;&lt;electronic-resource-num&gt;Doi 10.1037/0022-3514.54.6.1063&lt;/electronic-resource-num&gt;&lt;language&gt;English&lt;/language&gt;&lt;/record&gt;&lt;/Cite&gt;&lt;/EndNote&gt;</w:instrText>
            </w:r>
            <w:r w:rsidR="00FA2746" w:rsidRPr="004F2F3A">
              <w:rPr>
                <w:rFonts w:cs="Arial"/>
                <w:sz w:val="24"/>
                <w:szCs w:val="24"/>
              </w:rPr>
              <w:fldChar w:fldCharType="separate"/>
            </w:r>
            <w:r w:rsidR="00993F4E">
              <w:rPr>
                <w:rFonts w:cs="Arial"/>
                <w:noProof/>
                <w:sz w:val="24"/>
                <w:szCs w:val="24"/>
              </w:rPr>
              <w:t>(D. Watson, Clark, &amp; Tellegen, 1988)</w:t>
            </w:r>
            <w:r w:rsidR="00FA2746" w:rsidRPr="004F2F3A">
              <w:rPr>
                <w:rFonts w:cs="Arial"/>
                <w:sz w:val="24"/>
                <w:szCs w:val="24"/>
              </w:rPr>
              <w:fldChar w:fldCharType="end"/>
            </w:r>
            <w:r w:rsidRPr="004F2F3A">
              <w:rPr>
                <w:rFonts w:asciiTheme="minorHAnsi" w:hAnsiTheme="minorHAnsi"/>
                <w:sz w:val="24"/>
                <w:szCs w:val="24"/>
              </w:rPr>
              <w:t xml:space="preserve"> [PA]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0F40" w:rsidRPr="00F171EE" w:rsidRDefault="006E0F40" w:rsidP="008F5106">
            <w:pPr>
              <w:spacing w:before="100" w:beforeAutospacing="1"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>Illumina</w:t>
            </w:r>
            <w:proofErr w:type="spellEnd"/>
            <w:r w:rsidRPr="00F171EE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171EE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>BeadScanner</w:t>
            </w:r>
            <w:proofErr w:type="spellEnd"/>
            <w:r w:rsidRPr="00F171EE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 xml:space="preserve"> B</w:t>
            </w:r>
            <w:r w:rsidRPr="00F171EE">
              <w:rPr>
                <w:rFonts w:asciiTheme="minorHAnsi" w:hAnsiTheme="minorHAnsi" w:cs="Times New Roman"/>
                <w:sz w:val="24"/>
                <w:szCs w:val="24"/>
                <w:lang w:eastAsia="zh-CN"/>
              </w:rPr>
              <w:t>eagle 3.1.0 (Dec 2009)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&lt;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.95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1000G b37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123,704</w:t>
            </w:r>
          </w:p>
        </w:tc>
      </w:tr>
      <w:tr w:rsidR="006E0F40" w:rsidRPr="00F171EE" w:rsidTr="008F5106">
        <w:tc>
          <w:tcPr>
            <w:tcW w:w="1134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LBC1921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447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Scottish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80.7-81.7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81.2 (SD 0.28)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years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E0F40" w:rsidRPr="00F171EE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 xml:space="preserve">Satisfaction with Life Scale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&lt;EndNote&gt;&lt;Cite&gt;&lt;Author&gt;Diener&lt;/Author&gt;&lt;Year&gt;1985&lt;/Year&gt;&lt;RecNum&gt;186&lt;/RecNum&gt;&lt;DisplayText&gt;(Diener, et al., 1985)&lt;/DisplayText&gt;&lt;record&gt;&lt;rec-number&gt;186&lt;/rec-number&gt;&lt;foreign-keys&gt;&lt;key app="EN" db-id="sv5xrvsvhepsa0ezwvm5pae4ep5sddedae0p" timestamp="1445602228"&gt;186&lt;/key&gt;&lt;/foreign-keys&gt;&lt;ref-type name="Journal Article"&gt;17&lt;/ref-type&gt;&lt;contributors&gt;&lt;authors&gt;&lt;author&gt;Diener, E.&lt;/author&gt;&lt;author&gt;Emmons, R. A.&lt;/author&gt;&lt;author&gt;Larsen, R. J.&lt;/author&gt;&lt;author&gt;Griffin, S.&lt;/author&gt;&lt;/authors&gt;&lt;/contributors&gt;&lt;auth-address&gt;Diener, E&amp;#xD;Univ Illinois,Dept Psychol,603 E Daniel,Champaign,Il 61820, USA&amp;#xD;Univ Illinois,Dept Psychol,603 E Daniel,Champaign,Il 61820, USA&lt;/auth-address&gt;&lt;titles&gt;&lt;title&gt;The Satisfaction with Life Scale&lt;/title&gt;&lt;secondary-title&gt;Journal of Personality Assessment&lt;/secondary-title&gt;&lt;alt-title&gt;J Pers Assess&lt;/alt-title&gt;&lt;/titles&gt;&lt;alt-periodical&gt;&lt;full-title&gt;J Pers Assess&lt;/full-title&gt;&lt;/alt-periodical&gt;&lt;pages&gt;71-75&lt;/pages&gt;&lt;volume&gt;49&lt;/volume&gt;&lt;number&gt;1&lt;/number&gt;&lt;dates&gt;&lt;year&gt;1985&lt;/year&gt;&lt;/dates&gt;&lt;isbn&gt;0022-3891&lt;/isbn&gt;&lt;accession-num&gt;ISI:A1985AEV0700014&lt;/accession-num&gt;&lt;urls&gt;&lt;related-urls&gt;&lt;url&gt;&amp;lt;Go to ISI&amp;gt;://A1985AEV0700014&lt;/url&gt;&lt;/related-urls&gt;&lt;/urls&gt;&lt;electronic-resource-num&gt;DOI 10.1207/s15327752jpa4901_13&lt;/electronic-resource-num&gt;&lt;language&gt;English&lt;/language&gt;&lt;/record&gt;&lt;/Cite&gt;&lt;/EndNote&gt;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(Diener, et al., 1985)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 [LS]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Human  610_Quadv1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HapMap</w:t>
            </w:r>
            <w:proofErr w:type="spellEnd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CEU,</w:t>
            </w:r>
          </w:p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Phase II, 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release 22, build 36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122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973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MAP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351</w:t>
            </w:r>
          </w:p>
        </w:tc>
        <w:tc>
          <w:tcPr>
            <w:tcW w:w="1985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≥ 55; 83.9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(SD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6.5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ea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rs</w:t>
            </w:r>
          </w:p>
        </w:tc>
        <w:tc>
          <w:tcPr>
            <w:tcW w:w="2551" w:type="dxa"/>
          </w:tcPr>
          <w:p w:rsidR="006E0F40" w:rsidRPr="00F171EE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 xml:space="preserve">Satisfaction with Life Scale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&lt;EndNote&gt;&lt;Cite&gt;&lt;Author&gt;Diener&lt;/Author&gt;&lt;Year&gt;1985&lt;/Year&gt;&lt;RecNum&gt;186&lt;/RecNum&gt;&lt;DisplayText&gt;(Diener, et al., 1985)&lt;/DisplayText&gt;&lt;record&gt;&lt;rec-number&gt;186&lt;/rec-number&gt;&lt;foreign-keys&gt;&lt;key app="EN" db-id="sv5xrvsvhepsa0ezwvm5pae4ep5sddedae0p" timestamp="1445602228"&gt;186&lt;/key&gt;&lt;/foreign-keys&gt;&lt;ref-type name="Journal Article"&gt;17&lt;/ref-type&gt;&lt;contributors&gt;&lt;authors&gt;&lt;author&gt;Diener, E.&lt;/author&gt;&lt;author&gt;Emmons, R. A.&lt;/author&gt;&lt;author&gt;Larsen, R. J.&lt;/author&gt;&lt;author&gt;Griffin, S.&lt;/author&gt;&lt;/authors&gt;&lt;/contributors&gt;&lt;auth-address&gt;Diener, E&amp;#xD;Univ Illinois,Dept Psychol,603 E Daniel,Champaign,Il 61820, USA&amp;#xD;Univ Illinois,Dept Psychol,603 E Daniel,Champaign,Il 61820, USA&lt;/auth-address&gt;&lt;titles&gt;&lt;title&gt;The Satisfaction with Life Scale&lt;/title&gt;&lt;secondary-title&gt;Journal of Personality Assessment&lt;/secondary-title&gt;&lt;alt-title&gt;J Pers Assess&lt;/alt-title&gt;&lt;/titles&gt;&lt;alt-periodical&gt;&lt;full-title&gt;J Pers Assess&lt;/full-title&gt;&lt;/alt-periodical&gt;&lt;pages&gt;71-75&lt;/pages&gt;&lt;volume&gt;49&lt;/volume&gt;&lt;number&gt;1&lt;/number&gt;&lt;dates&gt;&lt;year&gt;1985&lt;/year&gt;&lt;/dates&gt;&lt;isbn&gt;0022-3891&lt;/isbn&gt;&lt;accession-num&gt;ISI:A1985AEV0700014&lt;/accession-num&gt;&lt;urls&gt;&lt;related-urls&gt;&lt;url&gt;&amp;lt;Go to ISI&amp;gt;://A1985AEV0700014&lt;/url&gt;&lt;/related-urls&gt;&lt;/urls&gt;&lt;electronic-resource-num&gt;DOI 10.1207/s15327752jpa4901_13&lt;/electronic-resource-num&gt;&lt;language&gt;English&lt;/language&gt;&lt;/record&gt;&lt;/Cite&gt;&lt;/EndNote&gt;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(Diener, et al., 1985)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 [LS] 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Affymetrix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Genechip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6.0</w:t>
            </w: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≤0.95</w:t>
            </w:r>
          </w:p>
        </w:tc>
        <w:tc>
          <w:tcPr>
            <w:tcW w:w="1842" w:type="dxa"/>
          </w:tcPr>
          <w:p w:rsidR="006E0F40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HapMap</w:t>
            </w:r>
            <w:proofErr w:type="spellEnd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CEU,</w:t>
            </w:r>
          </w:p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Phase II, 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release 22, build 36</w:t>
            </w: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133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1E6426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1E6426">
              <w:rPr>
                <w:rFonts w:asciiTheme="minorHAnsi" w:hAnsiTheme="minorHAnsi"/>
                <w:sz w:val="24"/>
                <w:szCs w:val="24"/>
              </w:rPr>
              <w:t>MCTFR</w:t>
            </w:r>
          </w:p>
        </w:tc>
        <w:tc>
          <w:tcPr>
            <w:tcW w:w="1134" w:type="dxa"/>
          </w:tcPr>
          <w:p w:rsidR="006E0F40" w:rsidRPr="001E6426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1E6426">
              <w:rPr>
                <w:rFonts w:asciiTheme="minorHAnsi" w:hAnsiTheme="minorHAnsi"/>
                <w:sz w:val="24"/>
                <w:szCs w:val="24"/>
              </w:rPr>
              <w:t>6960</w:t>
            </w:r>
          </w:p>
        </w:tc>
        <w:tc>
          <w:tcPr>
            <w:tcW w:w="1985" w:type="dxa"/>
          </w:tcPr>
          <w:p w:rsidR="006E0F40" w:rsidRPr="001E6426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1E6426">
              <w:rPr>
                <w:rFonts w:asciiTheme="minorHAnsi" w:hAnsiTheme="minorHAnsi"/>
                <w:sz w:val="24"/>
                <w:szCs w:val="24"/>
              </w:rPr>
              <w:t xml:space="preserve">European ancestry;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13-64, 34.6 (SD 11.5) </w:t>
            </w:r>
            <w:r w:rsidRPr="001E6426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ea</w:t>
            </w:r>
            <w:r w:rsidRPr="001E6426">
              <w:rPr>
                <w:rFonts w:asciiTheme="minorHAnsi" w:hAnsiTheme="minorHAnsi"/>
                <w:sz w:val="24"/>
                <w:szCs w:val="24"/>
              </w:rPr>
              <w:t>rs</w:t>
            </w:r>
          </w:p>
        </w:tc>
        <w:tc>
          <w:tcPr>
            <w:tcW w:w="2551" w:type="dxa"/>
          </w:tcPr>
          <w:p w:rsidR="006E0F40" w:rsidRPr="001E6426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1E6426">
              <w:rPr>
                <w:rFonts w:asciiTheme="minorHAnsi" w:hAnsiTheme="minorHAnsi"/>
                <w:sz w:val="24"/>
                <w:szCs w:val="24"/>
              </w:rPr>
              <w:t xml:space="preserve">Wellbeing scale from the Multidimensional Personality Questionnaire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&lt;EndNote&gt;&lt;Cite&gt;&lt;Author&gt;Tellegen&lt;/Author&gt;&lt;Year&gt;2008&lt;/Year&gt;&lt;RecNum&gt;177&lt;/RecNum&gt;&lt;DisplayText&gt;(Tellegen &amp;amp; Waller, 2008)&lt;/DisplayText&gt;&lt;record&gt;&lt;rec-number&gt;177&lt;/rec-number&gt;&lt;foreign-keys&gt;&lt;key app="EN" db-id="sv5xrvsvhepsa0ezwvm5pae4ep5sddedae0p" timestamp="1445526093"&gt;177&lt;/key&gt;&lt;/foreign-keys&gt;&lt;ref-type name="Book Section"&gt;5&lt;/ref-type&gt;&lt;contributors&gt;&lt;authors&gt;&lt;author&gt;Tellegen, A.&lt;/author&gt;&lt;author&gt;Waller, N.G.&lt;/author&gt;&lt;/authors&gt;&lt;secondary-authors&gt;&lt;author&gt;Boyle, G.J. &lt;/author&gt;&lt;author&gt;Matthews, G. &lt;/author&gt;&lt;author&gt;Saklofske, D.H. &lt;/author&gt;&lt;/secondary-authors&gt;&lt;/contributors&gt;&lt;titles&gt;&lt;title&gt; Exploring personality through test construction:  Development of the Multidimensional Personality Questionnaire&lt;/title&gt;&lt;secondary-title&gt;Handbook of personality theory and testing: Vol.II. Personality measurement and assessment &lt;/secondary-title&gt;&lt;/titles&gt;&lt;pages&gt;261-292&lt;/pages&gt;&lt;dates&gt;&lt;year&gt;2008&lt;/year&gt;&lt;/dates&gt;&lt;pub-location&gt;Thousand Oaks, CA&lt;/pub-location&gt;&lt;publisher&gt;Sage&lt;/publisher&gt;&lt;urls&gt;&lt;/urls&gt;&lt;/record&gt;&lt;/Cite&gt;&lt;/EndNote&gt;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(Tellegen &amp; Waller, 2008)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[GW</w:t>
            </w:r>
            <w:r w:rsidRPr="001E6426">
              <w:rPr>
                <w:rFonts w:asciiTheme="minorHAnsi" w:hAnsiTheme="minorHAnsi"/>
                <w:sz w:val="24"/>
                <w:szCs w:val="24"/>
              </w:rPr>
              <w:t>]</w:t>
            </w:r>
          </w:p>
        </w:tc>
        <w:tc>
          <w:tcPr>
            <w:tcW w:w="2552" w:type="dxa"/>
          </w:tcPr>
          <w:p w:rsidR="006E0F40" w:rsidRPr="001E6426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E6426">
              <w:rPr>
                <w:sz w:val="24"/>
                <w:szCs w:val="24"/>
              </w:rPr>
              <w:t>Illumina</w:t>
            </w:r>
            <w:proofErr w:type="spellEnd"/>
            <w:r w:rsidRPr="001E6426">
              <w:rPr>
                <w:sz w:val="24"/>
                <w:szCs w:val="24"/>
              </w:rPr>
              <w:t xml:space="preserve"> Human660W-Quad </w:t>
            </w:r>
            <w:r w:rsidRPr="001E6426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6E0F40" w:rsidRPr="001E6426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1E6426">
              <w:rPr>
                <w:rFonts w:asciiTheme="minorHAnsi" w:hAnsiTheme="minorHAnsi"/>
                <w:sz w:val="24"/>
                <w:szCs w:val="24"/>
              </w:rPr>
              <w:t>&lt;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1E6426">
              <w:rPr>
                <w:rFonts w:asciiTheme="minorHAnsi" w:hAnsiTheme="minorHAnsi"/>
                <w:sz w:val="24"/>
                <w:szCs w:val="24"/>
              </w:rPr>
              <w:t>.99</w:t>
            </w:r>
          </w:p>
        </w:tc>
        <w:tc>
          <w:tcPr>
            <w:tcW w:w="1842" w:type="dxa"/>
          </w:tcPr>
          <w:p w:rsidR="006E0F40" w:rsidRDefault="006E0F40" w:rsidP="008F5106">
            <w:pPr>
              <w:spacing w:line="48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E6426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>HapMap</w:t>
            </w:r>
            <w:proofErr w:type="spellEnd"/>
            <w:r w:rsidRPr="001E6426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 xml:space="preserve"> CEU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>,</w:t>
            </w:r>
          </w:p>
          <w:p w:rsidR="006E0F40" w:rsidRPr="001E6426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Phase II, 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release 22, build 36</w:t>
            </w:r>
          </w:p>
        </w:tc>
        <w:tc>
          <w:tcPr>
            <w:tcW w:w="1101" w:type="dxa"/>
          </w:tcPr>
          <w:p w:rsidR="006E0F40" w:rsidRPr="001E6426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1E6426">
              <w:rPr>
                <w:rFonts w:asciiTheme="minorHAnsi" w:hAnsiTheme="minorHAnsi"/>
                <w:sz w:val="24"/>
                <w:szCs w:val="24"/>
              </w:rPr>
              <w:t>118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1E6426">
              <w:rPr>
                <w:rFonts w:asciiTheme="minorHAnsi" w:hAnsiTheme="minorHAnsi"/>
                <w:sz w:val="24"/>
                <w:szCs w:val="24"/>
              </w:rPr>
              <w:t>142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NTR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4549 [LS]; 3417 [PA]</w:t>
            </w:r>
          </w:p>
        </w:tc>
        <w:tc>
          <w:tcPr>
            <w:tcW w:w="1985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0B2BEA">
              <w:rPr>
                <w:rFonts w:asciiTheme="minorHAnsi" w:hAnsiTheme="minorHAnsi"/>
                <w:sz w:val="24"/>
                <w:szCs w:val="24"/>
              </w:rPr>
              <w:t xml:space="preserve">Dutch; 10-90,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B2BEA">
              <w:rPr>
                <w:rFonts w:asciiTheme="minorHAnsi" w:hAnsiTheme="minorHAnsi"/>
                <w:sz w:val="24"/>
                <w:szCs w:val="24"/>
              </w:rPr>
              <w:t>6.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7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SD 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17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4)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years [LS]; </w:t>
            </w:r>
            <w:r w:rsidRPr="000B2BEA">
              <w:rPr>
                <w:rFonts w:asciiTheme="minorHAnsi" w:hAnsiTheme="minorHAnsi"/>
                <w:sz w:val="24"/>
                <w:szCs w:val="24"/>
              </w:rPr>
              <w:t>10-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0B2BEA">
              <w:rPr>
                <w:rFonts w:asciiTheme="minorHAnsi" w:hAnsiTheme="minorHAnsi"/>
                <w:sz w:val="24"/>
                <w:szCs w:val="24"/>
              </w:rPr>
              <w:t>0, 2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0B2BEA">
              <w:rPr>
                <w:rFonts w:asciiTheme="minorHAnsi" w:hAnsiTheme="minorHAnsi"/>
                <w:sz w:val="24"/>
                <w:szCs w:val="24"/>
              </w:rPr>
              <w:t>.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4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SD 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4300C">
              <w:rPr>
                <w:rFonts w:asciiTheme="minorHAnsi" w:hAnsiTheme="minorHAnsi"/>
                <w:sz w:val="24"/>
                <w:szCs w:val="24"/>
              </w:rPr>
              <w:t>9)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years [PA]</w:t>
            </w:r>
          </w:p>
        </w:tc>
        <w:tc>
          <w:tcPr>
            <w:tcW w:w="2551" w:type="dxa"/>
          </w:tcPr>
          <w:p w:rsidR="006E0F40" w:rsidRPr="00F171EE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 xml:space="preserve">Satisfaction with Life Scale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&lt;EndNote&gt;&lt;Cite&gt;&lt;Author&gt;Diener&lt;/Author&gt;&lt;Year&gt;1985&lt;/Year&gt;&lt;RecNum&gt;186&lt;/RecNum&gt;&lt;DisplayText&gt;(Diener, et al., 1985)&lt;/DisplayText&gt;&lt;record&gt;&lt;rec-number&gt;186&lt;/rec-number&gt;&lt;foreign-keys&gt;&lt;key app="EN" db-id="sv5xrvsvhepsa0ezwvm5pae4ep5sddedae0p" timestamp="1445602228"&gt;186&lt;/key&gt;&lt;/foreign-keys&gt;&lt;ref-type name="Journal Article"&gt;17&lt;/ref-type&gt;&lt;contributors&gt;&lt;authors&gt;&lt;author&gt;Diener, E.&lt;/author&gt;&lt;author&gt;Emmons, R. A.&lt;/author&gt;&lt;author&gt;Larsen, R. J.&lt;/author&gt;&lt;author&gt;Griffin, S.&lt;/author&gt;&lt;/authors&gt;&lt;/contributors&gt;&lt;auth-address&gt;Diener, E&amp;#xD;Univ Illinois,Dept Psychol,603 E Daniel,Champaign,Il 61820, USA&amp;#xD;Univ Illinois,Dept Psychol,603 E Daniel,Champaign,Il 61820, USA&lt;/auth-address&gt;&lt;titles&gt;&lt;title&gt;The Satisfaction with Life Scale&lt;/title&gt;&lt;secondary-title&gt;Journal of Personality Assessment&lt;/secondary-title&gt;&lt;alt-title&gt;J Pers Assess&lt;/alt-title&gt;&lt;/titles&gt;&lt;alt-periodical&gt;&lt;full-title&gt;J Pers Assess&lt;/full-title&gt;&lt;/alt-periodical&gt;&lt;pages&gt;71-75&lt;/pages&gt;&lt;volume&gt;49&lt;/volume&gt;&lt;number&gt;1&lt;/number&gt;&lt;dates&gt;&lt;year&gt;1985&lt;/year&gt;&lt;/dates&gt;&lt;isbn&gt;0022-3891&lt;/isbn&gt;&lt;accession-num&gt;ISI:A1985AEV0700014&lt;/accession-num&gt;&lt;urls&gt;&lt;related-urls&gt;&lt;url&gt;&amp;lt;Go to ISI&amp;gt;://A1985AEV0700014&lt;/url&gt;&lt;/related-urls&gt;&lt;/urls&gt;&lt;electronic-resource-num&gt;DOI 10.1207/s15327752jpa4901_13&lt;/electronic-resource-num&gt;&lt;language&gt;English&lt;/language&gt;&lt;/record&gt;&lt;/Cite&gt;&lt;/EndNote&gt;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(Diener, et al., 1985)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[LS];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2A2D81">
              <w:rPr>
                <w:rFonts w:cs="Times New Roman"/>
                <w:sz w:val="24"/>
                <w:szCs w:val="24"/>
              </w:rPr>
              <w:t xml:space="preserve">ubjective </w:t>
            </w:r>
            <w:r>
              <w:rPr>
                <w:rFonts w:cs="Times New Roman"/>
                <w:sz w:val="24"/>
                <w:szCs w:val="24"/>
              </w:rPr>
              <w:t>H</w:t>
            </w:r>
            <w:r w:rsidRPr="002A2D81">
              <w:rPr>
                <w:rFonts w:cs="Times New Roman"/>
                <w:sz w:val="24"/>
                <w:szCs w:val="24"/>
              </w:rPr>
              <w:t xml:space="preserve">appiness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2A2D81">
              <w:rPr>
                <w:rFonts w:cs="Times New Roman"/>
                <w:sz w:val="24"/>
                <w:szCs w:val="24"/>
              </w:rPr>
              <w:t>cale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A2746">
              <w:rPr>
                <w:rFonts w:cs="Times New Roman"/>
                <w:sz w:val="24"/>
                <w:szCs w:val="24"/>
              </w:rPr>
              <w:fldChar w:fldCharType="begin"/>
            </w:r>
            <w:r w:rsidR="00993F4E">
              <w:rPr>
                <w:rFonts w:cs="Times New Roman"/>
                <w:sz w:val="24"/>
                <w:szCs w:val="24"/>
              </w:rPr>
              <w:instrText xml:space="preserve"> ADDIN EN.CITE &lt;EndNote&gt;&lt;Cite&gt;&lt;Author&gt;Lyubomirsky&lt;/Author&gt;&lt;Year&gt;1999&lt;/Year&gt;&lt;RecNum&gt;278&lt;/RecNum&gt;&lt;DisplayText&gt;(Lyubomirsky &amp;amp; Lepper, 1999)&lt;/DisplayText&gt;&lt;record&gt;&lt;rec-number&gt;278&lt;/rec-number&gt;&lt;foreign-keys&gt;&lt;key app="EN" db-id="sv5xrvsvhepsa0ezwvm5pae4ep5sddedae0p" timestamp="1446479507"&gt;278&lt;/key&gt;&lt;/foreign-keys&gt;&lt;ref-type name="Journal Article"&gt;17&lt;/ref-type&gt;&lt;contributors&gt;&lt;authors&gt;&lt;author&gt;Lyubomirsky, S.&lt;/author&gt;&lt;author&gt;Lepper, H. S.&lt;/author&gt;&lt;/authors&gt;&lt;/contributors&gt;&lt;auth-address&gt;Lyubomirsky, S&amp;#xD;Univ Calif Riverside, Dept Psychol, Riverside, CA 92521 USA&amp;#xD;Univ Calif Riverside, Dept Psychol, Riverside, CA 92521 USA&amp;#xD;Univ Calif Riverside, Dept Psychol, Riverside, CA 92521 USA&lt;/auth-address&gt;&lt;titles&gt;&lt;title&gt;A measure of subjective happiness: Preliminary reliability and construct validation&lt;/title&gt;&lt;secondary-title&gt;Social Indicators Research&lt;/secondary-title&gt;&lt;alt-title&gt;Soc Indic Res&lt;/alt-title&gt;&lt;/titles&gt;&lt;periodical&gt;&lt;full-title&gt;Social Indicators Research&lt;/full-title&gt;&lt;abbr-1&gt;Soc Indic Res&lt;/abbr-1&gt;&lt;/periodical&gt;&lt;alt-periodical&gt;&lt;full-title&gt;Social Indicators Research&lt;/full-title&gt;&lt;abbr-1&gt;Soc Indic Res&lt;/abbr-1&gt;&lt;/alt-periodical&gt;&lt;pages&gt;137-155&lt;/pages&gt;&lt;volume&gt;46&lt;/volume&gt;&lt;number&gt;2&lt;/number&gt;&lt;keywords&gt;&lt;keyword&gt;unhappy people&lt;/keyword&gt;&lt;keyword&gt;satisfaction&lt;/keyword&gt;&lt;keyword&gt;behavior&lt;/keyword&gt;&lt;keyword&gt;happy&lt;/keyword&gt;&lt;keyword&gt;personality&lt;/keyword&gt;&lt;keyword&gt;search&lt;/keyword&gt;&lt;keyword&gt;scale&lt;/keyword&gt;&lt;keyword&gt;model&lt;/keyword&gt;&lt;keyword&gt;time&lt;/keyword&gt;&lt;/keywords&gt;&lt;dates&gt;&lt;year&gt;1999&lt;/year&gt;&lt;pub-dates&gt;&lt;date&gt;Feb&lt;/date&gt;&lt;/pub-dates&gt;&lt;/dates&gt;&lt;isbn&gt;0303-8300&lt;/isbn&gt;&lt;accession-num&gt;ISI:000079353300002&lt;/accession-num&gt;&lt;urls&gt;&lt;related-urls&gt;&lt;url&gt;&amp;lt;Go to ISI&amp;gt;://000079353300002&lt;/url&gt;&lt;/related-urls&gt;&lt;/urls&gt;&lt;electronic-resource-num&gt;Doi 10.1023/A:1006824100041&lt;/electronic-resource-num&gt;&lt;language&gt;English&lt;/language&gt;&lt;/record&gt;&lt;/Cite&gt;&lt;/EndNote&gt;</w:instrText>
            </w:r>
            <w:r w:rsidR="00FA2746">
              <w:rPr>
                <w:rFonts w:cs="Times New Roman"/>
                <w:sz w:val="24"/>
                <w:szCs w:val="24"/>
              </w:rPr>
              <w:fldChar w:fldCharType="separate"/>
            </w:r>
            <w:r w:rsidR="00993F4E">
              <w:rPr>
                <w:rFonts w:cs="Times New Roman"/>
                <w:noProof/>
                <w:sz w:val="24"/>
                <w:szCs w:val="24"/>
              </w:rPr>
              <w:t>(Lyubomirsky &amp; Lepper, 1999)</w:t>
            </w:r>
            <w:r w:rsidR="00FA2746">
              <w:rPr>
                <w:rFonts w:cs="Times New Roman"/>
                <w:sz w:val="24"/>
                <w:szCs w:val="24"/>
              </w:rPr>
              <w:fldChar w:fldCharType="end"/>
            </w:r>
            <w:r w:rsidRPr="002A2D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[PA]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Affymetrix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6.0,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Perlegen-Affymetrix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5.0,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660,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1M,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370K</w:t>
            </w: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&lt;0.95</w:t>
            </w:r>
          </w:p>
        </w:tc>
        <w:tc>
          <w:tcPr>
            <w:tcW w:w="1842" w:type="dxa"/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1000G b37</w:t>
            </w: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253</w:t>
            </w:r>
            <w:r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,</w:t>
            </w: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302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QIMR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2307</w:t>
            </w:r>
          </w:p>
        </w:tc>
        <w:tc>
          <w:tcPr>
            <w:tcW w:w="1985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European ancestry; 19-84, 43.7 (SD 10.39) years</w:t>
            </w:r>
          </w:p>
        </w:tc>
        <w:tc>
          <w:tcPr>
            <w:tcW w:w="2551" w:type="dxa"/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How would you describe your emotional </w:t>
            </w:r>
            <w:r>
              <w:rPr>
                <w:rFonts w:asciiTheme="minorHAnsi" w:hAnsiTheme="minorHAnsi"/>
                <w:sz w:val="24"/>
                <w:szCs w:val="24"/>
              </w:rPr>
              <w:t>wellbeing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?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1=Poor, 2=Fair, 3=Good, 4=Excellent [PA]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val="en-AU" w:eastAsia="en-AU"/>
              </w:rPr>
              <w:t>Illumina</w:t>
            </w:r>
            <w:proofErr w:type="spellEnd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val="en-AU" w:eastAsia="en-AU"/>
              </w:rPr>
              <w:t xml:space="preserve"> HumanCNV370-Quadv3; </w:t>
            </w:r>
            <w:proofErr w:type="spellStart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val="en-AU" w:eastAsia="en-AU"/>
              </w:rPr>
              <w:t>Illumina</w:t>
            </w:r>
            <w:proofErr w:type="spellEnd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val="en-AU" w:eastAsia="en-AU"/>
              </w:rPr>
              <w:t xml:space="preserve"> Human610-Quadv1; </w:t>
            </w:r>
            <w:proofErr w:type="spellStart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>Illumina</w:t>
            </w:r>
            <w:proofErr w:type="spellEnd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 xml:space="preserve"> 317K</w:t>
            </w: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≤0.98</w:t>
            </w:r>
          </w:p>
        </w:tc>
        <w:tc>
          <w:tcPr>
            <w:tcW w:w="184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>HapMap</w:t>
            </w:r>
            <w:proofErr w:type="spellEnd"/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 xml:space="preserve"> CEU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>,</w:t>
            </w:r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 xml:space="preserve"> Phase I+II data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>, r</w:t>
            </w:r>
            <w:r w:rsidRPr="00F171EE">
              <w:rPr>
                <w:rFonts w:asciiTheme="minorHAnsi" w:hAnsiTheme="minorHAnsi" w:cs="Times New Roman"/>
                <w:color w:val="000000"/>
                <w:sz w:val="24"/>
                <w:szCs w:val="24"/>
                <w:lang w:eastAsia="en-AU"/>
              </w:rPr>
              <w:t>elease 22, Build 36</w:t>
            </w: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96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014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RS</w:t>
            </w:r>
            <w:r>
              <w:rPr>
                <w:rFonts w:asciiTheme="minorHAnsi" w:hAnsiTheme="minorHAnsi"/>
                <w:sz w:val="24"/>
                <w:szCs w:val="24"/>
              </w:rPr>
              <w:t>-I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3888</w:t>
            </w:r>
          </w:p>
        </w:tc>
        <w:tc>
          <w:tcPr>
            <w:tcW w:w="1985" w:type="dxa"/>
          </w:tcPr>
          <w:p w:rsidR="006E0F40" w:rsidRPr="00F171EE" w:rsidRDefault="006E0F40" w:rsidP="006159FF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European ancestry; 55-96</w:t>
            </w:r>
            <w:r w:rsidRPr="00037231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66.2 (SD 7.2) years</w:t>
            </w:r>
          </w:p>
        </w:tc>
        <w:tc>
          <w:tcPr>
            <w:tcW w:w="2551" w:type="dxa"/>
          </w:tcPr>
          <w:p w:rsidR="006E0F40" w:rsidRPr="00F171EE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4 positively framed items from the CES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&lt;EndNote&gt;&lt;Cite&gt;&lt;Author&gt;Radloff&lt;/Author&gt;&lt;Year&gt;1977&lt;/Year&gt;&lt;RecNum&gt;180&lt;/RecNum&gt;&lt;DisplayText&gt;(Radloff, 1977)&lt;/DisplayText&gt;&lt;record&gt;&lt;rec-number&gt;180&lt;/rec-number&gt;&lt;foreign-keys&gt;&lt;key app="EN" db-id="sv5xrvsvhepsa0ezwvm5pae4ep5sddedae0p" timestamp="1445592281"&gt;180&lt;/key&gt;&lt;/foreign-keys&gt;&lt;ref-type name="Journal Article"&gt;17&lt;/ref-type&gt;&lt;contributors&gt;&lt;authors&gt;&lt;author&gt;Radloff, L.S.&lt;/author&gt;&lt;/authors&gt;&lt;/contributors&gt;&lt;titles&gt;&lt;title&gt; The CES-D Scale: A self-report depression scale for research in the general population. &lt;/title&gt;&lt;secondary-title&gt;Applied Psychological Measurement. &lt;/secondary-title&gt;&lt;/titles&gt;&lt;periodical&gt;&lt;full-title&gt;Applied Psychological Measurement.&lt;/full-title&gt;&lt;/periodical&gt;&lt;pages&gt;385–401&lt;/pages&gt;&lt;volume&gt;1&lt;/volume&gt;&lt;dates&gt;&lt;year&gt;1977&lt;/year&gt;&lt;/dates&gt;&lt;urls&gt;&lt;/urls&gt;&lt;/record&gt;&lt;/Cite&gt;&lt;/EndNote&gt;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(Radloff, 1977)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[PA]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HumanHap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550 V.3</w:t>
            </w: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≤0.98</w:t>
            </w:r>
          </w:p>
        </w:tc>
        <w:tc>
          <w:tcPr>
            <w:tcW w:w="184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Observed</w:t>
            </w: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112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463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RS</w:t>
            </w:r>
            <w:r>
              <w:rPr>
                <w:rFonts w:asciiTheme="minorHAnsi" w:hAnsiTheme="minorHAnsi"/>
                <w:sz w:val="24"/>
                <w:szCs w:val="24"/>
              </w:rPr>
              <w:t>-II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2066</w:t>
            </w:r>
          </w:p>
        </w:tc>
        <w:tc>
          <w:tcPr>
            <w:tcW w:w="1985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European ancestry; 55-95, 64.6 (SD 7.8) years</w:t>
            </w:r>
          </w:p>
        </w:tc>
        <w:tc>
          <w:tcPr>
            <w:tcW w:w="2551" w:type="dxa"/>
          </w:tcPr>
          <w:p w:rsidR="006E0F40" w:rsidRPr="00F171EE" w:rsidRDefault="006E0F40" w:rsidP="00993F4E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4 positively framed items from the CES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&lt;EndNote&gt;&lt;Cite&gt;&lt;Author&gt;Radloff&lt;/Author&gt;&lt;Year&gt;1977&lt;/Year&gt;&lt;RecNum&gt;180&lt;/RecNum&gt;&lt;DisplayText&gt;(Radloff, 1977)&lt;/DisplayText&gt;&lt;record&gt;&lt;rec-number&gt;180&lt;/rec-number&gt;&lt;foreign-keys&gt;&lt;key app="EN" db-id="sv5xrvsvhepsa0ezwvm5pae4ep5sddedae0p" timestamp="1445592281"&gt;180&lt;/key&gt;&lt;/foreign-keys&gt;&lt;ref-type name="Journal Article"&gt;17&lt;/ref-type&gt;&lt;contributors&gt;&lt;authors&gt;&lt;author&gt;Radloff, L.S.&lt;/author&gt;&lt;/authors&gt;&lt;/contributors&gt;&lt;titles&gt;&lt;title&gt; The CES-D Scale: A self-report depression scale for research in the general population. &lt;/title&gt;&lt;secondary-title&gt;Applied Psychological Measurement. &lt;/secondary-title&gt;&lt;/titles&gt;&lt;periodical&gt;&lt;full-title&gt;Applied Psychological Measurement.&lt;/full-title&gt;&lt;/periodical&gt;&lt;pages&gt;385–401&lt;/pages&gt;&lt;volume&gt;1&lt;/volume&gt;&lt;dates&gt;&lt;year&gt;1977&lt;/year&gt;&lt;/dates&gt;&lt;urls&gt;&lt;/urls&gt;&lt;/record&gt;&lt;/Cite&gt;&lt;/EndNote&gt;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(Radloff, 1977)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[PA]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HumanHap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550 V.3 DUO;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HumanHap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610 QUAD</w:t>
            </w: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≤0.975</w:t>
            </w:r>
          </w:p>
        </w:tc>
        <w:tc>
          <w:tcPr>
            <w:tcW w:w="184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Observed</w:t>
            </w: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112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368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RS</w:t>
            </w:r>
            <w:r>
              <w:rPr>
                <w:rFonts w:asciiTheme="minorHAnsi" w:hAnsiTheme="minorHAnsi"/>
                <w:sz w:val="24"/>
                <w:szCs w:val="24"/>
              </w:rPr>
              <w:t>-III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2964</w:t>
            </w:r>
          </w:p>
        </w:tc>
        <w:tc>
          <w:tcPr>
            <w:tcW w:w="1985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European ancestry; 45-89, 57 (SD 6.7) years</w:t>
            </w:r>
          </w:p>
        </w:tc>
        <w:tc>
          <w:tcPr>
            <w:tcW w:w="2551" w:type="dxa"/>
          </w:tcPr>
          <w:p w:rsidR="006E0F40" w:rsidRPr="00F171EE" w:rsidRDefault="006E0F40" w:rsidP="00993F4E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4 positively framed items from the CES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&lt;EndNote&gt;&lt;Cite&gt;&lt;Author&gt;Radloff&lt;/Author&gt;&lt;Year&gt;1977&lt;/Year&gt;&lt;RecNum&gt;180&lt;/RecNum&gt;&lt;DisplayText&gt;(Radloff, 1977)&lt;/DisplayText&gt;&lt;record&gt;&lt;rec-number&gt;180&lt;/rec-number&gt;&lt;foreign-keys&gt;&lt;key app="EN" db-id="sv5xrvsvhepsa0ezwvm5pae4ep5sddedae0p" timestamp="1445592281"&gt;180&lt;/key&gt;&lt;/foreign-keys&gt;&lt;ref-type name="Journal Article"&gt;17&lt;/ref-type&gt;&lt;contributors&gt;&lt;authors&gt;&lt;author&gt;Radloff, L.S.&lt;/author&gt;&lt;/authors&gt;&lt;/contributors&gt;&lt;titles&gt;&lt;title&gt; The CES-D Scale: A self-report depression scale for research in the general population. &lt;/title&gt;&lt;secondary-title&gt;Applied Psychological Measurement. &lt;/secondary-title&gt;&lt;/titles&gt;&lt;periodical&gt;&lt;full-title&gt;Applied Psychological Measurement.&lt;/full-title&gt;&lt;/periodical&gt;&lt;pages&gt;385–401&lt;/pages&gt;&lt;volume&gt;1&lt;/volume&gt;&lt;dates&gt;&lt;year&gt;1977&lt;/year&gt;&lt;/dates&gt;&lt;urls&gt;&lt;/urls&gt;&lt;/record&gt;&lt;/Cite&gt;&lt;/EndNote&gt;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(Radloff, 1977)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[PA]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HumanHap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610 QUAD</w:t>
            </w: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≤0.975</w:t>
            </w:r>
          </w:p>
        </w:tc>
        <w:tc>
          <w:tcPr>
            <w:tcW w:w="184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Observed</w:t>
            </w: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112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577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STR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6680</w:t>
            </w:r>
          </w:p>
        </w:tc>
        <w:tc>
          <w:tcPr>
            <w:tcW w:w="1985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Swedish; 51-</w:t>
            </w:r>
            <w:r w:rsidRPr="00976268">
              <w:rPr>
                <w:rFonts w:asciiTheme="minorHAnsi" w:hAnsiTheme="minorHAnsi"/>
                <w:sz w:val="24"/>
                <w:szCs w:val="24"/>
              </w:rPr>
              <w:t>98, 67.56 (SD 8.9)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years</w:t>
            </w:r>
          </w:p>
        </w:tc>
        <w:tc>
          <w:tcPr>
            <w:tcW w:w="2551" w:type="dxa"/>
          </w:tcPr>
          <w:p w:rsidR="006E0F40" w:rsidRPr="00F171EE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‘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appy’ item from the CES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&lt;EndNote&gt;&lt;Cite&gt;&lt;Author&gt;Radloff&lt;/Author&gt;&lt;Year&gt;1977&lt;/Year&gt;&lt;RecNum&gt;180&lt;/RecNum&gt;&lt;DisplayText&gt;(Radloff, 1977)&lt;/DisplayText&gt;&lt;record&gt;&lt;rec-number&gt;180&lt;/rec-number&gt;&lt;foreign-keys&gt;&lt;key app="EN" db-id="sv5xrvsvhepsa0ezwvm5pae4ep5sddedae0p" timestamp="1445592281"&gt;180&lt;/key&gt;&lt;/foreign-keys&gt;&lt;ref-type name="Journal Article"&gt;17&lt;/ref-type&gt;&lt;contributors&gt;&lt;authors&gt;&lt;author&gt;Radloff, L.S.&lt;/author&gt;&lt;/authors&gt;&lt;/contributors&gt;&lt;titles&gt;&lt;title&gt; The CES-D Scale: A self-report depression scale for research in the general population. &lt;/title&gt;&lt;secondary-title&gt;Applied Psychological Measurement. &lt;/secondary-title&gt;&lt;/titles&gt;&lt;periodical&gt;&lt;full-title&gt;Applied Psychological Measurement.&lt;/full-title&gt;&lt;/periodical&gt;&lt;pages&gt;385–401&lt;/pages&gt;&lt;volume&gt;1&lt;/volume&gt;&lt;dates&gt;&lt;year&gt;1977&lt;/year&gt;&lt;/dates&gt;&lt;urls&gt;&lt;/urls&gt;&lt;/record&gt;&lt;/Cite&gt;&lt;/EndNote&gt;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(Radloff, 1977)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[PA]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171EE">
              <w:rPr>
                <w:rFonts w:asciiTheme="minorHAnsi" w:hAnsiTheme="minorHAnsi"/>
                <w:sz w:val="24"/>
                <w:szCs w:val="24"/>
              </w:rPr>
              <w:t>HumanOmniEx</w:t>
            </w:r>
            <w:proofErr w:type="spellEnd"/>
            <w:r w:rsidRPr="00F171EE">
              <w:rPr>
                <w:rFonts w:asciiTheme="minorHAnsi" w:hAnsiTheme="minorHAnsi"/>
                <w:sz w:val="24"/>
                <w:szCs w:val="24"/>
              </w:rPr>
              <w:t xml:space="preserve"> press-12v1_A</w:t>
            </w: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≤0.97</w:t>
            </w:r>
          </w:p>
        </w:tc>
        <w:tc>
          <w:tcPr>
            <w:tcW w:w="1842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HapMap</w:t>
            </w:r>
            <w:proofErr w:type="spellEnd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CEU,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Phase II,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release 22, build 36</w:t>
            </w: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120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331</w:t>
            </w: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TRAILS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1214</w:t>
            </w:r>
          </w:p>
        </w:tc>
        <w:tc>
          <w:tcPr>
            <w:tcW w:w="1985" w:type="dxa"/>
          </w:tcPr>
          <w:p w:rsidR="006E0F40" w:rsidRPr="00F171EE" w:rsidRDefault="006E0F40" w:rsidP="008F5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inorHAnsi" w:hAnsiTheme="minorHAnsi" w:cs="Courier New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 xml:space="preserve">Dutch; </w:t>
            </w:r>
            <w:r w:rsidRPr="00F171EE"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>17-20</w:t>
            </w:r>
            <w:r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>,</w:t>
            </w:r>
            <w:r w:rsidRPr="00F171EE"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 xml:space="preserve"> 18.5</w:t>
            </w:r>
            <w:r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 xml:space="preserve"> (SD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0</w:t>
            </w:r>
            <w:r w:rsidRPr="00F171EE"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>.60</w:t>
            </w:r>
            <w:r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 xml:space="preserve">) </w:t>
            </w:r>
            <w:r w:rsidRPr="00F171EE"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>y</w:t>
            </w:r>
            <w:r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>ea</w:t>
            </w:r>
            <w:r w:rsidRPr="00F171EE">
              <w:rPr>
                <w:rFonts w:asciiTheme="minorHAnsi" w:hAnsiTheme="minorHAnsi" w:cs="Courier New"/>
                <w:sz w:val="24"/>
                <w:szCs w:val="24"/>
                <w:lang w:eastAsia="en-GB"/>
              </w:rPr>
              <w:t>rs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0F40" w:rsidRPr="00F171EE" w:rsidRDefault="006E0F40" w:rsidP="008F5106">
            <w:pPr>
              <w:pStyle w:val="HTMLPreformatted"/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How satisfied are you, altogether, with your present life?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” 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[LS]; </w:t>
            </w:r>
            <w:r>
              <w:rPr>
                <w:rFonts w:asciiTheme="minorHAnsi" w:hAnsiTheme="minorHAnsi"/>
                <w:sz w:val="24"/>
                <w:szCs w:val="24"/>
              </w:rPr>
              <w:t>“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>How happy are you, altogether?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Pr="00F171EE">
              <w:rPr>
                <w:rFonts w:asciiTheme="minorHAnsi" w:hAnsiTheme="minorHAnsi"/>
                <w:sz w:val="24"/>
                <w:szCs w:val="24"/>
              </w:rPr>
              <w:t xml:space="preserve"> [PA]</w:t>
            </w:r>
          </w:p>
        </w:tc>
        <w:tc>
          <w:tcPr>
            <w:tcW w:w="2552" w:type="dxa"/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Illumina</w:t>
            </w:r>
            <w:proofErr w:type="spellEnd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Cyto</w:t>
            </w:r>
            <w:proofErr w:type="spellEnd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SNP12 v2</w:t>
            </w:r>
          </w:p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&lt;0.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95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F40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HapMap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CEU,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Phase II, 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release 22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build 36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6E0F40" w:rsidRPr="00F171EE" w:rsidRDefault="006E0F40" w:rsidP="008F5106">
            <w:pPr>
              <w:spacing w:line="48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107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F171EE">
              <w:rPr>
                <w:rFonts w:asciiTheme="minorHAnsi" w:hAnsiTheme="minorHAnsi"/>
                <w:color w:val="000000"/>
                <w:sz w:val="24"/>
                <w:szCs w:val="24"/>
              </w:rPr>
              <w:t>670</w:t>
            </w:r>
          </w:p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0F40" w:rsidRPr="00F171EE" w:rsidTr="008F5106"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171EE">
              <w:rPr>
                <w:rFonts w:asciiTheme="minorHAnsi" w:hAnsiTheme="minorHAnsi"/>
                <w:sz w:val="24"/>
                <w:szCs w:val="24"/>
              </w:rPr>
              <w:t>YFS</w:t>
            </w:r>
          </w:p>
        </w:tc>
        <w:tc>
          <w:tcPr>
            <w:tcW w:w="1134" w:type="dxa"/>
          </w:tcPr>
          <w:p w:rsidR="006E0F40" w:rsidRPr="00F171EE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1738</w:t>
            </w:r>
          </w:p>
        </w:tc>
        <w:tc>
          <w:tcPr>
            <w:tcW w:w="1985" w:type="dxa"/>
          </w:tcPr>
          <w:p w:rsidR="006E0F40" w:rsidRPr="00FC30BB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C30BB">
              <w:rPr>
                <w:rFonts w:asciiTheme="minorHAnsi" w:hAnsiTheme="minorHAnsi"/>
                <w:sz w:val="24"/>
                <w:szCs w:val="24"/>
              </w:rPr>
              <w:t xml:space="preserve">Finnish; </w:t>
            </w:r>
            <w:r>
              <w:rPr>
                <w:rFonts w:asciiTheme="minorHAnsi" w:hAnsiTheme="minorHAnsi"/>
                <w:sz w:val="24"/>
                <w:szCs w:val="24"/>
              </w:rPr>
              <w:t>35-50,</w:t>
            </w:r>
            <w:r w:rsidRPr="00FC30BB">
              <w:rPr>
                <w:rFonts w:asciiTheme="minorHAnsi" w:hAnsiTheme="minorHAnsi"/>
                <w:sz w:val="24"/>
                <w:szCs w:val="24"/>
              </w:rPr>
              <w:t xml:space="preserve"> 41.8 (SD 5.1) years</w:t>
            </w:r>
          </w:p>
        </w:tc>
        <w:tc>
          <w:tcPr>
            <w:tcW w:w="2551" w:type="dxa"/>
          </w:tcPr>
          <w:p w:rsidR="006E0F40" w:rsidRPr="00FC30BB" w:rsidRDefault="006E0F40" w:rsidP="00993F4E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C30BB">
              <w:rPr>
                <w:rFonts w:asciiTheme="minorHAnsi" w:hAnsiTheme="minorHAnsi"/>
                <w:sz w:val="24"/>
                <w:szCs w:val="24"/>
              </w:rPr>
              <w:t xml:space="preserve">Satisfaction as a parent, spouse and worker [LS]; PANAS (5-items) 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993F4E">
              <w:rPr>
                <w:rFonts w:asciiTheme="minorHAnsi" w:hAnsiTheme="minorHAnsi"/>
                <w:sz w:val="24"/>
                <w:szCs w:val="24"/>
              </w:rPr>
              <w:instrText xml:space="preserve"> ADDIN EN.CITE &lt;EndNote&gt;&lt;Cite&gt;&lt;Author&gt;Watson&lt;/Author&gt;&lt;Year&gt;1988&lt;/Year&gt;&lt;RecNum&gt;242&lt;/RecNum&gt;&lt;DisplayText&gt;(D. Watson, et al., 1988)&lt;/DisplayText&gt;&lt;record&gt;&lt;rec-number&gt;242&lt;/rec-number&gt;&lt;foreign-keys&gt;&lt;key app="EN" db-id="sv5xrvsvhepsa0ezwvm5pae4ep5sddedae0p" timestamp="1445604025"&gt;242&lt;/key&gt;&lt;/foreign-keys&gt;&lt;ref-type name="Journal Article"&gt;17&lt;/ref-type&gt;&lt;contributors&gt;&lt;authors&gt;&lt;author&gt;Watson, D.&lt;/author&gt;&lt;author&gt;Clark, L. A.&lt;/author&gt;&lt;author&gt;Tellegen, A.&lt;/author&gt;&lt;/authors&gt;&lt;/contributors&gt;&lt;auth-address&gt;Watson, D&amp;#xD;So Methodist Univ,Dept Psychol,Dallas,Tx 75275, USA&amp;#xD;So Methodist Univ,Dept Psychol,Dallas,Tx 75275, USA&amp;#xD;Univ Minnesota,Minneapolis,Mn 55455&lt;/auth-address&gt;&lt;titles&gt;&lt;title&gt;Development and Validation of Brief Measures of Positive and Negative Affect - the Panas Scales&lt;/title&gt;&lt;secondary-title&gt;Journal of Personality and Social Psychology&lt;/secondary-title&gt;&lt;alt-title&gt;J Pers Soc Psychol&lt;/alt-title&gt;&lt;/titles&gt;&lt;alt-periodical&gt;&lt;full-title&gt;J Pers Soc Psychol&lt;/full-title&gt;&lt;/alt-periodical&gt;&lt;pages&gt;1063-1070&lt;/pages&gt;&lt;volume&gt;54&lt;/volume&gt;&lt;number&gt;6&lt;/number&gt;&lt;dates&gt;&lt;year&gt;1988&lt;/year&gt;&lt;pub-dates&gt;&lt;date&gt;Jun&lt;/date&gt;&lt;/pub-dates&gt;&lt;/dates&gt;&lt;isbn&gt;0022-3514&lt;/isbn&gt;&lt;accession-num&gt;ISI:A1988N666500016&lt;/accession-num&gt;&lt;urls&gt;&lt;related-urls&gt;&lt;url&gt;&amp;lt;Go to ISI&amp;gt;://A1988N666500016&lt;/url&gt;&lt;/related-urls&gt;&lt;/urls&gt;&lt;electronic-resource-num&gt;Doi 10.1037/0022-3514.54.6.1063&lt;/electronic-resource-num&gt;&lt;language&gt;English&lt;/language&gt;&lt;/record&gt;&lt;/Cite&gt;&lt;/EndNote&gt;</w:instrTex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93F4E">
              <w:rPr>
                <w:rFonts w:asciiTheme="minorHAnsi" w:hAnsiTheme="minorHAnsi"/>
                <w:noProof/>
                <w:sz w:val="24"/>
                <w:szCs w:val="24"/>
              </w:rPr>
              <w:t>(D. Watson, et al., 1988)</w:t>
            </w:r>
            <w:r w:rsidR="00FA274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C30BB">
              <w:rPr>
                <w:rFonts w:asciiTheme="minorHAnsi" w:hAnsiTheme="minorHAnsi"/>
                <w:sz w:val="24"/>
                <w:szCs w:val="24"/>
              </w:rPr>
              <w:t xml:space="preserve"> [PA]</w:t>
            </w:r>
          </w:p>
        </w:tc>
        <w:tc>
          <w:tcPr>
            <w:tcW w:w="2552" w:type="dxa"/>
          </w:tcPr>
          <w:p w:rsidR="006E0F40" w:rsidRPr="00FC30BB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C30BB">
              <w:rPr>
                <w:sz w:val="24"/>
                <w:szCs w:val="24"/>
              </w:rPr>
              <w:t>Illumina</w:t>
            </w:r>
            <w:proofErr w:type="spellEnd"/>
            <w:r w:rsidRPr="00FC30BB">
              <w:rPr>
                <w:sz w:val="24"/>
                <w:szCs w:val="24"/>
              </w:rPr>
              <w:t xml:space="preserve"> custom made </w:t>
            </w:r>
            <w:proofErr w:type="spellStart"/>
            <w:r w:rsidRPr="00FC30BB">
              <w:rPr>
                <w:sz w:val="24"/>
                <w:szCs w:val="24"/>
              </w:rPr>
              <w:t>BeadChip</w:t>
            </w:r>
            <w:proofErr w:type="spellEnd"/>
            <w:r w:rsidRPr="00FC30BB">
              <w:rPr>
                <w:sz w:val="24"/>
                <w:szCs w:val="24"/>
              </w:rPr>
              <w:t xml:space="preserve"> Human 670K-Quad</w:t>
            </w:r>
          </w:p>
        </w:tc>
        <w:tc>
          <w:tcPr>
            <w:tcW w:w="1276" w:type="dxa"/>
          </w:tcPr>
          <w:p w:rsidR="006E0F40" w:rsidRPr="00FC30BB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C30BB">
              <w:rPr>
                <w:sz w:val="24"/>
                <w:szCs w:val="24"/>
              </w:rPr>
              <w:t>&lt;0.95</w:t>
            </w:r>
          </w:p>
        </w:tc>
        <w:tc>
          <w:tcPr>
            <w:tcW w:w="1842" w:type="dxa"/>
          </w:tcPr>
          <w:p w:rsidR="006E0F40" w:rsidRDefault="006E0F40" w:rsidP="008F5106">
            <w:pPr>
              <w:spacing w:line="48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FC30BB">
              <w:rPr>
                <w:rFonts w:asciiTheme="minorHAnsi" w:hAnsiTheme="minorHAnsi"/>
                <w:color w:val="000000"/>
                <w:sz w:val="24"/>
                <w:szCs w:val="24"/>
              </w:rPr>
              <w:t>HapMap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CEU,</w:t>
            </w:r>
          </w:p>
          <w:p w:rsidR="006E0F40" w:rsidRPr="00FC30BB" w:rsidRDefault="006E0F40" w:rsidP="008F5106">
            <w:pPr>
              <w:spacing w:line="48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Phase II,</w:t>
            </w:r>
            <w:r w:rsidRPr="00FC30B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release 22, </w:t>
            </w:r>
            <w:r w:rsidRPr="00FC30BB">
              <w:rPr>
                <w:rFonts w:asciiTheme="minorHAnsi" w:hAnsiTheme="minorHAnsi"/>
                <w:color w:val="000000"/>
                <w:sz w:val="24"/>
                <w:szCs w:val="24"/>
              </w:rPr>
              <w:t>build 36</w:t>
            </w:r>
          </w:p>
          <w:p w:rsidR="006E0F40" w:rsidRPr="00FC30BB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6E0F40" w:rsidRPr="00FC30BB" w:rsidRDefault="006E0F40" w:rsidP="008F5106">
            <w:pPr>
              <w:spacing w:after="100" w:afterAutospacing="1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FC30BB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,</w:t>
            </w:r>
            <w:r w:rsidRPr="00FC30BB">
              <w:rPr>
                <w:sz w:val="24"/>
                <w:szCs w:val="24"/>
              </w:rPr>
              <w:t>898</w:t>
            </w:r>
          </w:p>
        </w:tc>
      </w:tr>
    </w:tbl>
    <w:p w:rsidR="006E0F40" w:rsidRDefault="006E0F40" w:rsidP="006E0F40">
      <w:pPr>
        <w:spacing w:line="480" w:lineRule="auto"/>
        <w:rPr>
          <w:rFonts w:asciiTheme="minorHAnsi" w:hAnsiTheme="minorHAnsi"/>
        </w:rPr>
      </w:pPr>
      <w:r w:rsidRPr="00F811FA">
        <w:t>LS: Life Satisfaction</w:t>
      </w:r>
      <w:r>
        <w:t xml:space="preserve">; </w:t>
      </w:r>
      <w:r w:rsidRPr="00F811FA">
        <w:t>PA: Positive Affect</w:t>
      </w:r>
      <w:r>
        <w:t xml:space="preserve">; </w:t>
      </w:r>
      <w:r w:rsidRPr="00F811FA">
        <w:rPr>
          <w:rFonts w:asciiTheme="minorHAnsi" w:hAnsiTheme="minorHAnsi"/>
        </w:rPr>
        <w:t>GW: General wellbeing</w:t>
      </w:r>
    </w:p>
    <w:p w:rsidR="00B352A2" w:rsidRDefault="00B352A2" w:rsidP="00B352A2">
      <w:pPr>
        <w:spacing w:after="0" w:line="240" w:lineRule="auto"/>
        <w:ind w:left="720" w:hanging="720"/>
        <w:rPr>
          <w:sz w:val="24"/>
          <w:szCs w:val="24"/>
        </w:rPr>
      </w:pPr>
    </w:p>
    <w:p w:rsidR="006422F0" w:rsidRDefault="006422F0" w:rsidP="006E0F40">
      <w:pPr>
        <w:rPr>
          <w:sz w:val="24"/>
          <w:szCs w:val="24"/>
        </w:rPr>
        <w:sectPr w:rsidR="006422F0" w:rsidSect="006422F0">
          <w:headerReference w:type="default" r:id="rId6"/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E0F40" w:rsidRDefault="006E0F40" w:rsidP="006E0F40">
      <w:pPr>
        <w:spacing w:after="100" w:afterAutospacing="1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777430">
        <w:rPr>
          <w:sz w:val="24"/>
          <w:szCs w:val="24"/>
        </w:rPr>
        <w:t>2</w:t>
      </w:r>
      <w:r>
        <w:rPr>
          <w:sz w:val="24"/>
          <w:szCs w:val="24"/>
        </w:rPr>
        <w:t xml:space="preserve"> Table.</w:t>
      </w:r>
      <w:proofErr w:type="gramEnd"/>
      <w:r>
        <w:rPr>
          <w:sz w:val="24"/>
          <w:szCs w:val="24"/>
        </w:rPr>
        <w:t xml:space="preserve"> The Number of SNPs Included in Each Polygenic Score at the Differing Threshold Inclusion Levels for Each Cohort. A Range is given across the Five Personality Polygenic Scores for each of the Thresholds where Applicable.</w:t>
      </w:r>
    </w:p>
    <w:tbl>
      <w:tblPr>
        <w:tblStyle w:val="TableGrid"/>
        <w:tblW w:w="939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8"/>
        <w:gridCol w:w="1418"/>
        <w:gridCol w:w="1559"/>
        <w:gridCol w:w="1559"/>
        <w:gridCol w:w="1843"/>
        <w:gridCol w:w="1843"/>
      </w:tblGrid>
      <w:tr w:rsidR="006E0F40" w:rsidTr="008F5106"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p&lt;1</w:t>
            </w:r>
          </w:p>
        </w:tc>
      </w:tr>
      <w:tr w:rsidR="006E0F40" w:rsidTr="008F5106">
        <w:tc>
          <w:tcPr>
            <w:tcW w:w="1168" w:type="dxa"/>
            <w:tcBorders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ASPS</w:t>
            </w:r>
          </w:p>
        </w:tc>
        <w:tc>
          <w:tcPr>
            <w:tcW w:w="1418" w:type="dxa"/>
            <w:tcBorders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1211-1290</w:t>
            </w:r>
          </w:p>
        </w:tc>
        <w:tc>
          <w:tcPr>
            <w:tcW w:w="1559" w:type="dxa"/>
            <w:tcBorders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5906-6070</w:t>
            </w:r>
          </w:p>
        </w:tc>
        <w:tc>
          <w:tcPr>
            <w:tcW w:w="1559" w:type="dxa"/>
            <w:tcBorders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11706-12050</w:t>
            </w:r>
          </w:p>
        </w:tc>
        <w:tc>
          <w:tcPr>
            <w:tcW w:w="1843" w:type="dxa"/>
            <w:tcBorders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58370-58974</w:t>
            </w:r>
          </w:p>
        </w:tc>
        <w:tc>
          <w:tcPr>
            <w:tcW w:w="1843" w:type="dxa"/>
            <w:tcBorders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116818</w:t>
            </w:r>
          </w:p>
        </w:tc>
      </w:tr>
      <w:tr w:rsidR="006E0F40" w:rsidTr="008F5106">
        <w:tc>
          <w:tcPr>
            <w:tcW w:w="1168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778-872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3908-4005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7683-7924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38495-38996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77422</w:t>
            </w:r>
          </w:p>
        </w:tc>
      </w:tr>
      <w:tr w:rsidR="006E0F40" w:rsidTr="008F5106">
        <w:tc>
          <w:tcPr>
            <w:tcW w:w="1168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LBC1921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1270–1353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6197-6348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12374-12576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61645-62004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122973</w:t>
            </w:r>
          </w:p>
        </w:tc>
      </w:tr>
      <w:tr w:rsidR="006E0F40" w:rsidTr="008F5106">
        <w:tc>
          <w:tcPr>
            <w:tcW w:w="1168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Lifelines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1252-1316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6211-6431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12448-12754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0F40" w:rsidRPr="00503E06" w:rsidRDefault="006E0F40" w:rsidP="008F5106">
            <w:pPr>
              <w:spacing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61825</w:t>
            </w:r>
            <w:r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-</w:t>
            </w: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62339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123697-123704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1360-1410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6727-6904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13322-13757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66731-67194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133100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MCTFR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1228-1296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5972-6150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11694-12157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58931-59592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118142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NTR</w:t>
            </w:r>
          </w:p>
        </w:tc>
        <w:tc>
          <w:tcPr>
            <w:tcW w:w="1418" w:type="dxa"/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2727-2854</w:t>
            </w:r>
          </w:p>
        </w:tc>
        <w:tc>
          <w:tcPr>
            <w:tcW w:w="1559" w:type="dxa"/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12970-</w:t>
            </w: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13044</w:t>
            </w:r>
          </w:p>
        </w:tc>
        <w:tc>
          <w:tcPr>
            <w:tcW w:w="1559" w:type="dxa"/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25520-26035</w:t>
            </w:r>
          </w:p>
        </w:tc>
        <w:tc>
          <w:tcPr>
            <w:tcW w:w="1843" w:type="dxa"/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126300-127820</w:t>
            </w:r>
          </w:p>
        </w:tc>
        <w:tc>
          <w:tcPr>
            <w:tcW w:w="1843" w:type="dxa"/>
          </w:tcPr>
          <w:p w:rsidR="006E0F40" w:rsidRPr="00503E06" w:rsidRDefault="006E0F40" w:rsidP="008F5106">
            <w:pPr>
              <w:spacing w:after="100" w:afterAutospacing="1" w:line="48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03E0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253064-253302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QIMR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1001-1038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4864-4996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9560-9827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48011-48269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96014</w:t>
            </w:r>
          </w:p>
        </w:tc>
      </w:tr>
      <w:tr w:rsidR="006E0F40" w:rsidTr="008F5106">
        <w:tc>
          <w:tcPr>
            <w:tcW w:w="1168" w:type="dxa"/>
            <w:tcBorders>
              <w:top w:val="nil"/>
            </w:tcBorders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RS1</w:t>
            </w:r>
          </w:p>
        </w:tc>
        <w:tc>
          <w:tcPr>
            <w:tcW w:w="1418" w:type="dxa"/>
            <w:tcBorders>
              <w:top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1125-1230</w:t>
            </w:r>
          </w:p>
        </w:tc>
        <w:tc>
          <w:tcPr>
            <w:tcW w:w="1559" w:type="dxa"/>
            <w:tcBorders>
              <w:top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5691-5940</w:t>
            </w:r>
          </w:p>
        </w:tc>
        <w:tc>
          <w:tcPr>
            <w:tcW w:w="1559" w:type="dxa"/>
            <w:tcBorders>
              <w:top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11173-11482</w:t>
            </w:r>
          </w:p>
        </w:tc>
        <w:tc>
          <w:tcPr>
            <w:tcW w:w="1843" w:type="dxa"/>
            <w:tcBorders>
              <w:top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56267-56575</w:t>
            </w:r>
          </w:p>
        </w:tc>
        <w:tc>
          <w:tcPr>
            <w:tcW w:w="1843" w:type="dxa"/>
            <w:tcBorders>
              <w:top w:val="nil"/>
            </w:tcBorders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112463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RS2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1140-1258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5665-5867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11210-11484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56298-56644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112368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RS3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1163-1222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5680-5904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11208-11470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56437-56610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112577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1209-1301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6049-6247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12012-12459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60228-60889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120331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TRAILS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1040-1119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5213-5288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10352-10504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51452-51830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102793</w:t>
            </w:r>
          </w:p>
        </w:tc>
      </w:tr>
      <w:tr w:rsidR="006E0F40" w:rsidTr="008F5106">
        <w:tc>
          <w:tcPr>
            <w:tcW w:w="1168" w:type="dxa"/>
          </w:tcPr>
          <w:p w:rsidR="006E0F40" w:rsidRDefault="006E0F40" w:rsidP="008F5106">
            <w:pPr>
              <w:spacing w:after="100" w:afterAutospacing="1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YFS</w:t>
            </w:r>
          </w:p>
        </w:tc>
        <w:tc>
          <w:tcPr>
            <w:tcW w:w="1418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1129-1204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5469-5603</w:t>
            </w:r>
          </w:p>
        </w:tc>
        <w:tc>
          <w:tcPr>
            <w:tcW w:w="1559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10851-11112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54454-54995</w:t>
            </w:r>
          </w:p>
        </w:tc>
        <w:tc>
          <w:tcPr>
            <w:tcW w:w="1843" w:type="dxa"/>
          </w:tcPr>
          <w:p w:rsidR="006E0F40" w:rsidRDefault="006E0F40" w:rsidP="008F5106">
            <w:pPr>
              <w:spacing w:after="100" w:afterAutospacing="1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108898</w:t>
            </w:r>
          </w:p>
        </w:tc>
      </w:tr>
    </w:tbl>
    <w:p w:rsidR="006E0F40" w:rsidRDefault="006E0F40" w:rsidP="006E0F40">
      <w:pPr>
        <w:spacing w:line="480" w:lineRule="auto"/>
      </w:pPr>
    </w:p>
    <w:p w:rsidR="006E0F40" w:rsidRDefault="006E0F40" w:rsidP="006E0F40">
      <w:pPr>
        <w:spacing w:line="480" w:lineRule="auto"/>
      </w:pPr>
      <w:r>
        <w:br w:type="page"/>
      </w:r>
    </w:p>
    <w:p w:rsidR="00777430" w:rsidRDefault="00777430" w:rsidP="006422F0">
      <w:pPr>
        <w:spacing w:after="100" w:afterAutospacing="1" w:line="480" w:lineRule="auto"/>
        <w:rPr>
          <w:sz w:val="24"/>
          <w:szCs w:val="24"/>
        </w:rPr>
        <w:sectPr w:rsidR="00777430" w:rsidSect="006422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0F40" w:rsidRDefault="006E0F40" w:rsidP="00777430">
      <w:pPr>
        <w:spacing w:after="100" w:afterAutospacing="1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77743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5F3197">
        <w:rPr>
          <w:sz w:val="24"/>
          <w:szCs w:val="24"/>
        </w:rPr>
        <w:t>Table.</w:t>
      </w:r>
      <w:proofErr w:type="gramEnd"/>
      <w:r w:rsidRPr="005F3197">
        <w:rPr>
          <w:sz w:val="24"/>
          <w:szCs w:val="24"/>
        </w:rPr>
        <w:t xml:space="preserve"> Individual Cohort Regression Betas </w:t>
      </w:r>
      <w:r>
        <w:rPr>
          <w:sz w:val="24"/>
          <w:szCs w:val="24"/>
        </w:rPr>
        <w:t>f</w:t>
      </w:r>
      <w:r w:rsidRPr="005F3197">
        <w:rPr>
          <w:sz w:val="24"/>
          <w:szCs w:val="24"/>
        </w:rPr>
        <w:t>or Polygenic</w:t>
      </w:r>
      <w:r>
        <w:rPr>
          <w:sz w:val="24"/>
          <w:szCs w:val="24"/>
        </w:rPr>
        <w:t xml:space="preserve"> Neuroticism,</w:t>
      </w:r>
      <w:r w:rsidRPr="005F3197">
        <w:rPr>
          <w:sz w:val="24"/>
          <w:szCs w:val="24"/>
        </w:rPr>
        <w:t xml:space="preserve"> Extraversion </w:t>
      </w:r>
      <w:r>
        <w:rPr>
          <w:sz w:val="24"/>
          <w:szCs w:val="24"/>
        </w:rPr>
        <w:t>a</w:t>
      </w:r>
      <w:r w:rsidRPr="005F3197">
        <w:rPr>
          <w:sz w:val="24"/>
          <w:szCs w:val="24"/>
        </w:rPr>
        <w:t xml:space="preserve">nd Agreeableness Scores </w:t>
      </w:r>
      <w:r>
        <w:rPr>
          <w:sz w:val="24"/>
          <w:szCs w:val="24"/>
        </w:rPr>
        <w:t>Predicting Positive Affect, w</w:t>
      </w:r>
      <w:r w:rsidRPr="005F3197">
        <w:rPr>
          <w:sz w:val="24"/>
          <w:szCs w:val="24"/>
        </w:rPr>
        <w:t xml:space="preserve">here Heterogeneity </w:t>
      </w:r>
      <w:r>
        <w:rPr>
          <w:sz w:val="24"/>
          <w:szCs w:val="24"/>
        </w:rPr>
        <w:t>w</w:t>
      </w:r>
      <w:r w:rsidRPr="005F3197"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O</w:t>
      </w:r>
      <w:r w:rsidRPr="005F3197">
        <w:rPr>
          <w:sz w:val="24"/>
          <w:szCs w:val="24"/>
        </w:rPr>
        <w:t>bserved</w:t>
      </w:r>
      <w:proofErr w:type="gramEnd"/>
      <w:r w:rsidRPr="005F3197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551"/>
        <w:tblW w:w="142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1131"/>
        <w:gridCol w:w="833"/>
        <w:gridCol w:w="951"/>
        <w:gridCol w:w="948"/>
        <w:gridCol w:w="1105"/>
        <w:gridCol w:w="948"/>
        <w:gridCol w:w="954"/>
        <w:gridCol w:w="947"/>
        <w:gridCol w:w="948"/>
        <w:gridCol w:w="947"/>
        <w:gridCol w:w="953"/>
        <w:gridCol w:w="1075"/>
        <w:gridCol w:w="1166"/>
        <w:gridCol w:w="986"/>
        <w:gridCol w:w="142"/>
        <w:gridCol w:w="249"/>
      </w:tblGrid>
      <w:tr w:rsidR="00777430" w:rsidRPr="009A5947" w:rsidTr="00B938B4">
        <w:trPr>
          <w:gridAfter w:val="2"/>
          <w:wAfter w:w="391" w:type="dxa"/>
          <w:trHeight w:val="327"/>
        </w:trPr>
        <w:tc>
          <w:tcPr>
            <w:tcW w:w="1131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Neuroticism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Extraversion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Agreeableness</w:t>
            </w:r>
          </w:p>
        </w:tc>
      </w:tr>
      <w:tr w:rsidR="00777430" w:rsidRPr="009A5947" w:rsidTr="00B938B4">
        <w:trPr>
          <w:trHeight w:val="327"/>
        </w:trPr>
        <w:tc>
          <w:tcPr>
            <w:tcW w:w="1131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N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p&lt;.01</w:t>
            </w:r>
          </w:p>
        </w:tc>
        <w:tc>
          <w:tcPr>
            <w:tcW w:w="948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p&lt;.05</w:t>
            </w:r>
          </w:p>
        </w:tc>
        <w:tc>
          <w:tcPr>
            <w:tcW w:w="1105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p&lt;.10</w:t>
            </w:r>
          </w:p>
        </w:tc>
        <w:tc>
          <w:tcPr>
            <w:tcW w:w="948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p&lt;.50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p&lt;1</w:t>
            </w:r>
          </w:p>
        </w:tc>
        <w:tc>
          <w:tcPr>
            <w:tcW w:w="947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p&lt;.05</w:t>
            </w:r>
          </w:p>
        </w:tc>
        <w:tc>
          <w:tcPr>
            <w:tcW w:w="948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p&lt;.10</w:t>
            </w:r>
          </w:p>
        </w:tc>
        <w:tc>
          <w:tcPr>
            <w:tcW w:w="947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p&lt;.50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p&lt;1</w:t>
            </w:r>
          </w:p>
        </w:tc>
        <w:tc>
          <w:tcPr>
            <w:tcW w:w="1075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p&lt;.05</w:t>
            </w:r>
          </w:p>
        </w:tc>
        <w:tc>
          <w:tcPr>
            <w:tcW w:w="1166" w:type="dxa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p&lt;.50</w:t>
            </w:r>
          </w:p>
        </w:tc>
        <w:tc>
          <w:tcPr>
            <w:tcW w:w="1377" w:type="dxa"/>
            <w:gridSpan w:val="3"/>
            <w:noWrap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p&lt;1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MAP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351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0.046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0.016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0.043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-0.005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-0.004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-0.003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0.066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0.071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0.056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0.039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0.041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STR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6680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-0.015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0.006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0.003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0.008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-0.008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-0.006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-0.007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-0.009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-0.002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-0.025</w:t>
            </w:r>
            <w:r w:rsidRPr="009A594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-0.021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RS1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3888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-0.029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-0.04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-0.034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0.023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0.005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-0.001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.000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0.003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0.014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0.006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0.004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RS2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2066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-0.011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-0.007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0.003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0.002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0.013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0.002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0.023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0.026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0.06</w:t>
            </w:r>
            <w:r w:rsidRPr="009A594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</w:t>
            </w:r>
            <w:r w:rsidRPr="009A5947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RS3</w:t>
            </w:r>
          </w:p>
        </w:tc>
        <w:tc>
          <w:tcPr>
            <w:tcW w:w="833" w:type="dxa"/>
            <w:tcBorders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2964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-0.003</w:t>
            </w:r>
          </w:p>
        </w:tc>
        <w:tc>
          <w:tcPr>
            <w:tcW w:w="948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-0.019</w:t>
            </w:r>
          </w:p>
        </w:tc>
        <w:tc>
          <w:tcPr>
            <w:tcW w:w="1105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-0.029</w:t>
            </w:r>
          </w:p>
        </w:tc>
        <w:tc>
          <w:tcPr>
            <w:tcW w:w="948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</w:t>
            </w:r>
          </w:p>
        </w:tc>
        <w:tc>
          <w:tcPr>
            <w:tcW w:w="954" w:type="dxa"/>
            <w:tcBorders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</w:t>
            </w:r>
          </w:p>
        </w:tc>
        <w:tc>
          <w:tcPr>
            <w:tcW w:w="947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</w:t>
            </w:r>
            <w:r w:rsidR="004C7CF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8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</w:t>
            </w:r>
            <w:r w:rsidRPr="009A594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7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</w:t>
            </w:r>
          </w:p>
        </w:tc>
        <w:tc>
          <w:tcPr>
            <w:tcW w:w="953" w:type="dxa"/>
            <w:tcBorders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</w:t>
            </w:r>
          </w:p>
        </w:tc>
        <w:tc>
          <w:tcPr>
            <w:tcW w:w="1075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0.013</w:t>
            </w:r>
          </w:p>
        </w:tc>
        <w:tc>
          <w:tcPr>
            <w:tcW w:w="1166" w:type="dxa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0.024</w:t>
            </w:r>
          </w:p>
        </w:tc>
        <w:tc>
          <w:tcPr>
            <w:tcW w:w="1128" w:type="dxa"/>
            <w:gridSpan w:val="2"/>
            <w:tcBorders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0.026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tcBorders>
              <w:top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QIMR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2307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-0.09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-0.126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-0.151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-0.178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-0.18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b/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0.064</w:t>
            </w:r>
            <w:r w:rsidRPr="009A594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0.083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0.109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0.109</w:t>
            </w:r>
            <w:r w:rsidRPr="009A594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0.062</w:t>
            </w:r>
            <w:r w:rsidRPr="009A594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0.069</w:t>
            </w:r>
            <w:r w:rsidRPr="009A594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0.071</w:t>
            </w:r>
            <w:r w:rsidRPr="009A5947"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tcBorders>
              <w:top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ASPS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796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0.085</w:t>
            </w:r>
            <w:r w:rsidRPr="009A594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0.077</w:t>
            </w:r>
            <w:r w:rsidRPr="009A594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0.056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YFS</w:t>
            </w:r>
          </w:p>
        </w:tc>
        <w:tc>
          <w:tcPr>
            <w:tcW w:w="833" w:type="dxa"/>
            <w:tcBorders>
              <w:top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1738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0.054</w:t>
            </w:r>
            <w:r w:rsidRPr="009A594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48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0.026</w:t>
            </w:r>
          </w:p>
        </w:tc>
        <w:tc>
          <w:tcPr>
            <w:tcW w:w="1105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0.014</w:t>
            </w:r>
          </w:p>
        </w:tc>
        <w:tc>
          <w:tcPr>
            <w:tcW w:w="948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-0.012</w:t>
            </w:r>
          </w:p>
        </w:tc>
        <w:tc>
          <w:tcPr>
            <w:tcW w:w="954" w:type="dxa"/>
            <w:tcBorders>
              <w:top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.000</w:t>
            </w:r>
          </w:p>
        </w:tc>
        <w:tc>
          <w:tcPr>
            <w:tcW w:w="947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0.011</w:t>
            </w:r>
          </w:p>
        </w:tc>
        <w:tc>
          <w:tcPr>
            <w:tcW w:w="948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0.031</w:t>
            </w:r>
          </w:p>
        </w:tc>
        <w:tc>
          <w:tcPr>
            <w:tcW w:w="947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</w:t>
            </w:r>
          </w:p>
        </w:tc>
        <w:tc>
          <w:tcPr>
            <w:tcW w:w="953" w:type="dxa"/>
            <w:tcBorders>
              <w:top w:val="nil"/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0.027</w:t>
            </w:r>
          </w:p>
        </w:tc>
        <w:tc>
          <w:tcPr>
            <w:tcW w:w="1075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0.032</w:t>
            </w:r>
          </w:p>
        </w:tc>
        <w:tc>
          <w:tcPr>
            <w:tcW w:w="1166" w:type="dxa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0.017</w:t>
            </w:r>
          </w:p>
        </w:tc>
        <w:tc>
          <w:tcPr>
            <w:tcW w:w="1128" w:type="dxa"/>
            <w:gridSpan w:val="2"/>
            <w:tcBorders>
              <w:top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0.009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HRS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9117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-0.002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0.000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0.003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0.006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0.001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0.007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0.000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0.007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0.011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0.012</w:t>
            </w:r>
          </w:p>
        </w:tc>
      </w:tr>
      <w:tr w:rsidR="00777430" w:rsidRPr="009A5947" w:rsidTr="00B938B4">
        <w:trPr>
          <w:gridAfter w:val="1"/>
          <w:wAfter w:w="249" w:type="dxa"/>
          <w:trHeight w:val="81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TRAILS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1213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-0.013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0.033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0.029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0.023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-0.022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-0.006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0.009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0.009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0.017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-0.019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-0.011</w:t>
            </w:r>
          </w:p>
        </w:tc>
      </w:tr>
      <w:tr w:rsidR="00777430" w:rsidRPr="009A5947" w:rsidTr="00B938B4">
        <w:trPr>
          <w:gridAfter w:val="1"/>
          <w:wAfter w:w="249" w:type="dxa"/>
          <w:trHeight w:val="327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Lifelines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11971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0.007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-0.005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0.004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-0.002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-0.016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-0.016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-0.009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-0.005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0.001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0.005</w:t>
            </w:r>
          </w:p>
        </w:tc>
      </w:tr>
      <w:tr w:rsidR="00777430" w:rsidRPr="009A5947" w:rsidTr="00B938B4">
        <w:trPr>
          <w:gridAfter w:val="1"/>
          <w:wAfter w:w="249" w:type="dxa"/>
          <w:trHeight w:val="383"/>
        </w:trPr>
        <w:tc>
          <w:tcPr>
            <w:tcW w:w="1131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NTR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3417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-0.032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-0.01</w:t>
            </w:r>
          </w:p>
        </w:tc>
        <w:tc>
          <w:tcPr>
            <w:tcW w:w="110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-0.001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-0.022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</w:t>
            </w:r>
          </w:p>
        </w:tc>
        <w:tc>
          <w:tcPr>
            <w:tcW w:w="948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</w:t>
            </w:r>
          </w:p>
        </w:tc>
        <w:tc>
          <w:tcPr>
            <w:tcW w:w="947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0.034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0.021</w:t>
            </w:r>
          </w:p>
        </w:tc>
        <w:tc>
          <w:tcPr>
            <w:tcW w:w="1075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0.049</w:t>
            </w:r>
            <w:r w:rsidR="004C7CF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6" w:type="dxa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0.053</w:t>
            </w:r>
            <w:r w:rsidR="004C7CF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8" w:type="dxa"/>
            <w:gridSpan w:val="2"/>
            <w:noWrap/>
            <w:hideMark/>
          </w:tcPr>
          <w:p w:rsidR="00777430" w:rsidRPr="009A5947" w:rsidRDefault="00777430" w:rsidP="00B938B4">
            <w:pPr>
              <w:spacing w:after="200" w:line="480" w:lineRule="auto"/>
              <w:rPr>
                <w:sz w:val="24"/>
                <w:szCs w:val="24"/>
              </w:rPr>
            </w:pPr>
            <w:r w:rsidRPr="009A5947">
              <w:rPr>
                <w:sz w:val="24"/>
                <w:szCs w:val="24"/>
              </w:rPr>
              <w:t>0.058</w:t>
            </w:r>
            <w:r w:rsidRPr="009A5947">
              <w:rPr>
                <w:sz w:val="24"/>
                <w:szCs w:val="24"/>
                <w:vertAlign w:val="superscript"/>
              </w:rPr>
              <w:t>b</w:t>
            </w:r>
          </w:p>
        </w:tc>
      </w:tr>
    </w:tbl>
    <w:p w:rsidR="00777430" w:rsidRDefault="004C7CF7" w:rsidP="006E0F40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a</w:t>
      </w:r>
      <w:proofErr w:type="gramEnd"/>
      <w:r w:rsidR="006E0F40">
        <w:rPr>
          <w:sz w:val="24"/>
          <w:szCs w:val="24"/>
        </w:rPr>
        <w:t xml:space="preserve"> p&lt;.05, </w:t>
      </w:r>
      <w:r>
        <w:rPr>
          <w:sz w:val="24"/>
          <w:szCs w:val="24"/>
          <w:vertAlign w:val="superscript"/>
        </w:rPr>
        <w:t>b</w:t>
      </w:r>
      <w:r w:rsidR="006E0F40">
        <w:rPr>
          <w:sz w:val="24"/>
          <w:szCs w:val="24"/>
        </w:rPr>
        <w:t xml:space="preserve"> p&lt;.01, </w:t>
      </w:r>
      <w:r>
        <w:rPr>
          <w:sz w:val="24"/>
          <w:szCs w:val="24"/>
          <w:vertAlign w:val="superscript"/>
        </w:rPr>
        <w:t>c</w:t>
      </w:r>
      <w:r w:rsidR="006E0F40">
        <w:rPr>
          <w:sz w:val="24"/>
          <w:szCs w:val="24"/>
        </w:rPr>
        <w:t xml:space="preserve"> p&lt;.0001</w:t>
      </w:r>
    </w:p>
    <w:p w:rsidR="00777430" w:rsidRDefault="00777430" w:rsidP="006E0F40">
      <w:pPr>
        <w:spacing w:line="480" w:lineRule="auto"/>
        <w:rPr>
          <w:sz w:val="24"/>
          <w:szCs w:val="24"/>
        </w:rPr>
        <w:sectPr w:rsidR="00777430" w:rsidSect="0077743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E0F40" w:rsidRPr="00F57F7C" w:rsidRDefault="006E0F40" w:rsidP="006E0F40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777430">
        <w:rPr>
          <w:sz w:val="24"/>
          <w:szCs w:val="24"/>
        </w:rPr>
        <w:t>4</w:t>
      </w:r>
      <w:r>
        <w:rPr>
          <w:sz w:val="24"/>
          <w:szCs w:val="24"/>
        </w:rPr>
        <w:t xml:space="preserve"> Table.</w:t>
      </w:r>
      <w:proofErr w:type="gramEnd"/>
      <w:r>
        <w:rPr>
          <w:sz w:val="24"/>
          <w:szCs w:val="24"/>
        </w:rPr>
        <w:t xml:space="preserve"> Meta-Analysis Results (Regression Beta, Standard Error, P-Value) for </w:t>
      </w:r>
      <w:proofErr w:type="spellStart"/>
      <w:r>
        <w:rPr>
          <w:sz w:val="24"/>
          <w:szCs w:val="24"/>
        </w:rPr>
        <w:t>Univariate</w:t>
      </w:r>
      <w:proofErr w:type="spellEnd"/>
      <w:r>
        <w:rPr>
          <w:sz w:val="24"/>
          <w:szCs w:val="24"/>
        </w:rPr>
        <w:t xml:space="preserve"> Analyses of Personality Polygenic Scores (At 5 SNP Inclusion Thresholds) Predicting Combined Measures of Life Satisfaction, Positive Affect, and General Wellbeing (Total N = 55,869).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406"/>
        <w:gridCol w:w="1414"/>
        <w:gridCol w:w="1401"/>
        <w:gridCol w:w="1401"/>
        <w:gridCol w:w="1396"/>
      </w:tblGrid>
      <w:tr w:rsidR="006E0F40" w:rsidTr="008F5106"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p&lt;.01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p&lt;.05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p&lt;.1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p&lt;.5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p&lt;1</w:t>
            </w:r>
          </w:p>
        </w:tc>
      </w:tr>
      <w:tr w:rsidR="006E0F40" w:rsidTr="008F5106">
        <w:tc>
          <w:tcPr>
            <w:tcW w:w="2008" w:type="dxa"/>
            <w:tcBorders>
              <w:top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Neuroticism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-.003(.009)</w:t>
            </w:r>
            <w:r w:rsidR="004C7CF7" w:rsidRPr="004C7CF7">
              <w:rPr>
                <w:sz w:val="24"/>
                <w:szCs w:val="24"/>
                <w:vertAlign w:val="superscript"/>
              </w:rPr>
              <w:t>c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p=.63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-.01 (.011)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p=.35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-.011 (.012)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p=.34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E0F40" w:rsidRPr="00241BB8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41B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19</w:t>
            </w:r>
            <w:r w:rsidRPr="00241BB8">
              <w:rPr>
                <w:sz w:val="24"/>
                <w:szCs w:val="24"/>
              </w:rPr>
              <w:t xml:space="preserve"> (.0</w:t>
            </w:r>
            <w:r>
              <w:rPr>
                <w:sz w:val="24"/>
                <w:szCs w:val="24"/>
              </w:rPr>
              <w:t>13</w:t>
            </w:r>
            <w:r w:rsidRPr="00241BB8">
              <w:rPr>
                <w:sz w:val="24"/>
                <w:szCs w:val="24"/>
              </w:rPr>
              <w:t>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41BB8">
              <w:rPr>
                <w:sz w:val="24"/>
                <w:szCs w:val="24"/>
              </w:rPr>
              <w:t>=.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6E0F40" w:rsidRPr="00241BB8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</w:t>
            </w:r>
            <w:r w:rsidRPr="00241B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14</w:t>
            </w:r>
            <w:r w:rsidRPr="00241BB8">
              <w:rPr>
                <w:sz w:val="24"/>
                <w:szCs w:val="24"/>
              </w:rPr>
              <w:t xml:space="preserve"> (.0</w:t>
            </w:r>
            <w:r>
              <w:rPr>
                <w:sz w:val="24"/>
                <w:szCs w:val="24"/>
              </w:rPr>
              <w:t>14</w:t>
            </w:r>
            <w:r w:rsidRPr="00241BB8">
              <w:rPr>
                <w:sz w:val="24"/>
                <w:szCs w:val="24"/>
              </w:rPr>
              <w:t>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41BB8">
              <w:rPr>
                <w:sz w:val="24"/>
                <w:szCs w:val="24"/>
              </w:rPr>
              <w:t>=.</w:t>
            </w:r>
            <w:r>
              <w:rPr>
                <w:sz w:val="24"/>
                <w:szCs w:val="24"/>
              </w:rPr>
              <w:t>31</w:t>
            </w:r>
          </w:p>
        </w:tc>
      </w:tr>
      <w:tr w:rsidR="006E0F40" w:rsidTr="008F5106">
        <w:tc>
          <w:tcPr>
            <w:tcW w:w="2008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Extraversion</w:t>
            </w:r>
          </w:p>
        </w:tc>
        <w:tc>
          <w:tcPr>
            <w:tcW w:w="1406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.003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p=.42</w:t>
            </w:r>
          </w:p>
        </w:tc>
        <w:tc>
          <w:tcPr>
            <w:tcW w:w="1414" w:type="dxa"/>
          </w:tcPr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3</w:t>
            </w:r>
            <w:r w:rsidRPr="005614D3">
              <w:rPr>
                <w:sz w:val="24"/>
                <w:szCs w:val="24"/>
              </w:rPr>
              <w:t xml:space="preserve"> (.00</w:t>
            </w:r>
            <w:r>
              <w:rPr>
                <w:sz w:val="24"/>
                <w:szCs w:val="24"/>
              </w:rPr>
              <w:t>6</w:t>
            </w:r>
            <w:r w:rsidRPr="005614D3">
              <w:rPr>
                <w:sz w:val="24"/>
                <w:szCs w:val="24"/>
              </w:rPr>
              <w:t>)</w:t>
            </w:r>
          </w:p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p=.0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401" w:type="dxa"/>
          </w:tcPr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17</w:t>
            </w:r>
            <w:r w:rsidRPr="005614D3">
              <w:rPr>
                <w:sz w:val="24"/>
                <w:szCs w:val="24"/>
              </w:rPr>
              <w:t xml:space="preserve"> (.00</w:t>
            </w:r>
            <w:r>
              <w:rPr>
                <w:sz w:val="24"/>
                <w:szCs w:val="24"/>
              </w:rPr>
              <w:t>7</w:t>
            </w:r>
            <w:r w:rsidRPr="005614D3">
              <w:rPr>
                <w:sz w:val="24"/>
                <w:szCs w:val="24"/>
              </w:rPr>
              <w:t>)</w:t>
            </w:r>
            <w:r w:rsidR="004C7CF7">
              <w:rPr>
                <w:sz w:val="24"/>
                <w:szCs w:val="24"/>
                <w:vertAlign w:val="superscript"/>
              </w:rPr>
              <w:t>a</w:t>
            </w:r>
          </w:p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p=.0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18</w:t>
            </w:r>
            <w:r w:rsidRPr="005614D3">
              <w:rPr>
                <w:sz w:val="24"/>
                <w:szCs w:val="24"/>
              </w:rPr>
              <w:t xml:space="preserve"> (.0</w:t>
            </w:r>
            <w:r>
              <w:rPr>
                <w:sz w:val="24"/>
                <w:szCs w:val="24"/>
              </w:rPr>
              <w:t>08</w:t>
            </w:r>
            <w:r w:rsidRPr="005614D3">
              <w:rPr>
                <w:sz w:val="24"/>
                <w:szCs w:val="24"/>
              </w:rPr>
              <w:t>)</w:t>
            </w:r>
            <w:r w:rsidR="004C7CF7">
              <w:rPr>
                <w:sz w:val="24"/>
                <w:szCs w:val="24"/>
                <w:vertAlign w:val="superscript"/>
              </w:rPr>
              <w:t>a</w:t>
            </w:r>
          </w:p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p=.0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396" w:type="dxa"/>
          </w:tcPr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18</w:t>
            </w:r>
            <w:r w:rsidRPr="005614D3">
              <w:rPr>
                <w:sz w:val="24"/>
                <w:szCs w:val="24"/>
              </w:rPr>
              <w:t xml:space="preserve"> (.0</w:t>
            </w:r>
            <w:r>
              <w:rPr>
                <w:sz w:val="24"/>
                <w:szCs w:val="24"/>
              </w:rPr>
              <w:t>08</w:t>
            </w:r>
            <w:r w:rsidRPr="005614D3">
              <w:rPr>
                <w:sz w:val="24"/>
                <w:szCs w:val="24"/>
              </w:rPr>
              <w:t>)</w:t>
            </w:r>
            <w:r w:rsidR="004C7CF7">
              <w:rPr>
                <w:sz w:val="24"/>
                <w:szCs w:val="24"/>
                <w:vertAlign w:val="superscript"/>
              </w:rPr>
              <w:t>a</w:t>
            </w:r>
          </w:p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p=.0</w:t>
            </w:r>
            <w:r>
              <w:rPr>
                <w:sz w:val="24"/>
                <w:szCs w:val="24"/>
              </w:rPr>
              <w:t>33</w:t>
            </w:r>
          </w:p>
        </w:tc>
      </w:tr>
      <w:tr w:rsidR="006E0F40" w:rsidTr="008F5106">
        <w:tc>
          <w:tcPr>
            <w:tcW w:w="2008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Openness</w:t>
            </w:r>
          </w:p>
        </w:tc>
        <w:tc>
          <w:tcPr>
            <w:tcW w:w="1406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-.003 (.005)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p=.43</w:t>
            </w:r>
          </w:p>
        </w:tc>
        <w:tc>
          <w:tcPr>
            <w:tcW w:w="1414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-.003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p=.48</w:t>
            </w:r>
          </w:p>
        </w:tc>
        <w:tc>
          <w:tcPr>
            <w:tcW w:w="1401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-.002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p=.57</w:t>
            </w:r>
          </w:p>
        </w:tc>
        <w:tc>
          <w:tcPr>
            <w:tcW w:w="1401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-.002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p=.52</w:t>
            </w:r>
          </w:p>
        </w:tc>
        <w:tc>
          <w:tcPr>
            <w:tcW w:w="1396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-.002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p=.59</w:t>
            </w:r>
          </w:p>
        </w:tc>
      </w:tr>
      <w:tr w:rsidR="006E0F40" w:rsidTr="008F5106">
        <w:tc>
          <w:tcPr>
            <w:tcW w:w="2008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Agreeableness</w:t>
            </w:r>
          </w:p>
        </w:tc>
        <w:tc>
          <w:tcPr>
            <w:tcW w:w="1406" w:type="dxa"/>
          </w:tcPr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05</w:t>
            </w:r>
            <w:r w:rsidRPr="005614D3">
              <w:rPr>
                <w:sz w:val="24"/>
                <w:szCs w:val="24"/>
              </w:rPr>
              <w:t xml:space="preserve"> (.00</w:t>
            </w:r>
            <w:r>
              <w:rPr>
                <w:sz w:val="24"/>
                <w:szCs w:val="24"/>
              </w:rPr>
              <w:t>6</w:t>
            </w:r>
            <w:r w:rsidRPr="005614D3">
              <w:rPr>
                <w:sz w:val="24"/>
                <w:szCs w:val="24"/>
              </w:rPr>
              <w:t>)</w:t>
            </w:r>
          </w:p>
          <w:p w:rsidR="006E0F40" w:rsidRPr="00241BB8" w:rsidRDefault="006E0F40" w:rsidP="008F5106">
            <w:pPr>
              <w:spacing w:line="480" w:lineRule="auto"/>
              <w:rPr>
                <w:b/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p=.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6E0F40" w:rsidRPr="00712D77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712D77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0</w:t>
            </w:r>
            <w:r w:rsidRPr="00712D77">
              <w:rPr>
                <w:sz w:val="24"/>
                <w:szCs w:val="24"/>
              </w:rPr>
              <w:t xml:space="preserve"> (.00</w:t>
            </w:r>
            <w:r>
              <w:rPr>
                <w:sz w:val="24"/>
                <w:szCs w:val="24"/>
              </w:rPr>
              <w:t>6</w:t>
            </w:r>
            <w:r w:rsidRPr="00712D77">
              <w:rPr>
                <w:sz w:val="24"/>
                <w:szCs w:val="24"/>
              </w:rPr>
              <w:t>)</w:t>
            </w:r>
          </w:p>
          <w:p w:rsidR="006E0F40" w:rsidRPr="00712D77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712D77">
              <w:rPr>
                <w:sz w:val="24"/>
                <w:szCs w:val="24"/>
              </w:rPr>
              <w:t>p=.0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E0F40" w:rsidRPr="00712D77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712D77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2</w:t>
            </w:r>
            <w:r w:rsidRPr="00712D77">
              <w:rPr>
                <w:sz w:val="24"/>
                <w:szCs w:val="24"/>
              </w:rPr>
              <w:t xml:space="preserve"> (.00</w:t>
            </w:r>
            <w:r>
              <w:rPr>
                <w:sz w:val="24"/>
                <w:szCs w:val="24"/>
              </w:rPr>
              <w:t>5</w:t>
            </w:r>
            <w:r w:rsidRPr="00712D77">
              <w:rPr>
                <w:sz w:val="24"/>
                <w:szCs w:val="24"/>
              </w:rPr>
              <w:t>)</w:t>
            </w:r>
          </w:p>
          <w:p w:rsidR="006E0F40" w:rsidRPr="00712D77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712D77">
              <w:rPr>
                <w:sz w:val="24"/>
                <w:szCs w:val="24"/>
              </w:rPr>
              <w:t>p=.02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14</w:t>
            </w:r>
            <w:r w:rsidRPr="005614D3">
              <w:rPr>
                <w:sz w:val="24"/>
                <w:szCs w:val="24"/>
              </w:rPr>
              <w:t xml:space="preserve"> (.0</w:t>
            </w:r>
            <w:r>
              <w:rPr>
                <w:sz w:val="24"/>
                <w:szCs w:val="24"/>
              </w:rPr>
              <w:t>07</w:t>
            </w:r>
            <w:r w:rsidRPr="005614D3">
              <w:rPr>
                <w:sz w:val="24"/>
                <w:szCs w:val="24"/>
              </w:rPr>
              <w:t>)</w:t>
            </w:r>
            <w:r w:rsidR="004C7CF7">
              <w:rPr>
                <w:sz w:val="24"/>
                <w:szCs w:val="24"/>
                <w:vertAlign w:val="superscript"/>
              </w:rPr>
              <w:t>b</w:t>
            </w:r>
          </w:p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p=.0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396" w:type="dxa"/>
          </w:tcPr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15</w:t>
            </w:r>
            <w:r w:rsidRPr="005614D3">
              <w:rPr>
                <w:sz w:val="24"/>
                <w:szCs w:val="24"/>
              </w:rPr>
              <w:t xml:space="preserve"> (.00</w:t>
            </w:r>
            <w:r>
              <w:rPr>
                <w:sz w:val="24"/>
                <w:szCs w:val="24"/>
              </w:rPr>
              <w:t>7</w:t>
            </w:r>
            <w:r w:rsidRPr="005614D3">
              <w:rPr>
                <w:sz w:val="24"/>
                <w:szCs w:val="24"/>
              </w:rPr>
              <w:t>)</w:t>
            </w:r>
            <w:r w:rsidR="004C7CF7">
              <w:rPr>
                <w:sz w:val="24"/>
                <w:szCs w:val="24"/>
                <w:vertAlign w:val="superscript"/>
              </w:rPr>
              <w:t>a</w:t>
            </w:r>
          </w:p>
          <w:p w:rsidR="006E0F40" w:rsidRPr="005614D3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5614D3">
              <w:rPr>
                <w:sz w:val="24"/>
                <w:szCs w:val="24"/>
              </w:rPr>
              <w:t>p=.0</w:t>
            </w:r>
            <w:r>
              <w:rPr>
                <w:sz w:val="24"/>
                <w:szCs w:val="24"/>
              </w:rPr>
              <w:t>35</w:t>
            </w:r>
          </w:p>
        </w:tc>
      </w:tr>
      <w:tr w:rsidR="006E0F40" w:rsidTr="008F5106">
        <w:tc>
          <w:tcPr>
            <w:tcW w:w="2008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Conscientiousness</w:t>
            </w:r>
          </w:p>
        </w:tc>
        <w:tc>
          <w:tcPr>
            <w:tcW w:w="1406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-.001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p=.62</w:t>
            </w:r>
          </w:p>
        </w:tc>
        <w:tc>
          <w:tcPr>
            <w:tcW w:w="1414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.005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p=.27</w:t>
            </w:r>
          </w:p>
        </w:tc>
        <w:tc>
          <w:tcPr>
            <w:tcW w:w="1401" w:type="dxa"/>
          </w:tcPr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.005 (.004)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p=.27</w:t>
            </w:r>
          </w:p>
        </w:tc>
        <w:tc>
          <w:tcPr>
            <w:tcW w:w="1401" w:type="dxa"/>
          </w:tcPr>
          <w:p w:rsidR="006E0F40" w:rsidRPr="00241BB8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 w:rsidRPr="00241B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07</w:t>
            </w:r>
            <w:r w:rsidRPr="00241BB8">
              <w:rPr>
                <w:sz w:val="24"/>
                <w:szCs w:val="24"/>
              </w:rPr>
              <w:t xml:space="preserve"> (.0</w:t>
            </w:r>
            <w:r>
              <w:rPr>
                <w:sz w:val="24"/>
                <w:szCs w:val="24"/>
              </w:rPr>
              <w:t>04</w:t>
            </w:r>
            <w:r w:rsidRPr="00241BB8">
              <w:rPr>
                <w:sz w:val="24"/>
                <w:szCs w:val="24"/>
              </w:rPr>
              <w:t>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41BB8">
              <w:rPr>
                <w:sz w:val="24"/>
                <w:szCs w:val="24"/>
              </w:rPr>
              <w:t>=.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396" w:type="dxa"/>
          </w:tcPr>
          <w:p w:rsidR="006E0F40" w:rsidRPr="00241BB8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241B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06</w:t>
            </w:r>
            <w:r w:rsidRPr="00241BB8">
              <w:rPr>
                <w:sz w:val="24"/>
                <w:szCs w:val="24"/>
              </w:rPr>
              <w:t xml:space="preserve"> (.0</w:t>
            </w:r>
            <w:r>
              <w:rPr>
                <w:sz w:val="24"/>
                <w:szCs w:val="24"/>
              </w:rPr>
              <w:t>04</w:t>
            </w:r>
            <w:r w:rsidRPr="00241BB8">
              <w:rPr>
                <w:sz w:val="24"/>
                <w:szCs w:val="24"/>
              </w:rPr>
              <w:t>)</w:t>
            </w:r>
          </w:p>
          <w:p w:rsidR="006E0F40" w:rsidRDefault="006E0F40" w:rsidP="008F510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41BB8">
              <w:rPr>
                <w:sz w:val="24"/>
                <w:szCs w:val="24"/>
              </w:rPr>
              <w:t>=.</w:t>
            </w:r>
            <w:r>
              <w:rPr>
                <w:sz w:val="24"/>
                <w:szCs w:val="24"/>
              </w:rPr>
              <w:t>17</w:t>
            </w:r>
          </w:p>
        </w:tc>
      </w:tr>
    </w:tbl>
    <w:p w:rsidR="006E0F40" w:rsidRDefault="006E0F40" w:rsidP="006E0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FDR q = .002; </w:t>
      </w:r>
      <w:r w:rsidR="004C7CF7" w:rsidRPr="004C7CF7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p&lt;.05; </w:t>
      </w:r>
      <w:r w:rsidR="004C7CF7" w:rsidRPr="004C7CF7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p&lt; .01; </w:t>
      </w:r>
      <w:r w:rsidR="004C7CF7" w:rsidRPr="004C7CF7">
        <w:rPr>
          <w:sz w:val="24"/>
          <w:szCs w:val="24"/>
          <w:vertAlign w:val="superscript"/>
        </w:rPr>
        <w:t>c</w:t>
      </w:r>
      <w:r>
        <w:rPr>
          <w:sz w:val="24"/>
          <w:szCs w:val="24"/>
        </w:rPr>
        <w:t xml:space="preserve"> p&lt; .001</w:t>
      </w:r>
    </w:p>
    <w:p w:rsidR="00462176" w:rsidRPr="00777430" w:rsidRDefault="00462176" w:rsidP="00FD04D2">
      <w:pPr>
        <w:spacing w:after="0" w:line="480" w:lineRule="auto"/>
        <w:rPr>
          <w:sz w:val="24"/>
          <w:szCs w:val="24"/>
        </w:rPr>
      </w:pPr>
    </w:p>
    <w:sectPr w:rsidR="00462176" w:rsidRPr="00777430" w:rsidSect="008F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06" w:rsidRDefault="008F5106">
      <w:pPr>
        <w:spacing w:after="0" w:line="240" w:lineRule="auto"/>
      </w:pPr>
      <w:r>
        <w:separator/>
      </w:r>
    </w:p>
  </w:endnote>
  <w:endnote w:type="continuationSeparator" w:id="0">
    <w:p w:rsidR="008F5106" w:rsidRDefault="008F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7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106" w:rsidRDefault="00FA2746">
        <w:pPr>
          <w:pStyle w:val="Footer"/>
          <w:jc w:val="right"/>
        </w:pPr>
        <w:r>
          <w:fldChar w:fldCharType="begin"/>
        </w:r>
        <w:r w:rsidR="008F5106">
          <w:instrText xml:space="preserve"> PAGE   \* MERGEFORMAT </w:instrText>
        </w:r>
        <w:r>
          <w:fldChar w:fldCharType="separate"/>
        </w:r>
        <w:r w:rsidR="004C7C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F5106" w:rsidRDefault="008F5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06" w:rsidRDefault="008F5106">
      <w:pPr>
        <w:spacing w:after="0" w:line="240" w:lineRule="auto"/>
      </w:pPr>
      <w:r>
        <w:separator/>
      </w:r>
    </w:p>
  </w:footnote>
  <w:footnote w:type="continuationSeparator" w:id="0">
    <w:p w:rsidR="008F5106" w:rsidRDefault="008F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F6" w:rsidRPr="00B341F6" w:rsidRDefault="00B341F6" w:rsidP="00B341F6">
    <w:pPr>
      <w:pStyle w:val="HTMLPreformatted"/>
      <w:spacing w:line="480" w:lineRule="auto"/>
      <w:rPr>
        <w:rFonts w:asciiTheme="minorHAnsi" w:hAnsiTheme="minorHAnsi"/>
        <w:sz w:val="24"/>
        <w:szCs w:val="24"/>
      </w:rPr>
    </w:pPr>
    <w:r w:rsidRPr="00B341F6">
      <w:rPr>
        <w:rFonts w:asciiTheme="minorHAnsi" w:hAnsiTheme="minorHAnsi"/>
        <w:sz w:val="24"/>
        <w:szCs w:val="24"/>
      </w:rPr>
      <w:t xml:space="preserve">Twin Research and Human Genetics, </w:t>
    </w:r>
    <w:r w:rsidRPr="00B341F6">
      <w:rPr>
        <w:rFonts w:asciiTheme="minorHAnsi" w:eastAsia="Droid Sans Fallback" w:hAnsiTheme="minorHAnsi"/>
        <w:sz w:val="24"/>
        <w:szCs w:val="24"/>
        <w:lang w:bidi="hi-IN"/>
      </w:rPr>
      <w:t xml:space="preserve">Personality </w:t>
    </w:r>
    <w:proofErr w:type="spellStart"/>
    <w:r w:rsidRPr="00B341F6">
      <w:rPr>
        <w:rFonts w:asciiTheme="minorHAnsi" w:eastAsia="Droid Sans Fallback" w:hAnsiTheme="minorHAnsi"/>
        <w:sz w:val="24"/>
        <w:szCs w:val="24"/>
        <w:lang w:bidi="hi-IN"/>
      </w:rPr>
      <w:t>polygenes</w:t>
    </w:r>
    <w:proofErr w:type="spellEnd"/>
    <w:r w:rsidRPr="00B341F6">
      <w:rPr>
        <w:rFonts w:asciiTheme="minorHAnsi" w:eastAsia="Droid Sans Fallback" w:hAnsiTheme="minorHAnsi"/>
        <w:sz w:val="24"/>
        <w:szCs w:val="24"/>
        <w:lang w:bidi="hi-IN"/>
      </w:rPr>
      <w:t xml:space="preserve">, positive </w:t>
    </w:r>
    <w:proofErr w:type="spellStart"/>
    <w:r w:rsidRPr="00B341F6">
      <w:rPr>
        <w:rFonts w:asciiTheme="minorHAnsi" w:eastAsia="Droid Sans Fallback" w:hAnsiTheme="minorHAnsi"/>
        <w:sz w:val="24"/>
        <w:szCs w:val="24"/>
        <w:lang w:bidi="hi-IN"/>
      </w:rPr>
      <w:t>affect</w:t>
    </w:r>
    <w:proofErr w:type="spellEnd"/>
    <w:r w:rsidRPr="00B341F6">
      <w:rPr>
        <w:rFonts w:asciiTheme="minorHAnsi" w:eastAsia="Droid Sans Fallback" w:hAnsiTheme="minorHAnsi"/>
        <w:sz w:val="24"/>
        <w:szCs w:val="24"/>
        <w:lang w:bidi="hi-IN"/>
      </w:rPr>
      <w:t>, and life satisfaction</w:t>
    </w:r>
    <w:r w:rsidRPr="00B341F6">
      <w:rPr>
        <w:rFonts w:asciiTheme="minorHAnsi" w:hAnsiTheme="minorHAnsi"/>
        <w:sz w:val="24"/>
        <w:szCs w:val="24"/>
      </w:rPr>
      <w:t>, Weiss et al,</w:t>
    </w:r>
    <w:r>
      <w:rPr>
        <w:rFonts w:asciiTheme="minorHAnsi" w:hAnsiTheme="minorHAnsi"/>
        <w:sz w:val="24"/>
        <w:szCs w:val="24"/>
      </w:rPr>
      <w:t xml:space="preserve"> </w:t>
    </w:r>
    <w:r w:rsidRPr="00B341F6">
      <w:rPr>
        <w:rFonts w:asciiTheme="minorHAnsi" w:hAnsiTheme="minorHAnsi"/>
        <w:sz w:val="24"/>
        <w:szCs w:val="24"/>
      </w:rPr>
      <w:t xml:space="preserve">S1-S4 </w:t>
    </w:r>
  </w:p>
  <w:p w:rsidR="00B341F6" w:rsidRDefault="00B341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Layout" w:val="&lt;ENLayout&gt;&lt;Style&gt;J Personality Soc Psyc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5xrvsvhepsa0ezwvm5pae4ep5sddedae0p&quot;&gt;SWB&lt;record-ids&gt;&lt;item&gt;94&lt;/item&gt;&lt;item&gt;177&lt;/item&gt;&lt;item&gt;180&lt;/item&gt;&lt;item&gt;186&lt;/item&gt;&lt;item&gt;242&lt;/item&gt;&lt;item&gt;278&lt;/item&gt;&lt;item&gt;280&lt;/item&gt;&lt;item&gt;282&lt;/item&gt;&lt;/record-ids&gt;&lt;/item&gt;&lt;/Libraries&gt;"/>
  </w:docVars>
  <w:rsids>
    <w:rsidRoot w:val="006E0F40"/>
    <w:rsid w:val="000E6DC2"/>
    <w:rsid w:val="00462176"/>
    <w:rsid w:val="00463FA8"/>
    <w:rsid w:val="004C7CF7"/>
    <w:rsid w:val="005773A4"/>
    <w:rsid w:val="006159FF"/>
    <w:rsid w:val="006422F0"/>
    <w:rsid w:val="006E0F40"/>
    <w:rsid w:val="00777430"/>
    <w:rsid w:val="00867D8C"/>
    <w:rsid w:val="008F5106"/>
    <w:rsid w:val="008F7553"/>
    <w:rsid w:val="00993F4E"/>
    <w:rsid w:val="00A34BC4"/>
    <w:rsid w:val="00A360E1"/>
    <w:rsid w:val="00B341F6"/>
    <w:rsid w:val="00B352A2"/>
    <w:rsid w:val="00BA68DD"/>
    <w:rsid w:val="00C844BF"/>
    <w:rsid w:val="00CB02EB"/>
    <w:rsid w:val="00D21E33"/>
    <w:rsid w:val="00E665D2"/>
    <w:rsid w:val="00F41D05"/>
    <w:rsid w:val="00F55480"/>
    <w:rsid w:val="00FA2746"/>
    <w:rsid w:val="00FA75FE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4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F4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0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F4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0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40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33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352A2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52A2"/>
    <w:rPr>
      <w:rFonts w:ascii="Calibri" w:eastAsia="Times New Roman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352A2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352A2"/>
    <w:rPr>
      <w:rFonts w:ascii="Calibri" w:eastAsia="Times New Roman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F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Michelle</dc:creator>
  <cp:keywords/>
  <dc:description/>
  <cp:lastModifiedBy>Roberta Blake</cp:lastModifiedBy>
  <cp:revision>3</cp:revision>
  <dcterms:created xsi:type="dcterms:W3CDTF">2016-06-02T15:12:00Z</dcterms:created>
  <dcterms:modified xsi:type="dcterms:W3CDTF">2016-07-26T01:59:00Z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80753686</vt:i4>
  </property>
</Properties>
</file>