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786E3" w14:textId="5B9B1C5C" w:rsidR="004B35E3" w:rsidRPr="005F6E72" w:rsidRDefault="00352123" w:rsidP="00D73D30">
      <w:pPr>
        <w:pStyle w:val="Titel"/>
        <w:rPr>
          <w:rFonts w:ascii="Times New Roman" w:hAnsi="Times New Roman" w:cs="Times New Roman"/>
          <w:b/>
          <w:bCs/>
          <w:sz w:val="48"/>
          <w:szCs w:val="48"/>
          <w:u w:val="single"/>
        </w:rPr>
      </w:pPr>
      <w:bookmarkStart w:id="0" w:name="_Hlk96608137"/>
      <w:bookmarkEnd w:id="0"/>
      <w:r w:rsidRPr="005F6E72">
        <w:rPr>
          <w:rFonts w:ascii="Times New Roman" w:hAnsi="Times New Roman" w:cs="Times New Roman"/>
          <w:b/>
          <w:bCs/>
          <w:sz w:val="48"/>
          <w:szCs w:val="48"/>
          <w:u w:val="single"/>
        </w:rPr>
        <w:t xml:space="preserve">Supplementary </w:t>
      </w:r>
      <w:r w:rsidR="008E7E42" w:rsidRPr="005F6E72">
        <w:rPr>
          <w:rFonts w:ascii="Times New Roman" w:hAnsi="Times New Roman" w:cs="Times New Roman"/>
          <w:b/>
          <w:bCs/>
          <w:sz w:val="48"/>
          <w:szCs w:val="48"/>
          <w:u w:val="single"/>
        </w:rPr>
        <w:t>m</w:t>
      </w:r>
      <w:r w:rsidRPr="005F6E72">
        <w:rPr>
          <w:rFonts w:ascii="Times New Roman" w:hAnsi="Times New Roman" w:cs="Times New Roman"/>
          <w:b/>
          <w:bCs/>
          <w:sz w:val="48"/>
          <w:szCs w:val="48"/>
          <w:u w:val="single"/>
        </w:rPr>
        <w:t>ateria</w:t>
      </w:r>
      <w:r w:rsidR="005D4DE8" w:rsidRPr="005F6E72">
        <w:rPr>
          <w:rFonts w:ascii="Times New Roman" w:hAnsi="Times New Roman" w:cs="Times New Roman"/>
          <w:b/>
          <w:bCs/>
          <w:sz w:val="48"/>
          <w:szCs w:val="48"/>
          <w:u w:val="single"/>
        </w:rPr>
        <w:t>l</w:t>
      </w:r>
    </w:p>
    <w:p w14:paraId="3CF505CD" w14:textId="77777777" w:rsidR="005F6E72" w:rsidRDefault="005F6E72" w:rsidP="00D73D30">
      <w:pPr>
        <w:pStyle w:val="Titel"/>
        <w:rPr>
          <w:rFonts w:ascii="Times New Roman" w:hAnsi="Times New Roman" w:cs="Times New Roman"/>
          <w:sz w:val="48"/>
          <w:szCs w:val="48"/>
        </w:rPr>
      </w:pPr>
    </w:p>
    <w:p w14:paraId="4636EC97" w14:textId="3C986204" w:rsidR="002A1D25" w:rsidRPr="002A1D25" w:rsidRDefault="002A1D25" w:rsidP="00D73D30">
      <w:pPr>
        <w:pStyle w:val="Titel"/>
        <w:rPr>
          <w:rFonts w:ascii="Times New Roman" w:hAnsi="Times New Roman" w:cs="Times New Roman"/>
          <w:sz w:val="48"/>
          <w:szCs w:val="48"/>
        </w:rPr>
      </w:pPr>
      <w:r w:rsidRPr="002A1D25">
        <w:rPr>
          <w:rFonts w:ascii="Times New Roman" w:hAnsi="Times New Roman" w:cs="Times New Roman"/>
          <w:sz w:val="48"/>
          <w:szCs w:val="48"/>
        </w:rPr>
        <w:t xml:space="preserve">Once They Are Seated: </w:t>
      </w:r>
      <w:r w:rsidR="00C362ED">
        <w:rPr>
          <w:rFonts w:ascii="Times New Roman" w:hAnsi="Times New Roman" w:cs="Times New Roman"/>
          <w:sz w:val="48"/>
          <w:szCs w:val="48"/>
        </w:rPr>
        <w:t xml:space="preserve">The Impact of </w:t>
      </w:r>
      <w:r w:rsidRPr="002A1D25">
        <w:rPr>
          <w:rFonts w:ascii="Times New Roman" w:hAnsi="Times New Roman" w:cs="Times New Roman"/>
          <w:sz w:val="48"/>
          <w:szCs w:val="48"/>
        </w:rPr>
        <w:t xml:space="preserve">Radical Right Parties’ Political Representation </w:t>
      </w:r>
      <w:r w:rsidR="008601B5">
        <w:rPr>
          <w:rFonts w:ascii="Times New Roman" w:hAnsi="Times New Roman" w:cs="Times New Roman"/>
          <w:sz w:val="48"/>
          <w:szCs w:val="48"/>
        </w:rPr>
        <w:t>on</w:t>
      </w:r>
      <w:r w:rsidR="00C362ED">
        <w:rPr>
          <w:rFonts w:ascii="Times New Roman" w:hAnsi="Times New Roman" w:cs="Times New Roman"/>
          <w:sz w:val="48"/>
          <w:szCs w:val="48"/>
        </w:rPr>
        <w:t xml:space="preserve"> </w:t>
      </w:r>
      <w:r w:rsidRPr="002A1D25">
        <w:rPr>
          <w:rFonts w:ascii="Times New Roman" w:hAnsi="Times New Roman" w:cs="Times New Roman"/>
          <w:sz w:val="48"/>
          <w:szCs w:val="48"/>
        </w:rPr>
        <w:t>Trust and Solidarity</w:t>
      </w:r>
    </w:p>
    <w:p w14:paraId="51810C5F" w14:textId="441F2D41" w:rsidR="00EE590A" w:rsidRDefault="00EE590A" w:rsidP="005D4DE8">
      <w:pPr>
        <w:pStyle w:val="Titel"/>
        <w:rPr>
          <w:rFonts w:ascii="Times New Roman" w:hAnsi="Times New Roman" w:cs="Times New Roman"/>
          <w:b/>
          <w:bCs/>
          <w:sz w:val="48"/>
          <w:szCs w:val="48"/>
        </w:rPr>
      </w:pPr>
    </w:p>
    <w:p w14:paraId="3BD298C6" w14:textId="193BC8B6" w:rsidR="002A3394" w:rsidRDefault="002A3394">
      <w:pPr>
        <w:spacing w:before="0" w:after="160"/>
      </w:pPr>
      <w:r>
        <w:br w:type="page"/>
      </w:r>
    </w:p>
    <w:p w14:paraId="258FAD5C" w14:textId="77777777" w:rsidR="002A3394" w:rsidRPr="002A3394" w:rsidRDefault="002A3394" w:rsidP="002A3394"/>
    <w:sdt>
      <w:sdtPr>
        <w:rPr>
          <w:rFonts w:asciiTheme="minorHAnsi" w:eastAsiaTheme="minorHAnsi" w:hAnsiTheme="minorHAnsi" w:cstheme="minorBidi"/>
          <w:b/>
          <w:bCs/>
          <w:color w:val="auto"/>
          <w:sz w:val="22"/>
          <w:szCs w:val="22"/>
        </w:rPr>
        <w:id w:val="1818988545"/>
        <w:docPartObj>
          <w:docPartGallery w:val="Table of Contents"/>
          <w:docPartUnique/>
        </w:docPartObj>
      </w:sdtPr>
      <w:sdtEndPr>
        <w:rPr>
          <w:noProof/>
        </w:rPr>
      </w:sdtEndPr>
      <w:sdtContent>
        <w:p w14:paraId="24E40B00" w14:textId="5733CCF0" w:rsidR="0055293A" w:rsidRPr="00970EBA" w:rsidRDefault="0055293A" w:rsidP="0007287A">
          <w:pPr>
            <w:pStyle w:val="Overskrift"/>
            <w:spacing w:line="360" w:lineRule="auto"/>
            <w:rPr>
              <w:rFonts w:ascii="Times New Roman" w:eastAsiaTheme="minorHAnsi" w:hAnsi="Times New Roman" w:cs="Times New Roman"/>
              <w:b/>
              <w:bCs/>
              <w:color w:val="auto"/>
              <w:sz w:val="24"/>
              <w:szCs w:val="24"/>
            </w:rPr>
          </w:pPr>
          <w:r w:rsidRPr="00970EBA">
            <w:rPr>
              <w:rFonts w:ascii="Times New Roman" w:hAnsi="Times New Roman" w:cs="Times New Roman"/>
              <w:b/>
              <w:bCs/>
              <w:color w:val="auto"/>
              <w:sz w:val="24"/>
              <w:szCs w:val="24"/>
            </w:rPr>
            <w:t>Table of Contents</w:t>
          </w:r>
        </w:p>
        <w:p w14:paraId="7AC43312" w14:textId="12B2561D" w:rsidR="0026754C" w:rsidRDefault="0055293A">
          <w:pPr>
            <w:pStyle w:val="Indholdsfortegnelse2"/>
            <w:tabs>
              <w:tab w:val="right" w:leader="dot" w:pos="9016"/>
            </w:tabs>
            <w:rPr>
              <w:rFonts w:eastAsiaTheme="minorEastAsia"/>
              <w:noProof/>
            </w:rPr>
          </w:pPr>
          <w:r w:rsidRPr="00970EBA">
            <w:rPr>
              <w:rFonts w:ascii="Times New Roman" w:hAnsi="Times New Roman" w:cs="Times New Roman"/>
              <w:sz w:val="24"/>
              <w:szCs w:val="24"/>
            </w:rPr>
            <w:fldChar w:fldCharType="begin"/>
          </w:r>
          <w:r w:rsidRPr="00970EBA">
            <w:rPr>
              <w:rFonts w:ascii="Times New Roman" w:hAnsi="Times New Roman" w:cs="Times New Roman"/>
              <w:sz w:val="24"/>
              <w:szCs w:val="24"/>
            </w:rPr>
            <w:instrText xml:space="preserve"> TOC \o "1-3" \h \z \u </w:instrText>
          </w:r>
          <w:r w:rsidRPr="00970EBA">
            <w:rPr>
              <w:rFonts w:ascii="Times New Roman" w:hAnsi="Times New Roman" w:cs="Times New Roman"/>
              <w:sz w:val="24"/>
              <w:szCs w:val="24"/>
            </w:rPr>
            <w:fldChar w:fldCharType="separate"/>
          </w:r>
          <w:hyperlink w:anchor="_Toc113820342" w:history="1">
            <w:r w:rsidR="0026754C" w:rsidRPr="00E107F3">
              <w:rPr>
                <w:rStyle w:val="Hyperlink"/>
                <w:rFonts w:ascii="Times New Roman" w:hAnsi="Times New Roman" w:cs="Times New Roman"/>
                <w:b/>
                <w:noProof/>
              </w:rPr>
              <w:t>Readme</w:t>
            </w:r>
            <w:r w:rsidR="0026754C">
              <w:rPr>
                <w:noProof/>
                <w:webHidden/>
              </w:rPr>
              <w:tab/>
            </w:r>
            <w:r w:rsidR="0026754C">
              <w:rPr>
                <w:noProof/>
                <w:webHidden/>
              </w:rPr>
              <w:fldChar w:fldCharType="begin"/>
            </w:r>
            <w:r w:rsidR="0026754C">
              <w:rPr>
                <w:noProof/>
                <w:webHidden/>
              </w:rPr>
              <w:instrText xml:space="preserve"> PAGEREF _Toc113820342 \h </w:instrText>
            </w:r>
            <w:r w:rsidR="0026754C">
              <w:rPr>
                <w:noProof/>
                <w:webHidden/>
              </w:rPr>
            </w:r>
            <w:r w:rsidR="0026754C">
              <w:rPr>
                <w:noProof/>
                <w:webHidden/>
              </w:rPr>
              <w:fldChar w:fldCharType="separate"/>
            </w:r>
            <w:r w:rsidR="0026754C">
              <w:rPr>
                <w:noProof/>
                <w:webHidden/>
              </w:rPr>
              <w:t>4</w:t>
            </w:r>
            <w:r w:rsidR="0026754C">
              <w:rPr>
                <w:noProof/>
                <w:webHidden/>
              </w:rPr>
              <w:fldChar w:fldCharType="end"/>
            </w:r>
          </w:hyperlink>
        </w:p>
        <w:p w14:paraId="53E84581" w14:textId="0B8655F5" w:rsidR="0026754C" w:rsidRDefault="005D483E">
          <w:pPr>
            <w:pStyle w:val="Indholdsfortegnelse2"/>
            <w:tabs>
              <w:tab w:val="right" w:leader="dot" w:pos="9016"/>
            </w:tabs>
            <w:rPr>
              <w:rFonts w:eastAsiaTheme="minorEastAsia"/>
              <w:noProof/>
            </w:rPr>
          </w:pPr>
          <w:hyperlink w:anchor="_Toc113820343" w:history="1">
            <w:r w:rsidR="0026754C" w:rsidRPr="00E107F3">
              <w:rPr>
                <w:rStyle w:val="Hyperlink"/>
                <w:rFonts w:ascii="Times New Roman" w:hAnsi="Times New Roman" w:cs="Times New Roman"/>
                <w:b/>
                <w:noProof/>
              </w:rPr>
              <w:t>Appendix A. Summary of identification strategies</w:t>
            </w:r>
            <w:r w:rsidR="0026754C">
              <w:rPr>
                <w:noProof/>
                <w:webHidden/>
              </w:rPr>
              <w:tab/>
            </w:r>
            <w:r w:rsidR="0026754C">
              <w:rPr>
                <w:noProof/>
                <w:webHidden/>
              </w:rPr>
              <w:fldChar w:fldCharType="begin"/>
            </w:r>
            <w:r w:rsidR="0026754C">
              <w:rPr>
                <w:noProof/>
                <w:webHidden/>
              </w:rPr>
              <w:instrText xml:space="preserve"> PAGEREF _Toc113820343 \h </w:instrText>
            </w:r>
            <w:r w:rsidR="0026754C">
              <w:rPr>
                <w:noProof/>
                <w:webHidden/>
              </w:rPr>
            </w:r>
            <w:r w:rsidR="0026754C">
              <w:rPr>
                <w:noProof/>
                <w:webHidden/>
              </w:rPr>
              <w:fldChar w:fldCharType="separate"/>
            </w:r>
            <w:r w:rsidR="0026754C">
              <w:rPr>
                <w:noProof/>
                <w:webHidden/>
              </w:rPr>
              <w:t>5</w:t>
            </w:r>
            <w:r w:rsidR="0026754C">
              <w:rPr>
                <w:noProof/>
                <w:webHidden/>
              </w:rPr>
              <w:fldChar w:fldCharType="end"/>
            </w:r>
          </w:hyperlink>
        </w:p>
        <w:p w14:paraId="10BF4B65" w14:textId="14B8166C" w:rsidR="0026754C" w:rsidRDefault="005D483E">
          <w:pPr>
            <w:pStyle w:val="Indholdsfortegnelse3"/>
            <w:tabs>
              <w:tab w:val="right" w:leader="dot" w:pos="9016"/>
            </w:tabs>
            <w:rPr>
              <w:rFonts w:eastAsiaTheme="minorEastAsia"/>
              <w:noProof/>
            </w:rPr>
          </w:pPr>
          <w:hyperlink w:anchor="_Toc113820344" w:history="1">
            <w:r w:rsidR="0026754C" w:rsidRPr="00E107F3">
              <w:rPr>
                <w:rStyle w:val="Hyperlink"/>
                <w:rFonts w:ascii="Times New Roman" w:hAnsi="Times New Roman" w:cs="Times New Roman"/>
                <w:b/>
                <w:i/>
                <w:iCs/>
                <w:noProof/>
              </w:rPr>
              <w:t>Two-way fixed effects approach</w:t>
            </w:r>
            <w:r w:rsidR="0026754C">
              <w:rPr>
                <w:noProof/>
                <w:webHidden/>
              </w:rPr>
              <w:tab/>
            </w:r>
            <w:r w:rsidR="0026754C">
              <w:rPr>
                <w:noProof/>
                <w:webHidden/>
              </w:rPr>
              <w:fldChar w:fldCharType="begin"/>
            </w:r>
            <w:r w:rsidR="0026754C">
              <w:rPr>
                <w:noProof/>
                <w:webHidden/>
              </w:rPr>
              <w:instrText xml:space="preserve"> PAGEREF _Toc113820344 \h </w:instrText>
            </w:r>
            <w:r w:rsidR="0026754C">
              <w:rPr>
                <w:noProof/>
                <w:webHidden/>
              </w:rPr>
            </w:r>
            <w:r w:rsidR="0026754C">
              <w:rPr>
                <w:noProof/>
                <w:webHidden/>
              </w:rPr>
              <w:fldChar w:fldCharType="separate"/>
            </w:r>
            <w:r w:rsidR="0026754C">
              <w:rPr>
                <w:noProof/>
                <w:webHidden/>
              </w:rPr>
              <w:t>5</w:t>
            </w:r>
            <w:r w:rsidR="0026754C">
              <w:rPr>
                <w:noProof/>
                <w:webHidden/>
              </w:rPr>
              <w:fldChar w:fldCharType="end"/>
            </w:r>
          </w:hyperlink>
        </w:p>
        <w:p w14:paraId="15BC19E4" w14:textId="7254F54E" w:rsidR="0026754C" w:rsidRDefault="005D483E">
          <w:pPr>
            <w:pStyle w:val="Indholdsfortegnelse3"/>
            <w:tabs>
              <w:tab w:val="right" w:leader="dot" w:pos="9016"/>
            </w:tabs>
            <w:rPr>
              <w:rFonts w:eastAsiaTheme="minorEastAsia"/>
              <w:noProof/>
            </w:rPr>
          </w:pPr>
          <w:hyperlink w:anchor="_Toc113820345" w:history="1">
            <w:r w:rsidR="0026754C" w:rsidRPr="00E107F3">
              <w:rPr>
                <w:rStyle w:val="Hyperlink"/>
                <w:rFonts w:ascii="Times New Roman" w:hAnsi="Times New Roman" w:cs="Times New Roman"/>
                <w:b/>
                <w:noProof/>
              </w:rPr>
              <w:t>Table A1: List of countries and Radical Right Parties</w:t>
            </w:r>
            <w:r w:rsidR="0026754C">
              <w:rPr>
                <w:noProof/>
                <w:webHidden/>
              </w:rPr>
              <w:tab/>
            </w:r>
            <w:r w:rsidR="0026754C">
              <w:rPr>
                <w:noProof/>
                <w:webHidden/>
              </w:rPr>
              <w:fldChar w:fldCharType="begin"/>
            </w:r>
            <w:r w:rsidR="0026754C">
              <w:rPr>
                <w:noProof/>
                <w:webHidden/>
              </w:rPr>
              <w:instrText xml:space="preserve"> PAGEREF _Toc113820345 \h </w:instrText>
            </w:r>
            <w:r w:rsidR="0026754C">
              <w:rPr>
                <w:noProof/>
                <w:webHidden/>
              </w:rPr>
            </w:r>
            <w:r w:rsidR="0026754C">
              <w:rPr>
                <w:noProof/>
                <w:webHidden/>
              </w:rPr>
              <w:fldChar w:fldCharType="separate"/>
            </w:r>
            <w:r w:rsidR="0026754C">
              <w:rPr>
                <w:noProof/>
                <w:webHidden/>
              </w:rPr>
              <w:t>6</w:t>
            </w:r>
            <w:r w:rsidR="0026754C">
              <w:rPr>
                <w:noProof/>
                <w:webHidden/>
              </w:rPr>
              <w:fldChar w:fldCharType="end"/>
            </w:r>
          </w:hyperlink>
        </w:p>
        <w:p w14:paraId="6C39FC25" w14:textId="7D2A779B" w:rsidR="0026754C" w:rsidRDefault="005D483E">
          <w:pPr>
            <w:pStyle w:val="Indholdsfortegnelse3"/>
            <w:tabs>
              <w:tab w:val="right" w:leader="dot" w:pos="9016"/>
            </w:tabs>
            <w:rPr>
              <w:rFonts w:eastAsiaTheme="minorEastAsia"/>
              <w:noProof/>
            </w:rPr>
          </w:pPr>
          <w:hyperlink w:anchor="_Toc113820346" w:history="1">
            <w:r w:rsidR="0026754C" w:rsidRPr="00E107F3">
              <w:rPr>
                <w:rStyle w:val="Hyperlink"/>
                <w:rFonts w:ascii="Times New Roman" w:hAnsi="Times New Roman" w:cs="Times New Roman"/>
                <w:b/>
                <w:i/>
                <w:iCs/>
                <w:noProof/>
              </w:rPr>
              <w:t>Regression discontinuity design approach</w:t>
            </w:r>
            <w:r w:rsidR="0026754C">
              <w:rPr>
                <w:noProof/>
                <w:webHidden/>
              </w:rPr>
              <w:tab/>
            </w:r>
            <w:r w:rsidR="0026754C">
              <w:rPr>
                <w:noProof/>
                <w:webHidden/>
              </w:rPr>
              <w:fldChar w:fldCharType="begin"/>
            </w:r>
            <w:r w:rsidR="0026754C">
              <w:rPr>
                <w:noProof/>
                <w:webHidden/>
              </w:rPr>
              <w:instrText xml:space="preserve"> PAGEREF _Toc113820346 \h </w:instrText>
            </w:r>
            <w:r w:rsidR="0026754C">
              <w:rPr>
                <w:noProof/>
                <w:webHidden/>
              </w:rPr>
            </w:r>
            <w:r w:rsidR="0026754C">
              <w:rPr>
                <w:noProof/>
                <w:webHidden/>
              </w:rPr>
              <w:fldChar w:fldCharType="separate"/>
            </w:r>
            <w:r w:rsidR="0026754C">
              <w:rPr>
                <w:noProof/>
                <w:webHidden/>
              </w:rPr>
              <w:t>6</w:t>
            </w:r>
            <w:r w:rsidR="0026754C">
              <w:rPr>
                <w:noProof/>
                <w:webHidden/>
              </w:rPr>
              <w:fldChar w:fldCharType="end"/>
            </w:r>
          </w:hyperlink>
        </w:p>
        <w:p w14:paraId="078AF9C0" w14:textId="79FBC579" w:rsidR="0026754C" w:rsidRDefault="005D483E">
          <w:pPr>
            <w:pStyle w:val="Indholdsfortegnelse3"/>
            <w:tabs>
              <w:tab w:val="right" w:leader="dot" w:pos="9016"/>
            </w:tabs>
            <w:rPr>
              <w:rFonts w:eastAsiaTheme="minorEastAsia"/>
              <w:noProof/>
            </w:rPr>
          </w:pPr>
          <w:hyperlink w:anchor="_Toc113820347" w:history="1">
            <w:r w:rsidR="0026754C" w:rsidRPr="00E107F3">
              <w:rPr>
                <w:rStyle w:val="Hyperlink"/>
                <w:rFonts w:ascii="Times New Roman" w:hAnsi="Times New Roman" w:cs="Times New Roman"/>
                <w:b/>
                <w:noProof/>
              </w:rPr>
              <w:t>Table A2: List of countries and electoral thresholds</w:t>
            </w:r>
            <w:r w:rsidR="0026754C">
              <w:rPr>
                <w:noProof/>
                <w:webHidden/>
              </w:rPr>
              <w:tab/>
            </w:r>
            <w:r w:rsidR="0026754C">
              <w:rPr>
                <w:noProof/>
                <w:webHidden/>
              </w:rPr>
              <w:fldChar w:fldCharType="begin"/>
            </w:r>
            <w:r w:rsidR="0026754C">
              <w:rPr>
                <w:noProof/>
                <w:webHidden/>
              </w:rPr>
              <w:instrText xml:space="preserve"> PAGEREF _Toc113820347 \h </w:instrText>
            </w:r>
            <w:r w:rsidR="0026754C">
              <w:rPr>
                <w:noProof/>
                <w:webHidden/>
              </w:rPr>
            </w:r>
            <w:r w:rsidR="0026754C">
              <w:rPr>
                <w:noProof/>
                <w:webHidden/>
              </w:rPr>
              <w:fldChar w:fldCharType="separate"/>
            </w:r>
            <w:r w:rsidR="0026754C">
              <w:rPr>
                <w:noProof/>
                <w:webHidden/>
              </w:rPr>
              <w:t>7</w:t>
            </w:r>
            <w:r w:rsidR="0026754C">
              <w:rPr>
                <w:noProof/>
                <w:webHidden/>
              </w:rPr>
              <w:fldChar w:fldCharType="end"/>
            </w:r>
          </w:hyperlink>
        </w:p>
        <w:p w14:paraId="799BFA36" w14:textId="505A38AF" w:rsidR="0026754C" w:rsidRDefault="005D483E">
          <w:pPr>
            <w:pStyle w:val="Indholdsfortegnelse2"/>
            <w:tabs>
              <w:tab w:val="right" w:leader="dot" w:pos="9016"/>
            </w:tabs>
            <w:rPr>
              <w:rFonts w:eastAsiaTheme="minorEastAsia"/>
              <w:noProof/>
            </w:rPr>
          </w:pPr>
          <w:hyperlink w:anchor="_Toc113820348" w:history="1">
            <w:r w:rsidR="0026754C" w:rsidRPr="00E107F3">
              <w:rPr>
                <w:rStyle w:val="Hyperlink"/>
                <w:rFonts w:ascii="Times New Roman" w:hAnsi="Times New Roman" w:cs="Times New Roman"/>
                <w:b/>
                <w:bCs/>
                <w:noProof/>
              </w:rPr>
              <w:t>Appendix B. Survey items</w:t>
            </w:r>
            <w:r w:rsidR="0026754C">
              <w:rPr>
                <w:noProof/>
                <w:webHidden/>
              </w:rPr>
              <w:tab/>
            </w:r>
            <w:r w:rsidR="0026754C">
              <w:rPr>
                <w:noProof/>
                <w:webHidden/>
              </w:rPr>
              <w:fldChar w:fldCharType="begin"/>
            </w:r>
            <w:r w:rsidR="0026754C">
              <w:rPr>
                <w:noProof/>
                <w:webHidden/>
              </w:rPr>
              <w:instrText xml:space="preserve"> PAGEREF _Toc113820348 \h </w:instrText>
            </w:r>
            <w:r w:rsidR="0026754C">
              <w:rPr>
                <w:noProof/>
                <w:webHidden/>
              </w:rPr>
            </w:r>
            <w:r w:rsidR="0026754C">
              <w:rPr>
                <w:noProof/>
                <w:webHidden/>
              </w:rPr>
              <w:fldChar w:fldCharType="separate"/>
            </w:r>
            <w:r w:rsidR="0026754C">
              <w:rPr>
                <w:noProof/>
                <w:webHidden/>
              </w:rPr>
              <w:t>10</w:t>
            </w:r>
            <w:r w:rsidR="0026754C">
              <w:rPr>
                <w:noProof/>
                <w:webHidden/>
              </w:rPr>
              <w:fldChar w:fldCharType="end"/>
            </w:r>
          </w:hyperlink>
        </w:p>
        <w:p w14:paraId="6FDAE40C" w14:textId="38AD58B8" w:rsidR="0026754C" w:rsidRDefault="005D483E">
          <w:pPr>
            <w:pStyle w:val="Indholdsfortegnelse2"/>
            <w:tabs>
              <w:tab w:val="right" w:leader="dot" w:pos="9016"/>
            </w:tabs>
            <w:rPr>
              <w:rFonts w:eastAsiaTheme="minorEastAsia"/>
              <w:noProof/>
            </w:rPr>
          </w:pPr>
          <w:hyperlink w:anchor="_Toc113820349" w:history="1">
            <w:r w:rsidR="0026754C" w:rsidRPr="00E107F3">
              <w:rPr>
                <w:rStyle w:val="Hyperlink"/>
                <w:rFonts w:ascii="Times New Roman" w:hAnsi="Times New Roman" w:cs="Times New Roman"/>
                <w:b/>
                <w:bCs/>
                <w:noProof/>
              </w:rPr>
              <w:t>Appendix C. Two-way fixed effects models</w:t>
            </w:r>
            <w:r w:rsidR="0026754C">
              <w:rPr>
                <w:noProof/>
                <w:webHidden/>
              </w:rPr>
              <w:tab/>
            </w:r>
            <w:r w:rsidR="0026754C">
              <w:rPr>
                <w:noProof/>
                <w:webHidden/>
              </w:rPr>
              <w:fldChar w:fldCharType="begin"/>
            </w:r>
            <w:r w:rsidR="0026754C">
              <w:rPr>
                <w:noProof/>
                <w:webHidden/>
              </w:rPr>
              <w:instrText xml:space="preserve"> PAGEREF _Toc113820349 \h </w:instrText>
            </w:r>
            <w:r w:rsidR="0026754C">
              <w:rPr>
                <w:noProof/>
                <w:webHidden/>
              </w:rPr>
            </w:r>
            <w:r w:rsidR="0026754C">
              <w:rPr>
                <w:noProof/>
                <w:webHidden/>
              </w:rPr>
              <w:fldChar w:fldCharType="separate"/>
            </w:r>
            <w:r w:rsidR="0026754C">
              <w:rPr>
                <w:noProof/>
                <w:webHidden/>
              </w:rPr>
              <w:t>13</w:t>
            </w:r>
            <w:r w:rsidR="0026754C">
              <w:rPr>
                <w:noProof/>
                <w:webHidden/>
              </w:rPr>
              <w:fldChar w:fldCharType="end"/>
            </w:r>
          </w:hyperlink>
        </w:p>
        <w:p w14:paraId="3B6B9912" w14:textId="34873B4B" w:rsidR="0026754C" w:rsidRDefault="005D483E">
          <w:pPr>
            <w:pStyle w:val="Indholdsfortegnelse3"/>
            <w:tabs>
              <w:tab w:val="right" w:leader="dot" w:pos="9016"/>
            </w:tabs>
            <w:rPr>
              <w:rFonts w:eastAsiaTheme="minorEastAsia"/>
              <w:noProof/>
            </w:rPr>
          </w:pPr>
          <w:hyperlink w:anchor="_Toc113820350" w:history="1">
            <w:r w:rsidR="0026754C" w:rsidRPr="00E107F3">
              <w:rPr>
                <w:rStyle w:val="Hyperlink"/>
                <w:rFonts w:ascii="Times New Roman" w:hAnsi="Times New Roman" w:cs="Times New Roman"/>
                <w:b/>
                <w:bCs/>
                <w:i/>
                <w:iCs/>
                <w:noProof/>
              </w:rPr>
              <w:t>Table C1: Regression table of main findings from two-way FE approach</w:t>
            </w:r>
            <w:r w:rsidR="0026754C">
              <w:rPr>
                <w:noProof/>
                <w:webHidden/>
              </w:rPr>
              <w:tab/>
            </w:r>
            <w:r w:rsidR="0026754C">
              <w:rPr>
                <w:noProof/>
                <w:webHidden/>
              </w:rPr>
              <w:fldChar w:fldCharType="begin"/>
            </w:r>
            <w:r w:rsidR="0026754C">
              <w:rPr>
                <w:noProof/>
                <w:webHidden/>
              </w:rPr>
              <w:instrText xml:space="preserve"> PAGEREF _Toc113820350 \h </w:instrText>
            </w:r>
            <w:r w:rsidR="0026754C">
              <w:rPr>
                <w:noProof/>
                <w:webHidden/>
              </w:rPr>
            </w:r>
            <w:r w:rsidR="0026754C">
              <w:rPr>
                <w:noProof/>
                <w:webHidden/>
              </w:rPr>
              <w:fldChar w:fldCharType="separate"/>
            </w:r>
            <w:r w:rsidR="0026754C">
              <w:rPr>
                <w:noProof/>
                <w:webHidden/>
              </w:rPr>
              <w:t>13</w:t>
            </w:r>
            <w:r w:rsidR="0026754C">
              <w:rPr>
                <w:noProof/>
                <w:webHidden/>
              </w:rPr>
              <w:fldChar w:fldCharType="end"/>
            </w:r>
          </w:hyperlink>
        </w:p>
        <w:p w14:paraId="29DC12FE" w14:textId="4445877E" w:rsidR="0026754C" w:rsidRDefault="005D483E">
          <w:pPr>
            <w:pStyle w:val="Indholdsfortegnelse3"/>
            <w:tabs>
              <w:tab w:val="right" w:leader="dot" w:pos="9016"/>
            </w:tabs>
            <w:rPr>
              <w:rFonts w:eastAsiaTheme="minorEastAsia"/>
              <w:noProof/>
            </w:rPr>
          </w:pPr>
          <w:hyperlink w:anchor="_Toc113820351" w:history="1">
            <w:r w:rsidR="0026754C" w:rsidRPr="00E107F3">
              <w:rPr>
                <w:rStyle w:val="Hyperlink"/>
                <w:rFonts w:ascii="Times New Roman" w:hAnsi="Times New Roman" w:cs="Times New Roman"/>
                <w:b/>
                <w:bCs/>
                <w:noProof/>
              </w:rPr>
              <w:t>Figure C1: Coefficient plot of main findings from two-way FE approach</w:t>
            </w:r>
            <w:r w:rsidR="0026754C">
              <w:rPr>
                <w:noProof/>
                <w:webHidden/>
              </w:rPr>
              <w:tab/>
            </w:r>
            <w:r w:rsidR="0026754C">
              <w:rPr>
                <w:noProof/>
                <w:webHidden/>
              </w:rPr>
              <w:fldChar w:fldCharType="begin"/>
            </w:r>
            <w:r w:rsidR="0026754C">
              <w:rPr>
                <w:noProof/>
                <w:webHidden/>
              </w:rPr>
              <w:instrText xml:space="preserve"> PAGEREF _Toc113820351 \h </w:instrText>
            </w:r>
            <w:r w:rsidR="0026754C">
              <w:rPr>
                <w:noProof/>
                <w:webHidden/>
              </w:rPr>
            </w:r>
            <w:r w:rsidR="0026754C">
              <w:rPr>
                <w:noProof/>
                <w:webHidden/>
              </w:rPr>
              <w:fldChar w:fldCharType="separate"/>
            </w:r>
            <w:r w:rsidR="0026754C">
              <w:rPr>
                <w:noProof/>
                <w:webHidden/>
              </w:rPr>
              <w:t>14</w:t>
            </w:r>
            <w:r w:rsidR="0026754C">
              <w:rPr>
                <w:noProof/>
                <w:webHidden/>
              </w:rPr>
              <w:fldChar w:fldCharType="end"/>
            </w:r>
          </w:hyperlink>
        </w:p>
        <w:p w14:paraId="7AD170BD" w14:textId="33ED51DD" w:rsidR="0026754C" w:rsidRDefault="005D483E">
          <w:pPr>
            <w:pStyle w:val="Indholdsfortegnelse2"/>
            <w:tabs>
              <w:tab w:val="right" w:leader="dot" w:pos="9016"/>
            </w:tabs>
            <w:rPr>
              <w:rFonts w:eastAsiaTheme="minorEastAsia"/>
              <w:noProof/>
            </w:rPr>
          </w:pPr>
          <w:hyperlink w:anchor="_Toc113820352" w:history="1">
            <w:r w:rsidR="0026754C" w:rsidRPr="00E107F3">
              <w:rPr>
                <w:rStyle w:val="Hyperlink"/>
                <w:rFonts w:ascii="Times New Roman" w:hAnsi="Times New Roman" w:cs="Times New Roman"/>
                <w:b/>
                <w:bCs/>
                <w:noProof/>
              </w:rPr>
              <w:t>Appendix D. Two-way fixed effects: Characteristics of the electoral systems</w:t>
            </w:r>
            <w:r w:rsidR="0026754C">
              <w:rPr>
                <w:noProof/>
                <w:webHidden/>
              </w:rPr>
              <w:tab/>
            </w:r>
            <w:r w:rsidR="0026754C">
              <w:rPr>
                <w:noProof/>
                <w:webHidden/>
              </w:rPr>
              <w:fldChar w:fldCharType="begin"/>
            </w:r>
            <w:r w:rsidR="0026754C">
              <w:rPr>
                <w:noProof/>
                <w:webHidden/>
              </w:rPr>
              <w:instrText xml:space="preserve"> PAGEREF _Toc113820352 \h </w:instrText>
            </w:r>
            <w:r w:rsidR="0026754C">
              <w:rPr>
                <w:noProof/>
                <w:webHidden/>
              </w:rPr>
            </w:r>
            <w:r w:rsidR="0026754C">
              <w:rPr>
                <w:noProof/>
                <w:webHidden/>
              </w:rPr>
              <w:fldChar w:fldCharType="separate"/>
            </w:r>
            <w:r w:rsidR="0026754C">
              <w:rPr>
                <w:noProof/>
                <w:webHidden/>
              </w:rPr>
              <w:t>15</w:t>
            </w:r>
            <w:r w:rsidR="0026754C">
              <w:rPr>
                <w:noProof/>
                <w:webHidden/>
              </w:rPr>
              <w:fldChar w:fldCharType="end"/>
            </w:r>
          </w:hyperlink>
        </w:p>
        <w:p w14:paraId="4FDEF407" w14:textId="4B4BFD7A" w:rsidR="0026754C" w:rsidRDefault="005D483E">
          <w:pPr>
            <w:pStyle w:val="Indholdsfortegnelse3"/>
            <w:tabs>
              <w:tab w:val="right" w:leader="dot" w:pos="9016"/>
            </w:tabs>
            <w:rPr>
              <w:rFonts w:eastAsiaTheme="minorEastAsia"/>
              <w:noProof/>
            </w:rPr>
          </w:pPr>
          <w:hyperlink w:anchor="_Toc113820353" w:history="1">
            <w:r w:rsidR="0026754C" w:rsidRPr="00E107F3">
              <w:rPr>
                <w:rStyle w:val="Hyperlink"/>
                <w:rFonts w:ascii="Times New Roman" w:hAnsi="Times New Roman" w:cs="Times New Roman"/>
                <w:b/>
                <w:bCs/>
                <w:noProof/>
              </w:rPr>
              <w:t>Figure D1: Effect sizes across sample definitions</w:t>
            </w:r>
            <w:r w:rsidR="0026754C">
              <w:rPr>
                <w:noProof/>
                <w:webHidden/>
              </w:rPr>
              <w:tab/>
            </w:r>
            <w:r w:rsidR="0026754C">
              <w:rPr>
                <w:noProof/>
                <w:webHidden/>
              </w:rPr>
              <w:fldChar w:fldCharType="begin"/>
            </w:r>
            <w:r w:rsidR="0026754C">
              <w:rPr>
                <w:noProof/>
                <w:webHidden/>
              </w:rPr>
              <w:instrText xml:space="preserve"> PAGEREF _Toc113820353 \h </w:instrText>
            </w:r>
            <w:r w:rsidR="0026754C">
              <w:rPr>
                <w:noProof/>
                <w:webHidden/>
              </w:rPr>
            </w:r>
            <w:r w:rsidR="0026754C">
              <w:rPr>
                <w:noProof/>
                <w:webHidden/>
              </w:rPr>
              <w:fldChar w:fldCharType="separate"/>
            </w:r>
            <w:r w:rsidR="0026754C">
              <w:rPr>
                <w:noProof/>
                <w:webHidden/>
              </w:rPr>
              <w:t>16</w:t>
            </w:r>
            <w:r w:rsidR="0026754C">
              <w:rPr>
                <w:noProof/>
                <w:webHidden/>
              </w:rPr>
              <w:fldChar w:fldCharType="end"/>
            </w:r>
          </w:hyperlink>
        </w:p>
        <w:p w14:paraId="374483A4" w14:textId="28C8D5BC" w:rsidR="0026754C" w:rsidRDefault="005D483E">
          <w:pPr>
            <w:pStyle w:val="Indholdsfortegnelse2"/>
            <w:tabs>
              <w:tab w:val="right" w:leader="dot" w:pos="9016"/>
            </w:tabs>
            <w:rPr>
              <w:rFonts w:eastAsiaTheme="minorEastAsia"/>
              <w:noProof/>
            </w:rPr>
          </w:pPr>
          <w:hyperlink w:anchor="_Toc113820354" w:history="1">
            <w:r w:rsidR="0026754C" w:rsidRPr="00E107F3">
              <w:rPr>
                <w:rStyle w:val="Hyperlink"/>
                <w:rFonts w:ascii="Times New Roman" w:hAnsi="Times New Roman" w:cs="Times New Roman"/>
                <w:b/>
                <w:bCs/>
                <w:noProof/>
              </w:rPr>
              <w:t>Appendix E. Two-way fixed effects: Influential case analysis</w:t>
            </w:r>
            <w:r w:rsidR="0026754C">
              <w:rPr>
                <w:noProof/>
                <w:webHidden/>
              </w:rPr>
              <w:tab/>
            </w:r>
            <w:r w:rsidR="0026754C">
              <w:rPr>
                <w:noProof/>
                <w:webHidden/>
              </w:rPr>
              <w:fldChar w:fldCharType="begin"/>
            </w:r>
            <w:r w:rsidR="0026754C">
              <w:rPr>
                <w:noProof/>
                <w:webHidden/>
              </w:rPr>
              <w:instrText xml:space="preserve"> PAGEREF _Toc113820354 \h </w:instrText>
            </w:r>
            <w:r w:rsidR="0026754C">
              <w:rPr>
                <w:noProof/>
                <w:webHidden/>
              </w:rPr>
            </w:r>
            <w:r w:rsidR="0026754C">
              <w:rPr>
                <w:noProof/>
                <w:webHidden/>
              </w:rPr>
              <w:fldChar w:fldCharType="separate"/>
            </w:r>
            <w:r w:rsidR="0026754C">
              <w:rPr>
                <w:noProof/>
                <w:webHidden/>
              </w:rPr>
              <w:t>17</w:t>
            </w:r>
            <w:r w:rsidR="0026754C">
              <w:rPr>
                <w:noProof/>
                <w:webHidden/>
              </w:rPr>
              <w:fldChar w:fldCharType="end"/>
            </w:r>
          </w:hyperlink>
        </w:p>
        <w:p w14:paraId="5A7AEEE9" w14:textId="03D15CF6" w:rsidR="0026754C" w:rsidRDefault="005D483E">
          <w:pPr>
            <w:pStyle w:val="Indholdsfortegnelse3"/>
            <w:tabs>
              <w:tab w:val="right" w:leader="dot" w:pos="9016"/>
            </w:tabs>
            <w:rPr>
              <w:rFonts w:eastAsiaTheme="minorEastAsia"/>
              <w:noProof/>
            </w:rPr>
          </w:pPr>
          <w:hyperlink w:anchor="_Toc113820355" w:history="1">
            <w:r w:rsidR="0026754C" w:rsidRPr="00E107F3">
              <w:rPr>
                <w:rStyle w:val="Hyperlink"/>
                <w:rFonts w:ascii="Times New Roman" w:hAnsi="Times New Roman" w:cs="Times New Roman"/>
                <w:b/>
                <w:bCs/>
                <w:noProof/>
              </w:rPr>
              <w:t>Figure E1: DFbeta plot</w:t>
            </w:r>
            <w:r w:rsidR="0026754C">
              <w:rPr>
                <w:noProof/>
                <w:webHidden/>
              </w:rPr>
              <w:tab/>
            </w:r>
            <w:r w:rsidR="0026754C">
              <w:rPr>
                <w:noProof/>
                <w:webHidden/>
              </w:rPr>
              <w:fldChar w:fldCharType="begin"/>
            </w:r>
            <w:r w:rsidR="0026754C">
              <w:rPr>
                <w:noProof/>
                <w:webHidden/>
              </w:rPr>
              <w:instrText xml:space="preserve"> PAGEREF _Toc113820355 \h </w:instrText>
            </w:r>
            <w:r w:rsidR="0026754C">
              <w:rPr>
                <w:noProof/>
                <w:webHidden/>
              </w:rPr>
            </w:r>
            <w:r w:rsidR="0026754C">
              <w:rPr>
                <w:noProof/>
                <w:webHidden/>
              </w:rPr>
              <w:fldChar w:fldCharType="separate"/>
            </w:r>
            <w:r w:rsidR="0026754C">
              <w:rPr>
                <w:noProof/>
                <w:webHidden/>
              </w:rPr>
              <w:t>17</w:t>
            </w:r>
            <w:r w:rsidR="0026754C">
              <w:rPr>
                <w:noProof/>
                <w:webHidden/>
              </w:rPr>
              <w:fldChar w:fldCharType="end"/>
            </w:r>
          </w:hyperlink>
        </w:p>
        <w:p w14:paraId="392C53A9" w14:textId="4D93BBB7" w:rsidR="0026754C" w:rsidRDefault="005D483E">
          <w:pPr>
            <w:pStyle w:val="Indholdsfortegnelse3"/>
            <w:tabs>
              <w:tab w:val="right" w:leader="dot" w:pos="9016"/>
            </w:tabs>
            <w:rPr>
              <w:rFonts w:eastAsiaTheme="minorEastAsia"/>
              <w:noProof/>
            </w:rPr>
          </w:pPr>
          <w:hyperlink w:anchor="_Toc113820356" w:history="1">
            <w:r w:rsidR="0026754C" w:rsidRPr="00E107F3">
              <w:rPr>
                <w:rStyle w:val="Hyperlink"/>
                <w:rFonts w:ascii="Times New Roman" w:hAnsi="Times New Roman" w:cs="Times New Roman"/>
                <w:b/>
                <w:bCs/>
                <w:noProof/>
              </w:rPr>
              <w:t>Table E1: Test of H2a with and without influential country-year cases</w:t>
            </w:r>
            <w:r w:rsidR="0026754C">
              <w:rPr>
                <w:noProof/>
                <w:webHidden/>
              </w:rPr>
              <w:tab/>
            </w:r>
            <w:r w:rsidR="0026754C">
              <w:rPr>
                <w:noProof/>
                <w:webHidden/>
              </w:rPr>
              <w:fldChar w:fldCharType="begin"/>
            </w:r>
            <w:r w:rsidR="0026754C">
              <w:rPr>
                <w:noProof/>
                <w:webHidden/>
              </w:rPr>
              <w:instrText xml:space="preserve"> PAGEREF _Toc113820356 \h </w:instrText>
            </w:r>
            <w:r w:rsidR="0026754C">
              <w:rPr>
                <w:noProof/>
                <w:webHidden/>
              </w:rPr>
            </w:r>
            <w:r w:rsidR="0026754C">
              <w:rPr>
                <w:noProof/>
                <w:webHidden/>
              </w:rPr>
              <w:fldChar w:fldCharType="separate"/>
            </w:r>
            <w:r w:rsidR="0026754C">
              <w:rPr>
                <w:noProof/>
                <w:webHidden/>
              </w:rPr>
              <w:t>18</w:t>
            </w:r>
            <w:r w:rsidR="0026754C">
              <w:rPr>
                <w:noProof/>
                <w:webHidden/>
              </w:rPr>
              <w:fldChar w:fldCharType="end"/>
            </w:r>
          </w:hyperlink>
        </w:p>
        <w:p w14:paraId="74924D43" w14:textId="4334D1AC" w:rsidR="0026754C" w:rsidRDefault="005D483E">
          <w:pPr>
            <w:pStyle w:val="Indholdsfortegnelse3"/>
            <w:tabs>
              <w:tab w:val="right" w:leader="dot" w:pos="9016"/>
            </w:tabs>
            <w:rPr>
              <w:rFonts w:eastAsiaTheme="minorEastAsia"/>
              <w:noProof/>
            </w:rPr>
          </w:pPr>
          <w:hyperlink w:anchor="_Toc113820357" w:history="1">
            <w:r w:rsidR="0026754C" w:rsidRPr="00E107F3">
              <w:rPr>
                <w:rStyle w:val="Hyperlink"/>
                <w:rFonts w:ascii="Times New Roman" w:hAnsi="Times New Roman" w:cs="Times New Roman"/>
                <w:b/>
                <w:bCs/>
                <w:noProof/>
              </w:rPr>
              <w:t>Figure E2: Leave-one-out models</w:t>
            </w:r>
            <w:r w:rsidR="0026754C">
              <w:rPr>
                <w:noProof/>
                <w:webHidden/>
              </w:rPr>
              <w:tab/>
            </w:r>
            <w:r w:rsidR="0026754C">
              <w:rPr>
                <w:noProof/>
                <w:webHidden/>
              </w:rPr>
              <w:fldChar w:fldCharType="begin"/>
            </w:r>
            <w:r w:rsidR="0026754C">
              <w:rPr>
                <w:noProof/>
                <w:webHidden/>
              </w:rPr>
              <w:instrText xml:space="preserve"> PAGEREF _Toc113820357 \h </w:instrText>
            </w:r>
            <w:r w:rsidR="0026754C">
              <w:rPr>
                <w:noProof/>
                <w:webHidden/>
              </w:rPr>
            </w:r>
            <w:r w:rsidR="0026754C">
              <w:rPr>
                <w:noProof/>
                <w:webHidden/>
              </w:rPr>
              <w:fldChar w:fldCharType="separate"/>
            </w:r>
            <w:r w:rsidR="0026754C">
              <w:rPr>
                <w:noProof/>
                <w:webHidden/>
              </w:rPr>
              <w:t>19</w:t>
            </w:r>
            <w:r w:rsidR="0026754C">
              <w:rPr>
                <w:noProof/>
                <w:webHidden/>
              </w:rPr>
              <w:fldChar w:fldCharType="end"/>
            </w:r>
          </w:hyperlink>
        </w:p>
        <w:p w14:paraId="2BAAFF7F" w14:textId="6D002C64" w:rsidR="0026754C" w:rsidRDefault="005D483E">
          <w:pPr>
            <w:pStyle w:val="Indholdsfortegnelse2"/>
            <w:tabs>
              <w:tab w:val="right" w:leader="dot" w:pos="9016"/>
            </w:tabs>
            <w:rPr>
              <w:rFonts w:eastAsiaTheme="minorEastAsia"/>
              <w:noProof/>
            </w:rPr>
          </w:pPr>
          <w:hyperlink w:anchor="_Toc113820358" w:history="1">
            <w:r w:rsidR="0026754C" w:rsidRPr="00E107F3">
              <w:rPr>
                <w:rStyle w:val="Hyperlink"/>
                <w:rFonts w:ascii="Times New Roman" w:hAnsi="Times New Roman" w:cs="Times New Roman"/>
                <w:b/>
                <w:bCs/>
                <w:noProof/>
              </w:rPr>
              <w:t>Appendix F. Two-way fixed effects: pre-and post-event dummies</w:t>
            </w:r>
            <w:r w:rsidR="0026754C">
              <w:rPr>
                <w:noProof/>
                <w:webHidden/>
              </w:rPr>
              <w:tab/>
            </w:r>
            <w:r w:rsidR="0026754C">
              <w:rPr>
                <w:noProof/>
                <w:webHidden/>
              </w:rPr>
              <w:fldChar w:fldCharType="begin"/>
            </w:r>
            <w:r w:rsidR="0026754C">
              <w:rPr>
                <w:noProof/>
                <w:webHidden/>
              </w:rPr>
              <w:instrText xml:space="preserve"> PAGEREF _Toc113820358 \h </w:instrText>
            </w:r>
            <w:r w:rsidR="0026754C">
              <w:rPr>
                <w:noProof/>
                <w:webHidden/>
              </w:rPr>
            </w:r>
            <w:r w:rsidR="0026754C">
              <w:rPr>
                <w:noProof/>
                <w:webHidden/>
              </w:rPr>
              <w:fldChar w:fldCharType="separate"/>
            </w:r>
            <w:r w:rsidR="0026754C">
              <w:rPr>
                <w:noProof/>
                <w:webHidden/>
              </w:rPr>
              <w:t>20</w:t>
            </w:r>
            <w:r w:rsidR="0026754C">
              <w:rPr>
                <w:noProof/>
                <w:webHidden/>
              </w:rPr>
              <w:fldChar w:fldCharType="end"/>
            </w:r>
          </w:hyperlink>
        </w:p>
        <w:p w14:paraId="5A18843A" w14:textId="4F289001" w:rsidR="0026754C" w:rsidRDefault="005D483E">
          <w:pPr>
            <w:pStyle w:val="Indholdsfortegnelse3"/>
            <w:tabs>
              <w:tab w:val="right" w:leader="dot" w:pos="9016"/>
            </w:tabs>
            <w:rPr>
              <w:rFonts w:eastAsiaTheme="minorEastAsia"/>
              <w:noProof/>
            </w:rPr>
          </w:pPr>
          <w:hyperlink w:anchor="_Toc113820359" w:history="1">
            <w:r w:rsidR="0026754C" w:rsidRPr="00E107F3">
              <w:rPr>
                <w:rStyle w:val="Hyperlink"/>
                <w:rFonts w:ascii="Times New Roman" w:hAnsi="Times New Roman" w:cs="Times New Roman"/>
                <w:b/>
                <w:bCs/>
                <w:noProof/>
              </w:rPr>
              <w:t>Figure F1: Flexible two-way FE model with pre-and post-event dummies</w:t>
            </w:r>
            <w:r w:rsidR="0026754C">
              <w:rPr>
                <w:noProof/>
                <w:webHidden/>
              </w:rPr>
              <w:tab/>
            </w:r>
            <w:r w:rsidR="0026754C">
              <w:rPr>
                <w:noProof/>
                <w:webHidden/>
              </w:rPr>
              <w:fldChar w:fldCharType="begin"/>
            </w:r>
            <w:r w:rsidR="0026754C">
              <w:rPr>
                <w:noProof/>
                <w:webHidden/>
              </w:rPr>
              <w:instrText xml:space="preserve"> PAGEREF _Toc113820359 \h </w:instrText>
            </w:r>
            <w:r w:rsidR="0026754C">
              <w:rPr>
                <w:noProof/>
                <w:webHidden/>
              </w:rPr>
            </w:r>
            <w:r w:rsidR="0026754C">
              <w:rPr>
                <w:noProof/>
                <w:webHidden/>
              </w:rPr>
              <w:fldChar w:fldCharType="separate"/>
            </w:r>
            <w:r w:rsidR="0026754C">
              <w:rPr>
                <w:noProof/>
                <w:webHidden/>
              </w:rPr>
              <w:t>21</w:t>
            </w:r>
            <w:r w:rsidR="0026754C">
              <w:rPr>
                <w:noProof/>
                <w:webHidden/>
              </w:rPr>
              <w:fldChar w:fldCharType="end"/>
            </w:r>
          </w:hyperlink>
        </w:p>
        <w:p w14:paraId="79957DC8" w14:textId="2CE0EB3B" w:rsidR="0026754C" w:rsidRDefault="005D483E">
          <w:pPr>
            <w:pStyle w:val="Indholdsfortegnelse3"/>
            <w:tabs>
              <w:tab w:val="right" w:leader="dot" w:pos="9016"/>
            </w:tabs>
            <w:rPr>
              <w:rFonts w:eastAsiaTheme="minorEastAsia"/>
              <w:noProof/>
            </w:rPr>
          </w:pPr>
          <w:hyperlink w:anchor="_Toc113820360" w:history="1">
            <w:r w:rsidR="0026754C" w:rsidRPr="00E107F3">
              <w:rPr>
                <w:rStyle w:val="Hyperlink"/>
                <w:rFonts w:ascii="Times New Roman" w:hAnsi="Times New Roman" w:cs="Times New Roman"/>
                <w:b/>
                <w:bCs/>
                <w:noProof/>
              </w:rPr>
              <w:t>Figure F2: Flexible two-way FE model with post-event dummies</w:t>
            </w:r>
            <w:r w:rsidR="0026754C">
              <w:rPr>
                <w:noProof/>
                <w:webHidden/>
              </w:rPr>
              <w:tab/>
            </w:r>
            <w:r w:rsidR="0026754C">
              <w:rPr>
                <w:noProof/>
                <w:webHidden/>
              </w:rPr>
              <w:fldChar w:fldCharType="begin"/>
            </w:r>
            <w:r w:rsidR="0026754C">
              <w:rPr>
                <w:noProof/>
                <w:webHidden/>
              </w:rPr>
              <w:instrText xml:space="preserve"> PAGEREF _Toc113820360 \h </w:instrText>
            </w:r>
            <w:r w:rsidR="0026754C">
              <w:rPr>
                <w:noProof/>
                <w:webHidden/>
              </w:rPr>
            </w:r>
            <w:r w:rsidR="0026754C">
              <w:rPr>
                <w:noProof/>
                <w:webHidden/>
              </w:rPr>
              <w:fldChar w:fldCharType="separate"/>
            </w:r>
            <w:r w:rsidR="0026754C">
              <w:rPr>
                <w:noProof/>
                <w:webHidden/>
              </w:rPr>
              <w:t>22</w:t>
            </w:r>
            <w:r w:rsidR="0026754C">
              <w:rPr>
                <w:noProof/>
                <w:webHidden/>
              </w:rPr>
              <w:fldChar w:fldCharType="end"/>
            </w:r>
          </w:hyperlink>
        </w:p>
        <w:p w14:paraId="77076441" w14:textId="23E4F633" w:rsidR="0026754C" w:rsidRDefault="005D483E">
          <w:pPr>
            <w:pStyle w:val="Indholdsfortegnelse2"/>
            <w:tabs>
              <w:tab w:val="right" w:leader="dot" w:pos="9016"/>
            </w:tabs>
            <w:rPr>
              <w:rFonts w:eastAsiaTheme="minorEastAsia"/>
              <w:noProof/>
            </w:rPr>
          </w:pPr>
          <w:hyperlink w:anchor="_Toc113820361" w:history="1">
            <w:r w:rsidR="0026754C" w:rsidRPr="00E107F3">
              <w:rPr>
                <w:rStyle w:val="Hyperlink"/>
                <w:rFonts w:ascii="Times New Roman" w:hAnsi="Times New Roman" w:cs="Times New Roman"/>
                <w:b/>
                <w:bCs/>
                <w:noProof/>
              </w:rPr>
              <w:t>Appendix G. Replication code for the regression discontinuity approach</w:t>
            </w:r>
            <w:r w:rsidR="0026754C">
              <w:rPr>
                <w:noProof/>
                <w:webHidden/>
              </w:rPr>
              <w:tab/>
            </w:r>
            <w:r w:rsidR="0026754C">
              <w:rPr>
                <w:noProof/>
                <w:webHidden/>
              </w:rPr>
              <w:fldChar w:fldCharType="begin"/>
            </w:r>
            <w:r w:rsidR="0026754C">
              <w:rPr>
                <w:noProof/>
                <w:webHidden/>
              </w:rPr>
              <w:instrText xml:space="preserve"> PAGEREF _Toc113820361 \h </w:instrText>
            </w:r>
            <w:r w:rsidR="0026754C">
              <w:rPr>
                <w:noProof/>
                <w:webHidden/>
              </w:rPr>
            </w:r>
            <w:r w:rsidR="0026754C">
              <w:rPr>
                <w:noProof/>
                <w:webHidden/>
              </w:rPr>
              <w:fldChar w:fldCharType="separate"/>
            </w:r>
            <w:r w:rsidR="0026754C">
              <w:rPr>
                <w:noProof/>
                <w:webHidden/>
              </w:rPr>
              <w:t>22</w:t>
            </w:r>
            <w:r w:rsidR="0026754C">
              <w:rPr>
                <w:noProof/>
                <w:webHidden/>
              </w:rPr>
              <w:fldChar w:fldCharType="end"/>
            </w:r>
          </w:hyperlink>
        </w:p>
        <w:p w14:paraId="719E0287" w14:textId="6DE73154" w:rsidR="0026754C" w:rsidRDefault="005D483E">
          <w:pPr>
            <w:pStyle w:val="Indholdsfortegnelse3"/>
            <w:tabs>
              <w:tab w:val="right" w:leader="dot" w:pos="9016"/>
            </w:tabs>
            <w:rPr>
              <w:rFonts w:eastAsiaTheme="minorEastAsia"/>
              <w:noProof/>
            </w:rPr>
          </w:pPr>
          <w:hyperlink w:anchor="_Toc113820362" w:history="1">
            <w:r w:rsidR="0026754C" w:rsidRPr="00E107F3">
              <w:rPr>
                <w:rStyle w:val="Hyperlink"/>
                <w:rFonts w:ascii="Times New Roman" w:hAnsi="Times New Roman" w:cs="Times New Roman"/>
                <w:b/>
                <w:bCs/>
                <w:noProof/>
              </w:rPr>
              <w:t>Table G1: Parametric approach to RDD: Second-order polynomial estimation</w:t>
            </w:r>
            <w:r w:rsidR="0026754C">
              <w:rPr>
                <w:noProof/>
                <w:webHidden/>
              </w:rPr>
              <w:tab/>
            </w:r>
            <w:r w:rsidR="0026754C">
              <w:rPr>
                <w:noProof/>
                <w:webHidden/>
              </w:rPr>
              <w:fldChar w:fldCharType="begin"/>
            </w:r>
            <w:r w:rsidR="0026754C">
              <w:rPr>
                <w:noProof/>
                <w:webHidden/>
              </w:rPr>
              <w:instrText xml:space="preserve"> PAGEREF _Toc113820362 \h </w:instrText>
            </w:r>
            <w:r w:rsidR="0026754C">
              <w:rPr>
                <w:noProof/>
                <w:webHidden/>
              </w:rPr>
            </w:r>
            <w:r w:rsidR="0026754C">
              <w:rPr>
                <w:noProof/>
                <w:webHidden/>
              </w:rPr>
              <w:fldChar w:fldCharType="separate"/>
            </w:r>
            <w:r w:rsidR="0026754C">
              <w:rPr>
                <w:noProof/>
                <w:webHidden/>
              </w:rPr>
              <w:t>23</w:t>
            </w:r>
            <w:r w:rsidR="0026754C">
              <w:rPr>
                <w:noProof/>
                <w:webHidden/>
              </w:rPr>
              <w:fldChar w:fldCharType="end"/>
            </w:r>
          </w:hyperlink>
        </w:p>
        <w:p w14:paraId="55D3EB0E" w14:textId="35FAFC3F" w:rsidR="0026754C" w:rsidRDefault="005D483E">
          <w:pPr>
            <w:pStyle w:val="Indholdsfortegnelse3"/>
            <w:tabs>
              <w:tab w:val="right" w:leader="dot" w:pos="9016"/>
            </w:tabs>
            <w:rPr>
              <w:rFonts w:eastAsiaTheme="minorEastAsia"/>
              <w:noProof/>
            </w:rPr>
          </w:pPr>
          <w:hyperlink w:anchor="_Toc113820363" w:history="1">
            <w:r w:rsidR="0026754C" w:rsidRPr="00E107F3">
              <w:rPr>
                <w:rStyle w:val="Hyperlink"/>
                <w:rFonts w:ascii="Times New Roman" w:hAnsi="Times New Roman" w:cs="Times New Roman"/>
                <w:b/>
                <w:bCs/>
                <w:noProof/>
              </w:rPr>
              <w:t>Table G2: Parametric approach to RDD: Third-order polynomial estimation</w:t>
            </w:r>
            <w:r w:rsidR="0026754C">
              <w:rPr>
                <w:noProof/>
                <w:webHidden/>
              </w:rPr>
              <w:tab/>
            </w:r>
            <w:r w:rsidR="0026754C">
              <w:rPr>
                <w:noProof/>
                <w:webHidden/>
              </w:rPr>
              <w:fldChar w:fldCharType="begin"/>
            </w:r>
            <w:r w:rsidR="0026754C">
              <w:rPr>
                <w:noProof/>
                <w:webHidden/>
              </w:rPr>
              <w:instrText xml:space="preserve"> PAGEREF _Toc113820363 \h </w:instrText>
            </w:r>
            <w:r w:rsidR="0026754C">
              <w:rPr>
                <w:noProof/>
                <w:webHidden/>
              </w:rPr>
            </w:r>
            <w:r w:rsidR="0026754C">
              <w:rPr>
                <w:noProof/>
                <w:webHidden/>
              </w:rPr>
              <w:fldChar w:fldCharType="separate"/>
            </w:r>
            <w:r w:rsidR="0026754C">
              <w:rPr>
                <w:noProof/>
                <w:webHidden/>
              </w:rPr>
              <w:t>24</w:t>
            </w:r>
            <w:r w:rsidR="0026754C">
              <w:rPr>
                <w:noProof/>
                <w:webHidden/>
              </w:rPr>
              <w:fldChar w:fldCharType="end"/>
            </w:r>
          </w:hyperlink>
        </w:p>
        <w:p w14:paraId="3DED5539" w14:textId="4D63F995" w:rsidR="0026754C" w:rsidRDefault="005D483E">
          <w:pPr>
            <w:pStyle w:val="Indholdsfortegnelse3"/>
            <w:tabs>
              <w:tab w:val="right" w:leader="dot" w:pos="9016"/>
            </w:tabs>
            <w:rPr>
              <w:rFonts w:eastAsiaTheme="minorEastAsia"/>
              <w:noProof/>
            </w:rPr>
          </w:pPr>
          <w:hyperlink w:anchor="_Toc113820364" w:history="1">
            <w:r w:rsidR="0026754C" w:rsidRPr="00E107F3">
              <w:rPr>
                <w:rStyle w:val="Hyperlink"/>
                <w:rFonts w:ascii="Times New Roman" w:hAnsi="Times New Roman" w:cs="Times New Roman"/>
                <w:b/>
                <w:bCs/>
                <w:noProof/>
              </w:rPr>
              <w:t>Figure G1: Parametric approach to RDD: Second- and third order polynomials</w:t>
            </w:r>
            <w:r w:rsidR="0026754C">
              <w:rPr>
                <w:noProof/>
                <w:webHidden/>
              </w:rPr>
              <w:tab/>
            </w:r>
            <w:r w:rsidR="0026754C">
              <w:rPr>
                <w:noProof/>
                <w:webHidden/>
              </w:rPr>
              <w:fldChar w:fldCharType="begin"/>
            </w:r>
            <w:r w:rsidR="0026754C">
              <w:rPr>
                <w:noProof/>
                <w:webHidden/>
              </w:rPr>
              <w:instrText xml:space="preserve"> PAGEREF _Toc113820364 \h </w:instrText>
            </w:r>
            <w:r w:rsidR="0026754C">
              <w:rPr>
                <w:noProof/>
                <w:webHidden/>
              </w:rPr>
            </w:r>
            <w:r w:rsidR="0026754C">
              <w:rPr>
                <w:noProof/>
                <w:webHidden/>
              </w:rPr>
              <w:fldChar w:fldCharType="separate"/>
            </w:r>
            <w:r w:rsidR="0026754C">
              <w:rPr>
                <w:noProof/>
                <w:webHidden/>
              </w:rPr>
              <w:t>25</w:t>
            </w:r>
            <w:r w:rsidR="0026754C">
              <w:rPr>
                <w:noProof/>
                <w:webHidden/>
              </w:rPr>
              <w:fldChar w:fldCharType="end"/>
            </w:r>
          </w:hyperlink>
        </w:p>
        <w:p w14:paraId="54EB3D14" w14:textId="2F62B102" w:rsidR="0026754C" w:rsidRDefault="005D483E">
          <w:pPr>
            <w:pStyle w:val="Indholdsfortegnelse3"/>
            <w:tabs>
              <w:tab w:val="right" w:leader="dot" w:pos="9016"/>
            </w:tabs>
            <w:rPr>
              <w:rFonts w:eastAsiaTheme="minorEastAsia"/>
              <w:noProof/>
            </w:rPr>
          </w:pPr>
          <w:hyperlink w:anchor="_Toc113820365" w:history="1">
            <w:r w:rsidR="0026754C" w:rsidRPr="00E107F3">
              <w:rPr>
                <w:rStyle w:val="Hyperlink"/>
                <w:rFonts w:ascii="Times New Roman" w:hAnsi="Times New Roman" w:cs="Times New Roman"/>
                <w:b/>
                <w:bCs/>
                <w:noProof/>
              </w:rPr>
              <w:t>Figure G2: Non-parametric approach to RDD: Local linear regression at different bandwidths</w:t>
            </w:r>
            <w:r w:rsidR="0026754C">
              <w:rPr>
                <w:noProof/>
                <w:webHidden/>
              </w:rPr>
              <w:tab/>
            </w:r>
            <w:r w:rsidR="0026754C">
              <w:rPr>
                <w:noProof/>
                <w:webHidden/>
              </w:rPr>
              <w:fldChar w:fldCharType="begin"/>
            </w:r>
            <w:r w:rsidR="0026754C">
              <w:rPr>
                <w:noProof/>
                <w:webHidden/>
              </w:rPr>
              <w:instrText xml:space="preserve"> PAGEREF _Toc113820365 \h </w:instrText>
            </w:r>
            <w:r w:rsidR="0026754C">
              <w:rPr>
                <w:noProof/>
                <w:webHidden/>
              </w:rPr>
            </w:r>
            <w:r w:rsidR="0026754C">
              <w:rPr>
                <w:noProof/>
                <w:webHidden/>
              </w:rPr>
              <w:fldChar w:fldCharType="separate"/>
            </w:r>
            <w:r w:rsidR="0026754C">
              <w:rPr>
                <w:noProof/>
                <w:webHidden/>
              </w:rPr>
              <w:t>26</w:t>
            </w:r>
            <w:r w:rsidR="0026754C">
              <w:rPr>
                <w:noProof/>
                <w:webHidden/>
              </w:rPr>
              <w:fldChar w:fldCharType="end"/>
            </w:r>
          </w:hyperlink>
        </w:p>
        <w:p w14:paraId="5F930C25" w14:textId="2CC02B04" w:rsidR="0026754C" w:rsidRDefault="005D483E">
          <w:pPr>
            <w:pStyle w:val="Indholdsfortegnelse3"/>
            <w:tabs>
              <w:tab w:val="right" w:leader="dot" w:pos="9016"/>
            </w:tabs>
            <w:rPr>
              <w:rFonts w:eastAsiaTheme="minorEastAsia"/>
              <w:noProof/>
            </w:rPr>
          </w:pPr>
          <w:hyperlink w:anchor="_Toc113820366" w:history="1">
            <w:r w:rsidR="0026754C" w:rsidRPr="00E107F3">
              <w:rPr>
                <w:rStyle w:val="Hyperlink"/>
                <w:rFonts w:ascii="Times New Roman" w:hAnsi="Times New Roman" w:cs="Times New Roman"/>
                <w:b/>
                <w:bCs/>
                <w:noProof/>
              </w:rPr>
              <w:t>Figure H1: Visualization of test of continuity assumption</w:t>
            </w:r>
            <w:r w:rsidR="0026754C">
              <w:rPr>
                <w:noProof/>
                <w:webHidden/>
              </w:rPr>
              <w:tab/>
            </w:r>
            <w:r w:rsidR="0026754C">
              <w:rPr>
                <w:noProof/>
                <w:webHidden/>
              </w:rPr>
              <w:fldChar w:fldCharType="begin"/>
            </w:r>
            <w:r w:rsidR="0026754C">
              <w:rPr>
                <w:noProof/>
                <w:webHidden/>
              </w:rPr>
              <w:instrText xml:space="preserve"> PAGEREF _Toc113820366 \h </w:instrText>
            </w:r>
            <w:r w:rsidR="0026754C">
              <w:rPr>
                <w:noProof/>
                <w:webHidden/>
              </w:rPr>
            </w:r>
            <w:r w:rsidR="0026754C">
              <w:rPr>
                <w:noProof/>
                <w:webHidden/>
              </w:rPr>
              <w:fldChar w:fldCharType="separate"/>
            </w:r>
            <w:r w:rsidR="0026754C">
              <w:rPr>
                <w:noProof/>
                <w:webHidden/>
              </w:rPr>
              <w:t>28</w:t>
            </w:r>
            <w:r w:rsidR="0026754C">
              <w:rPr>
                <w:noProof/>
                <w:webHidden/>
              </w:rPr>
              <w:fldChar w:fldCharType="end"/>
            </w:r>
          </w:hyperlink>
        </w:p>
        <w:p w14:paraId="2745C627" w14:textId="638B0D73" w:rsidR="0026754C" w:rsidRDefault="005D483E">
          <w:pPr>
            <w:pStyle w:val="Indholdsfortegnelse3"/>
            <w:tabs>
              <w:tab w:val="right" w:leader="dot" w:pos="9016"/>
            </w:tabs>
            <w:rPr>
              <w:rFonts w:eastAsiaTheme="minorEastAsia"/>
              <w:noProof/>
            </w:rPr>
          </w:pPr>
          <w:hyperlink w:anchor="_Toc113820367" w:history="1">
            <w:r w:rsidR="0026754C" w:rsidRPr="00E107F3">
              <w:rPr>
                <w:rStyle w:val="Hyperlink"/>
                <w:rFonts w:ascii="Times New Roman" w:hAnsi="Times New Roman" w:cs="Times New Roman"/>
                <w:b/>
                <w:bCs/>
                <w:i/>
                <w:iCs/>
                <w:noProof/>
              </w:rPr>
              <w:t>Table H1: RDDs of within-group jumps</w:t>
            </w:r>
            <w:r w:rsidR="0026754C">
              <w:rPr>
                <w:noProof/>
                <w:webHidden/>
              </w:rPr>
              <w:tab/>
            </w:r>
            <w:r w:rsidR="0026754C">
              <w:rPr>
                <w:noProof/>
                <w:webHidden/>
              </w:rPr>
              <w:fldChar w:fldCharType="begin"/>
            </w:r>
            <w:r w:rsidR="0026754C">
              <w:rPr>
                <w:noProof/>
                <w:webHidden/>
              </w:rPr>
              <w:instrText xml:space="preserve"> PAGEREF _Toc113820367 \h </w:instrText>
            </w:r>
            <w:r w:rsidR="0026754C">
              <w:rPr>
                <w:noProof/>
                <w:webHidden/>
              </w:rPr>
            </w:r>
            <w:r w:rsidR="0026754C">
              <w:rPr>
                <w:noProof/>
                <w:webHidden/>
              </w:rPr>
              <w:fldChar w:fldCharType="separate"/>
            </w:r>
            <w:r w:rsidR="0026754C">
              <w:rPr>
                <w:noProof/>
                <w:webHidden/>
              </w:rPr>
              <w:t>29</w:t>
            </w:r>
            <w:r w:rsidR="0026754C">
              <w:rPr>
                <w:noProof/>
                <w:webHidden/>
              </w:rPr>
              <w:fldChar w:fldCharType="end"/>
            </w:r>
          </w:hyperlink>
        </w:p>
        <w:p w14:paraId="3ACF906C" w14:textId="3BD09979" w:rsidR="0026754C" w:rsidRDefault="005D483E">
          <w:pPr>
            <w:pStyle w:val="Indholdsfortegnelse3"/>
            <w:tabs>
              <w:tab w:val="right" w:leader="dot" w:pos="9016"/>
            </w:tabs>
            <w:rPr>
              <w:rFonts w:eastAsiaTheme="minorEastAsia"/>
              <w:noProof/>
            </w:rPr>
          </w:pPr>
          <w:hyperlink w:anchor="_Toc113820368" w:history="1">
            <w:r w:rsidR="0026754C" w:rsidRPr="00E107F3">
              <w:rPr>
                <w:rStyle w:val="Hyperlink"/>
                <w:rFonts w:ascii="Times New Roman" w:hAnsi="Times New Roman" w:cs="Times New Roman"/>
                <w:b/>
                <w:bCs/>
                <w:noProof/>
              </w:rPr>
              <w:t>Table H2: RDD among countries with legal electoral threshold and fuzzy RDD</w:t>
            </w:r>
            <w:r w:rsidR="0026754C">
              <w:rPr>
                <w:noProof/>
                <w:webHidden/>
              </w:rPr>
              <w:tab/>
            </w:r>
            <w:r w:rsidR="0026754C">
              <w:rPr>
                <w:noProof/>
                <w:webHidden/>
              </w:rPr>
              <w:fldChar w:fldCharType="begin"/>
            </w:r>
            <w:r w:rsidR="0026754C">
              <w:rPr>
                <w:noProof/>
                <w:webHidden/>
              </w:rPr>
              <w:instrText xml:space="preserve"> PAGEREF _Toc113820368 \h </w:instrText>
            </w:r>
            <w:r w:rsidR="0026754C">
              <w:rPr>
                <w:noProof/>
                <w:webHidden/>
              </w:rPr>
            </w:r>
            <w:r w:rsidR="0026754C">
              <w:rPr>
                <w:noProof/>
                <w:webHidden/>
              </w:rPr>
              <w:fldChar w:fldCharType="separate"/>
            </w:r>
            <w:r w:rsidR="0026754C">
              <w:rPr>
                <w:noProof/>
                <w:webHidden/>
              </w:rPr>
              <w:t>30</w:t>
            </w:r>
            <w:r w:rsidR="0026754C">
              <w:rPr>
                <w:noProof/>
                <w:webHidden/>
              </w:rPr>
              <w:fldChar w:fldCharType="end"/>
            </w:r>
          </w:hyperlink>
        </w:p>
        <w:p w14:paraId="47E4594C" w14:textId="5FB72E52" w:rsidR="0026754C" w:rsidRDefault="005D483E">
          <w:pPr>
            <w:pStyle w:val="Indholdsfortegnelse2"/>
            <w:tabs>
              <w:tab w:val="right" w:leader="dot" w:pos="9016"/>
            </w:tabs>
            <w:rPr>
              <w:rFonts w:eastAsiaTheme="minorEastAsia"/>
              <w:noProof/>
            </w:rPr>
          </w:pPr>
          <w:hyperlink w:anchor="_Toc113820369" w:history="1">
            <w:r w:rsidR="0026754C" w:rsidRPr="00E107F3">
              <w:rPr>
                <w:rStyle w:val="Hyperlink"/>
                <w:rFonts w:ascii="Times New Roman" w:hAnsi="Times New Roman" w:cs="Times New Roman"/>
                <w:b/>
                <w:bCs/>
                <w:noProof/>
              </w:rPr>
              <w:t>Appendix I. Exploratory analysis using Mipex data</w:t>
            </w:r>
            <w:r w:rsidR="0026754C">
              <w:rPr>
                <w:noProof/>
                <w:webHidden/>
              </w:rPr>
              <w:tab/>
            </w:r>
            <w:r w:rsidR="0026754C">
              <w:rPr>
                <w:noProof/>
                <w:webHidden/>
              </w:rPr>
              <w:fldChar w:fldCharType="begin"/>
            </w:r>
            <w:r w:rsidR="0026754C">
              <w:rPr>
                <w:noProof/>
                <w:webHidden/>
              </w:rPr>
              <w:instrText xml:space="preserve"> PAGEREF _Toc113820369 \h </w:instrText>
            </w:r>
            <w:r w:rsidR="0026754C">
              <w:rPr>
                <w:noProof/>
                <w:webHidden/>
              </w:rPr>
            </w:r>
            <w:r w:rsidR="0026754C">
              <w:rPr>
                <w:noProof/>
                <w:webHidden/>
              </w:rPr>
              <w:fldChar w:fldCharType="separate"/>
            </w:r>
            <w:r w:rsidR="0026754C">
              <w:rPr>
                <w:noProof/>
                <w:webHidden/>
              </w:rPr>
              <w:t>31</w:t>
            </w:r>
            <w:r w:rsidR="0026754C">
              <w:rPr>
                <w:noProof/>
                <w:webHidden/>
              </w:rPr>
              <w:fldChar w:fldCharType="end"/>
            </w:r>
          </w:hyperlink>
        </w:p>
        <w:p w14:paraId="1E429F30" w14:textId="444391C7" w:rsidR="0026754C" w:rsidRDefault="005D483E">
          <w:pPr>
            <w:pStyle w:val="Indholdsfortegnelse3"/>
            <w:tabs>
              <w:tab w:val="right" w:leader="dot" w:pos="9016"/>
            </w:tabs>
            <w:rPr>
              <w:rFonts w:eastAsiaTheme="minorEastAsia"/>
              <w:noProof/>
            </w:rPr>
          </w:pPr>
          <w:hyperlink w:anchor="_Toc113820370" w:history="1">
            <w:r w:rsidR="0026754C" w:rsidRPr="00E107F3">
              <w:rPr>
                <w:rStyle w:val="Hyperlink"/>
                <w:rFonts w:ascii="Times New Roman" w:hAnsi="Times New Roman" w:cs="Times New Roman"/>
                <w:b/>
                <w:bCs/>
                <w:i/>
                <w:iCs/>
                <w:noProof/>
              </w:rPr>
              <w:t>Figure I1A-G: The migrant integration policy context</w:t>
            </w:r>
            <w:r w:rsidR="0026754C">
              <w:rPr>
                <w:noProof/>
                <w:webHidden/>
              </w:rPr>
              <w:tab/>
            </w:r>
            <w:r w:rsidR="0026754C">
              <w:rPr>
                <w:noProof/>
                <w:webHidden/>
              </w:rPr>
              <w:fldChar w:fldCharType="begin"/>
            </w:r>
            <w:r w:rsidR="0026754C">
              <w:rPr>
                <w:noProof/>
                <w:webHidden/>
              </w:rPr>
              <w:instrText xml:space="preserve"> PAGEREF _Toc113820370 \h </w:instrText>
            </w:r>
            <w:r w:rsidR="0026754C">
              <w:rPr>
                <w:noProof/>
                <w:webHidden/>
              </w:rPr>
            </w:r>
            <w:r w:rsidR="0026754C">
              <w:rPr>
                <w:noProof/>
                <w:webHidden/>
              </w:rPr>
              <w:fldChar w:fldCharType="separate"/>
            </w:r>
            <w:r w:rsidR="0026754C">
              <w:rPr>
                <w:noProof/>
                <w:webHidden/>
              </w:rPr>
              <w:t>32</w:t>
            </w:r>
            <w:r w:rsidR="0026754C">
              <w:rPr>
                <w:noProof/>
                <w:webHidden/>
              </w:rPr>
              <w:fldChar w:fldCharType="end"/>
            </w:r>
          </w:hyperlink>
        </w:p>
        <w:p w14:paraId="7CE1C176" w14:textId="1ADFF28B" w:rsidR="0026754C" w:rsidRDefault="005D483E">
          <w:pPr>
            <w:pStyle w:val="Indholdsfortegnelse2"/>
            <w:tabs>
              <w:tab w:val="right" w:leader="dot" w:pos="9016"/>
            </w:tabs>
            <w:rPr>
              <w:rFonts w:eastAsiaTheme="minorEastAsia"/>
              <w:noProof/>
            </w:rPr>
          </w:pPr>
          <w:hyperlink w:anchor="_Toc113820371" w:history="1">
            <w:r w:rsidR="0026754C" w:rsidRPr="00E107F3">
              <w:rPr>
                <w:rStyle w:val="Hyperlink"/>
                <w:rFonts w:ascii="Times New Roman" w:hAnsi="Times New Roman" w:cs="Times New Roman"/>
                <w:b/>
                <w:bCs/>
                <w:noProof/>
              </w:rPr>
              <w:t>Appendix J. Replication using ISSP data: Support for Redistribution</w:t>
            </w:r>
            <w:r w:rsidR="0026754C">
              <w:rPr>
                <w:noProof/>
                <w:webHidden/>
              </w:rPr>
              <w:tab/>
            </w:r>
            <w:r w:rsidR="0026754C">
              <w:rPr>
                <w:noProof/>
                <w:webHidden/>
              </w:rPr>
              <w:fldChar w:fldCharType="begin"/>
            </w:r>
            <w:r w:rsidR="0026754C">
              <w:rPr>
                <w:noProof/>
                <w:webHidden/>
              </w:rPr>
              <w:instrText xml:space="preserve"> PAGEREF _Toc113820371 \h </w:instrText>
            </w:r>
            <w:r w:rsidR="0026754C">
              <w:rPr>
                <w:noProof/>
                <w:webHidden/>
              </w:rPr>
            </w:r>
            <w:r w:rsidR="0026754C">
              <w:rPr>
                <w:noProof/>
                <w:webHidden/>
              </w:rPr>
              <w:fldChar w:fldCharType="separate"/>
            </w:r>
            <w:r w:rsidR="0026754C">
              <w:rPr>
                <w:noProof/>
                <w:webHidden/>
              </w:rPr>
              <w:t>36</w:t>
            </w:r>
            <w:r w:rsidR="0026754C">
              <w:rPr>
                <w:noProof/>
                <w:webHidden/>
              </w:rPr>
              <w:fldChar w:fldCharType="end"/>
            </w:r>
          </w:hyperlink>
        </w:p>
        <w:p w14:paraId="7BC7C194" w14:textId="583A6FA5" w:rsidR="0026754C" w:rsidRDefault="005D483E">
          <w:pPr>
            <w:pStyle w:val="Indholdsfortegnelse3"/>
            <w:tabs>
              <w:tab w:val="right" w:leader="dot" w:pos="9016"/>
            </w:tabs>
            <w:rPr>
              <w:rFonts w:eastAsiaTheme="minorEastAsia"/>
              <w:noProof/>
            </w:rPr>
          </w:pPr>
          <w:hyperlink w:anchor="_Toc113820372" w:history="1">
            <w:r w:rsidR="0026754C" w:rsidRPr="00E107F3">
              <w:rPr>
                <w:rStyle w:val="Hyperlink"/>
                <w:rFonts w:ascii="Times New Roman" w:hAnsi="Times New Roman" w:cs="Times New Roman"/>
                <w:b/>
                <w:bCs/>
                <w:noProof/>
              </w:rPr>
              <w:t>Table J1: International social survey programme – Support for redistribution</w:t>
            </w:r>
            <w:r w:rsidR="0026754C">
              <w:rPr>
                <w:noProof/>
                <w:webHidden/>
              </w:rPr>
              <w:tab/>
            </w:r>
            <w:r w:rsidR="0026754C">
              <w:rPr>
                <w:noProof/>
                <w:webHidden/>
              </w:rPr>
              <w:fldChar w:fldCharType="begin"/>
            </w:r>
            <w:r w:rsidR="0026754C">
              <w:rPr>
                <w:noProof/>
                <w:webHidden/>
              </w:rPr>
              <w:instrText xml:space="preserve"> PAGEREF _Toc113820372 \h </w:instrText>
            </w:r>
            <w:r w:rsidR="0026754C">
              <w:rPr>
                <w:noProof/>
                <w:webHidden/>
              </w:rPr>
            </w:r>
            <w:r w:rsidR="0026754C">
              <w:rPr>
                <w:noProof/>
                <w:webHidden/>
              </w:rPr>
              <w:fldChar w:fldCharType="separate"/>
            </w:r>
            <w:r w:rsidR="0026754C">
              <w:rPr>
                <w:noProof/>
                <w:webHidden/>
              </w:rPr>
              <w:t>37</w:t>
            </w:r>
            <w:r w:rsidR="0026754C">
              <w:rPr>
                <w:noProof/>
                <w:webHidden/>
              </w:rPr>
              <w:fldChar w:fldCharType="end"/>
            </w:r>
          </w:hyperlink>
        </w:p>
        <w:p w14:paraId="395A3264" w14:textId="420AE6F1" w:rsidR="0026754C" w:rsidRDefault="005D483E">
          <w:pPr>
            <w:pStyle w:val="Indholdsfortegnelse2"/>
            <w:tabs>
              <w:tab w:val="right" w:leader="dot" w:pos="9016"/>
            </w:tabs>
            <w:rPr>
              <w:rFonts w:eastAsiaTheme="minorEastAsia"/>
              <w:noProof/>
            </w:rPr>
          </w:pPr>
          <w:hyperlink w:anchor="_Toc113820373" w:history="1">
            <w:r w:rsidR="0026754C" w:rsidRPr="00E107F3">
              <w:rPr>
                <w:rStyle w:val="Hyperlink"/>
                <w:rFonts w:ascii="Times New Roman" w:hAnsi="Times New Roman" w:cs="Times New Roman"/>
                <w:b/>
                <w:bCs/>
                <w:noProof/>
              </w:rPr>
              <w:t>Appendix K. Replication using Integrated values study data: Trust</w:t>
            </w:r>
            <w:r w:rsidR="0026754C">
              <w:rPr>
                <w:noProof/>
                <w:webHidden/>
              </w:rPr>
              <w:tab/>
            </w:r>
            <w:r w:rsidR="0026754C">
              <w:rPr>
                <w:noProof/>
                <w:webHidden/>
              </w:rPr>
              <w:fldChar w:fldCharType="begin"/>
            </w:r>
            <w:r w:rsidR="0026754C">
              <w:rPr>
                <w:noProof/>
                <w:webHidden/>
              </w:rPr>
              <w:instrText xml:space="preserve"> PAGEREF _Toc113820373 \h </w:instrText>
            </w:r>
            <w:r w:rsidR="0026754C">
              <w:rPr>
                <w:noProof/>
                <w:webHidden/>
              </w:rPr>
            </w:r>
            <w:r w:rsidR="0026754C">
              <w:rPr>
                <w:noProof/>
                <w:webHidden/>
              </w:rPr>
              <w:fldChar w:fldCharType="separate"/>
            </w:r>
            <w:r w:rsidR="0026754C">
              <w:rPr>
                <w:noProof/>
                <w:webHidden/>
              </w:rPr>
              <w:t>38</w:t>
            </w:r>
            <w:r w:rsidR="0026754C">
              <w:rPr>
                <w:noProof/>
                <w:webHidden/>
              </w:rPr>
              <w:fldChar w:fldCharType="end"/>
            </w:r>
          </w:hyperlink>
        </w:p>
        <w:p w14:paraId="544C0842" w14:textId="4E51552B" w:rsidR="0026754C" w:rsidRDefault="005D483E">
          <w:pPr>
            <w:pStyle w:val="Indholdsfortegnelse3"/>
            <w:tabs>
              <w:tab w:val="right" w:leader="dot" w:pos="9016"/>
            </w:tabs>
            <w:rPr>
              <w:rFonts w:eastAsiaTheme="minorEastAsia"/>
              <w:noProof/>
            </w:rPr>
          </w:pPr>
          <w:hyperlink w:anchor="_Toc113820374" w:history="1">
            <w:r w:rsidR="0026754C" w:rsidRPr="00E107F3">
              <w:rPr>
                <w:rStyle w:val="Hyperlink"/>
                <w:rFonts w:ascii="Times New Roman" w:hAnsi="Times New Roman" w:cs="Times New Roman"/>
                <w:b/>
                <w:bCs/>
                <w:noProof/>
              </w:rPr>
              <w:t>Table K1: Integrated values study - Trust</w:t>
            </w:r>
            <w:r w:rsidR="0026754C">
              <w:rPr>
                <w:noProof/>
                <w:webHidden/>
              </w:rPr>
              <w:tab/>
            </w:r>
            <w:r w:rsidR="0026754C">
              <w:rPr>
                <w:noProof/>
                <w:webHidden/>
              </w:rPr>
              <w:fldChar w:fldCharType="begin"/>
            </w:r>
            <w:r w:rsidR="0026754C">
              <w:rPr>
                <w:noProof/>
                <w:webHidden/>
              </w:rPr>
              <w:instrText xml:space="preserve"> PAGEREF _Toc113820374 \h </w:instrText>
            </w:r>
            <w:r w:rsidR="0026754C">
              <w:rPr>
                <w:noProof/>
                <w:webHidden/>
              </w:rPr>
            </w:r>
            <w:r w:rsidR="0026754C">
              <w:rPr>
                <w:noProof/>
                <w:webHidden/>
              </w:rPr>
              <w:fldChar w:fldCharType="separate"/>
            </w:r>
            <w:r w:rsidR="0026754C">
              <w:rPr>
                <w:noProof/>
                <w:webHidden/>
              </w:rPr>
              <w:t>39</w:t>
            </w:r>
            <w:r w:rsidR="0026754C">
              <w:rPr>
                <w:noProof/>
                <w:webHidden/>
              </w:rPr>
              <w:fldChar w:fldCharType="end"/>
            </w:r>
          </w:hyperlink>
        </w:p>
        <w:p w14:paraId="03E5B554" w14:textId="451ABFC8" w:rsidR="0026754C" w:rsidRDefault="005D483E">
          <w:pPr>
            <w:pStyle w:val="Indholdsfortegnelse2"/>
            <w:tabs>
              <w:tab w:val="right" w:leader="dot" w:pos="9016"/>
            </w:tabs>
            <w:rPr>
              <w:rFonts w:eastAsiaTheme="minorEastAsia"/>
              <w:noProof/>
            </w:rPr>
          </w:pPr>
          <w:hyperlink w:anchor="_Toc113820375" w:history="1">
            <w:r w:rsidR="0026754C" w:rsidRPr="00E107F3">
              <w:rPr>
                <w:rStyle w:val="Hyperlink"/>
                <w:rFonts w:ascii="Times New Roman" w:hAnsi="Times New Roman" w:cs="Times New Roman"/>
                <w:b/>
                <w:bCs/>
                <w:noProof/>
              </w:rPr>
              <w:t>Appendix L. Addressing the (null-)findings: Sensitivity analysis and Bayes factors</w:t>
            </w:r>
            <w:r w:rsidR="0026754C">
              <w:rPr>
                <w:noProof/>
                <w:webHidden/>
              </w:rPr>
              <w:tab/>
            </w:r>
            <w:r w:rsidR="0026754C">
              <w:rPr>
                <w:noProof/>
                <w:webHidden/>
              </w:rPr>
              <w:fldChar w:fldCharType="begin"/>
            </w:r>
            <w:r w:rsidR="0026754C">
              <w:rPr>
                <w:noProof/>
                <w:webHidden/>
              </w:rPr>
              <w:instrText xml:space="preserve"> PAGEREF _Toc113820375 \h </w:instrText>
            </w:r>
            <w:r w:rsidR="0026754C">
              <w:rPr>
                <w:noProof/>
                <w:webHidden/>
              </w:rPr>
            </w:r>
            <w:r w:rsidR="0026754C">
              <w:rPr>
                <w:noProof/>
                <w:webHidden/>
              </w:rPr>
              <w:fldChar w:fldCharType="separate"/>
            </w:r>
            <w:r w:rsidR="0026754C">
              <w:rPr>
                <w:noProof/>
                <w:webHidden/>
              </w:rPr>
              <w:t>40</w:t>
            </w:r>
            <w:r w:rsidR="0026754C">
              <w:rPr>
                <w:noProof/>
                <w:webHidden/>
              </w:rPr>
              <w:fldChar w:fldCharType="end"/>
            </w:r>
          </w:hyperlink>
        </w:p>
        <w:p w14:paraId="1E6A19D4" w14:textId="33FCE047" w:rsidR="0026754C" w:rsidRDefault="005D483E">
          <w:pPr>
            <w:pStyle w:val="Indholdsfortegnelse1"/>
            <w:tabs>
              <w:tab w:val="right" w:leader="dot" w:pos="9016"/>
            </w:tabs>
            <w:rPr>
              <w:rFonts w:eastAsiaTheme="minorEastAsia"/>
              <w:noProof/>
            </w:rPr>
          </w:pPr>
          <w:hyperlink w:anchor="_Toc113820376" w:history="1">
            <w:r w:rsidR="0026754C" w:rsidRPr="00E107F3">
              <w:rPr>
                <w:rStyle w:val="Hyperlink"/>
                <w:rFonts w:ascii="Times New Roman" w:hAnsi="Times New Roman" w:cs="Times New Roman"/>
                <w:b/>
                <w:bCs/>
                <w:noProof/>
              </w:rPr>
              <w:t>References</w:t>
            </w:r>
            <w:r w:rsidR="0026754C">
              <w:rPr>
                <w:noProof/>
                <w:webHidden/>
              </w:rPr>
              <w:tab/>
            </w:r>
            <w:r w:rsidR="0026754C">
              <w:rPr>
                <w:noProof/>
                <w:webHidden/>
              </w:rPr>
              <w:fldChar w:fldCharType="begin"/>
            </w:r>
            <w:r w:rsidR="0026754C">
              <w:rPr>
                <w:noProof/>
                <w:webHidden/>
              </w:rPr>
              <w:instrText xml:space="preserve"> PAGEREF _Toc113820376 \h </w:instrText>
            </w:r>
            <w:r w:rsidR="0026754C">
              <w:rPr>
                <w:noProof/>
                <w:webHidden/>
              </w:rPr>
            </w:r>
            <w:r w:rsidR="0026754C">
              <w:rPr>
                <w:noProof/>
                <w:webHidden/>
              </w:rPr>
              <w:fldChar w:fldCharType="separate"/>
            </w:r>
            <w:r w:rsidR="0026754C">
              <w:rPr>
                <w:noProof/>
                <w:webHidden/>
              </w:rPr>
              <w:t>42</w:t>
            </w:r>
            <w:r w:rsidR="0026754C">
              <w:rPr>
                <w:noProof/>
                <w:webHidden/>
              </w:rPr>
              <w:fldChar w:fldCharType="end"/>
            </w:r>
          </w:hyperlink>
        </w:p>
        <w:p w14:paraId="5B86D684" w14:textId="676DAA56" w:rsidR="0055293A" w:rsidRDefault="0055293A" w:rsidP="0007287A">
          <w:pPr>
            <w:spacing w:line="360" w:lineRule="auto"/>
          </w:pPr>
          <w:r w:rsidRPr="00970EBA">
            <w:rPr>
              <w:rFonts w:ascii="Times New Roman" w:hAnsi="Times New Roman" w:cs="Times New Roman"/>
              <w:b/>
              <w:bCs/>
              <w:noProof/>
              <w:sz w:val="24"/>
              <w:szCs w:val="24"/>
            </w:rPr>
            <w:fldChar w:fldCharType="end"/>
          </w:r>
        </w:p>
      </w:sdtContent>
    </w:sdt>
    <w:p w14:paraId="71CCEAE9" w14:textId="5D5CF071" w:rsidR="00EE590A" w:rsidRDefault="00EE590A" w:rsidP="0007287A">
      <w:pPr>
        <w:spacing w:before="0" w:after="160" w:line="360" w:lineRule="auto"/>
        <w:rPr>
          <w:rFonts w:ascii="Times New Roman" w:eastAsiaTheme="majorEastAsia" w:hAnsi="Times New Roman" w:cs="Times New Roman"/>
          <w:b/>
          <w:bCs/>
          <w:sz w:val="32"/>
          <w:szCs w:val="32"/>
        </w:rPr>
      </w:pPr>
      <w:r>
        <w:rPr>
          <w:rFonts w:ascii="Times New Roman" w:hAnsi="Times New Roman" w:cs="Times New Roman"/>
          <w:b/>
          <w:bCs/>
        </w:rPr>
        <w:br w:type="page"/>
      </w:r>
    </w:p>
    <w:p w14:paraId="7B497A80" w14:textId="1A2F3CDE" w:rsidR="0082350C" w:rsidRPr="00DE1B99" w:rsidRDefault="0082350C" w:rsidP="00DE1B99">
      <w:pPr>
        <w:pStyle w:val="Overskrift1"/>
        <w:rPr>
          <w:rFonts w:ascii="Times New Roman" w:eastAsiaTheme="minorHAnsi" w:hAnsi="Times New Roman" w:cs="Times New Roman"/>
          <w:b/>
          <w:bCs/>
          <w:color w:val="auto"/>
        </w:rPr>
      </w:pPr>
      <w:bookmarkStart w:id="1" w:name="_Toc113820342"/>
      <w:r w:rsidRPr="00DE1B99">
        <w:rPr>
          <w:rFonts w:ascii="Times New Roman" w:eastAsiaTheme="minorHAnsi" w:hAnsi="Times New Roman" w:cs="Times New Roman"/>
          <w:b/>
          <w:bCs/>
          <w:color w:val="auto"/>
        </w:rPr>
        <w:lastRenderedPageBreak/>
        <w:t>Readme</w:t>
      </w:r>
      <w:bookmarkEnd w:id="1"/>
    </w:p>
    <w:p w14:paraId="4D193A74" w14:textId="68881D49" w:rsidR="0082350C" w:rsidRPr="003F68B8" w:rsidRDefault="0082350C" w:rsidP="0007287A">
      <w:pPr>
        <w:pStyle w:val="Titel"/>
        <w:spacing w:line="360" w:lineRule="auto"/>
        <w:jc w:val="both"/>
        <w:rPr>
          <w:rFonts w:ascii="Times New Roman" w:hAnsi="Times New Roman" w:cs="Times New Roman"/>
          <w:sz w:val="48"/>
          <w:szCs w:val="48"/>
        </w:rPr>
      </w:pPr>
      <w:r w:rsidRPr="00C32509">
        <w:rPr>
          <w:rFonts w:ascii="Times New Roman" w:hAnsi="Times New Roman" w:cs="Times New Roman"/>
          <w:sz w:val="24"/>
        </w:rPr>
        <w:t>This online supplement to "</w:t>
      </w:r>
      <w:r w:rsidR="006A79A3" w:rsidRPr="006A79A3">
        <w:rPr>
          <w:rFonts w:ascii="Times New Roman" w:hAnsi="Times New Roman" w:cs="Times New Roman"/>
          <w:i/>
          <w:iCs/>
          <w:sz w:val="24"/>
        </w:rPr>
        <w:t xml:space="preserve">Once They Are Seated: </w:t>
      </w:r>
      <w:r w:rsidR="009C12D5">
        <w:rPr>
          <w:rFonts w:ascii="Times New Roman" w:hAnsi="Times New Roman" w:cs="Times New Roman"/>
          <w:i/>
          <w:iCs/>
          <w:sz w:val="24"/>
        </w:rPr>
        <w:t xml:space="preserve">The impact of </w:t>
      </w:r>
      <w:r w:rsidR="006A79A3" w:rsidRPr="006A79A3">
        <w:rPr>
          <w:rFonts w:ascii="Times New Roman" w:hAnsi="Times New Roman" w:cs="Times New Roman"/>
          <w:i/>
          <w:iCs/>
          <w:sz w:val="24"/>
        </w:rPr>
        <w:t xml:space="preserve">Radical Right Parties’ Political Representation </w:t>
      </w:r>
      <w:r w:rsidR="00877FB5">
        <w:rPr>
          <w:rFonts w:ascii="Times New Roman" w:hAnsi="Times New Roman" w:cs="Times New Roman"/>
          <w:i/>
          <w:iCs/>
          <w:sz w:val="24"/>
        </w:rPr>
        <w:t>on</w:t>
      </w:r>
      <w:r w:rsidR="006A79A3" w:rsidRPr="006A79A3">
        <w:rPr>
          <w:rFonts w:ascii="Times New Roman" w:hAnsi="Times New Roman" w:cs="Times New Roman"/>
          <w:i/>
          <w:iCs/>
          <w:sz w:val="24"/>
        </w:rPr>
        <w:t xml:space="preserve"> Trust and Solidarity</w:t>
      </w:r>
      <w:r w:rsidRPr="00C32509">
        <w:rPr>
          <w:rFonts w:ascii="Times New Roman" w:hAnsi="Times New Roman" w:cs="Times New Roman"/>
          <w:sz w:val="24"/>
        </w:rPr>
        <w:t>" contains results of the main analysis</w:t>
      </w:r>
      <w:r w:rsidR="00D94910">
        <w:rPr>
          <w:rFonts w:ascii="Times New Roman" w:hAnsi="Times New Roman" w:cs="Times New Roman"/>
          <w:sz w:val="24"/>
        </w:rPr>
        <w:t xml:space="preserve"> and</w:t>
      </w:r>
      <w:r w:rsidR="00B51099">
        <w:rPr>
          <w:rFonts w:ascii="Times New Roman" w:hAnsi="Times New Roman" w:cs="Times New Roman"/>
          <w:sz w:val="24"/>
        </w:rPr>
        <w:t xml:space="preserve"> </w:t>
      </w:r>
      <w:r w:rsidRPr="00C32509">
        <w:rPr>
          <w:rFonts w:ascii="Times New Roman" w:hAnsi="Times New Roman" w:cs="Times New Roman"/>
          <w:sz w:val="24"/>
        </w:rPr>
        <w:t xml:space="preserve">of additional analyses. Data used in this paper comes from </w:t>
      </w:r>
      <w:r w:rsidR="00272FD1" w:rsidRPr="00C32509">
        <w:rPr>
          <w:rFonts w:ascii="Times New Roman" w:hAnsi="Times New Roman" w:cs="Times New Roman"/>
          <w:sz w:val="24"/>
        </w:rPr>
        <w:t>different</w:t>
      </w:r>
      <w:r w:rsidRPr="00C32509">
        <w:rPr>
          <w:rFonts w:ascii="Times New Roman" w:hAnsi="Times New Roman" w:cs="Times New Roman"/>
          <w:sz w:val="24"/>
        </w:rPr>
        <w:t xml:space="preserve"> sources </w:t>
      </w:r>
      <w:r w:rsidR="00851345">
        <w:rPr>
          <w:rFonts w:ascii="Times New Roman" w:hAnsi="Times New Roman" w:cs="Times New Roman"/>
          <w:sz w:val="24"/>
        </w:rPr>
        <w:t xml:space="preserve">that I have </w:t>
      </w:r>
      <w:r w:rsidRPr="00C32509">
        <w:rPr>
          <w:rFonts w:ascii="Times New Roman" w:hAnsi="Times New Roman" w:cs="Times New Roman"/>
          <w:sz w:val="24"/>
        </w:rPr>
        <w:t>listed below. The data can be downloaded</w:t>
      </w:r>
      <w:r w:rsidR="00F41385" w:rsidRPr="00C32509">
        <w:rPr>
          <w:rFonts w:ascii="Times New Roman" w:hAnsi="Times New Roman" w:cs="Times New Roman"/>
          <w:sz w:val="24"/>
        </w:rPr>
        <w:t xml:space="preserve"> </w:t>
      </w:r>
      <w:r w:rsidR="00B46E6A">
        <w:rPr>
          <w:rFonts w:ascii="Times New Roman" w:hAnsi="Times New Roman" w:cs="Times New Roman"/>
          <w:sz w:val="24"/>
        </w:rPr>
        <w:t>for free</w:t>
      </w:r>
      <w:r w:rsidRPr="00C32509">
        <w:rPr>
          <w:rFonts w:ascii="Times New Roman" w:hAnsi="Times New Roman" w:cs="Times New Roman"/>
          <w:sz w:val="24"/>
        </w:rPr>
        <w:t xml:space="preserve"> by following the </w:t>
      </w:r>
      <w:r w:rsidR="00BF67CF">
        <w:rPr>
          <w:rFonts w:ascii="Times New Roman" w:hAnsi="Times New Roman" w:cs="Times New Roman"/>
          <w:sz w:val="24"/>
        </w:rPr>
        <w:t xml:space="preserve">provided </w:t>
      </w:r>
      <w:r w:rsidRPr="00C32509">
        <w:rPr>
          <w:rFonts w:ascii="Times New Roman" w:hAnsi="Times New Roman" w:cs="Times New Roman"/>
          <w:sz w:val="24"/>
        </w:rPr>
        <w:t>links</w:t>
      </w:r>
      <w:r w:rsidR="005064BB">
        <w:rPr>
          <w:rFonts w:ascii="Times New Roman" w:hAnsi="Times New Roman" w:cs="Times New Roman"/>
          <w:sz w:val="24"/>
        </w:rPr>
        <w:t>.</w:t>
      </w:r>
    </w:p>
    <w:p w14:paraId="56E8A2E0" w14:textId="5AFCB0F9" w:rsidR="007E7664" w:rsidRPr="00A86FF4" w:rsidRDefault="0082350C" w:rsidP="0007287A">
      <w:pPr>
        <w:pStyle w:val="Listeafsnit"/>
        <w:numPr>
          <w:ilvl w:val="0"/>
          <w:numId w:val="7"/>
        </w:numPr>
        <w:spacing w:line="360" w:lineRule="auto"/>
        <w:jc w:val="both"/>
        <w:rPr>
          <w:rFonts w:ascii="Times New Roman" w:hAnsi="Times New Roman" w:cs="Times New Roman"/>
          <w:sz w:val="24"/>
        </w:rPr>
      </w:pPr>
      <w:r w:rsidRPr="00A86FF4">
        <w:rPr>
          <w:rFonts w:ascii="Times New Roman" w:hAnsi="Times New Roman" w:cs="Times New Roman"/>
          <w:sz w:val="24"/>
        </w:rPr>
        <w:t xml:space="preserve">European Social Survey </w:t>
      </w:r>
      <w:r w:rsidR="00BC072B" w:rsidRPr="00A86FF4">
        <w:rPr>
          <w:rFonts w:ascii="Times New Roman" w:hAnsi="Times New Roman" w:cs="Times New Roman"/>
          <w:sz w:val="24"/>
        </w:rPr>
        <w:t>rounds</w:t>
      </w:r>
      <w:r w:rsidRPr="00A86FF4">
        <w:rPr>
          <w:rFonts w:ascii="Times New Roman" w:hAnsi="Times New Roman" w:cs="Times New Roman"/>
          <w:sz w:val="24"/>
        </w:rPr>
        <w:t xml:space="preserve"> 1-9 </w:t>
      </w:r>
      <w:r w:rsidR="006B6889" w:rsidRPr="00A86FF4">
        <w:rPr>
          <w:rFonts w:ascii="Times New Roman" w:hAnsi="Times New Roman" w:cs="Times New Roman"/>
          <w:sz w:val="24"/>
        </w:rPr>
        <w:t>cumulative</w:t>
      </w:r>
      <w:r w:rsidRPr="00A86FF4">
        <w:rPr>
          <w:rFonts w:ascii="Times New Roman" w:hAnsi="Times New Roman" w:cs="Times New Roman"/>
          <w:sz w:val="24"/>
        </w:rPr>
        <w:t xml:space="preserve"> data file (</w:t>
      </w:r>
      <w:hyperlink r:id="rId8" w:history="1">
        <w:r w:rsidR="007E7664" w:rsidRPr="00A86FF4">
          <w:rPr>
            <w:rStyle w:val="Hyperlink"/>
            <w:rFonts w:ascii="Times New Roman" w:hAnsi="Times New Roman" w:cs="Times New Roman"/>
            <w:color w:val="auto"/>
            <w:sz w:val="24"/>
            <w:u w:val="none"/>
          </w:rPr>
          <w:t>https://www.europeansocialsurvey.org/downloadwizard/</w:t>
        </w:r>
      </w:hyperlink>
      <w:r w:rsidR="00272FD1" w:rsidRPr="00A86FF4">
        <w:rPr>
          <w:rFonts w:ascii="Times New Roman" w:hAnsi="Times New Roman" w:cs="Times New Roman"/>
          <w:sz w:val="24"/>
        </w:rPr>
        <w:t>)</w:t>
      </w:r>
    </w:p>
    <w:p w14:paraId="7D1F168D" w14:textId="00A6AA98" w:rsidR="007E7664" w:rsidRPr="00A86FF4" w:rsidRDefault="0082350C" w:rsidP="0007287A">
      <w:pPr>
        <w:pStyle w:val="Listeafsnit"/>
        <w:numPr>
          <w:ilvl w:val="0"/>
          <w:numId w:val="7"/>
        </w:numPr>
        <w:spacing w:line="360" w:lineRule="auto"/>
        <w:jc w:val="both"/>
        <w:rPr>
          <w:rFonts w:ascii="Times New Roman" w:hAnsi="Times New Roman" w:cs="Times New Roman"/>
          <w:sz w:val="24"/>
        </w:rPr>
      </w:pPr>
      <w:r w:rsidRPr="00A86FF4">
        <w:rPr>
          <w:rFonts w:ascii="Times New Roman" w:hAnsi="Times New Roman" w:cs="Times New Roman"/>
          <w:sz w:val="24"/>
        </w:rPr>
        <w:t>Parliaments and Governments database (</w:t>
      </w:r>
      <w:hyperlink r:id="rId9" w:history="1">
        <w:r w:rsidR="007E7664" w:rsidRPr="00A86FF4">
          <w:rPr>
            <w:rStyle w:val="Hyperlink"/>
            <w:rFonts w:ascii="Times New Roman" w:hAnsi="Times New Roman" w:cs="Times New Roman"/>
            <w:color w:val="auto"/>
            <w:sz w:val="24"/>
            <w:u w:val="none"/>
          </w:rPr>
          <w:t>http://www.parlgov.org/</w:t>
        </w:r>
      </w:hyperlink>
      <w:r w:rsidR="00272FD1" w:rsidRPr="00A86FF4">
        <w:rPr>
          <w:rFonts w:ascii="Times New Roman" w:hAnsi="Times New Roman" w:cs="Times New Roman"/>
          <w:sz w:val="24"/>
        </w:rPr>
        <w:t>)</w:t>
      </w:r>
    </w:p>
    <w:p w14:paraId="14EB2B77" w14:textId="7B492FA8" w:rsidR="00201F57" w:rsidRPr="00A86FF4" w:rsidRDefault="002348A0" w:rsidP="0007287A">
      <w:pPr>
        <w:pStyle w:val="Listeafsnit"/>
        <w:numPr>
          <w:ilvl w:val="0"/>
          <w:numId w:val="7"/>
        </w:numPr>
        <w:spacing w:line="360" w:lineRule="auto"/>
        <w:jc w:val="both"/>
        <w:rPr>
          <w:rFonts w:ascii="Times New Roman" w:hAnsi="Times New Roman" w:cs="Times New Roman"/>
          <w:sz w:val="24"/>
        </w:rPr>
      </w:pPr>
      <w:r w:rsidRPr="00A86FF4">
        <w:rPr>
          <w:rFonts w:ascii="Times New Roman" w:hAnsi="Times New Roman" w:cs="Times New Roman"/>
          <w:sz w:val="24"/>
        </w:rPr>
        <w:t>Standardized world income inequality database (</w:t>
      </w:r>
      <w:hyperlink r:id="rId10" w:history="1">
        <w:r w:rsidR="00897417" w:rsidRPr="00A86FF4">
          <w:rPr>
            <w:rStyle w:val="Hyperlink"/>
            <w:rFonts w:ascii="Times New Roman" w:hAnsi="Times New Roman" w:cs="Times New Roman"/>
            <w:color w:val="auto"/>
            <w:sz w:val="24"/>
            <w:u w:val="none"/>
          </w:rPr>
          <w:t>https://fsolt.org/swiid/</w:t>
        </w:r>
      </w:hyperlink>
      <w:r w:rsidRPr="00A86FF4">
        <w:rPr>
          <w:rFonts w:ascii="Times New Roman" w:hAnsi="Times New Roman" w:cs="Times New Roman"/>
          <w:sz w:val="24"/>
        </w:rPr>
        <w:t>)</w:t>
      </w:r>
    </w:p>
    <w:p w14:paraId="611828B2" w14:textId="205D4F84" w:rsidR="00897417" w:rsidRPr="00A86FF4" w:rsidRDefault="00897417" w:rsidP="0007287A">
      <w:pPr>
        <w:pStyle w:val="Listeafsnit"/>
        <w:numPr>
          <w:ilvl w:val="0"/>
          <w:numId w:val="7"/>
        </w:numPr>
        <w:spacing w:line="360" w:lineRule="auto"/>
        <w:jc w:val="both"/>
        <w:rPr>
          <w:rFonts w:ascii="Times New Roman" w:hAnsi="Times New Roman" w:cs="Times New Roman"/>
          <w:sz w:val="24"/>
        </w:rPr>
      </w:pPr>
      <w:r w:rsidRPr="00A86FF4">
        <w:rPr>
          <w:rFonts w:ascii="Times New Roman" w:hAnsi="Times New Roman" w:cs="Times New Roman"/>
          <w:sz w:val="24"/>
        </w:rPr>
        <w:t xml:space="preserve">OECD </w:t>
      </w:r>
      <w:r w:rsidR="00134EF7" w:rsidRPr="00A86FF4">
        <w:rPr>
          <w:rFonts w:ascii="Times New Roman" w:hAnsi="Times New Roman" w:cs="Times New Roman"/>
          <w:sz w:val="24"/>
        </w:rPr>
        <w:t>(</w:t>
      </w:r>
      <w:hyperlink r:id="rId11" w:history="1">
        <w:r w:rsidR="00134EF7" w:rsidRPr="00A86FF4">
          <w:rPr>
            <w:rStyle w:val="Hyperlink"/>
            <w:rFonts w:ascii="Times New Roman" w:hAnsi="Times New Roman" w:cs="Times New Roman"/>
            <w:color w:val="auto"/>
            <w:sz w:val="24"/>
            <w:u w:val="none"/>
          </w:rPr>
          <w:t>https://data.oecd.org/migration/foreign-born-population.htm</w:t>
        </w:r>
      </w:hyperlink>
      <w:r w:rsidR="00134EF7" w:rsidRPr="00A86FF4">
        <w:rPr>
          <w:rFonts w:ascii="Times New Roman" w:hAnsi="Times New Roman" w:cs="Times New Roman"/>
          <w:sz w:val="24"/>
        </w:rPr>
        <w:t>)</w:t>
      </w:r>
    </w:p>
    <w:p w14:paraId="7ED00CBE" w14:textId="354D0B2A" w:rsidR="00897417" w:rsidRPr="00A86FF4" w:rsidRDefault="00897417" w:rsidP="0007287A">
      <w:pPr>
        <w:pStyle w:val="Listeafsnit"/>
        <w:numPr>
          <w:ilvl w:val="0"/>
          <w:numId w:val="7"/>
        </w:numPr>
        <w:spacing w:line="360" w:lineRule="auto"/>
        <w:jc w:val="both"/>
        <w:rPr>
          <w:rStyle w:val="Hyperlink"/>
          <w:rFonts w:ascii="Times New Roman" w:hAnsi="Times New Roman" w:cs="Times New Roman"/>
          <w:color w:val="auto"/>
          <w:sz w:val="24"/>
          <w:u w:val="none"/>
        </w:rPr>
      </w:pPr>
      <w:r w:rsidRPr="00A86FF4">
        <w:rPr>
          <w:rFonts w:ascii="Times New Roman" w:hAnsi="Times New Roman" w:cs="Times New Roman"/>
          <w:sz w:val="24"/>
        </w:rPr>
        <w:t>World bank</w:t>
      </w:r>
      <w:r w:rsidR="00134EF7" w:rsidRPr="00A86FF4">
        <w:rPr>
          <w:rFonts w:ascii="Times New Roman" w:hAnsi="Times New Roman" w:cs="Times New Roman"/>
          <w:sz w:val="24"/>
        </w:rPr>
        <w:t xml:space="preserve"> (</w:t>
      </w:r>
      <w:hyperlink r:id="rId12" w:history="1">
        <w:r w:rsidR="002363E9" w:rsidRPr="00A86FF4">
          <w:rPr>
            <w:rStyle w:val="Hyperlink"/>
            <w:rFonts w:ascii="Times New Roman" w:hAnsi="Times New Roman" w:cs="Times New Roman"/>
            <w:color w:val="auto"/>
            <w:sz w:val="24"/>
            <w:u w:val="none"/>
          </w:rPr>
          <w:t>https://data.worldbank.org/)</w:t>
        </w:r>
      </w:hyperlink>
    </w:p>
    <w:p w14:paraId="67B21B4A" w14:textId="2F9EEDA2" w:rsidR="007626BE" w:rsidRPr="00A86FF4" w:rsidRDefault="004B69C5" w:rsidP="0007287A">
      <w:pPr>
        <w:pStyle w:val="Listeafsnit"/>
        <w:numPr>
          <w:ilvl w:val="0"/>
          <w:numId w:val="7"/>
        </w:numPr>
        <w:spacing w:line="360" w:lineRule="auto"/>
        <w:jc w:val="both"/>
        <w:rPr>
          <w:rStyle w:val="Hyperlink"/>
          <w:rFonts w:ascii="Times New Roman" w:hAnsi="Times New Roman" w:cs="Times New Roman"/>
          <w:color w:val="auto"/>
          <w:sz w:val="24"/>
          <w:u w:val="none"/>
        </w:rPr>
      </w:pPr>
      <w:r w:rsidRPr="00A86FF4">
        <w:rPr>
          <w:rStyle w:val="Hyperlink"/>
          <w:rFonts w:ascii="Times New Roman" w:hAnsi="Times New Roman" w:cs="Times New Roman"/>
          <w:color w:val="auto"/>
          <w:sz w:val="24"/>
          <w:u w:val="none"/>
        </w:rPr>
        <w:t>International Social Survey Programme</w:t>
      </w:r>
      <w:r w:rsidR="00F7019A" w:rsidRPr="00A86FF4">
        <w:rPr>
          <w:rStyle w:val="Hyperlink"/>
          <w:rFonts w:ascii="Times New Roman" w:hAnsi="Times New Roman" w:cs="Times New Roman"/>
          <w:color w:val="auto"/>
          <w:sz w:val="24"/>
          <w:u w:val="none"/>
        </w:rPr>
        <w:t xml:space="preserve"> </w:t>
      </w:r>
      <w:r w:rsidRPr="00A86FF4">
        <w:rPr>
          <w:rStyle w:val="Hyperlink"/>
          <w:rFonts w:ascii="Times New Roman" w:hAnsi="Times New Roman" w:cs="Times New Roman"/>
          <w:color w:val="auto"/>
          <w:sz w:val="24"/>
          <w:u w:val="none"/>
        </w:rPr>
        <w:t>(</w:t>
      </w:r>
      <w:hyperlink r:id="rId13" w:history="1">
        <w:r w:rsidR="00F7019A" w:rsidRPr="00A86FF4">
          <w:rPr>
            <w:rStyle w:val="Hyperlink"/>
            <w:rFonts w:ascii="Times New Roman" w:hAnsi="Times New Roman" w:cs="Times New Roman"/>
            <w:color w:val="auto"/>
            <w:sz w:val="24"/>
            <w:u w:val="none"/>
          </w:rPr>
          <w:t>https://www.gesis.org/en/issp/home</w:t>
        </w:r>
      </w:hyperlink>
      <w:r w:rsidRPr="00A86FF4">
        <w:rPr>
          <w:rStyle w:val="Hyperlink"/>
          <w:rFonts w:ascii="Times New Roman" w:hAnsi="Times New Roman" w:cs="Times New Roman"/>
          <w:color w:val="auto"/>
          <w:sz w:val="24"/>
          <w:u w:val="none"/>
        </w:rPr>
        <w:t>)</w:t>
      </w:r>
    </w:p>
    <w:p w14:paraId="57271C11" w14:textId="7F31E23F" w:rsidR="00F7019A" w:rsidRPr="00A86FF4" w:rsidRDefault="00A86FF4" w:rsidP="0007287A">
      <w:pPr>
        <w:pStyle w:val="Listeafsnit"/>
        <w:numPr>
          <w:ilvl w:val="0"/>
          <w:numId w:val="7"/>
        </w:numPr>
        <w:spacing w:line="360" w:lineRule="auto"/>
        <w:jc w:val="both"/>
        <w:rPr>
          <w:rFonts w:ascii="Times New Roman" w:hAnsi="Times New Roman" w:cs="Times New Roman"/>
          <w:sz w:val="24"/>
        </w:rPr>
      </w:pPr>
      <w:r w:rsidRPr="00A86FF4">
        <w:rPr>
          <w:rStyle w:val="Hyperlink"/>
          <w:rFonts w:ascii="Times New Roman" w:hAnsi="Times New Roman" w:cs="Times New Roman"/>
          <w:color w:val="auto"/>
          <w:sz w:val="24"/>
          <w:u w:val="none"/>
        </w:rPr>
        <w:t xml:space="preserve">Integrated Values Study </w:t>
      </w:r>
      <w:r w:rsidR="00CF0C5B">
        <w:rPr>
          <w:rStyle w:val="Hyperlink"/>
          <w:rFonts w:ascii="Times New Roman" w:hAnsi="Times New Roman" w:cs="Times New Roman"/>
          <w:color w:val="auto"/>
          <w:sz w:val="24"/>
          <w:u w:val="none"/>
        </w:rPr>
        <w:t>(</w:t>
      </w:r>
      <w:r w:rsidR="00CF0C5B" w:rsidRPr="00CF0C5B">
        <w:rPr>
          <w:rStyle w:val="Hyperlink"/>
          <w:rFonts w:ascii="Times New Roman" w:hAnsi="Times New Roman" w:cs="Times New Roman"/>
          <w:color w:val="auto"/>
          <w:sz w:val="24"/>
          <w:u w:val="none"/>
        </w:rPr>
        <w:t>https://www.worldvaluessurvey.org/WVSEVStrend.jsp</w:t>
      </w:r>
      <w:r w:rsidR="00CF0C5B">
        <w:rPr>
          <w:rStyle w:val="Hyperlink"/>
          <w:rFonts w:ascii="Times New Roman" w:hAnsi="Times New Roman" w:cs="Times New Roman"/>
          <w:color w:val="auto"/>
          <w:sz w:val="24"/>
          <w:u w:val="none"/>
        </w:rPr>
        <w:t>)</w:t>
      </w:r>
    </w:p>
    <w:p w14:paraId="6BB69355" w14:textId="62AE042E" w:rsidR="0082350C" w:rsidRPr="002711A9" w:rsidRDefault="0082350C" w:rsidP="0007287A">
      <w:pPr>
        <w:spacing w:line="360" w:lineRule="auto"/>
        <w:jc w:val="both"/>
        <w:rPr>
          <w:color w:val="333333"/>
        </w:rPr>
      </w:pPr>
      <w:r w:rsidRPr="00C32509">
        <w:rPr>
          <w:rFonts w:ascii="Times New Roman" w:hAnsi="Times New Roman" w:cs="Times New Roman"/>
          <w:sz w:val="24"/>
        </w:rPr>
        <w:t>If you are</w:t>
      </w:r>
      <w:r w:rsidR="00A90FDF">
        <w:rPr>
          <w:rFonts w:ascii="Times New Roman" w:hAnsi="Times New Roman" w:cs="Times New Roman"/>
          <w:sz w:val="24"/>
        </w:rPr>
        <w:t xml:space="preserve"> </w:t>
      </w:r>
      <w:r w:rsidRPr="00C32509">
        <w:rPr>
          <w:rFonts w:ascii="Times New Roman" w:hAnsi="Times New Roman" w:cs="Times New Roman"/>
          <w:sz w:val="24"/>
        </w:rPr>
        <w:t>interested in skimming the R code that generates these results</w:t>
      </w:r>
      <w:r w:rsidR="004901F7">
        <w:rPr>
          <w:rFonts w:ascii="Times New Roman" w:hAnsi="Times New Roman" w:cs="Times New Roman"/>
          <w:sz w:val="24"/>
        </w:rPr>
        <w:t xml:space="preserve"> or if</w:t>
      </w:r>
      <w:r w:rsidRPr="00C32509">
        <w:rPr>
          <w:rFonts w:ascii="Times New Roman" w:hAnsi="Times New Roman" w:cs="Times New Roman"/>
          <w:sz w:val="24"/>
        </w:rPr>
        <w:t xml:space="preserve"> you wish to replicate the results themselves and maybe alter the R code, you will need to work with the </w:t>
      </w:r>
      <w:r w:rsidR="002A777D" w:rsidRPr="002429A9">
        <w:rPr>
          <w:rFonts w:ascii="Times New Roman" w:hAnsi="Times New Roman" w:cs="Times New Roman"/>
          <w:i/>
          <w:iCs/>
          <w:sz w:val="24"/>
        </w:rPr>
        <w:t>RRP_</w:t>
      </w:r>
      <w:r w:rsidR="00560D01">
        <w:rPr>
          <w:rFonts w:ascii="Times New Roman" w:hAnsi="Times New Roman" w:cs="Times New Roman"/>
          <w:i/>
          <w:iCs/>
          <w:sz w:val="24"/>
        </w:rPr>
        <w:t>attitude</w:t>
      </w:r>
      <w:r w:rsidR="002A777D" w:rsidRPr="002429A9">
        <w:rPr>
          <w:rFonts w:ascii="Times New Roman" w:hAnsi="Times New Roman" w:cs="Times New Roman"/>
          <w:i/>
          <w:iCs/>
          <w:sz w:val="24"/>
        </w:rPr>
        <w:t>.</w:t>
      </w:r>
      <w:r w:rsidRPr="002429A9">
        <w:rPr>
          <w:rFonts w:ascii="Times New Roman" w:hAnsi="Times New Roman" w:cs="Times New Roman"/>
          <w:i/>
          <w:iCs/>
          <w:sz w:val="24"/>
        </w:rPr>
        <w:t>Rmd</w:t>
      </w:r>
      <w:r w:rsidRPr="00C32509">
        <w:rPr>
          <w:rFonts w:ascii="Times New Roman" w:hAnsi="Times New Roman" w:cs="Times New Roman"/>
          <w:sz w:val="24"/>
        </w:rPr>
        <w:t xml:space="preserve"> file. To use the Rmd replication file, you need a working version of R, RStudio, R</w:t>
      </w:r>
      <w:r w:rsidR="008B2A9F" w:rsidRPr="00C32509">
        <w:rPr>
          <w:rFonts w:ascii="Times New Roman" w:hAnsi="Times New Roman" w:cs="Times New Roman"/>
          <w:sz w:val="24"/>
        </w:rPr>
        <w:t>m</w:t>
      </w:r>
      <w:r w:rsidR="00A036CE">
        <w:rPr>
          <w:rFonts w:ascii="Times New Roman" w:hAnsi="Times New Roman" w:cs="Times New Roman"/>
          <w:sz w:val="24"/>
        </w:rPr>
        <w:t>a</w:t>
      </w:r>
      <w:r w:rsidRPr="00C32509">
        <w:rPr>
          <w:rFonts w:ascii="Times New Roman" w:hAnsi="Times New Roman" w:cs="Times New Roman"/>
          <w:sz w:val="24"/>
        </w:rPr>
        <w:t>rkdown</w:t>
      </w:r>
      <w:r w:rsidR="008B2A9F">
        <w:rPr>
          <w:rFonts w:ascii="Times New Roman" w:hAnsi="Times New Roman" w:cs="Times New Roman"/>
          <w:sz w:val="24"/>
        </w:rPr>
        <w:t>,</w:t>
      </w:r>
      <w:r w:rsidRPr="00C32509">
        <w:rPr>
          <w:rFonts w:ascii="Times New Roman" w:hAnsi="Times New Roman" w:cs="Times New Roman"/>
          <w:sz w:val="24"/>
        </w:rPr>
        <w:t xml:space="preserve"> and Latex. </w:t>
      </w:r>
      <w:r w:rsidRPr="00C32509">
        <w:rPr>
          <w:rFonts w:ascii="Times New Roman" w:hAnsi="Times New Roman" w:cs="Times New Roman"/>
          <w:sz w:val="24"/>
          <w:szCs w:val="24"/>
        </w:rPr>
        <w:t xml:space="preserve">All mentioned software packages are open source, free to use and available for Windows, Mac, and Unix operating systems. Once you have installed these, please open RStudio and establish an RStudio project in the unzipped file directory that contains the </w:t>
      </w:r>
      <w:r w:rsidR="008B68F7" w:rsidRPr="002429A9">
        <w:rPr>
          <w:rFonts w:ascii="Times New Roman" w:hAnsi="Times New Roman" w:cs="Times New Roman"/>
          <w:i/>
          <w:iCs/>
          <w:sz w:val="24"/>
        </w:rPr>
        <w:t>RRP_</w:t>
      </w:r>
      <w:r w:rsidR="00560D01">
        <w:rPr>
          <w:rFonts w:ascii="Times New Roman" w:hAnsi="Times New Roman" w:cs="Times New Roman"/>
          <w:i/>
          <w:iCs/>
          <w:sz w:val="24"/>
        </w:rPr>
        <w:t>attitude</w:t>
      </w:r>
      <w:r w:rsidR="008B68F7" w:rsidRPr="002429A9">
        <w:rPr>
          <w:rFonts w:ascii="Times New Roman" w:hAnsi="Times New Roman" w:cs="Times New Roman"/>
          <w:i/>
          <w:iCs/>
          <w:sz w:val="24"/>
        </w:rPr>
        <w:t>.Rmd</w:t>
      </w:r>
      <w:r w:rsidR="008B68F7" w:rsidRPr="00C32509">
        <w:rPr>
          <w:rFonts w:ascii="Times New Roman" w:hAnsi="Times New Roman" w:cs="Times New Roman"/>
          <w:sz w:val="24"/>
        </w:rPr>
        <w:t xml:space="preserve"> </w:t>
      </w:r>
      <w:r w:rsidRPr="00C32509">
        <w:rPr>
          <w:rFonts w:ascii="Times New Roman" w:hAnsi="Times New Roman" w:cs="Times New Roman"/>
          <w:sz w:val="24"/>
          <w:szCs w:val="24"/>
        </w:rPr>
        <w:t xml:space="preserve">file. For further information on Rstudio projects and how to set them up, </w:t>
      </w:r>
      <w:r w:rsidR="008E1552">
        <w:rPr>
          <w:rFonts w:ascii="Times New Roman" w:hAnsi="Times New Roman" w:cs="Times New Roman"/>
          <w:sz w:val="24"/>
          <w:szCs w:val="24"/>
        </w:rPr>
        <w:t>I</w:t>
      </w:r>
      <w:r w:rsidRPr="00C32509">
        <w:rPr>
          <w:rFonts w:ascii="Times New Roman" w:hAnsi="Times New Roman" w:cs="Times New Roman"/>
          <w:sz w:val="24"/>
          <w:szCs w:val="24"/>
        </w:rPr>
        <w:t xml:space="preserve"> refer to</w:t>
      </w:r>
      <w:r w:rsidR="00503F03">
        <w:rPr>
          <w:rFonts w:ascii="Times New Roman" w:hAnsi="Times New Roman" w:cs="Times New Roman"/>
          <w:sz w:val="24"/>
          <w:szCs w:val="24"/>
        </w:rPr>
        <w:t xml:space="preserve"> </w:t>
      </w:r>
      <w:r w:rsidR="000314FB">
        <w:rPr>
          <w:rFonts w:ascii="Times New Roman" w:hAnsi="Times New Roman" w:cs="Times New Roman"/>
          <w:sz w:val="24"/>
          <w:szCs w:val="24"/>
        </w:rPr>
        <w:t xml:space="preserve">chapter 8 in </w:t>
      </w:r>
      <w:r w:rsidR="00503F03">
        <w:rPr>
          <w:rFonts w:ascii="Times New Roman" w:hAnsi="Times New Roman" w:cs="Times New Roman"/>
          <w:sz w:val="24"/>
          <w:szCs w:val="24"/>
        </w:rPr>
        <w:t xml:space="preserve">R for Data science </w:t>
      </w:r>
      <w:r w:rsidR="00503F03">
        <w:rPr>
          <w:rFonts w:ascii="Times New Roman" w:hAnsi="Times New Roman" w:cs="Times New Roman"/>
          <w:sz w:val="24"/>
          <w:szCs w:val="24"/>
        </w:rPr>
        <w:fldChar w:fldCharType="begin"/>
      </w:r>
      <w:r w:rsidR="001131A7">
        <w:rPr>
          <w:rFonts w:ascii="Times New Roman" w:hAnsi="Times New Roman" w:cs="Times New Roman"/>
          <w:sz w:val="24"/>
          <w:szCs w:val="24"/>
        </w:rPr>
        <w:instrText xml:space="preserve"> ADDIN ZOTERO_ITEM CSL_CITATION {"citationID":"0aiDImQw","properties":{"formattedCitation":"(Wickham &amp; Grolemund, 2016a)","plainCitation":"(Wickham &amp; Grolemund, 2016a)","noteIndex":0},"citationItems":[{"id":2471,"uris":["http://zotero.org/users/6208848/items/URY4M8JK"],"itemData":{"id":2471,"type":"chapter","abstract":"\"This book introduces you to R, RStudio, and the tidyverse, a collection of R packages designed to work together to make data science fast, fluent, and fun. Suitable for readers with no previous programming experience\"--","call-number":"QA276.45.R3 W53 2016","container-title":"R for data science: import, tidy, transform, visualize, and model data","edition":"First edition","event-place":"Sebastopol, CA","ISBN":"978-1-4919-1039-9","note":"OCLC: ocn968213225","publisher":"O'Reilly","publisher-place":"Sebastopol, CA","source":"Library of Congress ISBN","title":"Chapter 8 Workflow: Projects","URL":"https://r4ds.had.co.nz/workflow-projects.html","author":[{"family":"Wickham","given":"Hadley"},{"family":"Grolemund","given":"Garrett"}],"issued":{"date-parts":[["2016"]]}}}],"schema":"https://github.com/citation-style-language/schema/raw/master/csl-citation.json"} </w:instrText>
      </w:r>
      <w:r w:rsidR="00503F03">
        <w:rPr>
          <w:rFonts w:ascii="Times New Roman" w:hAnsi="Times New Roman" w:cs="Times New Roman"/>
          <w:sz w:val="24"/>
          <w:szCs w:val="24"/>
        </w:rPr>
        <w:fldChar w:fldCharType="separate"/>
      </w:r>
      <w:r w:rsidR="00EA1EF0" w:rsidRPr="00EA1EF0">
        <w:rPr>
          <w:rFonts w:ascii="Times New Roman" w:hAnsi="Times New Roman" w:cs="Times New Roman"/>
          <w:sz w:val="24"/>
        </w:rPr>
        <w:t>(Wickham &amp; Grolemund, 2016a)</w:t>
      </w:r>
      <w:r w:rsidR="00503F03">
        <w:rPr>
          <w:rFonts w:ascii="Times New Roman" w:hAnsi="Times New Roman" w:cs="Times New Roman"/>
          <w:sz w:val="24"/>
          <w:szCs w:val="24"/>
        </w:rPr>
        <w:fldChar w:fldCharType="end"/>
      </w:r>
      <w:r w:rsidRPr="00C32509">
        <w:rPr>
          <w:rFonts w:ascii="Times New Roman" w:hAnsi="Times New Roman" w:cs="Times New Roman"/>
          <w:sz w:val="24"/>
          <w:szCs w:val="24"/>
        </w:rPr>
        <w:t xml:space="preserve">. After having set up the RStudio project, you will find all necessary files under the "Files" tab in Rstudio. Open the file by clicking on it under the "Files" tab. The file should open in the top left panel. Rstudio will automatically notify you about all user-written packages that the analysis relies on and that you have not yet downloaded and installed. Please click on "install". To replicate the whole analysis, simply click on "Knit" just below the file tab of the top left panel showing the Rmd file. If you want to alter the R code, you can work on the single R-snippets. For more information on how to edit Rmd files and R snippets see </w:t>
      </w:r>
      <w:r w:rsidR="007D5CF9">
        <w:rPr>
          <w:rFonts w:ascii="Times New Roman" w:hAnsi="Times New Roman" w:cs="Times New Roman"/>
          <w:sz w:val="24"/>
          <w:szCs w:val="24"/>
        </w:rPr>
        <w:t xml:space="preserve">chapter 27 in R for Data science </w:t>
      </w:r>
      <w:r w:rsidR="00EA1EF0">
        <w:rPr>
          <w:rFonts w:ascii="Times New Roman" w:hAnsi="Times New Roman" w:cs="Times New Roman"/>
          <w:sz w:val="24"/>
          <w:szCs w:val="24"/>
        </w:rPr>
        <w:fldChar w:fldCharType="begin"/>
      </w:r>
      <w:r w:rsidR="001131A7">
        <w:rPr>
          <w:rFonts w:ascii="Times New Roman" w:hAnsi="Times New Roman" w:cs="Times New Roman"/>
          <w:sz w:val="24"/>
          <w:szCs w:val="24"/>
        </w:rPr>
        <w:instrText xml:space="preserve"> ADDIN ZOTERO_ITEM CSL_CITATION {"citationID":"TrSvv7Xh","properties":{"formattedCitation":"(Wickham &amp; Grolemund, 2016b)","plainCitation":"(Wickham &amp; Grolemund, 2016b)","noteIndex":0},"citationItems":[{"id":2472,"uris":["http://zotero.org/users/6208848/items/H8DY2XSY"],"itemData":{"id":2472,"type":"chapter","abstract":"\"This book introduces you to R, RStudio, and the tidyverse, a collection of R packages designed to work together to make data science fast, fluent, and fun. Suitable for readers with no previous programming experience\"--","call-number":"QA276.45.R3 W53 2016","container-title":"R for data science: import, tidy, transform, visualize, and model data","edition":"First edition","event-place":"Sebastopol, CA","ISBN":"978-1-4919-1039-9","note":"OCLC: ocn968213225","publisher":"O'Reilly","publisher-place":"Sebastopol, CA","source":"Library of Congress ISBN","title":"Chapter 27: Rmarkdown","URL":"https://r4ds.had.co.nz/r-markdown.html","author":[{"family":"Wickham","given":"Hadley"},{"family":"Grolemund","given":"Garrett"}],"issued":{"date-parts":[["2016"]]}}}],"schema":"https://github.com/citation-style-language/schema/raw/master/csl-citation.json"} </w:instrText>
      </w:r>
      <w:r w:rsidR="00EA1EF0">
        <w:rPr>
          <w:rFonts w:ascii="Times New Roman" w:hAnsi="Times New Roman" w:cs="Times New Roman"/>
          <w:sz w:val="24"/>
          <w:szCs w:val="24"/>
        </w:rPr>
        <w:fldChar w:fldCharType="separate"/>
      </w:r>
      <w:r w:rsidR="00EA1EF0" w:rsidRPr="00EA1EF0">
        <w:rPr>
          <w:rFonts w:ascii="Times New Roman" w:hAnsi="Times New Roman" w:cs="Times New Roman"/>
          <w:sz w:val="24"/>
        </w:rPr>
        <w:t>(Wickham &amp; Grolemund, 2016b)</w:t>
      </w:r>
      <w:r w:rsidR="00EA1EF0">
        <w:rPr>
          <w:rFonts w:ascii="Times New Roman" w:hAnsi="Times New Roman" w:cs="Times New Roman"/>
          <w:sz w:val="24"/>
          <w:szCs w:val="24"/>
        </w:rPr>
        <w:fldChar w:fldCharType="end"/>
      </w:r>
    </w:p>
    <w:p w14:paraId="1FDE9E21" w14:textId="46D43E63" w:rsidR="00DE1B99" w:rsidRPr="00334B11" w:rsidRDefault="00334B11" w:rsidP="00334B11">
      <w:pPr>
        <w:pStyle w:val="Overskrift1"/>
        <w:rPr>
          <w:rFonts w:ascii="Times New Roman" w:hAnsi="Times New Roman" w:cs="Times New Roman"/>
          <w:b/>
          <w:bCs/>
          <w:color w:val="auto"/>
        </w:rPr>
      </w:pPr>
      <w:bookmarkStart w:id="2" w:name="_Toc113820343"/>
      <w:r w:rsidRPr="00334B11">
        <w:rPr>
          <w:rFonts w:ascii="Times New Roman" w:hAnsi="Times New Roman" w:cs="Times New Roman"/>
          <w:b/>
          <w:bCs/>
          <w:color w:val="auto"/>
        </w:rPr>
        <w:lastRenderedPageBreak/>
        <w:t>Appendices</w:t>
      </w:r>
    </w:p>
    <w:p w14:paraId="19D5C0B5" w14:textId="42714B70" w:rsidR="003031D1" w:rsidRPr="00C32509" w:rsidRDefault="005D0E7F" w:rsidP="0007287A">
      <w:pPr>
        <w:pStyle w:val="Overskrift2"/>
        <w:spacing w:line="360" w:lineRule="auto"/>
        <w:jc w:val="both"/>
        <w:rPr>
          <w:rFonts w:ascii="Times New Roman" w:hAnsi="Times New Roman" w:cs="Times New Roman"/>
          <w:b/>
          <w:color w:val="auto"/>
          <w:sz w:val="28"/>
        </w:rPr>
      </w:pPr>
      <w:r w:rsidRPr="00C32509">
        <w:rPr>
          <w:rFonts w:ascii="Times New Roman" w:hAnsi="Times New Roman" w:cs="Times New Roman"/>
          <w:b/>
          <w:color w:val="auto"/>
          <w:sz w:val="28"/>
        </w:rPr>
        <w:t>Appendix A</w:t>
      </w:r>
      <w:r w:rsidR="00BF381D">
        <w:rPr>
          <w:rFonts w:ascii="Times New Roman" w:hAnsi="Times New Roman" w:cs="Times New Roman"/>
          <w:b/>
          <w:color w:val="auto"/>
          <w:sz w:val="28"/>
        </w:rPr>
        <w:t>.</w:t>
      </w:r>
      <w:r w:rsidR="00D90A26">
        <w:rPr>
          <w:rFonts w:ascii="Times New Roman" w:hAnsi="Times New Roman" w:cs="Times New Roman"/>
          <w:b/>
          <w:color w:val="auto"/>
          <w:sz w:val="28"/>
        </w:rPr>
        <w:t xml:space="preserve"> </w:t>
      </w:r>
      <w:r w:rsidR="00CC5771">
        <w:rPr>
          <w:rFonts w:ascii="Times New Roman" w:hAnsi="Times New Roman" w:cs="Times New Roman"/>
          <w:b/>
          <w:color w:val="auto"/>
          <w:sz w:val="28"/>
        </w:rPr>
        <w:t>I</w:t>
      </w:r>
      <w:r w:rsidR="00D90A26">
        <w:rPr>
          <w:rFonts w:ascii="Times New Roman" w:hAnsi="Times New Roman" w:cs="Times New Roman"/>
          <w:b/>
          <w:color w:val="auto"/>
          <w:sz w:val="28"/>
        </w:rPr>
        <w:t>dentification strategies</w:t>
      </w:r>
      <w:bookmarkEnd w:id="2"/>
    </w:p>
    <w:p w14:paraId="162A5B88" w14:textId="78F63ED7" w:rsidR="001302CD" w:rsidRPr="00AC02A0" w:rsidRDefault="00325F93" w:rsidP="0007287A">
      <w:pPr>
        <w:pStyle w:val="Overskrift3"/>
        <w:spacing w:line="360" w:lineRule="auto"/>
        <w:rPr>
          <w:rFonts w:ascii="Times New Roman" w:hAnsi="Times New Roman" w:cs="Times New Roman"/>
          <w:b/>
          <w:i/>
          <w:iCs/>
          <w:color w:val="auto"/>
        </w:rPr>
      </w:pPr>
      <w:bookmarkStart w:id="3" w:name="_Toc113820344"/>
      <w:r w:rsidRPr="00AC02A0">
        <w:rPr>
          <w:rFonts w:ascii="Times New Roman" w:hAnsi="Times New Roman" w:cs="Times New Roman"/>
          <w:b/>
          <w:i/>
          <w:iCs/>
          <w:color w:val="auto"/>
        </w:rPr>
        <w:t>Two-way fixed effects approach</w:t>
      </w:r>
      <w:bookmarkEnd w:id="3"/>
    </w:p>
    <w:p w14:paraId="5256AA7D" w14:textId="72BF87E8" w:rsidR="00693573" w:rsidRDefault="00E67C13" w:rsidP="0007287A">
      <w:pPr>
        <w:spacing w:line="360" w:lineRule="auto"/>
        <w:jc w:val="both"/>
        <w:rPr>
          <w:rFonts w:ascii="Times New Roman" w:hAnsi="Times New Roman" w:cs="Times New Roman"/>
          <w:b/>
          <w:bCs/>
          <w:sz w:val="24"/>
          <w:szCs w:val="24"/>
        </w:rPr>
      </w:pPr>
      <w:r>
        <w:rPr>
          <w:rFonts w:ascii="Times New Roman" w:hAnsi="Times New Roman" w:cs="Times New Roman"/>
          <w:sz w:val="24"/>
          <w:szCs w:val="24"/>
        </w:rPr>
        <w:t>For</w:t>
      </w:r>
      <w:r w:rsidR="00CD0ABF" w:rsidRPr="00C32509">
        <w:rPr>
          <w:rFonts w:ascii="Times New Roman" w:hAnsi="Times New Roman" w:cs="Times New Roman"/>
          <w:sz w:val="24"/>
          <w:szCs w:val="24"/>
        </w:rPr>
        <w:t xml:space="preserve"> this identification strategy, </w:t>
      </w:r>
      <w:r w:rsidR="00E8323C" w:rsidRPr="00C32509">
        <w:rPr>
          <w:rFonts w:ascii="Times New Roman" w:hAnsi="Times New Roman" w:cs="Times New Roman"/>
          <w:sz w:val="24"/>
          <w:szCs w:val="24"/>
        </w:rPr>
        <w:t xml:space="preserve">I </w:t>
      </w:r>
      <w:r w:rsidR="00A23134">
        <w:rPr>
          <w:rFonts w:ascii="Times New Roman" w:hAnsi="Times New Roman" w:cs="Times New Roman"/>
          <w:sz w:val="24"/>
          <w:szCs w:val="24"/>
        </w:rPr>
        <w:t>restrict</w:t>
      </w:r>
      <w:r w:rsidR="00E8323C" w:rsidRPr="00C32509">
        <w:rPr>
          <w:rFonts w:ascii="Times New Roman" w:hAnsi="Times New Roman" w:cs="Times New Roman"/>
          <w:sz w:val="24"/>
          <w:szCs w:val="24"/>
        </w:rPr>
        <w:t xml:space="preserve"> the sample to the 17 European countries (118 country-years) </w:t>
      </w:r>
      <w:r w:rsidR="00AA3590">
        <w:rPr>
          <w:rFonts w:ascii="Times New Roman" w:hAnsi="Times New Roman" w:cs="Times New Roman"/>
          <w:sz w:val="24"/>
          <w:szCs w:val="24"/>
        </w:rPr>
        <w:t>that have</w:t>
      </w:r>
      <w:r w:rsidR="00E8323C" w:rsidRPr="00C32509">
        <w:rPr>
          <w:rFonts w:ascii="Times New Roman" w:hAnsi="Times New Roman" w:cs="Times New Roman"/>
          <w:sz w:val="24"/>
          <w:szCs w:val="24"/>
        </w:rPr>
        <w:t xml:space="preserve"> a pre-entrance period of a radical right party in the data. I do so, because my </w:t>
      </w:r>
      <w:r w:rsidR="00650792">
        <w:rPr>
          <w:rFonts w:ascii="Times New Roman" w:hAnsi="Times New Roman" w:cs="Times New Roman"/>
          <w:sz w:val="24"/>
          <w:szCs w:val="24"/>
        </w:rPr>
        <w:t xml:space="preserve">research </w:t>
      </w:r>
      <w:r w:rsidR="00E8323C" w:rsidRPr="00C32509">
        <w:rPr>
          <w:rFonts w:ascii="Times New Roman" w:hAnsi="Times New Roman" w:cs="Times New Roman"/>
          <w:sz w:val="24"/>
          <w:szCs w:val="24"/>
        </w:rPr>
        <w:t xml:space="preserve">interest </w:t>
      </w:r>
      <w:r w:rsidR="00F06A42">
        <w:rPr>
          <w:rFonts w:ascii="Times New Roman" w:hAnsi="Times New Roman" w:cs="Times New Roman"/>
          <w:sz w:val="24"/>
          <w:szCs w:val="24"/>
        </w:rPr>
        <w:t>lies</w:t>
      </w:r>
      <w:r w:rsidR="00E8323C" w:rsidRPr="00C32509">
        <w:rPr>
          <w:rFonts w:ascii="Times New Roman" w:hAnsi="Times New Roman" w:cs="Times New Roman"/>
          <w:sz w:val="24"/>
          <w:szCs w:val="24"/>
        </w:rPr>
        <w:t xml:space="preserve"> in estimating within-country changes in the </w:t>
      </w:r>
      <w:r w:rsidR="00854F4A">
        <w:rPr>
          <w:rFonts w:ascii="Times New Roman" w:hAnsi="Times New Roman" w:cs="Times New Roman"/>
          <w:sz w:val="24"/>
          <w:szCs w:val="24"/>
        </w:rPr>
        <w:t>indicators of trust and solidarity</w:t>
      </w:r>
      <w:r w:rsidR="00B25042">
        <w:rPr>
          <w:rFonts w:ascii="Times New Roman" w:hAnsi="Times New Roman" w:cs="Times New Roman"/>
          <w:sz w:val="24"/>
          <w:szCs w:val="24"/>
        </w:rPr>
        <w:t xml:space="preserve"> </w:t>
      </w:r>
      <w:r w:rsidR="00E8323C" w:rsidRPr="00C32509">
        <w:rPr>
          <w:rFonts w:ascii="Times New Roman" w:hAnsi="Times New Roman" w:cs="Times New Roman"/>
          <w:sz w:val="24"/>
          <w:szCs w:val="24"/>
        </w:rPr>
        <w:t xml:space="preserve">after a </w:t>
      </w:r>
      <w:r w:rsidR="001F0AEB" w:rsidRPr="00C32509">
        <w:rPr>
          <w:rFonts w:ascii="Times New Roman" w:hAnsi="Times New Roman" w:cs="Times New Roman"/>
          <w:sz w:val="24"/>
          <w:szCs w:val="24"/>
        </w:rPr>
        <w:t>radical right party (</w:t>
      </w:r>
      <w:r w:rsidR="00CC691C">
        <w:rPr>
          <w:rFonts w:ascii="Times New Roman" w:hAnsi="Times New Roman" w:cs="Times New Roman"/>
          <w:sz w:val="24"/>
          <w:szCs w:val="24"/>
        </w:rPr>
        <w:t>RRP</w:t>
      </w:r>
      <w:r w:rsidR="001F0AEB" w:rsidRPr="00C32509">
        <w:rPr>
          <w:rFonts w:ascii="Times New Roman" w:hAnsi="Times New Roman" w:cs="Times New Roman"/>
          <w:sz w:val="24"/>
          <w:szCs w:val="24"/>
        </w:rPr>
        <w:t>)</w:t>
      </w:r>
      <w:r w:rsidR="00E8323C" w:rsidRPr="00C32509">
        <w:rPr>
          <w:rFonts w:ascii="Times New Roman" w:hAnsi="Times New Roman" w:cs="Times New Roman"/>
          <w:sz w:val="24"/>
          <w:szCs w:val="24"/>
        </w:rPr>
        <w:t xml:space="preserve"> has entered parliament in country j.</w:t>
      </w:r>
      <w:r w:rsidR="007B208A" w:rsidRPr="00C32509">
        <w:rPr>
          <w:rFonts w:ascii="Times New Roman" w:hAnsi="Times New Roman" w:cs="Times New Roman"/>
          <w:sz w:val="24"/>
          <w:szCs w:val="24"/>
        </w:rPr>
        <w:t xml:space="preserve"> I do not include </w:t>
      </w:r>
      <w:r w:rsidR="007B208A" w:rsidRPr="00C32509">
        <w:rPr>
          <w:rFonts w:ascii="Times New Roman" w:hAnsi="Times New Roman" w:cs="Times New Roman"/>
          <w:i/>
          <w:iCs/>
          <w:sz w:val="24"/>
          <w:szCs w:val="24"/>
        </w:rPr>
        <w:t>always-treated</w:t>
      </w:r>
      <w:r w:rsidR="007B208A" w:rsidRPr="00C32509">
        <w:rPr>
          <w:rFonts w:ascii="Times New Roman" w:hAnsi="Times New Roman" w:cs="Times New Roman"/>
          <w:sz w:val="24"/>
          <w:szCs w:val="24"/>
        </w:rPr>
        <w:t xml:space="preserve"> countries</w:t>
      </w:r>
      <w:r w:rsidR="009A4499" w:rsidRPr="00C32509">
        <w:rPr>
          <w:rFonts w:ascii="Times New Roman" w:hAnsi="Times New Roman" w:cs="Times New Roman"/>
          <w:sz w:val="24"/>
          <w:szCs w:val="24"/>
        </w:rPr>
        <w:t xml:space="preserve"> in the sample</w:t>
      </w:r>
      <w:r w:rsidR="001609FA" w:rsidRPr="00C32509">
        <w:rPr>
          <w:rFonts w:ascii="Times New Roman" w:hAnsi="Times New Roman" w:cs="Times New Roman"/>
          <w:sz w:val="24"/>
          <w:szCs w:val="24"/>
        </w:rPr>
        <w:t xml:space="preserve"> to avoid introdu</w:t>
      </w:r>
      <w:r w:rsidR="004F4C62" w:rsidRPr="00C32509">
        <w:rPr>
          <w:rFonts w:ascii="Times New Roman" w:hAnsi="Times New Roman" w:cs="Times New Roman"/>
          <w:sz w:val="24"/>
          <w:szCs w:val="24"/>
        </w:rPr>
        <w:t xml:space="preserve">cing </w:t>
      </w:r>
      <w:r w:rsidR="008E294F" w:rsidRPr="00C32509">
        <w:rPr>
          <w:rFonts w:ascii="Times New Roman" w:hAnsi="Times New Roman" w:cs="Times New Roman"/>
          <w:sz w:val="24"/>
          <w:szCs w:val="24"/>
        </w:rPr>
        <w:t xml:space="preserve">bias </w:t>
      </w:r>
      <w:r w:rsidR="00673C1B" w:rsidRPr="00C32509">
        <w:rPr>
          <w:rFonts w:ascii="Times New Roman" w:hAnsi="Times New Roman" w:cs="Times New Roman"/>
          <w:sz w:val="24"/>
          <w:szCs w:val="24"/>
        </w:rPr>
        <w:t>because of</w:t>
      </w:r>
      <w:r w:rsidR="008E294F" w:rsidRPr="00C32509">
        <w:rPr>
          <w:rFonts w:ascii="Times New Roman" w:hAnsi="Times New Roman" w:cs="Times New Roman"/>
          <w:sz w:val="24"/>
          <w:szCs w:val="24"/>
        </w:rPr>
        <w:t xml:space="preserve"> their treatment status not changing throughout the study period. </w:t>
      </w:r>
      <w:r w:rsidR="00F8590C" w:rsidRPr="00C32509">
        <w:rPr>
          <w:rFonts w:ascii="Times New Roman" w:hAnsi="Times New Roman" w:cs="Times New Roman"/>
          <w:sz w:val="24"/>
          <w:szCs w:val="24"/>
        </w:rPr>
        <w:t xml:space="preserve">Including </w:t>
      </w:r>
      <w:r w:rsidR="00F8590C" w:rsidRPr="00C32509">
        <w:rPr>
          <w:rFonts w:ascii="Times New Roman" w:hAnsi="Times New Roman" w:cs="Times New Roman"/>
          <w:i/>
          <w:sz w:val="24"/>
          <w:szCs w:val="24"/>
        </w:rPr>
        <w:t>always-treated</w:t>
      </w:r>
      <w:r w:rsidR="00F8590C" w:rsidRPr="00C32509">
        <w:rPr>
          <w:rFonts w:ascii="Times New Roman" w:hAnsi="Times New Roman" w:cs="Times New Roman"/>
          <w:sz w:val="24"/>
          <w:szCs w:val="24"/>
        </w:rPr>
        <w:t xml:space="preserve"> countries would introduce both </w:t>
      </w:r>
      <w:r w:rsidR="00E178A5" w:rsidRPr="00C32509">
        <w:rPr>
          <w:rFonts w:ascii="Times New Roman" w:hAnsi="Times New Roman" w:cs="Times New Roman"/>
          <w:sz w:val="24"/>
          <w:szCs w:val="24"/>
        </w:rPr>
        <w:t xml:space="preserve">negative weighting </w:t>
      </w:r>
      <w:r w:rsidR="004F4C62" w:rsidRPr="00C32509">
        <w:rPr>
          <w:rFonts w:ascii="Times New Roman" w:hAnsi="Times New Roman" w:cs="Times New Roman"/>
          <w:sz w:val="24"/>
          <w:szCs w:val="24"/>
        </w:rPr>
        <w:t>bias</w:t>
      </w:r>
      <w:r w:rsidR="00074687" w:rsidRPr="00C32509">
        <w:rPr>
          <w:rFonts w:ascii="Times New Roman" w:hAnsi="Times New Roman" w:cs="Times New Roman"/>
          <w:sz w:val="24"/>
          <w:szCs w:val="24"/>
        </w:rPr>
        <w:t xml:space="preserve"> and misrepresentation of the contr</w:t>
      </w:r>
      <w:r w:rsidR="00502A5D" w:rsidRPr="00C32509">
        <w:rPr>
          <w:rFonts w:ascii="Times New Roman" w:hAnsi="Times New Roman" w:cs="Times New Roman"/>
          <w:sz w:val="24"/>
          <w:szCs w:val="24"/>
        </w:rPr>
        <w:t>ol group trajectory</w:t>
      </w:r>
      <w:r w:rsidR="004F4C62" w:rsidRPr="00C32509">
        <w:rPr>
          <w:rFonts w:ascii="Times New Roman" w:hAnsi="Times New Roman" w:cs="Times New Roman"/>
          <w:sz w:val="24"/>
          <w:szCs w:val="24"/>
        </w:rPr>
        <w:t xml:space="preserve"> </w:t>
      </w:r>
      <w:r w:rsidR="007C2A6C" w:rsidRPr="00C32509">
        <w:rPr>
          <w:rFonts w:ascii="Times New Roman" w:hAnsi="Times New Roman" w:cs="Times New Roman"/>
          <w:sz w:val="24"/>
          <w:szCs w:val="24"/>
        </w:rPr>
        <w:fldChar w:fldCharType="begin"/>
      </w:r>
      <w:r w:rsidR="001131A7">
        <w:rPr>
          <w:rFonts w:ascii="Times New Roman" w:hAnsi="Times New Roman" w:cs="Times New Roman"/>
          <w:sz w:val="24"/>
          <w:szCs w:val="24"/>
        </w:rPr>
        <w:instrText xml:space="preserve"> ADDIN ZOTERO_ITEM CSL_CITATION {"citationID":"DTsQvm7O","properties":{"formattedCitation":"(Ludwig &amp; Br\\uc0\\u252{}derl, 2021, p. 475)","plainCitation":"(Ludwig &amp; Brüderl, 2021, p. 475)","noteIndex":0},"citationItems":[{"id":2215,"uris":["http://zotero.org/users/6208848/items/LBSA2IBR"],"itemData":{"id":2215,"type":"article-journal","abstract":"The estimation of impact functions – that is the time-varying causal effect of a dichotomous treatment (e.g., marriage, divorce, parenthood) on outcomes (e.g., earnings, well-being, health) – has become a standard procedure in demographic applications. The basic methodology of estimating impact functions with panel data and fixed-effects regressions is now widely known. However, many researchers may not be fully aware of the methodological subtleties of the approach, which may lead to biased estimates of the impact function. In this paper, we highlight potential pitfalls and provide guidance on how to avoid these in practice. We demonstrate these issues with exemplary analyses, using data from the German Family Panel (pairfam) study and estimating the effect of motherhood on life satisfaction.\n \n* This article belongs to a special issue on “Identification of causal mechanisms in demographic research: The contribution of panel data”.","container-title":"Comparative Population Studies","DOI":"10.12765/CPoS-2021-16","ISSN":"1869-8999","language":"en","source":"www.comparativepopulationstudies.de","title":"What You Need to Know When Estimating Impact Functions with Panel Data for Demographic Research","URL":"https://www.comparativepopulationstudies.de/index.php/CPoS/article/view/468","volume":"46","author":[{"family":"Ludwig","given":"Volker"},{"family":"Brüderl","given":"Josef"}],"accessed":{"date-parts":[["2021",11,29]]},"issued":{"date-parts":[["2021",11,24]]}},"locator":"475"}],"schema":"https://github.com/citation-style-language/schema/raw/master/csl-citation.json"} </w:instrText>
      </w:r>
      <w:r w:rsidR="007C2A6C" w:rsidRPr="00C32509">
        <w:rPr>
          <w:rFonts w:ascii="Times New Roman" w:hAnsi="Times New Roman" w:cs="Times New Roman"/>
          <w:sz w:val="24"/>
          <w:szCs w:val="24"/>
        </w:rPr>
        <w:fldChar w:fldCharType="separate"/>
      </w:r>
      <w:r w:rsidR="007C2A6C" w:rsidRPr="00C32509">
        <w:rPr>
          <w:rFonts w:ascii="Times New Roman" w:hAnsi="Times New Roman" w:cs="Times New Roman"/>
          <w:sz w:val="24"/>
          <w:szCs w:val="24"/>
        </w:rPr>
        <w:t>(Ludwig &amp; Brüderl, 2021, p. 475)</w:t>
      </w:r>
      <w:r w:rsidR="007C2A6C" w:rsidRPr="00C32509">
        <w:rPr>
          <w:rFonts w:ascii="Times New Roman" w:hAnsi="Times New Roman" w:cs="Times New Roman"/>
          <w:sz w:val="24"/>
          <w:szCs w:val="24"/>
        </w:rPr>
        <w:fldChar w:fldCharType="end"/>
      </w:r>
      <w:r w:rsidR="007C2A6C" w:rsidRPr="00C32509">
        <w:rPr>
          <w:rFonts w:ascii="Times New Roman" w:hAnsi="Times New Roman" w:cs="Times New Roman"/>
          <w:sz w:val="24"/>
          <w:szCs w:val="24"/>
        </w:rPr>
        <w:t>.</w:t>
      </w:r>
      <w:r w:rsidR="00E47290" w:rsidRPr="00C32509">
        <w:rPr>
          <w:rFonts w:ascii="Times New Roman" w:hAnsi="Times New Roman" w:cs="Times New Roman"/>
          <w:sz w:val="24"/>
          <w:szCs w:val="24"/>
        </w:rPr>
        <w:t xml:space="preserve"> </w:t>
      </w:r>
      <w:r w:rsidR="00F619FC" w:rsidRPr="00C32509">
        <w:rPr>
          <w:rFonts w:ascii="Times New Roman" w:hAnsi="Times New Roman" w:cs="Times New Roman"/>
          <w:sz w:val="24"/>
          <w:szCs w:val="24"/>
        </w:rPr>
        <w:t xml:space="preserve">After listwise deletion on all variables of interest, I end up with a sample size of </w:t>
      </w:r>
      <w:r w:rsidR="00AC1052" w:rsidRPr="00AC1052">
        <w:rPr>
          <w:rFonts w:ascii="Times New Roman" w:eastAsia="Times New Roman" w:hAnsi="Times New Roman" w:cs="Times New Roman"/>
          <w:color w:val="000000"/>
          <w:sz w:val="24"/>
          <w:szCs w:val="24"/>
          <w:lang w:val="en-GB"/>
        </w:rPr>
        <w:t>181</w:t>
      </w:r>
      <w:r w:rsidR="00AC1052">
        <w:rPr>
          <w:rFonts w:ascii="Times New Roman" w:eastAsia="Times New Roman" w:hAnsi="Times New Roman" w:cs="Times New Roman"/>
          <w:color w:val="000000"/>
          <w:sz w:val="24"/>
          <w:szCs w:val="24"/>
          <w:lang w:val="en-GB"/>
        </w:rPr>
        <w:t>,</w:t>
      </w:r>
      <w:r w:rsidR="00AC1052" w:rsidRPr="00AC1052">
        <w:rPr>
          <w:rFonts w:ascii="Times New Roman" w:eastAsia="Times New Roman" w:hAnsi="Times New Roman" w:cs="Times New Roman"/>
          <w:color w:val="000000"/>
          <w:sz w:val="24"/>
          <w:szCs w:val="24"/>
          <w:lang w:val="en-GB"/>
        </w:rPr>
        <w:t>071</w:t>
      </w:r>
      <w:r w:rsidR="00AC1052">
        <w:rPr>
          <w:rFonts w:ascii="Times New Roman" w:eastAsia="Times New Roman" w:hAnsi="Times New Roman" w:cs="Times New Roman"/>
          <w:color w:val="000000"/>
          <w:sz w:val="24"/>
          <w:szCs w:val="24"/>
          <w:lang w:val="en-GB"/>
        </w:rPr>
        <w:t xml:space="preserve"> </w:t>
      </w:r>
      <w:r w:rsidR="00F619FC" w:rsidRPr="00C32509">
        <w:rPr>
          <w:rFonts w:ascii="Times New Roman" w:hAnsi="Times New Roman" w:cs="Times New Roman"/>
          <w:sz w:val="24"/>
          <w:szCs w:val="24"/>
        </w:rPr>
        <w:t xml:space="preserve">survey responses distributed across 17 countries (118 country-years). </w:t>
      </w:r>
      <w:r w:rsidR="00E47290" w:rsidRPr="00C32509">
        <w:rPr>
          <w:rFonts w:ascii="Times New Roman" w:hAnsi="Times New Roman" w:cs="Times New Roman"/>
          <w:sz w:val="24"/>
          <w:szCs w:val="24"/>
        </w:rPr>
        <w:t xml:space="preserve"> </w:t>
      </w:r>
    </w:p>
    <w:p w14:paraId="12A5540C" w14:textId="3F68DD59" w:rsidR="00C2606F" w:rsidRPr="00C90FC7" w:rsidRDefault="00FF589A" w:rsidP="0007287A">
      <w:pPr>
        <w:spacing w:line="360" w:lineRule="auto"/>
        <w:ind w:firstLine="360"/>
        <w:jc w:val="both"/>
        <w:rPr>
          <w:rFonts w:ascii="Times New Roman" w:hAnsi="Times New Roman" w:cs="Times New Roman"/>
          <w:b/>
          <w:bCs/>
          <w:sz w:val="24"/>
          <w:szCs w:val="24"/>
        </w:rPr>
      </w:pPr>
      <w:r w:rsidRPr="0007287A">
        <w:rPr>
          <w:rFonts w:ascii="Times New Roman" w:hAnsi="Times New Roman" w:cs="Times New Roman"/>
          <w:sz w:val="24"/>
          <w:szCs w:val="24"/>
        </w:rPr>
        <w:t>Table A1</w:t>
      </w:r>
      <w:r w:rsidRPr="00C32509">
        <w:rPr>
          <w:rFonts w:ascii="Times New Roman" w:hAnsi="Times New Roman" w:cs="Times New Roman"/>
          <w:sz w:val="24"/>
          <w:szCs w:val="24"/>
        </w:rPr>
        <w:t xml:space="preserve"> summarizes </w:t>
      </w:r>
      <w:r w:rsidR="002368F2">
        <w:rPr>
          <w:rFonts w:ascii="Times New Roman" w:hAnsi="Times New Roman" w:cs="Times New Roman"/>
          <w:sz w:val="24"/>
          <w:szCs w:val="24"/>
        </w:rPr>
        <w:t>central</w:t>
      </w:r>
      <w:r w:rsidRPr="00C32509">
        <w:rPr>
          <w:rFonts w:ascii="Times New Roman" w:hAnsi="Times New Roman" w:cs="Times New Roman"/>
          <w:sz w:val="24"/>
          <w:szCs w:val="24"/>
        </w:rPr>
        <w:t xml:space="preserve"> information on the countries I have included in the sample. In the second column, I have listed the name of the </w:t>
      </w:r>
      <w:r w:rsidR="00CC691C">
        <w:rPr>
          <w:rFonts w:ascii="Times New Roman" w:hAnsi="Times New Roman" w:cs="Times New Roman"/>
          <w:sz w:val="24"/>
          <w:szCs w:val="24"/>
        </w:rPr>
        <w:t>RRP</w:t>
      </w:r>
      <w:r w:rsidRPr="00C32509">
        <w:rPr>
          <w:rFonts w:ascii="Times New Roman" w:hAnsi="Times New Roman" w:cs="Times New Roman"/>
          <w:sz w:val="24"/>
          <w:szCs w:val="24"/>
        </w:rPr>
        <w:t xml:space="preserve"> that entered parliament. </w:t>
      </w:r>
      <w:r w:rsidR="001E39B1">
        <w:rPr>
          <w:rFonts w:ascii="Times New Roman" w:hAnsi="Times New Roman" w:cs="Times New Roman"/>
          <w:sz w:val="24"/>
          <w:szCs w:val="24"/>
        </w:rPr>
        <w:t>If this</w:t>
      </w:r>
      <w:r w:rsidRPr="00C32509">
        <w:rPr>
          <w:rFonts w:ascii="Times New Roman" w:hAnsi="Times New Roman" w:cs="Times New Roman"/>
          <w:sz w:val="24"/>
          <w:szCs w:val="24"/>
        </w:rPr>
        <w:t xml:space="preserve"> field i</w:t>
      </w:r>
      <w:r w:rsidR="00943A0D">
        <w:rPr>
          <w:rFonts w:ascii="Times New Roman" w:hAnsi="Times New Roman" w:cs="Times New Roman"/>
          <w:sz w:val="24"/>
          <w:szCs w:val="24"/>
        </w:rPr>
        <w:t xml:space="preserve">s </w:t>
      </w:r>
      <w:r w:rsidR="003D2EBA">
        <w:rPr>
          <w:rFonts w:ascii="Times New Roman" w:hAnsi="Times New Roman" w:cs="Times New Roman"/>
          <w:sz w:val="24"/>
          <w:szCs w:val="24"/>
        </w:rPr>
        <w:t>empty</w:t>
      </w:r>
      <w:r w:rsidR="001C4D7C">
        <w:rPr>
          <w:rFonts w:ascii="Times New Roman" w:hAnsi="Times New Roman" w:cs="Times New Roman"/>
          <w:sz w:val="24"/>
          <w:szCs w:val="24"/>
        </w:rPr>
        <w:t xml:space="preserve"> </w:t>
      </w:r>
      <w:r w:rsidR="00943A0D">
        <w:rPr>
          <w:rFonts w:ascii="Times New Roman" w:hAnsi="Times New Roman" w:cs="Times New Roman"/>
          <w:sz w:val="24"/>
          <w:szCs w:val="24"/>
        </w:rPr>
        <w:t>it</w:t>
      </w:r>
      <w:r w:rsidRPr="00C32509">
        <w:rPr>
          <w:rFonts w:ascii="Times New Roman" w:hAnsi="Times New Roman" w:cs="Times New Roman"/>
          <w:sz w:val="24"/>
          <w:szCs w:val="24"/>
        </w:rPr>
        <w:t xml:space="preserve"> </w:t>
      </w:r>
      <w:r w:rsidR="006158DD">
        <w:rPr>
          <w:rFonts w:ascii="Times New Roman" w:hAnsi="Times New Roman" w:cs="Times New Roman"/>
          <w:sz w:val="24"/>
          <w:szCs w:val="24"/>
        </w:rPr>
        <w:t>means</w:t>
      </w:r>
      <w:r w:rsidRPr="00C32509">
        <w:rPr>
          <w:rFonts w:ascii="Times New Roman" w:hAnsi="Times New Roman" w:cs="Times New Roman"/>
          <w:sz w:val="24"/>
          <w:szCs w:val="24"/>
        </w:rPr>
        <w:t xml:space="preserve"> that the country did not experience a </w:t>
      </w:r>
      <w:r w:rsidR="00CC691C">
        <w:rPr>
          <w:rFonts w:ascii="Times New Roman" w:hAnsi="Times New Roman" w:cs="Times New Roman"/>
          <w:sz w:val="24"/>
          <w:szCs w:val="24"/>
        </w:rPr>
        <w:t>RRP</w:t>
      </w:r>
      <w:r w:rsidRPr="00C32509">
        <w:rPr>
          <w:rFonts w:ascii="Times New Roman" w:hAnsi="Times New Roman" w:cs="Times New Roman"/>
          <w:sz w:val="24"/>
          <w:szCs w:val="24"/>
        </w:rPr>
        <w:t xml:space="preserve"> enter parliament during the studied period. Iceland, Ireland, Lithuania, </w:t>
      </w:r>
      <w:r w:rsidR="006F35D7">
        <w:rPr>
          <w:rFonts w:ascii="Times New Roman" w:hAnsi="Times New Roman" w:cs="Times New Roman"/>
          <w:sz w:val="24"/>
          <w:szCs w:val="24"/>
        </w:rPr>
        <w:t xml:space="preserve">and </w:t>
      </w:r>
      <w:r w:rsidRPr="00C32509">
        <w:rPr>
          <w:rFonts w:ascii="Times New Roman" w:hAnsi="Times New Roman" w:cs="Times New Roman"/>
          <w:sz w:val="24"/>
          <w:szCs w:val="24"/>
        </w:rPr>
        <w:t>Luxembourg</w:t>
      </w:r>
      <w:r w:rsidR="006F35D7">
        <w:rPr>
          <w:rFonts w:ascii="Times New Roman" w:hAnsi="Times New Roman" w:cs="Times New Roman"/>
          <w:sz w:val="24"/>
          <w:szCs w:val="24"/>
        </w:rPr>
        <w:t xml:space="preserve"> </w:t>
      </w:r>
      <w:r w:rsidRPr="00C32509">
        <w:rPr>
          <w:rFonts w:ascii="Times New Roman" w:hAnsi="Times New Roman" w:cs="Times New Roman"/>
          <w:sz w:val="24"/>
          <w:szCs w:val="24"/>
        </w:rPr>
        <w:t xml:space="preserve">did not </w:t>
      </w:r>
      <w:r w:rsidR="00572A25">
        <w:rPr>
          <w:rFonts w:ascii="Times New Roman" w:hAnsi="Times New Roman" w:cs="Times New Roman"/>
          <w:sz w:val="24"/>
          <w:szCs w:val="24"/>
        </w:rPr>
        <w:t>elect</w:t>
      </w:r>
      <w:r w:rsidRPr="00C32509">
        <w:rPr>
          <w:rFonts w:ascii="Times New Roman" w:hAnsi="Times New Roman" w:cs="Times New Roman"/>
          <w:sz w:val="24"/>
          <w:szCs w:val="24"/>
        </w:rPr>
        <w:t xml:space="preserve"> a </w:t>
      </w:r>
      <w:r w:rsidR="00CC691C">
        <w:rPr>
          <w:rFonts w:ascii="Times New Roman" w:hAnsi="Times New Roman" w:cs="Times New Roman"/>
          <w:sz w:val="24"/>
          <w:szCs w:val="24"/>
        </w:rPr>
        <w:t>RRP</w:t>
      </w:r>
      <w:r w:rsidRPr="00C32509">
        <w:rPr>
          <w:rFonts w:ascii="Times New Roman" w:hAnsi="Times New Roman" w:cs="Times New Roman"/>
          <w:sz w:val="24"/>
          <w:szCs w:val="24"/>
        </w:rPr>
        <w:t xml:space="preserve"> </w:t>
      </w:r>
      <w:r w:rsidR="00572A25">
        <w:rPr>
          <w:rFonts w:ascii="Times New Roman" w:hAnsi="Times New Roman" w:cs="Times New Roman"/>
          <w:sz w:val="24"/>
          <w:szCs w:val="24"/>
        </w:rPr>
        <w:t>to parliament</w:t>
      </w:r>
      <w:r w:rsidRPr="00C32509">
        <w:rPr>
          <w:rFonts w:ascii="Times New Roman" w:hAnsi="Times New Roman" w:cs="Times New Roman"/>
          <w:sz w:val="24"/>
          <w:szCs w:val="24"/>
        </w:rPr>
        <w:t xml:space="preserve"> and </w:t>
      </w:r>
      <w:r w:rsidR="00771458">
        <w:rPr>
          <w:rFonts w:ascii="Times New Roman" w:hAnsi="Times New Roman" w:cs="Times New Roman"/>
          <w:sz w:val="24"/>
          <w:szCs w:val="24"/>
        </w:rPr>
        <w:t>thus</w:t>
      </w:r>
      <w:r w:rsidRPr="00C32509">
        <w:rPr>
          <w:rFonts w:ascii="Times New Roman" w:hAnsi="Times New Roman" w:cs="Times New Roman"/>
          <w:sz w:val="24"/>
          <w:szCs w:val="24"/>
        </w:rPr>
        <w:t xml:space="preserve"> constitute a comparison group. I also list the first year the </w:t>
      </w:r>
      <w:r w:rsidR="00CC691C">
        <w:rPr>
          <w:rFonts w:ascii="Times New Roman" w:hAnsi="Times New Roman" w:cs="Times New Roman"/>
          <w:sz w:val="24"/>
          <w:szCs w:val="24"/>
        </w:rPr>
        <w:t>RRP</w:t>
      </w:r>
      <w:r w:rsidRPr="00C32509">
        <w:rPr>
          <w:rFonts w:ascii="Times New Roman" w:hAnsi="Times New Roman" w:cs="Times New Roman"/>
          <w:sz w:val="24"/>
          <w:szCs w:val="24"/>
        </w:rPr>
        <w:t xml:space="preserve"> entered parliament, whether the country uses a proportional representation system, and whether the voting system requires that political parties exceed a legal electoral threshold to gain parliamentary representation in the national parliament. Czech Republic, France, Hungary, Slovakia, and Ukraine had a </w:t>
      </w:r>
      <w:r w:rsidR="00CC691C">
        <w:rPr>
          <w:rFonts w:ascii="Times New Roman" w:hAnsi="Times New Roman" w:cs="Times New Roman"/>
          <w:sz w:val="24"/>
          <w:szCs w:val="24"/>
        </w:rPr>
        <w:t>RRP</w:t>
      </w:r>
      <w:r w:rsidRPr="00C32509">
        <w:rPr>
          <w:rFonts w:ascii="Times New Roman" w:hAnsi="Times New Roman" w:cs="Times New Roman"/>
          <w:sz w:val="24"/>
          <w:szCs w:val="24"/>
        </w:rPr>
        <w:t xml:space="preserve"> enter the national parliament before the start of the data period. However, I choose to still include these countries, since their respective </w:t>
      </w:r>
      <w:r w:rsidR="00CC691C">
        <w:rPr>
          <w:rFonts w:ascii="Times New Roman" w:hAnsi="Times New Roman" w:cs="Times New Roman"/>
          <w:sz w:val="24"/>
          <w:szCs w:val="24"/>
        </w:rPr>
        <w:t>RRP</w:t>
      </w:r>
      <w:r w:rsidRPr="00C32509">
        <w:rPr>
          <w:rFonts w:ascii="Times New Roman" w:hAnsi="Times New Roman" w:cs="Times New Roman"/>
          <w:sz w:val="24"/>
          <w:szCs w:val="24"/>
        </w:rPr>
        <w:t xml:space="preserve">s’ lost their seats in parliament and </w:t>
      </w:r>
      <w:r w:rsidR="00CF37CA">
        <w:rPr>
          <w:rFonts w:ascii="Times New Roman" w:hAnsi="Times New Roman" w:cs="Times New Roman"/>
          <w:sz w:val="24"/>
          <w:szCs w:val="24"/>
        </w:rPr>
        <w:t>had</w:t>
      </w:r>
      <w:r w:rsidRPr="00C32509">
        <w:rPr>
          <w:rFonts w:ascii="Times New Roman" w:hAnsi="Times New Roman" w:cs="Times New Roman"/>
          <w:sz w:val="24"/>
          <w:szCs w:val="24"/>
        </w:rPr>
        <w:t xml:space="preserve"> not regain</w:t>
      </w:r>
      <w:r w:rsidR="00CF37CA">
        <w:rPr>
          <w:rFonts w:ascii="Times New Roman" w:hAnsi="Times New Roman" w:cs="Times New Roman"/>
          <w:sz w:val="24"/>
          <w:szCs w:val="24"/>
        </w:rPr>
        <w:t>ed</w:t>
      </w:r>
      <w:r w:rsidRPr="00C32509">
        <w:rPr>
          <w:rFonts w:ascii="Times New Roman" w:hAnsi="Times New Roman" w:cs="Times New Roman"/>
          <w:sz w:val="24"/>
          <w:szCs w:val="24"/>
        </w:rPr>
        <w:t xml:space="preserve"> them by the first ESS round.</w:t>
      </w:r>
      <w:r w:rsidR="00C2606F">
        <w:rPr>
          <w:rFonts w:ascii="Times New Roman" w:hAnsi="Times New Roman" w:cs="Times New Roman"/>
          <w:sz w:val="24"/>
          <w:szCs w:val="24"/>
        </w:rPr>
        <w:t xml:space="preserve"> </w:t>
      </w:r>
      <w:r w:rsidRPr="00C32509">
        <w:rPr>
          <w:rFonts w:ascii="Times New Roman" w:hAnsi="Times New Roman" w:cs="Times New Roman"/>
          <w:sz w:val="24"/>
          <w:szCs w:val="24"/>
        </w:rPr>
        <w:t>When selecting radical right parties</w:t>
      </w:r>
      <w:r w:rsidR="00F075D4">
        <w:rPr>
          <w:rFonts w:ascii="Times New Roman" w:hAnsi="Times New Roman" w:cs="Times New Roman"/>
          <w:sz w:val="24"/>
          <w:szCs w:val="24"/>
        </w:rPr>
        <w:t xml:space="preserve"> </w:t>
      </w:r>
      <w:r w:rsidR="001A17E5">
        <w:rPr>
          <w:rFonts w:ascii="Times New Roman" w:hAnsi="Times New Roman" w:cs="Times New Roman"/>
          <w:sz w:val="24"/>
          <w:szCs w:val="24"/>
        </w:rPr>
        <w:t>that are both characterized as ‘populist’ and ‘nativist</w:t>
      </w:r>
      <w:r w:rsidRPr="00C32509">
        <w:rPr>
          <w:rFonts w:ascii="Times New Roman" w:hAnsi="Times New Roman" w:cs="Times New Roman"/>
          <w:sz w:val="24"/>
          <w:szCs w:val="24"/>
        </w:rPr>
        <w:t xml:space="preserve">, I </w:t>
      </w:r>
      <w:r w:rsidR="00701384">
        <w:rPr>
          <w:rFonts w:ascii="Times New Roman" w:hAnsi="Times New Roman" w:cs="Times New Roman"/>
          <w:sz w:val="24"/>
          <w:szCs w:val="24"/>
        </w:rPr>
        <w:t>rely on both</w:t>
      </w:r>
      <w:r w:rsidRPr="00C32509">
        <w:rPr>
          <w:rFonts w:ascii="Times New Roman" w:hAnsi="Times New Roman" w:cs="Times New Roman"/>
          <w:sz w:val="24"/>
          <w:szCs w:val="24"/>
        </w:rPr>
        <w:t xml:space="preserve"> Cas Mudde’s </w:t>
      </w:r>
      <w:r w:rsidRPr="00C32509">
        <w:rPr>
          <w:rFonts w:ascii="Times New Roman" w:hAnsi="Times New Roman" w:cs="Times New Roman"/>
          <w:sz w:val="24"/>
          <w:szCs w:val="24"/>
        </w:rPr>
        <w:fldChar w:fldCharType="begin"/>
      </w:r>
      <w:r w:rsidR="001131A7">
        <w:rPr>
          <w:rFonts w:ascii="Times New Roman" w:hAnsi="Times New Roman" w:cs="Times New Roman"/>
          <w:sz w:val="24"/>
          <w:szCs w:val="24"/>
        </w:rPr>
        <w:instrText xml:space="preserve"> ADDIN ZOTERO_ITEM CSL_CITATION {"citationID":"0mn838Tt","properties":{"formattedCitation":"(2007, p. 307)","plainCitation":"(2007, p. 307)","noteIndex":0},"citationItems":[{"id":1859,"uris":["http://zotero.org/users/6208848/items/ZXQVT7DU"],"itemData":{"id":1859,"type":"book","abstract":"As Europe enters a significant phase of re-integration of East and West, it faces an increasing problem with the rise of far-right political parties. Cas Mudde offers the first comprehensive and truly pan-European study of populist radical right parties in Europe. He focuses on the parties themselves, discussing them both as dependent and independent variables. Based upon a wealth of primary and secondary literature, this book offers critical and original insights into three major aspects of European populist radical right parties: concepts and classifications; themes and issues; and explanations for electoral failures and successes.  It concludes with a discussion of the impact of radical right parties on European democracies, and vice versa, and offers suggestions for future research.","event-place":"Cambridge","ISBN":"978-0-521-85081-0","note":"DOI: 10.1017/CBO9780511492037","publisher":"Cambridge University Press","publisher-place":"Cambridge","source":"Cambridge University Press","title":"Populist Radical Right Parties in Europe","URL":"https://www.cambridge.org/core/books/populist-radical-right-parties-in-europe/244D86C50E6D1DC44C86C4D1D313F16D","author":[{"family":"Mudde","given":"Cas"}],"accessed":{"date-parts":[["2021",5,7]]},"issued":{"date-parts":[["2007"]]}},"locator":"307","label":"page","suppress-author":true}],"schema":"https://github.com/citation-style-language/schema/raw/master/csl-citation.json"} </w:instrText>
      </w:r>
      <w:r w:rsidRPr="00C32509">
        <w:rPr>
          <w:rFonts w:ascii="Times New Roman" w:hAnsi="Times New Roman" w:cs="Times New Roman"/>
          <w:sz w:val="24"/>
          <w:szCs w:val="24"/>
        </w:rPr>
        <w:fldChar w:fldCharType="separate"/>
      </w:r>
      <w:r w:rsidRPr="00C32509">
        <w:rPr>
          <w:rFonts w:ascii="Times New Roman" w:hAnsi="Times New Roman" w:cs="Times New Roman"/>
          <w:sz w:val="24"/>
          <w:szCs w:val="24"/>
        </w:rPr>
        <w:t>(2007, p. 307)</w:t>
      </w:r>
      <w:r w:rsidRPr="00C32509">
        <w:rPr>
          <w:rFonts w:ascii="Times New Roman" w:hAnsi="Times New Roman" w:cs="Times New Roman"/>
          <w:sz w:val="24"/>
          <w:szCs w:val="24"/>
        </w:rPr>
        <w:fldChar w:fldCharType="end"/>
      </w:r>
      <w:r w:rsidRPr="00C32509">
        <w:rPr>
          <w:rFonts w:ascii="Times New Roman" w:hAnsi="Times New Roman" w:cs="Times New Roman"/>
          <w:sz w:val="24"/>
          <w:szCs w:val="24"/>
        </w:rPr>
        <w:t xml:space="preserve"> classification</w:t>
      </w:r>
      <w:r w:rsidR="001F1FA5">
        <w:rPr>
          <w:rFonts w:ascii="Times New Roman" w:hAnsi="Times New Roman" w:cs="Times New Roman"/>
          <w:sz w:val="24"/>
          <w:szCs w:val="24"/>
        </w:rPr>
        <w:t xml:space="preserve"> and </w:t>
      </w:r>
      <w:r w:rsidR="00686E83">
        <w:rPr>
          <w:rFonts w:ascii="Times New Roman" w:hAnsi="Times New Roman" w:cs="Times New Roman"/>
          <w:sz w:val="24"/>
          <w:szCs w:val="24"/>
        </w:rPr>
        <w:t xml:space="preserve">the PopuList </w:t>
      </w:r>
      <w:r w:rsidR="00214178">
        <w:rPr>
          <w:rFonts w:ascii="Times New Roman" w:hAnsi="Times New Roman" w:cs="Times New Roman"/>
          <w:sz w:val="24"/>
          <w:szCs w:val="24"/>
        </w:rPr>
        <w:t>database</w:t>
      </w:r>
      <w:r w:rsidR="00703BA1">
        <w:rPr>
          <w:rFonts w:ascii="Times New Roman" w:hAnsi="Times New Roman" w:cs="Times New Roman"/>
          <w:sz w:val="24"/>
          <w:szCs w:val="24"/>
        </w:rPr>
        <w:t xml:space="preserve"> </w:t>
      </w:r>
      <w:r w:rsidR="001131A7">
        <w:rPr>
          <w:rFonts w:ascii="Times New Roman" w:hAnsi="Times New Roman" w:cs="Times New Roman"/>
          <w:sz w:val="24"/>
          <w:szCs w:val="24"/>
        </w:rPr>
        <w:fldChar w:fldCharType="begin"/>
      </w:r>
      <w:r w:rsidR="00D413AE">
        <w:rPr>
          <w:rFonts w:ascii="Times New Roman" w:hAnsi="Times New Roman" w:cs="Times New Roman"/>
          <w:sz w:val="24"/>
          <w:szCs w:val="24"/>
        </w:rPr>
        <w:instrText xml:space="preserve"> ADDIN ZOTERO_ITEM CSL_CITATION {"citationID":"DBKWKWpG","properties":{"formattedCitation":"(Rooduijn et al., 2019)","plainCitation":"(Rooduijn et al., 2019)","noteIndex":0},"citationItems":[{"id":2783,"uris":["http://zotero.org/users/6208848/items/ZDLT2W28"],"itemData":{"id":2783,"type":"webpage","abstract":"The PopuList offers academics and journalists an overview of populist, far right, far left and Eurosceptic parties in Europe since 1989. The PopuList is supported by the Amsterdam Institute for Social Science Research, the Amsterdam Centre for European Studies, The Guardian, and the ECPR Standing Group on Extremism and Democracy. The PopuList dataset has been used in…","title":"The PopuList: An Overview of Populist, Far Right, Far Left and Eurosceptic Parties in Europe.","URL":"https://popu-list.org/","author":[{"family":"Rooduijn","given":"M."},{"family":"Kessel","given":"S.","non-dropping-particle":"van"},{"family":"Froio","given":"C."},{"family":"Pirro","given":"A."},{"family":"De Lange","given":"S."},{"family":"Halikiopoulou","given":"D."},{"family":"Lewis","given":"P."},{"family":"Mudde","given":"C."},{"family":"Taggart","given":"P."}],"accessed":{"date-parts":[["2022",6,23]]},"issued":{"date-parts":[["2019"]]}}}],"schema":"https://github.com/citation-style-language/schema/raw/master/csl-citation.json"} </w:instrText>
      </w:r>
      <w:r w:rsidR="001131A7">
        <w:rPr>
          <w:rFonts w:ascii="Times New Roman" w:hAnsi="Times New Roman" w:cs="Times New Roman"/>
          <w:sz w:val="24"/>
          <w:szCs w:val="24"/>
        </w:rPr>
        <w:fldChar w:fldCharType="separate"/>
      </w:r>
      <w:r w:rsidR="00D413AE" w:rsidRPr="00D413AE">
        <w:rPr>
          <w:rFonts w:ascii="Times New Roman" w:hAnsi="Times New Roman" w:cs="Times New Roman"/>
          <w:sz w:val="24"/>
        </w:rPr>
        <w:t>(Rooduijn et al., 2019)</w:t>
      </w:r>
      <w:r w:rsidR="001131A7">
        <w:rPr>
          <w:rFonts w:ascii="Times New Roman" w:hAnsi="Times New Roman" w:cs="Times New Roman"/>
          <w:sz w:val="24"/>
          <w:szCs w:val="24"/>
        </w:rPr>
        <w:fldChar w:fldCharType="end"/>
      </w:r>
      <w:r w:rsidR="009E2403">
        <w:rPr>
          <w:rFonts w:ascii="Times New Roman" w:hAnsi="Times New Roman" w:cs="Times New Roman"/>
          <w:sz w:val="24"/>
          <w:szCs w:val="24"/>
        </w:rPr>
        <w:t xml:space="preserve">. </w:t>
      </w:r>
      <w:r w:rsidR="00954C67">
        <w:rPr>
          <w:rFonts w:ascii="Times New Roman" w:hAnsi="Times New Roman" w:cs="Times New Roman"/>
          <w:sz w:val="24"/>
          <w:szCs w:val="24"/>
        </w:rPr>
        <w:t xml:space="preserve">Using both </w:t>
      </w:r>
      <w:r w:rsidR="007E7FA2">
        <w:rPr>
          <w:rFonts w:ascii="Times New Roman" w:hAnsi="Times New Roman" w:cs="Times New Roman"/>
          <w:sz w:val="24"/>
          <w:szCs w:val="24"/>
        </w:rPr>
        <w:t>sources</w:t>
      </w:r>
      <w:r w:rsidR="00954C67">
        <w:rPr>
          <w:rFonts w:ascii="Times New Roman" w:hAnsi="Times New Roman" w:cs="Times New Roman"/>
          <w:sz w:val="24"/>
          <w:szCs w:val="24"/>
        </w:rPr>
        <w:t xml:space="preserve"> </w:t>
      </w:r>
      <w:r w:rsidR="00696978">
        <w:rPr>
          <w:rFonts w:ascii="Times New Roman" w:hAnsi="Times New Roman" w:cs="Times New Roman"/>
          <w:sz w:val="24"/>
          <w:szCs w:val="24"/>
        </w:rPr>
        <w:t>enable</w:t>
      </w:r>
      <w:r w:rsidR="00F624B7">
        <w:rPr>
          <w:rFonts w:ascii="Times New Roman" w:hAnsi="Times New Roman" w:cs="Times New Roman"/>
          <w:sz w:val="24"/>
          <w:szCs w:val="24"/>
        </w:rPr>
        <w:t>s</w:t>
      </w:r>
      <w:r w:rsidR="00954C67">
        <w:rPr>
          <w:rFonts w:ascii="Times New Roman" w:hAnsi="Times New Roman" w:cs="Times New Roman"/>
          <w:sz w:val="24"/>
          <w:szCs w:val="24"/>
        </w:rPr>
        <w:t xml:space="preserve"> me to include </w:t>
      </w:r>
      <w:r w:rsidR="00CC691C">
        <w:rPr>
          <w:rFonts w:ascii="Times New Roman" w:hAnsi="Times New Roman" w:cs="Times New Roman"/>
          <w:sz w:val="24"/>
          <w:szCs w:val="24"/>
        </w:rPr>
        <w:t>RRP</w:t>
      </w:r>
      <w:r w:rsidRPr="00C32509">
        <w:rPr>
          <w:rFonts w:ascii="Times New Roman" w:hAnsi="Times New Roman" w:cs="Times New Roman"/>
          <w:sz w:val="24"/>
          <w:szCs w:val="24"/>
        </w:rPr>
        <w:t xml:space="preserve">s founded after the </w:t>
      </w:r>
      <w:r w:rsidR="0071714D" w:rsidRPr="00C32509">
        <w:rPr>
          <w:rFonts w:ascii="Times New Roman" w:hAnsi="Times New Roman" w:cs="Times New Roman"/>
          <w:sz w:val="24"/>
          <w:szCs w:val="24"/>
        </w:rPr>
        <w:t>publication</w:t>
      </w:r>
      <w:r w:rsidRPr="00C32509">
        <w:rPr>
          <w:rFonts w:ascii="Times New Roman" w:hAnsi="Times New Roman" w:cs="Times New Roman"/>
          <w:sz w:val="24"/>
          <w:szCs w:val="24"/>
        </w:rPr>
        <w:t xml:space="preserve"> of </w:t>
      </w:r>
      <w:r w:rsidR="00755C28">
        <w:rPr>
          <w:rFonts w:ascii="Times New Roman" w:hAnsi="Times New Roman" w:cs="Times New Roman"/>
          <w:sz w:val="24"/>
          <w:szCs w:val="24"/>
        </w:rPr>
        <w:t xml:space="preserve">Cas </w:t>
      </w:r>
      <w:r w:rsidRPr="00C32509">
        <w:rPr>
          <w:rFonts w:ascii="Times New Roman" w:hAnsi="Times New Roman" w:cs="Times New Roman"/>
          <w:sz w:val="24"/>
          <w:szCs w:val="24"/>
        </w:rPr>
        <w:t>Mudde’s book (e.g., Vox in Spain)</w:t>
      </w:r>
      <w:r w:rsidR="00954C67">
        <w:rPr>
          <w:rFonts w:ascii="Times New Roman" w:hAnsi="Times New Roman" w:cs="Times New Roman"/>
          <w:sz w:val="24"/>
          <w:szCs w:val="24"/>
        </w:rPr>
        <w:t>.</w:t>
      </w:r>
    </w:p>
    <w:p w14:paraId="7C98F256" w14:textId="176988F9" w:rsidR="00C2606F" w:rsidRDefault="00C2606F" w:rsidP="0007287A">
      <w:pPr>
        <w:spacing w:line="360" w:lineRule="auto"/>
      </w:pPr>
    </w:p>
    <w:p w14:paraId="46B87BD1" w14:textId="77777777" w:rsidR="00C90FC7" w:rsidRDefault="00C90FC7" w:rsidP="0007287A">
      <w:pPr>
        <w:spacing w:line="360" w:lineRule="auto"/>
      </w:pPr>
    </w:p>
    <w:p w14:paraId="148644D0" w14:textId="7E0A9043" w:rsidR="00C90FC7" w:rsidRDefault="00C90FC7" w:rsidP="0007287A">
      <w:pPr>
        <w:spacing w:line="360" w:lineRule="auto"/>
      </w:pPr>
    </w:p>
    <w:p w14:paraId="764D5D16" w14:textId="77777777" w:rsidR="00C90FC7" w:rsidRPr="00C2606F" w:rsidRDefault="00C90FC7" w:rsidP="0007287A">
      <w:pPr>
        <w:spacing w:line="360" w:lineRule="auto"/>
      </w:pPr>
    </w:p>
    <w:p w14:paraId="5FFDBC41" w14:textId="777F4D3E" w:rsidR="003F393D" w:rsidRPr="00022CE2" w:rsidRDefault="003F393D" w:rsidP="0007287A">
      <w:pPr>
        <w:pStyle w:val="Overskrift3"/>
        <w:spacing w:line="360" w:lineRule="auto"/>
        <w:rPr>
          <w:rFonts w:ascii="Times New Roman" w:hAnsi="Times New Roman" w:cs="Times New Roman"/>
          <w:b/>
          <w:color w:val="auto"/>
        </w:rPr>
      </w:pPr>
      <w:bookmarkStart w:id="4" w:name="_Toc113820345"/>
      <w:r w:rsidRPr="00022CE2">
        <w:rPr>
          <w:rFonts w:ascii="Times New Roman" w:hAnsi="Times New Roman" w:cs="Times New Roman"/>
          <w:b/>
          <w:color w:val="auto"/>
        </w:rPr>
        <w:lastRenderedPageBreak/>
        <w:t>Table A1: List of countries and Radical Right Parties</w:t>
      </w:r>
      <w:bookmarkEnd w:id="4"/>
    </w:p>
    <w:tbl>
      <w:tblPr>
        <w:tblpPr w:leftFromText="180" w:rightFromText="180" w:vertAnchor="text" w:horzAnchor="margin" w:tblpXSpec="center" w:tblpY="75"/>
        <w:tblW w:w="9270" w:type="dxa"/>
        <w:tblLook w:val="04A0" w:firstRow="1" w:lastRow="0" w:firstColumn="1" w:lastColumn="0" w:noHBand="0" w:noVBand="1"/>
      </w:tblPr>
      <w:tblGrid>
        <w:gridCol w:w="1260"/>
        <w:gridCol w:w="3420"/>
        <w:gridCol w:w="1440"/>
        <w:gridCol w:w="1980"/>
        <w:gridCol w:w="1170"/>
      </w:tblGrid>
      <w:tr w:rsidR="003F393D" w:rsidRPr="00C32509" w14:paraId="213E3932" w14:textId="77777777" w:rsidTr="00EB6B6D">
        <w:trPr>
          <w:trHeight w:val="350"/>
        </w:trPr>
        <w:tc>
          <w:tcPr>
            <w:tcW w:w="1260" w:type="dxa"/>
            <w:tcBorders>
              <w:top w:val="single" w:sz="4" w:space="0" w:color="auto"/>
              <w:left w:val="nil"/>
              <w:bottom w:val="single" w:sz="4" w:space="0" w:color="auto"/>
              <w:right w:val="nil"/>
            </w:tcBorders>
            <w:shd w:val="clear" w:color="000000" w:fill="FFFFFF"/>
            <w:noWrap/>
            <w:vAlign w:val="bottom"/>
            <w:hideMark/>
          </w:tcPr>
          <w:p w14:paraId="242C02D9" w14:textId="77777777" w:rsidR="003F393D" w:rsidRPr="00C32509" w:rsidRDefault="003F393D" w:rsidP="0007287A">
            <w:pPr>
              <w:spacing w:after="0" w:line="240" w:lineRule="auto"/>
              <w:jc w:val="both"/>
              <w:rPr>
                <w:rFonts w:ascii="Times New Roman" w:eastAsia="Times New Roman" w:hAnsi="Times New Roman" w:cs="Times New Roman"/>
                <w:b/>
                <w:bCs/>
                <w:color w:val="000000"/>
                <w:sz w:val="20"/>
                <w:szCs w:val="20"/>
              </w:rPr>
            </w:pPr>
            <w:r w:rsidRPr="00C32509">
              <w:rPr>
                <w:rFonts w:ascii="Times New Roman" w:eastAsia="Times New Roman" w:hAnsi="Times New Roman" w:cs="Times New Roman"/>
                <w:b/>
                <w:bCs/>
                <w:color w:val="000000"/>
                <w:sz w:val="20"/>
                <w:szCs w:val="20"/>
              </w:rPr>
              <w:t>Country</w:t>
            </w:r>
          </w:p>
        </w:tc>
        <w:tc>
          <w:tcPr>
            <w:tcW w:w="3420" w:type="dxa"/>
            <w:tcBorders>
              <w:top w:val="single" w:sz="4" w:space="0" w:color="auto"/>
              <w:left w:val="nil"/>
              <w:bottom w:val="single" w:sz="4" w:space="0" w:color="auto"/>
              <w:right w:val="nil"/>
            </w:tcBorders>
            <w:shd w:val="clear" w:color="000000" w:fill="FFFFFF"/>
            <w:noWrap/>
            <w:vAlign w:val="bottom"/>
            <w:hideMark/>
          </w:tcPr>
          <w:p w14:paraId="477614A0" w14:textId="77777777" w:rsidR="003F393D" w:rsidRPr="00C32509" w:rsidRDefault="003F393D" w:rsidP="0007287A">
            <w:pPr>
              <w:spacing w:after="0" w:line="240" w:lineRule="auto"/>
              <w:jc w:val="both"/>
              <w:rPr>
                <w:rFonts w:ascii="Times New Roman" w:eastAsia="Times New Roman" w:hAnsi="Times New Roman" w:cs="Times New Roman"/>
                <w:b/>
                <w:bCs/>
                <w:color w:val="000000"/>
                <w:sz w:val="20"/>
                <w:szCs w:val="20"/>
              </w:rPr>
            </w:pPr>
            <w:r w:rsidRPr="00C32509">
              <w:rPr>
                <w:rFonts w:ascii="Times New Roman" w:eastAsia="Times New Roman" w:hAnsi="Times New Roman" w:cs="Times New Roman"/>
                <w:b/>
                <w:bCs/>
                <w:color w:val="000000"/>
                <w:sz w:val="20"/>
                <w:szCs w:val="20"/>
              </w:rPr>
              <w:t>Party name</w:t>
            </w:r>
          </w:p>
        </w:tc>
        <w:tc>
          <w:tcPr>
            <w:tcW w:w="1440" w:type="dxa"/>
            <w:tcBorders>
              <w:top w:val="single" w:sz="4" w:space="0" w:color="auto"/>
              <w:left w:val="nil"/>
              <w:bottom w:val="single" w:sz="4" w:space="0" w:color="auto"/>
              <w:right w:val="nil"/>
            </w:tcBorders>
            <w:shd w:val="clear" w:color="auto" w:fill="auto"/>
            <w:noWrap/>
            <w:vAlign w:val="bottom"/>
            <w:hideMark/>
          </w:tcPr>
          <w:p w14:paraId="18021724" w14:textId="77777777" w:rsidR="003F393D" w:rsidRPr="00C32509" w:rsidRDefault="003F393D" w:rsidP="0007287A">
            <w:pPr>
              <w:spacing w:after="0" w:line="240" w:lineRule="auto"/>
              <w:jc w:val="both"/>
              <w:rPr>
                <w:rFonts w:ascii="Times New Roman" w:eastAsia="Times New Roman" w:hAnsi="Times New Roman" w:cs="Times New Roman"/>
                <w:b/>
                <w:bCs/>
                <w:color w:val="000000"/>
                <w:sz w:val="20"/>
                <w:szCs w:val="20"/>
              </w:rPr>
            </w:pPr>
            <w:r w:rsidRPr="00C32509">
              <w:rPr>
                <w:rFonts w:ascii="Times New Roman" w:eastAsia="Times New Roman" w:hAnsi="Times New Roman" w:cs="Times New Roman"/>
                <w:b/>
                <w:bCs/>
                <w:color w:val="000000"/>
                <w:sz w:val="20"/>
                <w:szCs w:val="20"/>
              </w:rPr>
              <w:t>Entrance year</w:t>
            </w:r>
          </w:p>
        </w:tc>
        <w:tc>
          <w:tcPr>
            <w:tcW w:w="1980" w:type="dxa"/>
            <w:tcBorders>
              <w:top w:val="single" w:sz="4" w:space="0" w:color="auto"/>
              <w:left w:val="nil"/>
              <w:bottom w:val="single" w:sz="4" w:space="0" w:color="auto"/>
              <w:right w:val="nil"/>
            </w:tcBorders>
            <w:shd w:val="clear" w:color="000000" w:fill="FFFFFF"/>
            <w:noWrap/>
            <w:vAlign w:val="bottom"/>
            <w:hideMark/>
          </w:tcPr>
          <w:p w14:paraId="233E91D4" w14:textId="77777777" w:rsidR="003F393D" w:rsidRPr="00C32509" w:rsidRDefault="003F393D" w:rsidP="0007287A">
            <w:pPr>
              <w:spacing w:after="0" w:line="240" w:lineRule="auto"/>
              <w:jc w:val="both"/>
              <w:rPr>
                <w:rFonts w:ascii="Times New Roman" w:eastAsia="Times New Roman" w:hAnsi="Times New Roman" w:cs="Times New Roman"/>
                <w:b/>
                <w:bCs/>
                <w:color w:val="000000"/>
                <w:sz w:val="20"/>
                <w:szCs w:val="20"/>
              </w:rPr>
            </w:pPr>
            <w:r w:rsidRPr="00C32509">
              <w:rPr>
                <w:rFonts w:ascii="Times New Roman" w:eastAsia="Times New Roman" w:hAnsi="Times New Roman" w:cs="Times New Roman"/>
                <w:b/>
                <w:bCs/>
                <w:color w:val="000000"/>
                <w:sz w:val="20"/>
                <w:szCs w:val="20"/>
              </w:rPr>
              <w:t>Proportional system</w:t>
            </w:r>
          </w:p>
        </w:tc>
        <w:tc>
          <w:tcPr>
            <w:tcW w:w="1170" w:type="dxa"/>
            <w:tcBorders>
              <w:top w:val="single" w:sz="4" w:space="0" w:color="auto"/>
              <w:left w:val="nil"/>
              <w:bottom w:val="single" w:sz="4" w:space="0" w:color="auto"/>
              <w:right w:val="nil"/>
            </w:tcBorders>
            <w:shd w:val="clear" w:color="000000" w:fill="FFFFFF"/>
            <w:noWrap/>
            <w:vAlign w:val="bottom"/>
            <w:hideMark/>
          </w:tcPr>
          <w:p w14:paraId="326D2C03" w14:textId="77777777" w:rsidR="003F393D" w:rsidRPr="00C32509" w:rsidRDefault="003F393D" w:rsidP="0007287A">
            <w:pPr>
              <w:spacing w:after="0" w:line="240" w:lineRule="auto"/>
              <w:jc w:val="both"/>
              <w:rPr>
                <w:rFonts w:ascii="Times New Roman" w:eastAsia="Times New Roman" w:hAnsi="Times New Roman" w:cs="Times New Roman"/>
                <w:b/>
                <w:bCs/>
                <w:color w:val="000000"/>
                <w:sz w:val="20"/>
                <w:szCs w:val="20"/>
              </w:rPr>
            </w:pPr>
            <w:r w:rsidRPr="00C32509">
              <w:rPr>
                <w:rFonts w:ascii="Times New Roman" w:eastAsia="Times New Roman" w:hAnsi="Times New Roman" w:cs="Times New Roman"/>
                <w:b/>
                <w:bCs/>
                <w:color w:val="000000"/>
                <w:sz w:val="20"/>
                <w:szCs w:val="20"/>
              </w:rPr>
              <w:t>Threshold</w:t>
            </w:r>
          </w:p>
        </w:tc>
      </w:tr>
      <w:tr w:rsidR="003F393D" w:rsidRPr="00C32509" w14:paraId="1E163742" w14:textId="77777777" w:rsidTr="00EB6B6D">
        <w:trPr>
          <w:trHeight w:val="325"/>
        </w:trPr>
        <w:tc>
          <w:tcPr>
            <w:tcW w:w="1260" w:type="dxa"/>
            <w:tcBorders>
              <w:top w:val="nil"/>
              <w:left w:val="nil"/>
              <w:bottom w:val="nil"/>
              <w:right w:val="nil"/>
            </w:tcBorders>
            <w:shd w:val="clear" w:color="000000" w:fill="FFFFFF"/>
            <w:noWrap/>
            <w:vAlign w:val="bottom"/>
            <w:hideMark/>
          </w:tcPr>
          <w:p w14:paraId="6B24FF4A"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Cyprus</w:t>
            </w:r>
          </w:p>
        </w:tc>
        <w:tc>
          <w:tcPr>
            <w:tcW w:w="3420" w:type="dxa"/>
            <w:tcBorders>
              <w:top w:val="nil"/>
              <w:left w:val="nil"/>
              <w:bottom w:val="nil"/>
              <w:right w:val="nil"/>
            </w:tcBorders>
            <w:shd w:val="clear" w:color="000000" w:fill="FFFFFF"/>
            <w:noWrap/>
            <w:vAlign w:val="bottom"/>
            <w:hideMark/>
          </w:tcPr>
          <w:p w14:paraId="0562A8B5"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National Popular Front</w:t>
            </w:r>
          </w:p>
        </w:tc>
        <w:tc>
          <w:tcPr>
            <w:tcW w:w="1440" w:type="dxa"/>
            <w:tcBorders>
              <w:top w:val="nil"/>
              <w:left w:val="nil"/>
              <w:bottom w:val="nil"/>
              <w:right w:val="nil"/>
            </w:tcBorders>
            <w:shd w:val="clear" w:color="000000" w:fill="FFFFFF"/>
            <w:noWrap/>
            <w:vAlign w:val="bottom"/>
            <w:hideMark/>
          </w:tcPr>
          <w:p w14:paraId="34EECDBE"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2016</w:t>
            </w:r>
          </w:p>
        </w:tc>
        <w:tc>
          <w:tcPr>
            <w:tcW w:w="1980" w:type="dxa"/>
            <w:tcBorders>
              <w:top w:val="nil"/>
              <w:left w:val="nil"/>
              <w:bottom w:val="nil"/>
              <w:right w:val="nil"/>
            </w:tcBorders>
            <w:shd w:val="clear" w:color="000000" w:fill="FFFFFF"/>
            <w:noWrap/>
            <w:vAlign w:val="bottom"/>
            <w:hideMark/>
          </w:tcPr>
          <w:p w14:paraId="4857CF62"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Yes</w:t>
            </w:r>
          </w:p>
        </w:tc>
        <w:tc>
          <w:tcPr>
            <w:tcW w:w="1170" w:type="dxa"/>
            <w:tcBorders>
              <w:top w:val="nil"/>
              <w:left w:val="nil"/>
              <w:bottom w:val="nil"/>
              <w:right w:val="nil"/>
            </w:tcBorders>
            <w:shd w:val="clear" w:color="000000" w:fill="FFFFFF"/>
            <w:noWrap/>
            <w:vAlign w:val="bottom"/>
            <w:hideMark/>
          </w:tcPr>
          <w:p w14:paraId="6BBBC8E0"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Yes</w:t>
            </w:r>
          </w:p>
        </w:tc>
      </w:tr>
      <w:tr w:rsidR="003F393D" w:rsidRPr="00C32509" w14:paraId="1D27A2EA" w14:textId="77777777" w:rsidTr="00EB6B6D">
        <w:trPr>
          <w:trHeight w:val="325"/>
        </w:trPr>
        <w:tc>
          <w:tcPr>
            <w:tcW w:w="1260" w:type="dxa"/>
            <w:tcBorders>
              <w:top w:val="nil"/>
              <w:left w:val="nil"/>
              <w:bottom w:val="nil"/>
              <w:right w:val="nil"/>
            </w:tcBorders>
            <w:shd w:val="clear" w:color="000000" w:fill="FFFFFF"/>
            <w:noWrap/>
            <w:vAlign w:val="bottom"/>
            <w:hideMark/>
          </w:tcPr>
          <w:p w14:paraId="55529872"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Czechia</w:t>
            </w:r>
          </w:p>
        </w:tc>
        <w:tc>
          <w:tcPr>
            <w:tcW w:w="3420" w:type="dxa"/>
            <w:tcBorders>
              <w:top w:val="nil"/>
              <w:left w:val="nil"/>
              <w:bottom w:val="nil"/>
              <w:right w:val="nil"/>
            </w:tcBorders>
            <w:shd w:val="clear" w:color="000000" w:fill="FFFFFF"/>
            <w:noWrap/>
            <w:vAlign w:val="bottom"/>
            <w:hideMark/>
          </w:tcPr>
          <w:p w14:paraId="5CAF3377"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Dawn</w:t>
            </w:r>
          </w:p>
        </w:tc>
        <w:tc>
          <w:tcPr>
            <w:tcW w:w="1440" w:type="dxa"/>
            <w:tcBorders>
              <w:top w:val="nil"/>
              <w:left w:val="nil"/>
              <w:bottom w:val="nil"/>
              <w:right w:val="nil"/>
            </w:tcBorders>
            <w:shd w:val="clear" w:color="000000" w:fill="FFFFFF"/>
            <w:noWrap/>
            <w:vAlign w:val="bottom"/>
            <w:hideMark/>
          </w:tcPr>
          <w:p w14:paraId="48564534"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2013</w:t>
            </w:r>
          </w:p>
        </w:tc>
        <w:tc>
          <w:tcPr>
            <w:tcW w:w="1980" w:type="dxa"/>
            <w:tcBorders>
              <w:top w:val="nil"/>
              <w:left w:val="nil"/>
              <w:bottom w:val="nil"/>
              <w:right w:val="nil"/>
            </w:tcBorders>
            <w:shd w:val="clear" w:color="000000" w:fill="FFFFFF"/>
            <w:noWrap/>
            <w:vAlign w:val="bottom"/>
            <w:hideMark/>
          </w:tcPr>
          <w:p w14:paraId="30A9C817"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Yes</w:t>
            </w:r>
          </w:p>
        </w:tc>
        <w:tc>
          <w:tcPr>
            <w:tcW w:w="1170" w:type="dxa"/>
            <w:tcBorders>
              <w:top w:val="nil"/>
              <w:left w:val="nil"/>
              <w:bottom w:val="nil"/>
              <w:right w:val="nil"/>
            </w:tcBorders>
            <w:shd w:val="clear" w:color="000000" w:fill="FFFFFF"/>
            <w:noWrap/>
            <w:vAlign w:val="bottom"/>
            <w:hideMark/>
          </w:tcPr>
          <w:p w14:paraId="7C6DD8EB"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Yes</w:t>
            </w:r>
          </w:p>
        </w:tc>
      </w:tr>
      <w:tr w:rsidR="003F393D" w:rsidRPr="00C32509" w14:paraId="6ED3494F" w14:textId="77777777" w:rsidTr="00EB6B6D">
        <w:trPr>
          <w:trHeight w:val="325"/>
        </w:trPr>
        <w:tc>
          <w:tcPr>
            <w:tcW w:w="1260" w:type="dxa"/>
            <w:tcBorders>
              <w:top w:val="nil"/>
              <w:left w:val="nil"/>
              <w:bottom w:val="nil"/>
              <w:right w:val="nil"/>
            </w:tcBorders>
            <w:shd w:val="clear" w:color="000000" w:fill="FFFFFF"/>
            <w:noWrap/>
            <w:vAlign w:val="bottom"/>
            <w:hideMark/>
          </w:tcPr>
          <w:p w14:paraId="14A1A215"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Estonia</w:t>
            </w:r>
          </w:p>
        </w:tc>
        <w:tc>
          <w:tcPr>
            <w:tcW w:w="3420" w:type="dxa"/>
            <w:tcBorders>
              <w:top w:val="nil"/>
              <w:left w:val="nil"/>
              <w:bottom w:val="nil"/>
              <w:right w:val="nil"/>
            </w:tcBorders>
            <w:shd w:val="clear" w:color="000000" w:fill="FFFFFF"/>
            <w:noWrap/>
            <w:vAlign w:val="bottom"/>
            <w:hideMark/>
          </w:tcPr>
          <w:p w14:paraId="17D3C684"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Conservative People's Party of Estonia</w:t>
            </w:r>
          </w:p>
        </w:tc>
        <w:tc>
          <w:tcPr>
            <w:tcW w:w="1440" w:type="dxa"/>
            <w:tcBorders>
              <w:top w:val="nil"/>
              <w:left w:val="nil"/>
              <w:bottom w:val="nil"/>
              <w:right w:val="nil"/>
            </w:tcBorders>
            <w:shd w:val="clear" w:color="000000" w:fill="FFFFFF"/>
            <w:noWrap/>
            <w:vAlign w:val="bottom"/>
            <w:hideMark/>
          </w:tcPr>
          <w:p w14:paraId="327362FC"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2016</w:t>
            </w:r>
          </w:p>
        </w:tc>
        <w:tc>
          <w:tcPr>
            <w:tcW w:w="1980" w:type="dxa"/>
            <w:tcBorders>
              <w:top w:val="nil"/>
              <w:left w:val="nil"/>
              <w:bottom w:val="nil"/>
              <w:right w:val="nil"/>
            </w:tcBorders>
            <w:shd w:val="clear" w:color="000000" w:fill="FFFFFF"/>
            <w:noWrap/>
            <w:vAlign w:val="bottom"/>
            <w:hideMark/>
          </w:tcPr>
          <w:p w14:paraId="0FA93DC2"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Yes</w:t>
            </w:r>
          </w:p>
        </w:tc>
        <w:tc>
          <w:tcPr>
            <w:tcW w:w="1170" w:type="dxa"/>
            <w:tcBorders>
              <w:top w:val="nil"/>
              <w:left w:val="nil"/>
              <w:bottom w:val="nil"/>
              <w:right w:val="nil"/>
            </w:tcBorders>
            <w:shd w:val="clear" w:color="000000" w:fill="FFFFFF"/>
            <w:noWrap/>
            <w:vAlign w:val="bottom"/>
            <w:hideMark/>
          </w:tcPr>
          <w:p w14:paraId="6AB2F7A4"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Yes</w:t>
            </w:r>
          </w:p>
        </w:tc>
      </w:tr>
      <w:tr w:rsidR="003F393D" w:rsidRPr="00C32509" w14:paraId="6A1925BD" w14:textId="77777777" w:rsidTr="00EB6B6D">
        <w:trPr>
          <w:trHeight w:val="325"/>
        </w:trPr>
        <w:tc>
          <w:tcPr>
            <w:tcW w:w="1260" w:type="dxa"/>
            <w:tcBorders>
              <w:top w:val="nil"/>
              <w:left w:val="nil"/>
              <w:bottom w:val="nil"/>
              <w:right w:val="nil"/>
            </w:tcBorders>
            <w:shd w:val="clear" w:color="000000" w:fill="FFFFFF"/>
            <w:noWrap/>
            <w:vAlign w:val="bottom"/>
            <w:hideMark/>
          </w:tcPr>
          <w:p w14:paraId="3AB049C5"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France</w:t>
            </w:r>
          </w:p>
        </w:tc>
        <w:tc>
          <w:tcPr>
            <w:tcW w:w="3420" w:type="dxa"/>
            <w:tcBorders>
              <w:top w:val="nil"/>
              <w:left w:val="nil"/>
              <w:bottom w:val="nil"/>
              <w:right w:val="nil"/>
            </w:tcBorders>
            <w:shd w:val="clear" w:color="000000" w:fill="FFFFFF"/>
            <w:noWrap/>
            <w:vAlign w:val="bottom"/>
            <w:hideMark/>
          </w:tcPr>
          <w:p w14:paraId="180ADDF7"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National Front</w:t>
            </w:r>
          </w:p>
        </w:tc>
        <w:tc>
          <w:tcPr>
            <w:tcW w:w="1440" w:type="dxa"/>
            <w:tcBorders>
              <w:top w:val="nil"/>
              <w:left w:val="nil"/>
              <w:bottom w:val="nil"/>
              <w:right w:val="nil"/>
            </w:tcBorders>
            <w:shd w:val="clear" w:color="000000" w:fill="FFFFFF"/>
            <w:noWrap/>
            <w:vAlign w:val="bottom"/>
            <w:hideMark/>
          </w:tcPr>
          <w:p w14:paraId="73F20693"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2012</w:t>
            </w:r>
          </w:p>
        </w:tc>
        <w:tc>
          <w:tcPr>
            <w:tcW w:w="1980" w:type="dxa"/>
            <w:tcBorders>
              <w:top w:val="nil"/>
              <w:left w:val="nil"/>
              <w:bottom w:val="nil"/>
              <w:right w:val="nil"/>
            </w:tcBorders>
            <w:shd w:val="clear" w:color="000000" w:fill="FFFFFF"/>
            <w:noWrap/>
            <w:vAlign w:val="bottom"/>
            <w:hideMark/>
          </w:tcPr>
          <w:p w14:paraId="26F317EF"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No</w:t>
            </w:r>
          </w:p>
        </w:tc>
        <w:tc>
          <w:tcPr>
            <w:tcW w:w="1170" w:type="dxa"/>
            <w:tcBorders>
              <w:top w:val="nil"/>
              <w:left w:val="nil"/>
              <w:bottom w:val="nil"/>
              <w:right w:val="nil"/>
            </w:tcBorders>
            <w:shd w:val="clear" w:color="000000" w:fill="FFFFFF"/>
            <w:noWrap/>
            <w:vAlign w:val="bottom"/>
            <w:hideMark/>
          </w:tcPr>
          <w:p w14:paraId="56EA0044"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No</w:t>
            </w:r>
          </w:p>
        </w:tc>
      </w:tr>
      <w:tr w:rsidR="003F393D" w:rsidRPr="00C32509" w14:paraId="257977E4" w14:textId="77777777" w:rsidTr="00EB6B6D">
        <w:trPr>
          <w:trHeight w:val="325"/>
        </w:trPr>
        <w:tc>
          <w:tcPr>
            <w:tcW w:w="1260" w:type="dxa"/>
            <w:tcBorders>
              <w:top w:val="nil"/>
              <w:left w:val="nil"/>
              <w:bottom w:val="nil"/>
              <w:right w:val="nil"/>
            </w:tcBorders>
            <w:shd w:val="clear" w:color="000000" w:fill="FFFFFF"/>
            <w:noWrap/>
            <w:vAlign w:val="bottom"/>
            <w:hideMark/>
          </w:tcPr>
          <w:p w14:paraId="61C9B939"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Germany</w:t>
            </w:r>
          </w:p>
        </w:tc>
        <w:tc>
          <w:tcPr>
            <w:tcW w:w="3420" w:type="dxa"/>
            <w:tcBorders>
              <w:top w:val="nil"/>
              <w:left w:val="nil"/>
              <w:bottom w:val="nil"/>
              <w:right w:val="nil"/>
            </w:tcBorders>
            <w:shd w:val="clear" w:color="000000" w:fill="FFFFFF"/>
            <w:noWrap/>
            <w:vAlign w:val="bottom"/>
            <w:hideMark/>
          </w:tcPr>
          <w:p w14:paraId="12D39953"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Alternative for Germany</w:t>
            </w:r>
          </w:p>
        </w:tc>
        <w:tc>
          <w:tcPr>
            <w:tcW w:w="1440" w:type="dxa"/>
            <w:tcBorders>
              <w:top w:val="nil"/>
              <w:left w:val="nil"/>
              <w:bottom w:val="nil"/>
              <w:right w:val="nil"/>
            </w:tcBorders>
            <w:shd w:val="clear" w:color="000000" w:fill="FFFFFF"/>
            <w:noWrap/>
            <w:vAlign w:val="bottom"/>
            <w:hideMark/>
          </w:tcPr>
          <w:p w14:paraId="5AADC1EB"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2017</w:t>
            </w:r>
          </w:p>
        </w:tc>
        <w:tc>
          <w:tcPr>
            <w:tcW w:w="1980" w:type="dxa"/>
            <w:tcBorders>
              <w:top w:val="nil"/>
              <w:left w:val="nil"/>
              <w:bottom w:val="nil"/>
              <w:right w:val="nil"/>
            </w:tcBorders>
            <w:shd w:val="clear" w:color="000000" w:fill="FFFFFF"/>
            <w:noWrap/>
            <w:vAlign w:val="bottom"/>
            <w:hideMark/>
          </w:tcPr>
          <w:p w14:paraId="56F53A1F"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Yes</w:t>
            </w:r>
          </w:p>
        </w:tc>
        <w:tc>
          <w:tcPr>
            <w:tcW w:w="1170" w:type="dxa"/>
            <w:tcBorders>
              <w:top w:val="nil"/>
              <w:left w:val="nil"/>
              <w:bottom w:val="nil"/>
              <w:right w:val="nil"/>
            </w:tcBorders>
            <w:shd w:val="clear" w:color="000000" w:fill="FFFFFF"/>
            <w:noWrap/>
            <w:vAlign w:val="bottom"/>
            <w:hideMark/>
          </w:tcPr>
          <w:p w14:paraId="18C3AABB"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Yes</w:t>
            </w:r>
          </w:p>
        </w:tc>
      </w:tr>
      <w:tr w:rsidR="003F393D" w:rsidRPr="00C32509" w14:paraId="39B3353E" w14:textId="77777777" w:rsidTr="00EB6B6D">
        <w:trPr>
          <w:trHeight w:val="325"/>
        </w:trPr>
        <w:tc>
          <w:tcPr>
            <w:tcW w:w="1260" w:type="dxa"/>
            <w:tcBorders>
              <w:top w:val="nil"/>
              <w:left w:val="nil"/>
              <w:bottom w:val="nil"/>
              <w:right w:val="nil"/>
            </w:tcBorders>
            <w:shd w:val="clear" w:color="000000" w:fill="FFFFFF"/>
            <w:noWrap/>
            <w:vAlign w:val="bottom"/>
            <w:hideMark/>
          </w:tcPr>
          <w:p w14:paraId="3FF922E5"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Greece</w:t>
            </w:r>
          </w:p>
        </w:tc>
        <w:tc>
          <w:tcPr>
            <w:tcW w:w="3420" w:type="dxa"/>
            <w:tcBorders>
              <w:top w:val="nil"/>
              <w:left w:val="nil"/>
              <w:bottom w:val="nil"/>
              <w:right w:val="nil"/>
            </w:tcBorders>
            <w:shd w:val="clear" w:color="000000" w:fill="FFFFFF"/>
            <w:noWrap/>
            <w:vAlign w:val="bottom"/>
            <w:hideMark/>
          </w:tcPr>
          <w:p w14:paraId="53BC8674"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Popular Orthodox Rally</w:t>
            </w:r>
          </w:p>
        </w:tc>
        <w:tc>
          <w:tcPr>
            <w:tcW w:w="1440" w:type="dxa"/>
            <w:tcBorders>
              <w:top w:val="nil"/>
              <w:left w:val="nil"/>
              <w:bottom w:val="nil"/>
              <w:right w:val="nil"/>
            </w:tcBorders>
            <w:shd w:val="clear" w:color="000000" w:fill="FFFFFF"/>
            <w:noWrap/>
            <w:vAlign w:val="bottom"/>
            <w:hideMark/>
          </w:tcPr>
          <w:p w14:paraId="027EF320"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2007</w:t>
            </w:r>
          </w:p>
        </w:tc>
        <w:tc>
          <w:tcPr>
            <w:tcW w:w="1980" w:type="dxa"/>
            <w:tcBorders>
              <w:top w:val="nil"/>
              <w:left w:val="nil"/>
              <w:bottom w:val="nil"/>
              <w:right w:val="nil"/>
            </w:tcBorders>
            <w:shd w:val="clear" w:color="000000" w:fill="FFFFFF"/>
            <w:noWrap/>
            <w:vAlign w:val="bottom"/>
            <w:hideMark/>
          </w:tcPr>
          <w:p w14:paraId="5B41C414"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Yes</w:t>
            </w:r>
          </w:p>
        </w:tc>
        <w:tc>
          <w:tcPr>
            <w:tcW w:w="1170" w:type="dxa"/>
            <w:tcBorders>
              <w:top w:val="nil"/>
              <w:left w:val="nil"/>
              <w:bottom w:val="nil"/>
              <w:right w:val="nil"/>
            </w:tcBorders>
            <w:shd w:val="clear" w:color="000000" w:fill="FFFFFF"/>
            <w:noWrap/>
            <w:vAlign w:val="bottom"/>
            <w:hideMark/>
          </w:tcPr>
          <w:p w14:paraId="050C089D"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Yes</w:t>
            </w:r>
          </w:p>
        </w:tc>
      </w:tr>
      <w:tr w:rsidR="003F393D" w:rsidRPr="00C32509" w14:paraId="5EAE7DA7" w14:textId="77777777" w:rsidTr="00EB6B6D">
        <w:trPr>
          <w:trHeight w:val="325"/>
        </w:trPr>
        <w:tc>
          <w:tcPr>
            <w:tcW w:w="1260" w:type="dxa"/>
            <w:tcBorders>
              <w:top w:val="nil"/>
              <w:left w:val="nil"/>
              <w:bottom w:val="nil"/>
              <w:right w:val="nil"/>
            </w:tcBorders>
            <w:shd w:val="clear" w:color="000000" w:fill="FFFFFF"/>
            <w:noWrap/>
            <w:vAlign w:val="bottom"/>
            <w:hideMark/>
          </w:tcPr>
          <w:p w14:paraId="2B0E6CEF"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Hungary</w:t>
            </w:r>
          </w:p>
        </w:tc>
        <w:tc>
          <w:tcPr>
            <w:tcW w:w="3420" w:type="dxa"/>
            <w:tcBorders>
              <w:top w:val="nil"/>
              <w:left w:val="nil"/>
              <w:bottom w:val="nil"/>
              <w:right w:val="nil"/>
            </w:tcBorders>
            <w:shd w:val="clear" w:color="000000" w:fill="FFFFFF"/>
            <w:noWrap/>
            <w:vAlign w:val="bottom"/>
            <w:hideMark/>
          </w:tcPr>
          <w:p w14:paraId="6375C565"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Jobbik</w:t>
            </w:r>
          </w:p>
        </w:tc>
        <w:tc>
          <w:tcPr>
            <w:tcW w:w="1440" w:type="dxa"/>
            <w:tcBorders>
              <w:top w:val="nil"/>
              <w:left w:val="nil"/>
              <w:bottom w:val="nil"/>
              <w:right w:val="nil"/>
            </w:tcBorders>
            <w:shd w:val="clear" w:color="000000" w:fill="FFFFFF"/>
            <w:noWrap/>
            <w:vAlign w:val="bottom"/>
            <w:hideMark/>
          </w:tcPr>
          <w:p w14:paraId="382292DA"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2010</w:t>
            </w:r>
          </w:p>
        </w:tc>
        <w:tc>
          <w:tcPr>
            <w:tcW w:w="1980" w:type="dxa"/>
            <w:tcBorders>
              <w:top w:val="nil"/>
              <w:left w:val="nil"/>
              <w:bottom w:val="nil"/>
              <w:right w:val="nil"/>
            </w:tcBorders>
            <w:shd w:val="clear" w:color="000000" w:fill="FFFFFF"/>
            <w:noWrap/>
            <w:vAlign w:val="bottom"/>
            <w:hideMark/>
          </w:tcPr>
          <w:p w14:paraId="216882E6"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No</w:t>
            </w:r>
          </w:p>
        </w:tc>
        <w:tc>
          <w:tcPr>
            <w:tcW w:w="1170" w:type="dxa"/>
            <w:tcBorders>
              <w:top w:val="nil"/>
              <w:left w:val="nil"/>
              <w:bottom w:val="nil"/>
              <w:right w:val="nil"/>
            </w:tcBorders>
            <w:shd w:val="clear" w:color="000000" w:fill="FFFFFF"/>
            <w:noWrap/>
            <w:vAlign w:val="bottom"/>
            <w:hideMark/>
          </w:tcPr>
          <w:p w14:paraId="417272E4"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Yes</w:t>
            </w:r>
          </w:p>
        </w:tc>
      </w:tr>
      <w:tr w:rsidR="003F393D" w:rsidRPr="00C32509" w14:paraId="0FD3E5FD" w14:textId="77777777" w:rsidTr="00EB6B6D">
        <w:trPr>
          <w:trHeight w:val="325"/>
        </w:trPr>
        <w:tc>
          <w:tcPr>
            <w:tcW w:w="1260" w:type="dxa"/>
            <w:tcBorders>
              <w:top w:val="nil"/>
              <w:left w:val="nil"/>
              <w:bottom w:val="nil"/>
              <w:right w:val="nil"/>
            </w:tcBorders>
            <w:shd w:val="clear" w:color="000000" w:fill="FFFFFF"/>
            <w:noWrap/>
            <w:vAlign w:val="bottom"/>
            <w:hideMark/>
          </w:tcPr>
          <w:p w14:paraId="67174DED"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Iceland</w:t>
            </w:r>
          </w:p>
        </w:tc>
        <w:tc>
          <w:tcPr>
            <w:tcW w:w="3420" w:type="dxa"/>
            <w:tcBorders>
              <w:top w:val="nil"/>
              <w:left w:val="nil"/>
              <w:bottom w:val="nil"/>
              <w:right w:val="nil"/>
            </w:tcBorders>
            <w:shd w:val="clear" w:color="000000" w:fill="FFFFFF"/>
            <w:noWrap/>
            <w:vAlign w:val="bottom"/>
            <w:hideMark/>
          </w:tcPr>
          <w:p w14:paraId="04156A46"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000000" w:fill="FFFFFF"/>
            <w:noWrap/>
            <w:vAlign w:val="bottom"/>
            <w:hideMark/>
          </w:tcPr>
          <w:p w14:paraId="449AA57E"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p>
        </w:tc>
        <w:tc>
          <w:tcPr>
            <w:tcW w:w="1980" w:type="dxa"/>
            <w:tcBorders>
              <w:top w:val="nil"/>
              <w:left w:val="nil"/>
              <w:bottom w:val="nil"/>
              <w:right w:val="nil"/>
            </w:tcBorders>
            <w:shd w:val="clear" w:color="000000" w:fill="FFFFFF"/>
            <w:noWrap/>
            <w:vAlign w:val="bottom"/>
            <w:hideMark/>
          </w:tcPr>
          <w:p w14:paraId="7BCBB719"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Yes</w:t>
            </w:r>
          </w:p>
        </w:tc>
        <w:tc>
          <w:tcPr>
            <w:tcW w:w="1170" w:type="dxa"/>
            <w:tcBorders>
              <w:top w:val="nil"/>
              <w:left w:val="nil"/>
              <w:bottom w:val="nil"/>
              <w:right w:val="nil"/>
            </w:tcBorders>
            <w:shd w:val="clear" w:color="000000" w:fill="FFFFFF"/>
            <w:noWrap/>
            <w:vAlign w:val="bottom"/>
            <w:hideMark/>
          </w:tcPr>
          <w:p w14:paraId="513C429A"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Yes</w:t>
            </w:r>
          </w:p>
        </w:tc>
      </w:tr>
      <w:tr w:rsidR="003F393D" w:rsidRPr="00C32509" w14:paraId="7152F72A" w14:textId="77777777" w:rsidTr="00EB6B6D">
        <w:trPr>
          <w:trHeight w:val="325"/>
        </w:trPr>
        <w:tc>
          <w:tcPr>
            <w:tcW w:w="1260" w:type="dxa"/>
            <w:tcBorders>
              <w:top w:val="nil"/>
              <w:left w:val="nil"/>
              <w:bottom w:val="nil"/>
              <w:right w:val="nil"/>
            </w:tcBorders>
            <w:shd w:val="clear" w:color="000000" w:fill="FFFFFF"/>
            <w:noWrap/>
            <w:vAlign w:val="bottom"/>
            <w:hideMark/>
          </w:tcPr>
          <w:p w14:paraId="4F2ADECB"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Ireland</w:t>
            </w:r>
          </w:p>
        </w:tc>
        <w:tc>
          <w:tcPr>
            <w:tcW w:w="3420" w:type="dxa"/>
            <w:tcBorders>
              <w:top w:val="nil"/>
              <w:left w:val="nil"/>
              <w:bottom w:val="nil"/>
              <w:right w:val="nil"/>
            </w:tcBorders>
            <w:shd w:val="clear" w:color="000000" w:fill="FFFFFF"/>
            <w:noWrap/>
            <w:vAlign w:val="bottom"/>
            <w:hideMark/>
          </w:tcPr>
          <w:p w14:paraId="3AB20151"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000000" w:fill="FFFFFF"/>
            <w:noWrap/>
            <w:vAlign w:val="bottom"/>
            <w:hideMark/>
          </w:tcPr>
          <w:p w14:paraId="59E945A9"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p>
        </w:tc>
        <w:tc>
          <w:tcPr>
            <w:tcW w:w="1980" w:type="dxa"/>
            <w:tcBorders>
              <w:top w:val="nil"/>
              <w:left w:val="nil"/>
              <w:bottom w:val="nil"/>
              <w:right w:val="nil"/>
            </w:tcBorders>
            <w:shd w:val="clear" w:color="000000" w:fill="FFFFFF"/>
            <w:noWrap/>
            <w:vAlign w:val="bottom"/>
            <w:hideMark/>
          </w:tcPr>
          <w:p w14:paraId="652237F0"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No</w:t>
            </w:r>
          </w:p>
        </w:tc>
        <w:tc>
          <w:tcPr>
            <w:tcW w:w="1170" w:type="dxa"/>
            <w:tcBorders>
              <w:top w:val="nil"/>
              <w:left w:val="nil"/>
              <w:bottom w:val="nil"/>
              <w:right w:val="nil"/>
            </w:tcBorders>
            <w:shd w:val="clear" w:color="000000" w:fill="FFFFFF"/>
            <w:noWrap/>
            <w:vAlign w:val="bottom"/>
            <w:hideMark/>
          </w:tcPr>
          <w:p w14:paraId="6CC8E054"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No</w:t>
            </w:r>
          </w:p>
        </w:tc>
      </w:tr>
      <w:tr w:rsidR="003F393D" w:rsidRPr="00C32509" w14:paraId="247E3B6B" w14:textId="77777777" w:rsidTr="00EB6B6D">
        <w:trPr>
          <w:trHeight w:val="325"/>
        </w:trPr>
        <w:tc>
          <w:tcPr>
            <w:tcW w:w="1260" w:type="dxa"/>
            <w:tcBorders>
              <w:top w:val="nil"/>
              <w:left w:val="nil"/>
              <w:bottom w:val="nil"/>
              <w:right w:val="nil"/>
            </w:tcBorders>
            <w:shd w:val="clear" w:color="000000" w:fill="FFFFFF"/>
            <w:noWrap/>
            <w:vAlign w:val="bottom"/>
            <w:hideMark/>
          </w:tcPr>
          <w:p w14:paraId="16E101D1"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Lithuania</w:t>
            </w:r>
          </w:p>
        </w:tc>
        <w:tc>
          <w:tcPr>
            <w:tcW w:w="3420" w:type="dxa"/>
            <w:tcBorders>
              <w:top w:val="nil"/>
              <w:left w:val="nil"/>
              <w:bottom w:val="nil"/>
              <w:right w:val="nil"/>
            </w:tcBorders>
            <w:shd w:val="clear" w:color="000000" w:fill="FFFFFF"/>
            <w:noWrap/>
            <w:vAlign w:val="bottom"/>
            <w:hideMark/>
          </w:tcPr>
          <w:p w14:paraId="510F76A2"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000000" w:fill="FFFFFF"/>
            <w:noWrap/>
            <w:vAlign w:val="bottom"/>
            <w:hideMark/>
          </w:tcPr>
          <w:p w14:paraId="5946F82C"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p>
        </w:tc>
        <w:tc>
          <w:tcPr>
            <w:tcW w:w="1980" w:type="dxa"/>
            <w:tcBorders>
              <w:top w:val="nil"/>
              <w:left w:val="nil"/>
              <w:bottom w:val="nil"/>
              <w:right w:val="nil"/>
            </w:tcBorders>
            <w:shd w:val="clear" w:color="000000" w:fill="FFFFFF"/>
            <w:noWrap/>
            <w:vAlign w:val="bottom"/>
            <w:hideMark/>
          </w:tcPr>
          <w:p w14:paraId="12AB893A"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Yes</w:t>
            </w:r>
          </w:p>
        </w:tc>
        <w:tc>
          <w:tcPr>
            <w:tcW w:w="1170" w:type="dxa"/>
            <w:tcBorders>
              <w:top w:val="nil"/>
              <w:left w:val="nil"/>
              <w:bottom w:val="nil"/>
              <w:right w:val="nil"/>
            </w:tcBorders>
            <w:shd w:val="clear" w:color="000000" w:fill="FFFFFF"/>
            <w:noWrap/>
            <w:vAlign w:val="bottom"/>
            <w:hideMark/>
          </w:tcPr>
          <w:p w14:paraId="59BC365C"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Yes</w:t>
            </w:r>
          </w:p>
        </w:tc>
      </w:tr>
      <w:tr w:rsidR="003F393D" w:rsidRPr="00C32509" w14:paraId="1CAA4BBE" w14:textId="77777777" w:rsidTr="00EB6B6D">
        <w:trPr>
          <w:trHeight w:val="325"/>
        </w:trPr>
        <w:tc>
          <w:tcPr>
            <w:tcW w:w="1260" w:type="dxa"/>
            <w:tcBorders>
              <w:top w:val="nil"/>
              <w:left w:val="nil"/>
              <w:bottom w:val="nil"/>
              <w:right w:val="nil"/>
            </w:tcBorders>
            <w:shd w:val="clear" w:color="000000" w:fill="FFFFFF"/>
            <w:noWrap/>
            <w:vAlign w:val="bottom"/>
            <w:hideMark/>
          </w:tcPr>
          <w:p w14:paraId="19BA431A"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Luxembourg</w:t>
            </w:r>
          </w:p>
        </w:tc>
        <w:tc>
          <w:tcPr>
            <w:tcW w:w="3420" w:type="dxa"/>
            <w:tcBorders>
              <w:top w:val="nil"/>
              <w:left w:val="nil"/>
              <w:bottom w:val="nil"/>
              <w:right w:val="nil"/>
            </w:tcBorders>
            <w:shd w:val="clear" w:color="000000" w:fill="FFFFFF"/>
            <w:noWrap/>
            <w:vAlign w:val="bottom"/>
            <w:hideMark/>
          </w:tcPr>
          <w:p w14:paraId="19ACFE03"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000000" w:fill="FFFFFF"/>
            <w:noWrap/>
            <w:vAlign w:val="bottom"/>
            <w:hideMark/>
          </w:tcPr>
          <w:p w14:paraId="1C996A18"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p>
        </w:tc>
        <w:tc>
          <w:tcPr>
            <w:tcW w:w="1980" w:type="dxa"/>
            <w:tcBorders>
              <w:top w:val="nil"/>
              <w:left w:val="nil"/>
              <w:bottom w:val="nil"/>
              <w:right w:val="nil"/>
            </w:tcBorders>
            <w:shd w:val="clear" w:color="000000" w:fill="FFFFFF"/>
            <w:noWrap/>
            <w:vAlign w:val="bottom"/>
            <w:hideMark/>
          </w:tcPr>
          <w:p w14:paraId="4487EC9E"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Yes</w:t>
            </w:r>
          </w:p>
        </w:tc>
        <w:tc>
          <w:tcPr>
            <w:tcW w:w="1170" w:type="dxa"/>
            <w:tcBorders>
              <w:top w:val="nil"/>
              <w:left w:val="nil"/>
              <w:bottom w:val="nil"/>
              <w:right w:val="nil"/>
            </w:tcBorders>
            <w:shd w:val="clear" w:color="000000" w:fill="FFFFFF"/>
            <w:noWrap/>
            <w:vAlign w:val="bottom"/>
            <w:hideMark/>
          </w:tcPr>
          <w:p w14:paraId="2D8D3155"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No</w:t>
            </w:r>
          </w:p>
        </w:tc>
      </w:tr>
      <w:tr w:rsidR="003F393D" w:rsidRPr="00C32509" w14:paraId="7E2413C9" w14:textId="77777777" w:rsidTr="00EB6B6D">
        <w:trPr>
          <w:trHeight w:val="325"/>
        </w:trPr>
        <w:tc>
          <w:tcPr>
            <w:tcW w:w="1260" w:type="dxa"/>
            <w:tcBorders>
              <w:top w:val="nil"/>
              <w:left w:val="nil"/>
              <w:bottom w:val="nil"/>
              <w:right w:val="nil"/>
            </w:tcBorders>
            <w:shd w:val="clear" w:color="000000" w:fill="FFFFFF"/>
            <w:noWrap/>
            <w:vAlign w:val="bottom"/>
            <w:hideMark/>
          </w:tcPr>
          <w:p w14:paraId="4C2884E6"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Portugal</w:t>
            </w:r>
          </w:p>
        </w:tc>
        <w:tc>
          <w:tcPr>
            <w:tcW w:w="3420" w:type="dxa"/>
            <w:tcBorders>
              <w:top w:val="nil"/>
              <w:left w:val="nil"/>
              <w:bottom w:val="nil"/>
              <w:right w:val="nil"/>
            </w:tcBorders>
            <w:shd w:val="clear" w:color="000000" w:fill="FFFFFF"/>
            <w:noWrap/>
            <w:vAlign w:val="bottom"/>
            <w:hideMark/>
          </w:tcPr>
          <w:p w14:paraId="497F5355" w14:textId="435092EA" w:rsidR="003F393D" w:rsidRPr="00C32509" w:rsidRDefault="0038618B" w:rsidP="0007287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Chega</w:t>
            </w:r>
          </w:p>
        </w:tc>
        <w:tc>
          <w:tcPr>
            <w:tcW w:w="1440" w:type="dxa"/>
            <w:tcBorders>
              <w:top w:val="nil"/>
              <w:left w:val="nil"/>
              <w:bottom w:val="nil"/>
              <w:right w:val="nil"/>
            </w:tcBorders>
            <w:shd w:val="clear" w:color="000000" w:fill="FFFFFF"/>
            <w:noWrap/>
            <w:vAlign w:val="bottom"/>
            <w:hideMark/>
          </w:tcPr>
          <w:p w14:paraId="34ACAD4F" w14:textId="4AC67534" w:rsidR="003F393D" w:rsidRPr="00C32509" w:rsidRDefault="0038618B" w:rsidP="0007287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2019</w:t>
            </w:r>
          </w:p>
        </w:tc>
        <w:tc>
          <w:tcPr>
            <w:tcW w:w="1980" w:type="dxa"/>
            <w:tcBorders>
              <w:top w:val="nil"/>
              <w:left w:val="nil"/>
              <w:bottom w:val="nil"/>
              <w:right w:val="nil"/>
            </w:tcBorders>
            <w:shd w:val="clear" w:color="000000" w:fill="FFFFFF"/>
            <w:noWrap/>
            <w:vAlign w:val="bottom"/>
            <w:hideMark/>
          </w:tcPr>
          <w:p w14:paraId="5F8189D6"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Yes</w:t>
            </w:r>
          </w:p>
        </w:tc>
        <w:tc>
          <w:tcPr>
            <w:tcW w:w="1170" w:type="dxa"/>
            <w:tcBorders>
              <w:top w:val="nil"/>
              <w:left w:val="nil"/>
              <w:bottom w:val="nil"/>
              <w:right w:val="nil"/>
            </w:tcBorders>
            <w:shd w:val="clear" w:color="000000" w:fill="FFFFFF"/>
            <w:noWrap/>
            <w:vAlign w:val="bottom"/>
            <w:hideMark/>
          </w:tcPr>
          <w:p w14:paraId="0791C44B"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No</w:t>
            </w:r>
          </w:p>
        </w:tc>
      </w:tr>
      <w:tr w:rsidR="003F393D" w:rsidRPr="00C32509" w14:paraId="32FC4B68" w14:textId="77777777" w:rsidTr="00EB6B6D">
        <w:trPr>
          <w:trHeight w:val="325"/>
        </w:trPr>
        <w:tc>
          <w:tcPr>
            <w:tcW w:w="1260" w:type="dxa"/>
            <w:tcBorders>
              <w:top w:val="nil"/>
              <w:left w:val="nil"/>
              <w:bottom w:val="nil"/>
              <w:right w:val="nil"/>
            </w:tcBorders>
            <w:shd w:val="clear" w:color="000000" w:fill="FFFFFF"/>
            <w:noWrap/>
            <w:vAlign w:val="bottom"/>
          </w:tcPr>
          <w:p w14:paraId="4917FC1B"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Slovakia</w:t>
            </w:r>
          </w:p>
        </w:tc>
        <w:tc>
          <w:tcPr>
            <w:tcW w:w="3420" w:type="dxa"/>
            <w:tcBorders>
              <w:top w:val="nil"/>
              <w:left w:val="nil"/>
              <w:bottom w:val="nil"/>
              <w:right w:val="nil"/>
            </w:tcBorders>
            <w:shd w:val="clear" w:color="000000" w:fill="FFFFFF"/>
            <w:noWrap/>
            <w:vAlign w:val="bottom"/>
          </w:tcPr>
          <w:p w14:paraId="382F7BD7"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Slovak National Party</w:t>
            </w:r>
          </w:p>
        </w:tc>
        <w:tc>
          <w:tcPr>
            <w:tcW w:w="1440" w:type="dxa"/>
            <w:tcBorders>
              <w:top w:val="nil"/>
              <w:left w:val="nil"/>
              <w:bottom w:val="nil"/>
              <w:right w:val="nil"/>
            </w:tcBorders>
            <w:shd w:val="clear" w:color="000000" w:fill="FFFFFF"/>
            <w:noWrap/>
            <w:vAlign w:val="bottom"/>
          </w:tcPr>
          <w:p w14:paraId="10AEAD64"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2006</w:t>
            </w:r>
          </w:p>
        </w:tc>
        <w:tc>
          <w:tcPr>
            <w:tcW w:w="1980" w:type="dxa"/>
            <w:tcBorders>
              <w:top w:val="nil"/>
              <w:left w:val="nil"/>
              <w:bottom w:val="nil"/>
              <w:right w:val="nil"/>
            </w:tcBorders>
            <w:shd w:val="clear" w:color="000000" w:fill="FFFFFF"/>
            <w:noWrap/>
            <w:vAlign w:val="bottom"/>
          </w:tcPr>
          <w:p w14:paraId="183E9758"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Yes</w:t>
            </w:r>
          </w:p>
        </w:tc>
        <w:tc>
          <w:tcPr>
            <w:tcW w:w="1170" w:type="dxa"/>
            <w:tcBorders>
              <w:top w:val="nil"/>
              <w:left w:val="nil"/>
              <w:bottom w:val="nil"/>
              <w:right w:val="nil"/>
            </w:tcBorders>
            <w:shd w:val="clear" w:color="000000" w:fill="FFFFFF"/>
            <w:noWrap/>
            <w:vAlign w:val="bottom"/>
          </w:tcPr>
          <w:p w14:paraId="3440BF6B"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Yes</w:t>
            </w:r>
          </w:p>
        </w:tc>
      </w:tr>
      <w:tr w:rsidR="003F393D" w:rsidRPr="00C32509" w14:paraId="68D0C2C1" w14:textId="77777777" w:rsidTr="00EB6B6D">
        <w:trPr>
          <w:trHeight w:val="325"/>
        </w:trPr>
        <w:tc>
          <w:tcPr>
            <w:tcW w:w="1260" w:type="dxa"/>
            <w:tcBorders>
              <w:top w:val="nil"/>
              <w:left w:val="nil"/>
              <w:bottom w:val="nil"/>
              <w:right w:val="nil"/>
            </w:tcBorders>
            <w:shd w:val="clear" w:color="000000" w:fill="FFFFFF"/>
            <w:noWrap/>
            <w:vAlign w:val="bottom"/>
            <w:hideMark/>
          </w:tcPr>
          <w:p w14:paraId="13E59EF7"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Spain</w:t>
            </w:r>
          </w:p>
        </w:tc>
        <w:tc>
          <w:tcPr>
            <w:tcW w:w="3420" w:type="dxa"/>
            <w:tcBorders>
              <w:top w:val="nil"/>
              <w:left w:val="nil"/>
              <w:bottom w:val="nil"/>
              <w:right w:val="nil"/>
            </w:tcBorders>
            <w:shd w:val="clear" w:color="000000" w:fill="FFFFFF"/>
            <w:noWrap/>
            <w:vAlign w:val="bottom"/>
            <w:hideMark/>
          </w:tcPr>
          <w:p w14:paraId="6B101676"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Vox</w:t>
            </w:r>
          </w:p>
        </w:tc>
        <w:tc>
          <w:tcPr>
            <w:tcW w:w="1440" w:type="dxa"/>
            <w:tcBorders>
              <w:top w:val="nil"/>
              <w:left w:val="nil"/>
              <w:bottom w:val="nil"/>
              <w:right w:val="nil"/>
            </w:tcBorders>
            <w:shd w:val="clear" w:color="000000" w:fill="FFFFFF"/>
            <w:noWrap/>
            <w:vAlign w:val="bottom"/>
            <w:hideMark/>
          </w:tcPr>
          <w:p w14:paraId="633A9790"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2019</w:t>
            </w:r>
          </w:p>
        </w:tc>
        <w:tc>
          <w:tcPr>
            <w:tcW w:w="1980" w:type="dxa"/>
            <w:tcBorders>
              <w:top w:val="nil"/>
              <w:left w:val="nil"/>
              <w:bottom w:val="nil"/>
              <w:right w:val="nil"/>
            </w:tcBorders>
            <w:shd w:val="clear" w:color="000000" w:fill="FFFFFF"/>
            <w:noWrap/>
            <w:vAlign w:val="bottom"/>
            <w:hideMark/>
          </w:tcPr>
          <w:p w14:paraId="59D56254"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Yes</w:t>
            </w:r>
          </w:p>
        </w:tc>
        <w:tc>
          <w:tcPr>
            <w:tcW w:w="1170" w:type="dxa"/>
            <w:tcBorders>
              <w:top w:val="nil"/>
              <w:left w:val="nil"/>
              <w:bottom w:val="nil"/>
              <w:right w:val="nil"/>
            </w:tcBorders>
            <w:shd w:val="clear" w:color="000000" w:fill="FFFFFF"/>
            <w:noWrap/>
            <w:vAlign w:val="bottom"/>
            <w:hideMark/>
          </w:tcPr>
          <w:p w14:paraId="6A2A0362"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No</w:t>
            </w:r>
          </w:p>
        </w:tc>
      </w:tr>
      <w:tr w:rsidR="003F393D" w:rsidRPr="00C32509" w14:paraId="04634A07" w14:textId="77777777" w:rsidTr="00EB6B6D">
        <w:trPr>
          <w:trHeight w:val="325"/>
        </w:trPr>
        <w:tc>
          <w:tcPr>
            <w:tcW w:w="1260" w:type="dxa"/>
            <w:tcBorders>
              <w:top w:val="nil"/>
              <w:left w:val="nil"/>
              <w:bottom w:val="nil"/>
              <w:right w:val="nil"/>
            </w:tcBorders>
            <w:shd w:val="clear" w:color="000000" w:fill="FFFFFF"/>
            <w:noWrap/>
            <w:vAlign w:val="bottom"/>
            <w:hideMark/>
          </w:tcPr>
          <w:p w14:paraId="2BCC657E"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Sweden</w:t>
            </w:r>
          </w:p>
        </w:tc>
        <w:tc>
          <w:tcPr>
            <w:tcW w:w="3420" w:type="dxa"/>
            <w:tcBorders>
              <w:top w:val="nil"/>
              <w:left w:val="nil"/>
              <w:bottom w:val="nil"/>
              <w:right w:val="nil"/>
            </w:tcBorders>
            <w:shd w:val="clear" w:color="000000" w:fill="FFFFFF"/>
            <w:noWrap/>
            <w:vAlign w:val="bottom"/>
            <w:hideMark/>
          </w:tcPr>
          <w:p w14:paraId="5B5E6485"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Sweden Democrats</w:t>
            </w:r>
          </w:p>
        </w:tc>
        <w:tc>
          <w:tcPr>
            <w:tcW w:w="1440" w:type="dxa"/>
            <w:tcBorders>
              <w:top w:val="nil"/>
              <w:left w:val="nil"/>
              <w:bottom w:val="nil"/>
              <w:right w:val="nil"/>
            </w:tcBorders>
            <w:shd w:val="clear" w:color="000000" w:fill="FFFFFF"/>
            <w:noWrap/>
            <w:vAlign w:val="bottom"/>
            <w:hideMark/>
          </w:tcPr>
          <w:p w14:paraId="4F4322AC"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2010</w:t>
            </w:r>
          </w:p>
        </w:tc>
        <w:tc>
          <w:tcPr>
            <w:tcW w:w="1980" w:type="dxa"/>
            <w:tcBorders>
              <w:top w:val="nil"/>
              <w:left w:val="nil"/>
              <w:bottom w:val="nil"/>
              <w:right w:val="nil"/>
            </w:tcBorders>
            <w:shd w:val="clear" w:color="000000" w:fill="FFFFFF"/>
            <w:noWrap/>
            <w:vAlign w:val="bottom"/>
            <w:hideMark/>
          </w:tcPr>
          <w:p w14:paraId="5D9610F3"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Yes</w:t>
            </w:r>
          </w:p>
        </w:tc>
        <w:tc>
          <w:tcPr>
            <w:tcW w:w="1170" w:type="dxa"/>
            <w:tcBorders>
              <w:top w:val="nil"/>
              <w:left w:val="nil"/>
              <w:bottom w:val="nil"/>
              <w:right w:val="nil"/>
            </w:tcBorders>
            <w:shd w:val="clear" w:color="000000" w:fill="FFFFFF"/>
            <w:noWrap/>
            <w:vAlign w:val="bottom"/>
            <w:hideMark/>
          </w:tcPr>
          <w:p w14:paraId="61152CC4"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Yes</w:t>
            </w:r>
          </w:p>
        </w:tc>
      </w:tr>
      <w:tr w:rsidR="003F393D" w:rsidRPr="00C32509" w14:paraId="17980BAA" w14:textId="77777777" w:rsidTr="00EB6B6D">
        <w:trPr>
          <w:trHeight w:val="325"/>
        </w:trPr>
        <w:tc>
          <w:tcPr>
            <w:tcW w:w="1260" w:type="dxa"/>
            <w:tcBorders>
              <w:top w:val="nil"/>
              <w:left w:val="nil"/>
              <w:bottom w:val="nil"/>
              <w:right w:val="nil"/>
            </w:tcBorders>
            <w:shd w:val="clear" w:color="000000" w:fill="FFFFFF"/>
            <w:noWrap/>
            <w:vAlign w:val="bottom"/>
            <w:hideMark/>
          </w:tcPr>
          <w:p w14:paraId="701B9474"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UK</w:t>
            </w:r>
          </w:p>
        </w:tc>
        <w:tc>
          <w:tcPr>
            <w:tcW w:w="3420" w:type="dxa"/>
            <w:tcBorders>
              <w:top w:val="nil"/>
              <w:left w:val="nil"/>
              <w:bottom w:val="nil"/>
              <w:right w:val="nil"/>
            </w:tcBorders>
            <w:shd w:val="clear" w:color="000000" w:fill="FFFFFF"/>
            <w:noWrap/>
            <w:vAlign w:val="bottom"/>
            <w:hideMark/>
          </w:tcPr>
          <w:p w14:paraId="6D1B22E5"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United Kingdom independence party</w:t>
            </w:r>
          </w:p>
        </w:tc>
        <w:tc>
          <w:tcPr>
            <w:tcW w:w="1440" w:type="dxa"/>
            <w:tcBorders>
              <w:top w:val="nil"/>
              <w:left w:val="nil"/>
              <w:bottom w:val="nil"/>
              <w:right w:val="nil"/>
            </w:tcBorders>
            <w:shd w:val="clear" w:color="000000" w:fill="FFFFFF"/>
            <w:noWrap/>
            <w:vAlign w:val="bottom"/>
            <w:hideMark/>
          </w:tcPr>
          <w:p w14:paraId="451695AA"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2015</w:t>
            </w:r>
          </w:p>
        </w:tc>
        <w:tc>
          <w:tcPr>
            <w:tcW w:w="1980" w:type="dxa"/>
            <w:tcBorders>
              <w:top w:val="nil"/>
              <w:left w:val="nil"/>
              <w:bottom w:val="nil"/>
              <w:right w:val="nil"/>
            </w:tcBorders>
            <w:shd w:val="clear" w:color="000000" w:fill="FFFFFF"/>
            <w:noWrap/>
            <w:vAlign w:val="bottom"/>
            <w:hideMark/>
          </w:tcPr>
          <w:p w14:paraId="0E7878F2"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No</w:t>
            </w:r>
          </w:p>
        </w:tc>
        <w:tc>
          <w:tcPr>
            <w:tcW w:w="1170" w:type="dxa"/>
            <w:tcBorders>
              <w:top w:val="nil"/>
              <w:left w:val="nil"/>
              <w:bottom w:val="nil"/>
              <w:right w:val="nil"/>
            </w:tcBorders>
            <w:shd w:val="clear" w:color="000000" w:fill="FFFFFF"/>
            <w:noWrap/>
            <w:vAlign w:val="bottom"/>
            <w:hideMark/>
          </w:tcPr>
          <w:p w14:paraId="3EC49BC1"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No</w:t>
            </w:r>
          </w:p>
        </w:tc>
      </w:tr>
      <w:tr w:rsidR="003F393D" w:rsidRPr="00C32509" w14:paraId="3F6A40EC" w14:textId="77777777" w:rsidTr="00EB6B6D">
        <w:trPr>
          <w:trHeight w:val="350"/>
        </w:trPr>
        <w:tc>
          <w:tcPr>
            <w:tcW w:w="1260" w:type="dxa"/>
            <w:tcBorders>
              <w:top w:val="nil"/>
              <w:left w:val="nil"/>
              <w:bottom w:val="double" w:sz="6" w:space="0" w:color="auto"/>
              <w:right w:val="nil"/>
            </w:tcBorders>
            <w:shd w:val="clear" w:color="000000" w:fill="FFFFFF"/>
            <w:noWrap/>
            <w:vAlign w:val="bottom"/>
            <w:hideMark/>
          </w:tcPr>
          <w:p w14:paraId="3F043659"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Ukraine</w:t>
            </w:r>
          </w:p>
        </w:tc>
        <w:tc>
          <w:tcPr>
            <w:tcW w:w="3420" w:type="dxa"/>
            <w:tcBorders>
              <w:top w:val="nil"/>
              <w:left w:val="nil"/>
              <w:bottom w:val="double" w:sz="6" w:space="0" w:color="auto"/>
              <w:right w:val="nil"/>
            </w:tcBorders>
            <w:shd w:val="clear" w:color="000000" w:fill="FFFFFF"/>
            <w:noWrap/>
            <w:vAlign w:val="bottom"/>
            <w:hideMark/>
          </w:tcPr>
          <w:p w14:paraId="1FA5DA03"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All-Ukrainian Union “Freedom”</w:t>
            </w:r>
          </w:p>
        </w:tc>
        <w:tc>
          <w:tcPr>
            <w:tcW w:w="1440" w:type="dxa"/>
            <w:tcBorders>
              <w:top w:val="nil"/>
              <w:left w:val="nil"/>
              <w:bottom w:val="double" w:sz="6" w:space="0" w:color="auto"/>
              <w:right w:val="nil"/>
            </w:tcBorders>
            <w:shd w:val="clear" w:color="000000" w:fill="FFFFFF"/>
            <w:noWrap/>
            <w:vAlign w:val="bottom"/>
            <w:hideMark/>
          </w:tcPr>
          <w:p w14:paraId="38A96B39"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2012</w:t>
            </w:r>
          </w:p>
        </w:tc>
        <w:tc>
          <w:tcPr>
            <w:tcW w:w="1980" w:type="dxa"/>
            <w:tcBorders>
              <w:top w:val="nil"/>
              <w:left w:val="nil"/>
              <w:bottom w:val="double" w:sz="6" w:space="0" w:color="auto"/>
              <w:right w:val="nil"/>
            </w:tcBorders>
            <w:shd w:val="clear" w:color="000000" w:fill="FFFFFF"/>
            <w:noWrap/>
            <w:vAlign w:val="bottom"/>
            <w:hideMark/>
          </w:tcPr>
          <w:p w14:paraId="56834425"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Yes</w:t>
            </w:r>
          </w:p>
        </w:tc>
        <w:tc>
          <w:tcPr>
            <w:tcW w:w="1170" w:type="dxa"/>
            <w:tcBorders>
              <w:top w:val="nil"/>
              <w:left w:val="nil"/>
              <w:bottom w:val="double" w:sz="6" w:space="0" w:color="auto"/>
              <w:right w:val="nil"/>
            </w:tcBorders>
            <w:shd w:val="clear" w:color="000000" w:fill="FFFFFF"/>
            <w:noWrap/>
            <w:vAlign w:val="bottom"/>
            <w:hideMark/>
          </w:tcPr>
          <w:p w14:paraId="04DA2280" w14:textId="77777777" w:rsidR="003F393D" w:rsidRPr="00C32509" w:rsidRDefault="003F393D" w:rsidP="0007287A">
            <w:pPr>
              <w:spacing w:after="0" w:line="240" w:lineRule="auto"/>
              <w:jc w:val="both"/>
              <w:rPr>
                <w:rFonts w:ascii="Times New Roman" w:eastAsia="Times New Roman" w:hAnsi="Times New Roman" w:cs="Times New Roman"/>
                <w:color w:val="000000"/>
                <w:sz w:val="20"/>
                <w:szCs w:val="20"/>
              </w:rPr>
            </w:pPr>
            <w:r w:rsidRPr="00C32509">
              <w:rPr>
                <w:rFonts w:ascii="Times New Roman" w:eastAsia="Times New Roman" w:hAnsi="Times New Roman" w:cs="Times New Roman"/>
                <w:color w:val="000000"/>
                <w:sz w:val="20"/>
                <w:szCs w:val="20"/>
              </w:rPr>
              <w:t>Yes</w:t>
            </w:r>
          </w:p>
        </w:tc>
      </w:tr>
    </w:tbl>
    <w:p w14:paraId="5444FF44" w14:textId="4479243F" w:rsidR="00071241" w:rsidRPr="00702E19" w:rsidRDefault="00702E19" w:rsidP="0007287A">
      <w:pPr>
        <w:spacing w:line="360" w:lineRule="auto"/>
        <w:jc w:val="both"/>
        <w:rPr>
          <w:rFonts w:ascii="Times New Roman" w:hAnsi="Times New Roman" w:cs="Times New Roman"/>
          <w:i/>
          <w:iCs/>
          <w:sz w:val="24"/>
          <w:szCs w:val="24"/>
        </w:rPr>
      </w:pPr>
      <w:r w:rsidRPr="00702E19">
        <w:rPr>
          <w:rStyle w:val="cf01"/>
          <w:rFonts w:ascii="Times New Roman" w:hAnsi="Times New Roman" w:cs="Times New Roman"/>
          <w:i/>
          <w:iCs/>
          <w:sz w:val="24"/>
          <w:szCs w:val="24"/>
        </w:rPr>
        <w:t xml:space="preserve">Note: </w:t>
      </w:r>
      <w:r w:rsidR="00071241" w:rsidRPr="00702E19">
        <w:rPr>
          <w:rStyle w:val="cf01"/>
          <w:rFonts w:ascii="Times New Roman" w:hAnsi="Times New Roman" w:cs="Times New Roman"/>
          <w:i/>
          <w:iCs/>
          <w:sz w:val="24"/>
          <w:szCs w:val="24"/>
        </w:rPr>
        <w:t>United Kingdom’s independence party (UKIP) and Slovak National Party (SNP) lose their representation in parliament</w:t>
      </w:r>
      <w:r w:rsidR="00DB6979">
        <w:rPr>
          <w:rStyle w:val="cf01"/>
          <w:rFonts w:ascii="Times New Roman" w:hAnsi="Times New Roman" w:cs="Times New Roman"/>
          <w:i/>
          <w:iCs/>
          <w:sz w:val="24"/>
          <w:szCs w:val="24"/>
        </w:rPr>
        <w:t xml:space="preserve"> during the study period</w:t>
      </w:r>
      <w:r w:rsidR="00071241" w:rsidRPr="00702E19">
        <w:rPr>
          <w:rStyle w:val="cf01"/>
          <w:rFonts w:ascii="Times New Roman" w:hAnsi="Times New Roman" w:cs="Times New Roman"/>
          <w:i/>
          <w:iCs/>
          <w:sz w:val="24"/>
          <w:szCs w:val="24"/>
        </w:rPr>
        <w:t>. SNP reenters at the 2016 Slovak parliamentary election</w:t>
      </w:r>
      <w:r w:rsidR="006A7294">
        <w:rPr>
          <w:rStyle w:val="cf01"/>
          <w:rFonts w:ascii="Times New Roman" w:hAnsi="Times New Roman" w:cs="Times New Roman"/>
          <w:i/>
          <w:iCs/>
          <w:sz w:val="24"/>
          <w:szCs w:val="24"/>
        </w:rPr>
        <w:t xml:space="preserve"> while</w:t>
      </w:r>
      <w:r w:rsidR="00071241" w:rsidRPr="00702E19">
        <w:rPr>
          <w:rStyle w:val="cf01"/>
          <w:rFonts w:ascii="Times New Roman" w:hAnsi="Times New Roman" w:cs="Times New Roman"/>
          <w:i/>
          <w:iCs/>
          <w:sz w:val="24"/>
          <w:szCs w:val="24"/>
        </w:rPr>
        <w:t xml:space="preserve"> UKIP loses its seats at the 2017 UK general election after having entered the House of Commons for the first time in 2015.</w:t>
      </w:r>
    </w:p>
    <w:p w14:paraId="3CE86846" w14:textId="0BD1A694" w:rsidR="003031D1" w:rsidRPr="00AC02A0" w:rsidRDefault="00195A5B" w:rsidP="0007287A">
      <w:pPr>
        <w:pStyle w:val="Overskrift3"/>
        <w:spacing w:line="360" w:lineRule="auto"/>
        <w:rPr>
          <w:rFonts w:ascii="Times New Roman" w:hAnsi="Times New Roman" w:cs="Times New Roman"/>
          <w:b/>
          <w:i/>
          <w:iCs/>
          <w:color w:val="auto"/>
        </w:rPr>
      </w:pPr>
      <w:bookmarkStart w:id="5" w:name="_Toc113820346"/>
      <w:r w:rsidRPr="00AC02A0">
        <w:rPr>
          <w:rFonts w:ascii="Times New Roman" w:hAnsi="Times New Roman" w:cs="Times New Roman"/>
          <w:b/>
          <w:i/>
          <w:iCs/>
          <w:color w:val="auto"/>
        </w:rPr>
        <w:t xml:space="preserve">Regression </w:t>
      </w:r>
      <w:r w:rsidR="00851BAC">
        <w:rPr>
          <w:rFonts w:ascii="Times New Roman" w:hAnsi="Times New Roman" w:cs="Times New Roman"/>
          <w:b/>
          <w:i/>
          <w:iCs/>
          <w:color w:val="auto"/>
        </w:rPr>
        <w:t>di</w:t>
      </w:r>
      <w:r w:rsidRPr="00AC02A0">
        <w:rPr>
          <w:rFonts w:ascii="Times New Roman" w:hAnsi="Times New Roman" w:cs="Times New Roman"/>
          <w:b/>
          <w:i/>
          <w:iCs/>
          <w:color w:val="auto"/>
        </w:rPr>
        <w:t xml:space="preserve">scontinuity </w:t>
      </w:r>
      <w:r w:rsidR="00851BAC">
        <w:rPr>
          <w:rFonts w:ascii="Times New Roman" w:hAnsi="Times New Roman" w:cs="Times New Roman"/>
          <w:b/>
          <w:i/>
          <w:iCs/>
          <w:color w:val="auto"/>
        </w:rPr>
        <w:t>d</w:t>
      </w:r>
      <w:r w:rsidRPr="00AC02A0">
        <w:rPr>
          <w:rFonts w:ascii="Times New Roman" w:hAnsi="Times New Roman" w:cs="Times New Roman"/>
          <w:b/>
          <w:i/>
          <w:iCs/>
          <w:color w:val="auto"/>
        </w:rPr>
        <w:t>esign</w:t>
      </w:r>
      <w:r w:rsidR="003031D1" w:rsidRPr="00AC02A0">
        <w:rPr>
          <w:rFonts w:ascii="Times New Roman" w:hAnsi="Times New Roman" w:cs="Times New Roman"/>
          <w:b/>
          <w:i/>
          <w:iCs/>
          <w:color w:val="auto"/>
        </w:rPr>
        <w:t xml:space="preserve"> approach</w:t>
      </w:r>
      <w:bookmarkEnd w:id="5"/>
    </w:p>
    <w:p w14:paraId="0FD788BB" w14:textId="77777777" w:rsidR="002F0672" w:rsidRDefault="007F6661" w:rsidP="0007287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w:t>
      </w:r>
      <w:r w:rsidR="00B01065">
        <w:rPr>
          <w:rFonts w:ascii="Times New Roman" w:hAnsi="Times New Roman" w:cs="Times New Roman"/>
          <w:sz w:val="24"/>
          <w:szCs w:val="24"/>
        </w:rPr>
        <w:t xml:space="preserve">supplementary </w:t>
      </w:r>
      <w:r w:rsidR="001D5BDD">
        <w:rPr>
          <w:rFonts w:ascii="Times New Roman" w:hAnsi="Times New Roman" w:cs="Times New Roman"/>
          <w:sz w:val="24"/>
          <w:szCs w:val="24"/>
        </w:rPr>
        <w:t>identification strategy</w:t>
      </w:r>
      <w:r>
        <w:rPr>
          <w:rFonts w:ascii="Times New Roman" w:hAnsi="Times New Roman" w:cs="Times New Roman"/>
          <w:sz w:val="24"/>
          <w:szCs w:val="24"/>
        </w:rPr>
        <w:t>,</w:t>
      </w:r>
      <w:r w:rsidR="00E35DFE">
        <w:rPr>
          <w:rFonts w:ascii="Times New Roman" w:hAnsi="Times New Roman" w:cs="Times New Roman"/>
          <w:sz w:val="24"/>
          <w:szCs w:val="24"/>
        </w:rPr>
        <w:t xml:space="preserve"> </w:t>
      </w:r>
      <w:r w:rsidR="00DE58AB" w:rsidRPr="00C32509">
        <w:rPr>
          <w:rFonts w:ascii="Times New Roman" w:hAnsi="Times New Roman" w:cs="Times New Roman"/>
          <w:sz w:val="24"/>
          <w:szCs w:val="24"/>
        </w:rPr>
        <w:t xml:space="preserve">I </w:t>
      </w:r>
      <w:r w:rsidR="00472B81" w:rsidRPr="00C32509">
        <w:rPr>
          <w:rFonts w:ascii="Times New Roman" w:hAnsi="Times New Roman" w:cs="Times New Roman"/>
          <w:sz w:val="24"/>
          <w:szCs w:val="24"/>
        </w:rPr>
        <w:t>exploit the electoral rule that</w:t>
      </w:r>
      <w:r w:rsidR="003C7D3B" w:rsidRPr="00C32509">
        <w:rPr>
          <w:rFonts w:ascii="Times New Roman" w:hAnsi="Times New Roman" w:cs="Times New Roman"/>
          <w:sz w:val="24"/>
          <w:szCs w:val="24"/>
        </w:rPr>
        <w:t xml:space="preserve"> a </w:t>
      </w:r>
      <w:r w:rsidR="00CC691C">
        <w:rPr>
          <w:rFonts w:ascii="Times New Roman" w:hAnsi="Times New Roman" w:cs="Times New Roman"/>
          <w:sz w:val="24"/>
          <w:szCs w:val="24"/>
        </w:rPr>
        <w:t>RRP</w:t>
      </w:r>
      <w:r w:rsidR="003C7D3B" w:rsidRPr="00C32509">
        <w:rPr>
          <w:rFonts w:ascii="Times New Roman" w:hAnsi="Times New Roman" w:cs="Times New Roman"/>
          <w:sz w:val="24"/>
          <w:szCs w:val="24"/>
        </w:rPr>
        <w:t xml:space="preserve">’s </w:t>
      </w:r>
      <w:r w:rsidR="00E1080C" w:rsidRPr="00C32509">
        <w:rPr>
          <w:rFonts w:ascii="Times New Roman" w:hAnsi="Times New Roman" w:cs="Times New Roman"/>
          <w:sz w:val="24"/>
          <w:szCs w:val="24"/>
        </w:rPr>
        <w:t>national representation</w:t>
      </w:r>
      <w:r w:rsidR="00F91E7D" w:rsidRPr="00C32509">
        <w:rPr>
          <w:rFonts w:ascii="Times New Roman" w:hAnsi="Times New Roman" w:cs="Times New Roman"/>
          <w:sz w:val="24"/>
          <w:szCs w:val="24"/>
        </w:rPr>
        <w:t xml:space="preserve"> </w:t>
      </w:r>
      <w:r w:rsidR="003C7D3B" w:rsidRPr="00C32509">
        <w:rPr>
          <w:rFonts w:ascii="Times New Roman" w:hAnsi="Times New Roman" w:cs="Times New Roman"/>
          <w:sz w:val="24"/>
          <w:szCs w:val="24"/>
        </w:rPr>
        <w:t xml:space="preserve">in country </w:t>
      </w:r>
      <w:r w:rsidR="004B47D1" w:rsidRPr="00C32509">
        <w:rPr>
          <w:rFonts w:ascii="Times New Roman" w:hAnsi="Times New Roman" w:cs="Times New Roman"/>
          <w:i/>
          <w:sz w:val="24"/>
          <w:szCs w:val="24"/>
        </w:rPr>
        <w:t>j</w:t>
      </w:r>
      <w:r w:rsidR="00E31A0B">
        <w:rPr>
          <w:rFonts w:ascii="Times New Roman" w:hAnsi="Times New Roman" w:cs="Times New Roman"/>
          <w:i/>
          <w:sz w:val="24"/>
          <w:szCs w:val="24"/>
        </w:rPr>
        <w:t xml:space="preserve"> </w:t>
      </w:r>
      <w:r w:rsidR="00E31A0B">
        <w:rPr>
          <w:rFonts w:ascii="Times New Roman" w:hAnsi="Times New Roman" w:cs="Times New Roman"/>
          <w:sz w:val="24"/>
          <w:szCs w:val="24"/>
        </w:rPr>
        <w:t xml:space="preserve">at time </w:t>
      </w:r>
      <w:r w:rsidR="00E31A0B">
        <w:rPr>
          <w:rFonts w:ascii="Times New Roman" w:hAnsi="Times New Roman" w:cs="Times New Roman"/>
          <w:i/>
          <w:sz w:val="24"/>
          <w:szCs w:val="24"/>
        </w:rPr>
        <w:t>t</w:t>
      </w:r>
      <w:r w:rsidR="004B47D1" w:rsidRPr="00C32509">
        <w:rPr>
          <w:rFonts w:ascii="Times New Roman" w:hAnsi="Times New Roman" w:cs="Times New Roman"/>
          <w:i/>
          <w:sz w:val="24"/>
          <w:szCs w:val="24"/>
        </w:rPr>
        <w:t xml:space="preserve"> </w:t>
      </w:r>
      <w:r w:rsidR="003C7D3B" w:rsidRPr="00C32509">
        <w:rPr>
          <w:rFonts w:ascii="Times New Roman" w:hAnsi="Times New Roman" w:cs="Times New Roman"/>
          <w:sz w:val="24"/>
          <w:szCs w:val="24"/>
        </w:rPr>
        <w:t>is determined by whether t</w:t>
      </w:r>
      <w:r w:rsidR="00692BD6" w:rsidRPr="00C32509">
        <w:rPr>
          <w:rFonts w:ascii="Times New Roman" w:hAnsi="Times New Roman" w:cs="Times New Roman"/>
          <w:sz w:val="24"/>
          <w:szCs w:val="24"/>
        </w:rPr>
        <w:t xml:space="preserve">he party </w:t>
      </w:r>
      <w:r w:rsidR="00CB3087" w:rsidRPr="00C32509">
        <w:rPr>
          <w:rFonts w:ascii="Times New Roman" w:hAnsi="Times New Roman" w:cs="Times New Roman"/>
          <w:sz w:val="24"/>
          <w:szCs w:val="24"/>
        </w:rPr>
        <w:t>has</w:t>
      </w:r>
      <w:r w:rsidR="00692BD6" w:rsidRPr="00C32509">
        <w:rPr>
          <w:rFonts w:ascii="Times New Roman" w:hAnsi="Times New Roman" w:cs="Times New Roman"/>
          <w:sz w:val="24"/>
          <w:szCs w:val="24"/>
        </w:rPr>
        <w:t xml:space="preserve"> won enough votes to</w:t>
      </w:r>
      <w:r w:rsidR="0059064A" w:rsidRPr="00C32509">
        <w:rPr>
          <w:rFonts w:ascii="Times New Roman" w:hAnsi="Times New Roman" w:cs="Times New Roman"/>
          <w:sz w:val="24"/>
          <w:szCs w:val="24"/>
        </w:rPr>
        <w:t xml:space="preserve"> </w:t>
      </w:r>
      <w:r w:rsidR="00F75761" w:rsidRPr="00C32509">
        <w:rPr>
          <w:rFonts w:ascii="Times New Roman" w:hAnsi="Times New Roman" w:cs="Times New Roman"/>
          <w:sz w:val="24"/>
          <w:szCs w:val="24"/>
        </w:rPr>
        <w:t>p</w:t>
      </w:r>
      <w:r w:rsidR="00692BD6" w:rsidRPr="00C32509">
        <w:rPr>
          <w:rFonts w:ascii="Times New Roman" w:hAnsi="Times New Roman" w:cs="Times New Roman"/>
          <w:sz w:val="24"/>
          <w:szCs w:val="24"/>
        </w:rPr>
        <w:t xml:space="preserve">ass </w:t>
      </w:r>
      <w:r w:rsidR="0042498C">
        <w:rPr>
          <w:rFonts w:ascii="Times New Roman" w:hAnsi="Times New Roman" w:cs="Times New Roman"/>
          <w:sz w:val="24"/>
          <w:szCs w:val="24"/>
        </w:rPr>
        <w:t>a</w:t>
      </w:r>
      <w:r w:rsidR="00175FC9">
        <w:rPr>
          <w:rFonts w:ascii="Times New Roman" w:hAnsi="Times New Roman" w:cs="Times New Roman"/>
          <w:sz w:val="24"/>
          <w:szCs w:val="24"/>
        </w:rPr>
        <w:t xml:space="preserve"> nationwide</w:t>
      </w:r>
      <w:r w:rsidR="008D3F06" w:rsidRPr="00C32509">
        <w:rPr>
          <w:rFonts w:ascii="Times New Roman" w:hAnsi="Times New Roman" w:cs="Times New Roman"/>
          <w:sz w:val="24"/>
          <w:szCs w:val="24"/>
        </w:rPr>
        <w:t xml:space="preserve"> </w:t>
      </w:r>
      <w:r w:rsidR="0059064A" w:rsidRPr="00C32509">
        <w:rPr>
          <w:rFonts w:ascii="Times New Roman" w:hAnsi="Times New Roman" w:cs="Times New Roman"/>
          <w:sz w:val="24"/>
          <w:szCs w:val="24"/>
        </w:rPr>
        <w:t>electoral threshold</w:t>
      </w:r>
      <w:r w:rsidR="0035389F" w:rsidRPr="00C32509">
        <w:rPr>
          <w:rFonts w:ascii="Times New Roman" w:hAnsi="Times New Roman" w:cs="Times New Roman"/>
          <w:sz w:val="24"/>
          <w:szCs w:val="24"/>
        </w:rPr>
        <w:t xml:space="preserve"> that is either </w:t>
      </w:r>
      <w:r w:rsidR="007B5009">
        <w:rPr>
          <w:rFonts w:ascii="Times New Roman" w:hAnsi="Times New Roman" w:cs="Times New Roman"/>
          <w:sz w:val="24"/>
          <w:szCs w:val="24"/>
        </w:rPr>
        <w:t xml:space="preserve">defined </w:t>
      </w:r>
      <w:r w:rsidR="0035389F" w:rsidRPr="00C32509">
        <w:rPr>
          <w:rFonts w:ascii="Times New Roman" w:hAnsi="Times New Roman" w:cs="Times New Roman"/>
          <w:sz w:val="24"/>
          <w:szCs w:val="24"/>
        </w:rPr>
        <w:t>legally</w:t>
      </w:r>
      <w:r w:rsidR="008D261C">
        <w:rPr>
          <w:rFonts w:ascii="Times New Roman" w:hAnsi="Times New Roman" w:cs="Times New Roman"/>
          <w:sz w:val="24"/>
          <w:szCs w:val="24"/>
        </w:rPr>
        <w:t xml:space="preserve"> </w:t>
      </w:r>
      <w:r w:rsidR="0035389F" w:rsidRPr="00C32509">
        <w:rPr>
          <w:rFonts w:ascii="Times New Roman" w:hAnsi="Times New Roman" w:cs="Times New Roman"/>
          <w:sz w:val="24"/>
          <w:szCs w:val="24"/>
        </w:rPr>
        <w:t>or mathematically</w:t>
      </w:r>
      <w:r w:rsidR="00FD5DEE" w:rsidRPr="00C32509">
        <w:rPr>
          <w:rFonts w:ascii="Times New Roman" w:hAnsi="Times New Roman" w:cs="Times New Roman"/>
          <w:sz w:val="24"/>
          <w:szCs w:val="24"/>
        </w:rPr>
        <w:t xml:space="preserve">. </w:t>
      </w:r>
      <w:r w:rsidR="00E23EE2" w:rsidRPr="00C32509">
        <w:rPr>
          <w:rFonts w:ascii="Times New Roman" w:hAnsi="Times New Roman" w:cs="Times New Roman"/>
          <w:sz w:val="24"/>
          <w:szCs w:val="24"/>
        </w:rPr>
        <w:t>This</w:t>
      </w:r>
      <w:r w:rsidR="00C301BE">
        <w:rPr>
          <w:rFonts w:ascii="Times New Roman" w:hAnsi="Times New Roman" w:cs="Times New Roman"/>
          <w:sz w:val="24"/>
          <w:szCs w:val="24"/>
        </w:rPr>
        <w:t xml:space="preserve"> procedure also</w:t>
      </w:r>
      <w:r w:rsidR="00E23EE2" w:rsidRPr="00C32509">
        <w:rPr>
          <w:rFonts w:ascii="Times New Roman" w:hAnsi="Times New Roman" w:cs="Times New Roman"/>
          <w:sz w:val="24"/>
          <w:szCs w:val="24"/>
        </w:rPr>
        <w:t xml:space="preserve"> means that I can include always-treated countries</w:t>
      </w:r>
      <w:r w:rsidR="000B3ED9" w:rsidRPr="00C32509">
        <w:rPr>
          <w:rFonts w:ascii="Times New Roman" w:hAnsi="Times New Roman" w:cs="Times New Roman"/>
          <w:sz w:val="24"/>
          <w:szCs w:val="24"/>
        </w:rPr>
        <w:t xml:space="preserve"> alongside </w:t>
      </w:r>
      <w:r w:rsidR="000B3ED9" w:rsidRPr="00C32509">
        <w:rPr>
          <w:rFonts w:ascii="Times New Roman" w:hAnsi="Times New Roman" w:cs="Times New Roman"/>
          <w:i/>
          <w:sz w:val="24"/>
          <w:szCs w:val="24"/>
        </w:rPr>
        <w:t>treated</w:t>
      </w:r>
      <w:r w:rsidR="000B3ED9" w:rsidRPr="00C32509">
        <w:rPr>
          <w:rFonts w:ascii="Times New Roman" w:hAnsi="Times New Roman" w:cs="Times New Roman"/>
          <w:sz w:val="24"/>
          <w:szCs w:val="24"/>
        </w:rPr>
        <w:t xml:space="preserve"> and </w:t>
      </w:r>
      <w:r w:rsidR="000B3ED9" w:rsidRPr="00C32509">
        <w:rPr>
          <w:rFonts w:ascii="Times New Roman" w:hAnsi="Times New Roman" w:cs="Times New Roman"/>
          <w:i/>
          <w:sz w:val="24"/>
          <w:szCs w:val="24"/>
        </w:rPr>
        <w:t>never-treated</w:t>
      </w:r>
      <w:r w:rsidR="000B3ED9" w:rsidRPr="00C32509">
        <w:rPr>
          <w:rFonts w:ascii="Times New Roman" w:hAnsi="Times New Roman" w:cs="Times New Roman"/>
          <w:sz w:val="24"/>
          <w:szCs w:val="24"/>
        </w:rPr>
        <w:t xml:space="preserve"> countries</w:t>
      </w:r>
      <w:r w:rsidR="0072287A" w:rsidRPr="00C32509">
        <w:rPr>
          <w:rFonts w:ascii="Times New Roman" w:hAnsi="Times New Roman" w:cs="Times New Roman"/>
          <w:sz w:val="24"/>
          <w:szCs w:val="24"/>
        </w:rPr>
        <w:t xml:space="preserve"> </w:t>
      </w:r>
      <w:r w:rsidR="00F102F7" w:rsidRPr="00C32509">
        <w:rPr>
          <w:rFonts w:ascii="Times New Roman" w:hAnsi="Times New Roman" w:cs="Times New Roman"/>
          <w:sz w:val="24"/>
          <w:szCs w:val="24"/>
        </w:rPr>
        <w:t xml:space="preserve">in the sample </w:t>
      </w:r>
      <w:r w:rsidR="00882F7A">
        <w:rPr>
          <w:rFonts w:ascii="Times New Roman" w:hAnsi="Times New Roman" w:cs="Times New Roman"/>
          <w:sz w:val="24"/>
          <w:szCs w:val="24"/>
        </w:rPr>
        <w:t>if</w:t>
      </w:r>
      <w:r w:rsidR="0072287A" w:rsidRPr="00C32509">
        <w:rPr>
          <w:rFonts w:ascii="Times New Roman" w:hAnsi="Times New Roman" w:cs="Times New Roman"/>
          <w:sz w:val="24"/>
          <w:szCs w:val="24"/>
        </w:rPr>
        <w:t xml:space="preserve"> their electoral systems </w:t>
      </w:r>
      <w:r w:rsidR="003974D4">
        <w:rPr>
          <w:rFonts w:ascii="Times New Roman" w:hAnsi="Times New Roman" w:cs="Times New Roman"/>
          <w:sz w:val="24"/>
          <w:szCs w:val="24"/>
        </w:rPr>
        <w:t xml:space="preserve">contain </w:t>
      </w:r>
      <w:r w:rsidR="00BC6B5F">
        <w:rPr>
          <w:rFonts w:ascii="Times New Roman" w:hAnsi="Times New Roman" w:cs="Times New Roman"/>
          <w:sz w:val="24"/>
          <w:szCs w:val="24"/>
        </w:rPr>
        <w:t>an</w:t>
      </w:r>
      <w:r w:rsidR="001E5504" w:rsidRPr="00C32509">
        <w:rPr>
          <w:rFonts w:ascii="Times New Roman" w:hAnsi="Times New Roman" w:cs="Times New Roman"/>
          <w:sz w:val="24"/>
          <w:szCs w:val="24"/>
        </w:rPr>
        <w:t xml:space="preserve"> </w:t>
      </w:r>
      <w:r w:rsidR="0072287A" w:rsidRPr="00C32509">
        <w:rPr>
          <w:rFonts w:ascii="Times New Roman" w:hAnsi="Times New Roman" w:cs="Times New Roman"/>
          <w:sz w:val="24"/>
          <w:szCs w:val="24"/>
        </w:rPr>
        <w:t>electora</w:t>
      </w:r>
      <w:r w:rsidR="001E5504" w:rsidRPr="00C32509">
        <w:rPr>
          <w:rFonts w:ascii="Times New Roman" w:hAnsi="Times New Roman" w:cs="Times New Roman"/>
          <w:sz w:val="24"/>
          <w:szCs w:val="24"/>
        </w:rPr>
        <w:t xml:space="preserve">l threshold. </w:t>
      </w:r>
    </w:p>
    <w:p w14:paraId="2FC69710" w14:textId="5A731373" w:rsidR="00400A1C" w:rsidRPr="00C32509" w:rsidRDefault="00CF7721" w:rsidP="002F0672">
      <w:pPr>
        <w:spacing w:line="360" w:lineRule="auto"/>
        <w:ind w:firstLine="360"/>
        <w:jc w:val="both"/>
        <w:rPr>
          <w:rFonts w:ascii="Times New Roman" w:hAnsi="Times New Roman" w:cs="Times New Roman"/>
          <w:sz w:val="24"/>
          <w:szCs w:val="24"/>
        </w:rPr>
      </w:pPr>
      <w:r w:rsidRPr="0007287A">
        <w:rPr>
          <w:rFonts w:ascii="Times New Roman" w:hAnsi="Times New Roman" w:cs="Times New Roman"/>
          <w:bCs/>
          <w:sz w:val="24"/>
          <w:szCs w:val="24"/>
        </w:rPr>
        <w:t>T</w:t>
      </w:r>
      <w:r w:rsidR="00FC14CD" w:rsidRPr="0007287A">
        <w:rPr>
          <w:rFonts w:ascii="Times New Roman" w:hAnsi="Times New Roman" w:cs="Times New Roman"/>
          <w:bCs/>
          <w:sz w:val="24"/>
          <w:szCs w:val="24"/>
        </w:rPr>
        <w:t>able A2</w:t>
      </w:r>
      <w:r w:rsidR="00E45C1A" w:rsidRPr="00C32509">
        <w:rPr>
          <w:rFonts w:ascii="Times New Roman" w:hAnsi="Times New Roman" w:cs="Times New Roman"/>
          <w:b/>
          <w:sz w:val="24"/>
          <w:szCs w:val="24"/>
        </w:rPr>
        <w:t xml:space="preserve"> </w:t>
      </w:r>
      <w:r w:rsidR="00E45C1A" w:rsidRPr="00C32509">
        <w:rPr>
          <w:rFonts w:ascii="Times New Roman" w:hAnsi="Times New Roman" w:cs="Times New Roman"/>
          <w:sz w:val="24"/>
          <w:szCs w:val="24"/>
        </w:rPr>
        <w:t xml:space="preserve">lists all the countries in </w:t>
      </w:r>
      <w:r w:rsidR="00720E98">
        <w:rPr>
          <w:rFonts w:ascii="Times New Roman" w:hAnsi="Times New Roman" w:cs="Times New Roman"/>
          <w:sz w:val="24"/>
          <w:szCs w:val="24"/>
        </w:rPr>
        <w:t xml:space="preserve">the </w:t>
      </w:r>
      <w:r w:rsidR="00E45C1A" w:rsidRPr="00C32509">
        <w:rPr>
          <w:rFonts w:ascii="Times New Roman" w:hAnsi="Times New Roman" w:cs="Times New Roman"/>
          <w:sz w:val="24"/>
          <w:szCs w:val="24"/>
        </w:rPr>
        <w:t>sample</w:t>
      </w:r>
      <w:r w:rsidR="006D6B0B">
        <w:rPr>
          <w:rFonts w:ascii="Times New Roman" w:hAnsi="Times New Roman" w:cs="Times New Roman"/>
          <w:sz w:val="24"/>
          <w:szCs w:val="24"/>
        </w:rPr>
        <w:t xml:space="preserve"> with an </w:t>
      </w:r>
      <w:r w:rsidR="00E45C1A" w:rsidRPr="00C32509">
        <w:rPr>
          <w:rFonts w:ascii="Times New Roman" w:hAnsi="Times New Roman" w:cs="Times New Roman"/>
          <w:sz w:val="24"/>
          <w:szCs w:val="24"/>
        </w:rPr>
        <w:t xml:space="preserve">electoral threshold. </w:t>
      </w:r>
      <w:r w:rsidR="00252AB8" w:rsidRPr="00C32509">
        <w:rPr>
          <w:rFonts w:ascii="Times New Roman" w:hAnsi="Times New Roman" w:cs="Times New Roman"/>
          <w:sz w:val="24"/>
          <w:szCs w:val="24"/>
        </w:rPr>
        <w:t xml:space="preserve">The third column </w:t>
      </w:r>
      <w:r w:rsidR="00E15A09">
        <w:rPr>
          <w:rFonts w:ascii="Times New Roman" w:hAnsi="Times New Roman" w:cs="Times New Roman"/>
          <w:sz w:val="24"/>
          <w:szCs w:val="24"/>
        </w:rPr>
        <w:t>signals</w:t>
      </w:r>
      <w:r w:rsidR="00252AB8" w:rsidRPr="00C32509">
        <w:rPr>
          <w:rFonts w:ascii="Times New Roman" w:hAnsi="Times New Roman" w:cs="Times New Roman"/>
          <w:sz w:val="24"/>
          <w:szCs w:val="24"/>
        </w:rPr>
        <w:t xml:space="preserve"> whether the threshold is defined by electoral law or </w:t>
      </w:r>
      <w:r w:rsidR="00614B2F" w:rsidRPr="00C32509">
        <w:rPr>
          <w:rFonts w:ascii="Times New Roman" w:hAnsi="Times New Roman" w:cs="Times New Roman"/>
          <w:sz w:val="24"/>
          <w:szCs w:val="24"/>
        </w:rPr>
        <w:t>calculated as an effective threshold</w:t>
      </w:r>
      <w:r w:rsidR="00FD2015">
        <w:rPr>
          <w:rFonts w:ascii="Times New Roman" w:hAnsi="Times New Roman" w:cs="Times New Roman"/>
          <w:sz w:val="24"/>
          <w:szCs w:val="24"/>
        </w:rPr>
        <w:t xml:space="preserve"> approximating the vote share required to win one seat in parliament</w:t>
      </w:r>
      <w:r w:rsidR="00534795" w:rsidRPr="00C32509">
        <w:rPr>
          <w:rFonts w:ascii="Times New Roman" w:hAnsi="Times New Roman" w:cs="Times New Roman"/>
          <w:sz w:val="24"/>
          <w:szCs w:val="24"/>
        </w:rPr>
        <w:t xml:space="preserve"> using the </w:t>
      </w:r>
      <w:r w:rsidR="001D63DE" w:rsidRPr="00C32509">
        <w:rPr>
          <w:rFonts w:ascii="Times New Roman" w:hAnsi="Times New Roman" w:cs="Times New Roman"/>
          <w:sz w:val="24"/>
          <w:szCs w:val="24"/>
        </w:rPr>
        <w:t xml:space="preserve">formula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effective</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75%</m:t>
            </m:r>
          </m:num>
          <m:den>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S</m:t>
                    </m:r>
                  </m:num>
                  <m:den>
                    <m:r>
                      <w:rPr>
                        <w:rFonts w:ascii="Cambria Math" w:hAnsi="Cambria Math" w:cs="Times New Roman"/>
                        <w:sz w:val="24"/>
                        <w:szCs w:val="24"/>
                      </w:rPr>
                      <m:t>E</m:t>
                    </m:r>
                  </m:den>
                </m:f>
                <m:r>
                  <w:rPr>
                    <w:rFonts w:ascii="Cambria Math" w:hAnsi="Cambria Math" w:cs="Times New Roman"/>
                    <w:sz w:val="24"/>
                    <w:szCs w:val="24"/>
                  </w:rPr>
                  <m:t>+1</m:t>
                </m:r>
              </m:e>
            </m:d>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E</m:t>
                </m:r>
              </m:e>
            </m:rad>
          </m:den>
        </m:f>
      </m:oMath>
      <w:r w:rsidR="00272398" w:rsidRPr="00C32509">
        <w:rPr>
          <w:rFonts w:ascii="Times New Roman" w:eastAsiaTheme="minorEastAsia" w:hAnsi="Times New Roman" w:cs="Times New Roman"/>
          <w:sz w:val="24"/>
          <w:szCs w:val="24"/>
        </w:rPr>
        <w:t xml:space="preserve">, where S is </w:t>
      </w:r>
      <w:r w:rsidR="00272398" w:rsidRPr="00C32509">
        <w:rPr>
          <w:rFonts w:ascii="Times New Roman" w:hAnsi="Times New Roman" w:cs="Times New Roman"/>
          <w:sz w:val="24"/>
          <w:szCs w:val="24"/>
        </w:rPr>
        <w:t xml:space="preserve">the total number of seats in parliament and E is the number of electoral districts </w:t>
      </w:r>
      <w:r w:rsidR="0082453B">
        <w:rPr>
          <w:rFonts w:ascii="Times New Roman" w:hAnsi="Times New Roman" w:cs="Times New Roman"/>
          <w:sz w:val="24"/>
          <w:szCs w:val="24"/>
        </w:rPr>
        <w:fldChar w:fldCharType="begin"/>
      </w:r>
      <w:r w:rsidR="001131A7">
        <w:rPr>
          <w:rFonts w:ascii="Times New Roman" w:hAnsi="Times New Roman" w:cs="Times New Roman"/>
          <w:sz w:val="24"/>
          <w:szCs w:val="24"/>
        </w:rPr>
        <w:instrText xml:space="preserve"> ADDIN ZOTERO_ITEM CSL_CITATION {"citationID":"FKo23iL2","properties":{"formattedCitation":"(Taagepera, 1998, 2002)","plainCitation":"(Taagepera, 1998, 2002)","noteIndex":0},"citationItems":[{"id":2468,"uris":["http://zotero.org/users/6208848/items/4L6ZQLJ5"],"itemData":{"id":2468,"type":"article-journal","issue":"4","journalAbbreviation":"Electoral Studies","language":"en","page":"12","source":"Zotero","title":"Effective Magnitude and Effective Threshold","volume":"Vol. 17","author":[{"family":"Taagepera","given":"Rein"}],"issued":{"date-parts":[["1998"]]}}},{"id":2463,"uris":["http://zotero.org/users/6208848/items/A8VBW824"],"itemData":{"id":2463,"type":"article-journal","abstract":"How large must parties be to achieve minimal representation in a national assembly? The degree of institutional constraints is reﬂected indirectly by the number of seat-winning parties (n) and more directly by the threshold of representation (T), deﬁned as the vote level at which parties have a 50–50 chance to win their ﬁrst seat. The existing theoretical threshold formulas use district-level reasoning and therefore overestimate the nationwide threshold. This study extends the theory to the nationwide level. In addition to district magnitude (M), the number of electoral districts and hence assembly size (S) emerge as important variables. When all seats are allocated in M-seat districts, T=75%/[(M+1)(S/M)0.5] and n=(MS)0.25. T and n are connected by T=75%/[n2+(S/n2)]. These theoretical expectation values are tested with 46 durable electoral systems.  2002 Elsevier Science Ltd. All rights reserved.","container-title":"Electoral Studies","DOI":"10.1016/S0261-3794(00)00045-7","ISSN":"02613794","issue":"3","journalAbbreviation":"Electoral Studies","language":"en","page":"383-401","source":"DOI.org (Crossref)","title":"Nationwide threshold of representation","volume":"21","author":[{"family":"Taagepera","given":"Rein"}],"issued":{"date-parts":[["2002",9]]}}}],"schema":"https://github.com/citation-style-language/schema/raw/master/csl-citation.json"} </w:instrText>
      </w:r>
      <w:r w:rsidR="0082453B">
        <w:rPr>
          <w:rFonts w:ascii="Times New Roman" w:hAnsi="Times New Roman" w:cs="Times New Roman"/>
          <w:sz w:val="24"/>
          <w:szCs w:val="24"/>
        </w:rPr>
        <w:fldChar w:fldCharType="separate"/>
      </w:r>
      <w:r w:rsidR="0082453B" w:rsidRPr="0082453B">
        <w:rPr>
          <w:rFonts w:ascii="Times New Roman" w:hAnsi="Times New Roman" w:cs="Times New Roman"/>
          <w:sz w:val="24"/>
        </w:rPr>
        <w:t>(Taagepera, 1998, 2002)</w:t>
      </w:r>
      <w:r w:rsidR="0082453B">
        <w:rPr>
          <w:rFonts w:ascii="Times New Roman" w:hAnsi="Times New Roman" w:cs="Times New Roman"/>
          <w:sz w:val="24"/>
          <w:szCs w:val="24"/>
        </w:rPr>
        <w:fldChar w:fldCharType="end"/>
      </w:r>
      <w:r w:rsidR="007441BA" w:rsidRPr="00C32509">
        <w:rPr>
          <w:rFonts w:ascii="Times New Roman" w:hAnsi="Times New Roman" w:cs="Times New Roman"/>
          <w:sz w:val="24"/>
          <w:szCs w:val="24"/>
        </w:rPr>
        <w:t xml:space="preserve">. </w:t>
      </w:r>
      <w:r w:rsidR="00302EC3">
        <w:rPr>
          <w:rFonts w:ascii="Times New Roman" w:hAnsi="Times New Roman" w:cs="Times New Roman"/>
          <w:sz w:val="24"/>
          <w:szCs w:val="24"/>
        </w:rPr>
        <w:t xml:space="preserve">Since the electoral system does not </w:t>
      </w:r>
      <w:r w:rsidR="00302EC3">
        <w:rPr>
          <w:rFonts w:ascii="Times New Roman" w:hAnsi="Times New Roman" w:cs="Times New Roman"/>
          <w:sz w:val="24"/>
          <w:szCs w:val="24"/>
        </w:rPr>
        <w:lastRenderedPageBreak/>
        <w:t xml:space="preserve">completely determine the effective threshold, it is important to note that the results are similar if I only include countries in the analysis with a legally defined electoral </w:t>
      </w:r>
      <w:r w:rsidR="00302EC3" w:rsidRPr="00263B84">
        <w:rPr>
          <w:rFonts w:ascii="Times New Roman" w:hAnsi="Times New Roman" w:cs="Times New Roman"/>
          <w:sz w:val="24"/>
          <w:szCs w:val="24"/>
        </w:rPr>
        <w:t>threshold</w:t>
      </w:r>
      <w:r w:rsidR="00302EC3">
        <w:rPr>
          <w:rFonts w:ascii="Times New Roman" w:hAnsi="Times New Roman" w:cs="Times New Roman"/>
          <w:sz w:val="24"/>
          <w:szCs w:val="24"/>
        </w:rPr>
        <w:t xml:space="preserve"> (</w:t>
      </w:r>
      <w:r w:rsidR="00302EC3" w:rsidRPr="00B57B2D">
        <w:rPr>
          <w:rFonts w:ascii="Times New Roman" w:hAnsi="Times New Roman" w:cs="Times New Roman"/>
          <w:sz w:val="24"/>
          <w:szCs w:val="24"/>
        </w:rPr>
        <w:t xml:space="preserve">see table </w:t>
      </w:r>
      <w:r w:rsidR="00302EC3">
        <w:rPr>
          <w:rFonts w:ascii="Times New Roman" w:hAnsi="Times New Roman" w:cs="Times New Roman"/>
          <w:sz w:val="24"/>
          <w:szCs w:val="24"/>
        </w:rPr>
        <w:t xml:space="preserve">H2). </w:t>
      </w:r>
      <w:r w:rsidR="004C5A19" w:rsidRPr="00040D4F">
        <w:rPr>
          <w:rFonts w:ascii="Times New Roman" w:hAnsi="Times New Roman" w:cs="Times New Roman"/>
          <w:sz w:val="24"/>
          <w:szCs w:val="24"/>
        </w:rPr>
        <w:t>28 countries</w:t>
      </w:r>
      <w:r w:rsidR="004C5A19">
        <w:rPr>
          <w:rFonts w:ascii="Times New Roman" w:hAnsi="Times New Roman" w:cs="Times New Roman"/>
          <w:sz w:val="24"/>
          <w:szCs w:val="24"/>
        </w:rPr>
        <w:t xml:space="preserve"> (1</w:t>
      </w:r>
      <w:r w:rsidR="00D54E32">
        <w:rPr>
          <w:rFonts w:ascii="Times New Roman" w:hAnsi="Times New Roman" w:cs="Times New Roman"/>
          <w:sz w:val="24"/>
          <w:szCs w:val="24"/>
        </w:rPr>
        <w:t>74</w:t>
      </w:r>
      <w:r w:rsidR="004C5A19">
        <w:rPr>
          <w:rFonts w:ascii="Times New Roman" w:hAnsi="Times New Roman" w:cs="Times New Roman"/>
          <w:sz w:val="24"/>
          <w:szCs w:val="24"/>
        </w:rPr>
        <w:t xml:space="preserve"> country-years)</w:t>
      </w:r>
      <w:r w:rsidR="004C5A19" w:rsidRPr="00040D4F">
        <w:rPr>
          <w:rFonts w:ascii="Times New Roman" w:hAnsi="Times New Roman" w:cs="Times New Roman"/>
          <w:sz w:val="24"/>
          <w:szCs w:val="24"/>
        </w:rPr>
        <w:t xml:space="preserve"> in the sample </w:t>
      </w:r>
      <w:r w:rsidR="004C5A19">
        <w:rPr>
          <w:rFonts w:ascii="Times New Roman" w:hAnsi="Times New Roman" w:cs="Times New Roman"/>
          <w:sz w:val="24"/>
          <w:szCs w:val="24"/>
        </w:rPr>
        <w:t xml:space="preserve">have electoral systems that </w:t>
      </w:r>
      <w:r w:rsidR="004C5A19" w:rsidRPr="00040D4F">
        <w:rPr>
          <w:rFonts w:ascii="Times New Roman" w:hAnsi="Times New Roman" w:cs="Times New Roman"/>
          <w:sz w:val="24"/>
          <w:szCs w:val="24"/>
        </w:rPr>
        <w:t>require a political party exceed</w:t>
      </w:r>
      <w:r w:rsidR="004C5A19">
        <w:rPr>
          <w:rFonts w:ascii="Times New Roman" w:hAnsi="Times New Roman" w:cs="Times New Roman"/>
          <w:sz w:val="24"/>
          <w:szCs w:val="24"/>
        </w:rPr>
        <w:t>s</w:t>
      </w:r>
      <w:r w:rsidR="004C5A19" w:rsidRPr="00040D4F">
        <w:rPr>
          <w:rFonts w:ascii="Times New Roman" w:hAnsi="Times New Roman" w:cs="Times New Roman"/>
          <w:sz w:val="24"/>
          <w:szCs w:val="24"/>
        </w:rPr>
        <w:t xml:space="preserve"> a nationwide</w:t>
      </w:r>
      <w:r w:rsidR="004C5A19">
        <w:rPr>
          <w:rFonts w:ascii="Times New Roman" w:hAnsi="Times New Roman" w:cs="Times New Roman"/>
          <w:sz w:val="24"/>
          <w:szCs w:val="24"/>
        </w:rPr>
        <w:t xml:space="preserve"> electoral</w:t>
      </w:r>
      <w:r w:rsidR="004C5A19" w:rsidRPr="00040D4F">
        <w:rPr>
          <w:rFonts w:ascii="Times New Roman" w:hAnsi="Times New Roman" w:cs="Times New Roman"/>
          <w:sz w:val="24"/>
          <w:szCs w:val="24"/>
        </w:rPr>
        <w:t xml:space="preserve"> threshold.</w:t>
      </w:r>
      <w:r w:rsidR="004C5A19">
        <w:rPr>
          <w:rFonts w:ascii="Times New Roman" w:hAnsi="Times New Roman" w:cs="Times New Roman"/>
          <w:sz w:val="24"/>
          <w:szCs w:val="24"/>
        </w:rPr>
        <w:t xml:space="preserve"> T</w:t>
      </w:r>
      <w:r w:rsidR="004C5A19" w:rsidRPr="00FE1434">
        <w:rPr>
          <w:rFonts w:ascii="Times New Roman" w:hAnsi="Times New Roman" w:cs="Times New Roman"/>
          <w:sz w:val="24"/>
          <w:szCs w:val="24"/>
        </w:rPr>
        <w:t>he institutional design of the political system is exogenous</w:t>
      </w:r>
      <w:r w:rsidR="004C5A19">
        <w:rPr>
          <w:rFonts w:ascii="Times New Roman" w:hAnsi="Times New Roman" w:cs="Times New Roman"/>
          <w:sz w:val="24"/>
          <w:szCs w:val="24"/>
        </w:rPr>
        <w:t xml:space="preserve"> to</w:t>
      </w:r>
      <w:r w:rsidR="004C5A19" w:rsidRPr="00FE1434">
        <w:rPr>
          <w:rFonts w:ascii="Times New Roman" w:hAnsi="Times New Roman" w:cs="Times New Roman"/>
          <w:sz w:val="24"/>
          <w:szCs w:val="24"/>
        </w:rPr>
        <w:t xml:space="preserve"> party behavior before the election</w:t>
      </w:r>
      <w:r w:rsidR="004C5A19">
        <w:rPr>
          <w:rFonts w:ascii="Times New Roman" w:hAnsi="Times New Roman" w:cs="Times New Roman"/>
          <w:sz w:val="24"/>
          <w:szCs w:val="24"/>
        </w:rPr>
        <w:t xml:space="preserve">, thus, eliminating </w:t>
      </w:r>
      <w:r w:rsidR="00D775EE">
        <w:rPr>
          <w:rFonts w:ascii="Times New Roman" w:hAnsi="Times New Roman" w:cs="Times New Roman"/>
          <w:sz w:val="24"/>
          <w:szCs w:val="24"/>
        </w:rPr>
        <w:t>this</w:t>
      </w:r>
      <w:r w:rsidR="004C5A19">
        <w:rPr>
          <w:rFonts w:ascii="Times New Roman" w:hAnsi="Times New Roman" w:cs="Times New Roman"/>
          <w:sz w:val="24"/>
          <w:szCs w:val="24"/>
        </w:rPr>
        <w:t xml:space="preserve"> potential confounder </w:t>
      </w:r>
      <w:r w:rsidR="004C5A19">
        <w:rPr>
          <w:rFonts w:ascii="Times New Roman" w:hAnsi="Times New Roman" w:cs="Times New Roman"/>
          <w:sz w:val="24"/>
          <w:szCs w:val="24"/>
        </w:rPr>
        <w:fldChar w:fldCharType="begin"/>
      </w:r>
      <w:r w:rsidR="004C5A19">
        <w:rPr>
          <w:rFonts w:ascii="Times New Roman" w:hAnsi="Times New Roman" w:cs="Times New Roman"/>
          <w:sz w:val="24"/>
          <w:szCs w:val="24"/>
        </w:rPr>
        <w:instrText xml:space="preserve"> ADDIN ZOTERO_ITEM CSL_CITATION {"citationID":"TpIxNyJ3","properties":{"formattedCitation":"(Abou-Chadi &amp; Krause, 2020)","plainCitation":"(Abou-Chadi &amp; Krause, 2020)","noteIndex":0},"citationItems":[{"id":1850,"uris":["http://zotero.org/users/6208848/items/TTD5KZZP"],"itemData":{"id":1850,"type":"article-journal","abstract":"This article investigates how the success of radical right parties affects the policy positions of mainstream parties. We do this using a regression discontinuity approach that allows us to causally attribute mainstream parties’ positional changes to radical right strength independent of public opinion as a potential confounder. Making use of exogenous variation created through differences in electoral thresholds, we empirically demonstrate that radical right success, indeed, causally affects mainstream parties’ positions. This is true for mainstream left as well as mainstream right parties. These findings make an important contribution to the broader literature on party competition as they indicate that other parties’ behavior and not only public opinion plays a crucial role in explaining parties’ policy shift.","container-title":"British Journal of Political Science","DOI":"10.1017/S0007123418000029","ISSN":"0007-1234, 1469-2112","issue":"3","journalAbbreviation":"Brit. J. Polit. Sci.","language":"en","page":"829-847","source":"DOI.org (Crossref)","title":"The Causal Effect of Radical Right Success on Mainstream Parties’ Policy Positions: A Regression Discontinuity Approach","title-short":"The Causal Effect of Radical Right Success on Mainstream Parties’ Policy Positions","volume":"50","author":[{"family":"Abou-Chadi","given":"Tarik"},{"family":"Krause","given":"Werner"}],"issued":{"date-parts":[["2020",7]]}}}],"schema":"https://github.com/citation-style-language/schema/raw/master/csl-citation.json"} </w:instrText>
      </w:r>
      <w:r w:rsidR="004C5A19">
        <w:rPr>
          <w:rFonts w:ascii="Times New Roman" w:hAnsi="Times New Roman" w:cs="Times New Roman"/>
          <w:sz w:val="24"/>
          <w:szCs w:val="24"/>
        </w:rPr>
        <w:fldChar w:fldCharType="separate"/>
      </w:r>
      <w:r w:rsidR="004C5A19" w:rsidRPr="00375EB6">
        <w:rPr>
          <w:rFonts w:ascii="Times New Roman" w:hAnsi="Times New Roman" w:cs="Times New Roman"/>
          <w:sz w:val="24"/>
        </w:rPr>
        <w:t>(Abou-Chadi &amp; Krause, 2020)</w:t>
      </w:r>
      <w:r w:rsidR="004C5A19">
        <w:rPr>
          <w:rFonts w:ascii="Times New Roman" w:hAnsi="Times New Roman" w:cs="Times New Roman"/>
          <w:sz w:val="24"/>
          <w:szCs w:val="24"/>
        </w:rPr>
        <w:fldChar w:fldCharType="end"/>
      </w:r>
      <w:r w:rsidR="004C5A19" w:rsidRPr="00FE1434">
        <w:rPr>
          <w:rFonts w:ascii="Times New Roman" w:hAnsi="Times New Roman" w:cs="Times New Roman"/>
          <w:sz w:val="24"/>
          <w:szCs w:val="24"/>
        </w:rPr>
        <w:t xml:space="preserve">. </w:t>
      </w:r>
    </w:p>
    <w:p w14:paraId="4FA5113A" w14:textId="6CA166B7" w:rsidR="003F393D" w:rsidRPr="008D2FB4" w:rsidRDefault="003F393D" w:rsidP="0007287A">
      <w:pPr>
        <w:pStyle w:val="Overskrift3"/>
        <w:spacing w:line="360" w:lineRule="auto"/>
        <w:rPr>
          <w:rFonts w:ascii="Times New Roman" w:hAnsi="Times New Roman" w:cs="Times New Roman"/>
          <w:b/>
          <w:color w:val="auto"/>
        </w:rPr>
      </w:pPr>
      <w:bookmarkStart w:id="6" w:name="_Toc113820347"/>
      <w:r w:rsidRPr="008D2FB4">
        <w:rPr>
          <w:rFonts w:ascii="Times New Roman" w:hAnsi="Times New Roman" w:cs="Times New Roman"/>
          <w:b/>
          <w:color w:val="auto"/>
        </w:rPr>
        <w:t>Table A2: List of countries and electoral thresholds</w:t>
      </w:r>
      <w:bookmarkEnd w:id="6"/>
    </w:p>
    <w:tbl>
      <w:tblPr>
        <w:tblW w:w="4253" w:type="dxa"/>
        <w:jc w:val="center"/>
        <w:tblLook w:val="04A0" w:firstRow="1" w:lastRow="0" w:firstColumn="1" w:lastColumn="0" w:noHBand="0" w:noVBand="1"/>
      </w:tblPr>
      <w:tblGrid>
        <w:gridCol w:w="1843"/>
        <w:gridCol w:w="1276"/>
        <w:gridCol w:w="1134"/>
      </w:tblGrid>
      <w:tr w:rsidR="003F393D" w:rsidRPr="00C32509" w14:paraId="1E6761AE" w14:textId="77777777" w:rsidTr="00EB6B6D">
        <w:trPr>
          <w:trHeight w:val="315"/>
          <w:jc w:val="center"/>
        </w:trPr>
        <w:tc>
          <w:tcPr>
            <w:tcW w:w="1843" w:type="dxa"/>
            <w:tcBorders>
              <w:top w:val="single" w:sz="4" w:space="0" w:color="auto"/>
              <w:left w:val="nil"/>
              <w:bottom w:val="single" w:sz="4" w:space="0" w:color="auto"/>
              <w:right w:val="nil"/>
            </w:tcBorders>
            <w:shd w:val="clear" w:color="000000" w:fill="FFFFFF"/>
            <w:noWrap/>
            <w:vAlign w:val="bottom"/>
            <w:hideMark/>
          </w:tcPr>
          <w:p w14:paraId="0A92C626" w14:textId="77777777" w:rsidR="003F393D" w:rsidRPr="00C32509" w:rsidRDefault="003F393D" w:rsidP="0007287A">
            <w:pPr>
              <w:spacing w:before="0" w:after="0" w:line="240" w:lineRule="auto"/>
              <w:jc w:val="both"/>
              <w:rPr>
                <w:rFonts w:ascii="Times New Roman" w:eastAsia="Times New Roman" w:hAnsi="Times New Roman" w:cs="Times New Roman"/>
                <w:b/>
                <w:bCs/>
                <w:color w:val="000000"/>
                <w:sz w:val="20"/>
                <w:szCs w:val="24"/>
              </w:rPr>
            </w:pPr>
            <w:r w:rsidRPr="00C32509">
              <w:rPr>
                <w:rFonts w:ascii="Times New Roman" w:eastAsia="Times New Roman" w:hAnsi="Times New Roman" w:cs="Times New Roman"/>
                <w:b/>
                <w:bCs/>
                <w:color w:val="000000"/>
                <w:sz w:val="20"/>
                <w:szCs w:val="24"/>
              </w:rPr>
              <w:t>Country</w:t>
            </w:r>
          </w:p>
        </w:tc>
        <w:tc>
          <w:tcPr>
            <w:tcW w:w="1276" w:type="dxa"/>
            <w:tcBorders>
              <w:top w:val="single" w:sz="4" w:space="0" w:color="auto"/>
              <w:left w:val="nil"/>
              <w:bottom w:val="single" w:sz="4" w:space="0" w:color="auto"/>
              <w:right w:val="nil"/>
            </w:tcBorders>
            <w:shd w:val="clear" w:color="000000" w:fill="FFFFFF"/>
            <w:noWrap/>
            <w:vAlign w:val="bottom"/>
            <w:hideMark/>
          </w:tcPr>
          <w:p w14:paraId="3BC85EBF" w14:textId="77777777" w:rsidR="003F393D" w:rsidRPr="00C32509" w:rsidRDefault="003F393D" w:rsidP="0007287A">
            <w:pPr>
              <w:spacing w:before="0" w:after="0" w:line="240" w:lineRule="auto"/>
              <w:jc w:val="both"/>
              <w:rPr>
                <w:rFonts w:ascii="Times New Roman" w:eastAsia="Times New Roman" w:hAnsi="Times New Roman" w:cs="Times New Roman"/>
                <w:b/>
                <w:bCs/>
                <w:color w:val="000000"/>
                <w:sz w:val="20"/>
                <w:szCs w:val="24"/>
              </w:rPr>
            </w:pPr>
            <w:r w:rsidRPr="00C32509">
              <w:rPr>
                <w:rFonts w:ascii="Times New Roman" w:eastAsia="Times New Roman" w:hAnsi="Times New Roman" w:cs="Times New Roman"/>
                <w:b/>
                <w:bCs/>
                <w:color w:val="000000"/>
                <w:sz w:val="20"/>
                <w:szCs w:val="24"/>
              </w:rPr>
              <w:t>Threshold</w:t>
            </w:r>
          </w:p>
        </w:tc>
        <w:tc>
          <w:tcPr>
            <w:tcW w:w="1134" w:type="dxa"/>
            <w:tcBorders>
              <w:top w:val="single" w:sz="4" w:space="0" w:color="auto"/>
              <w:left w:val="nil"/>
              <w:bottom w:val="single" w:sz="4" w:space="0" w:color="auto"/>
              <w:right w:val="nil"/>
            </w:tcBorders>
            <w:shd w:val="clear" w:color="000000" w:fill="FFFFFF"/>
            <w:noWrap/>
            <w:vAlign w:val="bottom"/>
            <w:hideMark/>
          </w:tcPr>
          <w:p w14:paraId="10E78F0B" w14:textId="77777777" w:rsidR="003F393D" w:rsidRPr="00C32509" w:rsidRDefault="003F393D" w:rsidP="0007287A">
            <w:pPr>
              <w:spacing w:before="0" w:after="0" w:line="240" w:lineRule="auto"/>
              <w:jc w:val="both"/>
              <w:rPr>
                <w:rFonts w:ascii="Times New Roman" w:eastAsia="Times New Roman" w:hAnsi="Times New Roman" w:cs="Times New Roman"/>
                <w:b/>
                <w:bCs/>
                <w:color w:val="000000"/>
                <w:sz w:val="20"/>
                <w:szCs w:val="24"/>
              </w:rPr>
            </w:pPr>
            <w:r w:rsidRPr="00C32509">
              <w:rPr>
                <w:rFonts w:ascii="Times New Roman" w:eastAsia="Times New Roman" w:hAnsi="Times New Roman" w:cs="Times New Roman"/>
                <w:b/>
                <w:bCs/>
                <w:color w:val="000000"/>
                <w:sz w:val="20"/>
                <w:szCs w:val="24"/>
              </w:rPr>
              <w:t>Type</w:t>
            </w:r>
          </w:p>
        </w:tc>
      </w:tr>
      <w:tr w:rsidR="003F393D" w:rsidRPr="00C32509" w14:paraId="79DC81E8" w14:textId="77777777" w:rsidTr="00EB6B6D">
        <w:trPr>
          <w:trHeight w:val="315"/>
          <w:jc w:val="center"/>
        </w:trPr>
        <w:tc>
          <w:tcPr>
            <w:tcW w:w="1843" w:type="dxa"/>
            <w:tcBorders>
              <w:top w:val="nil"/>
              <w:left w:val="nil"/>
              <w:bottom w:val="nil"/>
              <w:right w:val="nil"/>
            </w:tcBorders>
            <w:shd w:val="clear" w:color="000000" w:fill="FFFFFF"/>
            <w:noWrap/>
            <w:vAlign w:val="bottom"/>
            <w:hideMark/>
          </w:tcPr>
          <w:p w14:paraId="7F1B0B07"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Austria</w:t>
            </w:r>
          </w:p>
        </w:tc>
        <w:tc>
          <w:tcPr>
            <w:tcW w:w="1276" w:type="dxa"/>
            <w:tcBorders>
              <w:top w:val="nil"/>
              <w:left w:val="nil"/>
              <w:bottom w:val="nil"/>
              <w:right w:val="nil"/>
            </w:tcBorders>
            <w:shd w:val="clear" w:color="000000" w:fill="FFFFFF"/>
            <w:noWrap/>
            <w:vAlign w:val="bottom"/>
            <w:hideMark/>
          </w:tcPr>
          <w:p w14:paraId="4B82FBEF"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4</w:t>
            </w:r>
          </w:p>
        </w:tc>
        <w:tc>
          <w:tcPr>
            <w:tcW w:w="1134" w:type="dxa"/>
            <w:tcBorders>
              <w:top w:val="nil"/>
              <w:left w:val="nil"/>
              <w:bottom w:val="nil"/>
              <w:right w:val="nil"/>
            </w:tcBorders>
            <w:shd w:val="clear" w:color="000000" w:fill="FFFFFF"/>
            <w:noWrap/>
            <w:vAlign w:val="bottom"/>
            <w:hideMark/>
          </w:tcPr>
          <w:p w14:paraId="7B07EB58"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Legal</w:t>
            </w:r>
          </w:p>
        </w:tc>
      </w:tr>
      <w:tr w:rsidR="003F393D" w:rsidRPr="00C32509" w14:paraId="562A079A" w14:textId="77777777" w:rsidTr="00EB6B6D">
        <w:trPr>
          <w:trHeight w:val="315"/>
          <w:jc w:val="center"/>
        </w:trPr>
        <w:tc>
          <w:tcPr>
            <w:tcW w:w="1843" w:type="dxa"/>
            <w:tcBorders>
              <w:top w:val="nil"/>
              <w:left w:val="nil"/>
              <w:bottom w:val="nil"/>
              <w:right w:val="nil"/>
            </w:tcBorders>
            <w:shd w:val="clear" w:color="000000" w:fill="FFFFFF"/>
            <w:noWrap/>
            <w:vAlign w:val="bottom"/>
            <w:hideMark/>
          </w:tcPr>
          <w:p w14:paraId="1B7093B3"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Belgium</w:t>
            </w:r>
          </w:p>
        </w:tc>
        <w:tc>
          <w:tcPr>
            <w:tcW w:w="1276" w:type="dxa"/>
            <w:tcBorders>
              <w:top w:val="nil"/>
              <w:left w:val="nil"/>
              <w:bottom w:val="nil"/>
              <w:right w:val="nil"/>
            </w:tcBorders>
            <w:shd w:val="clear" w:color="000000" w:fill="FFFFFF"/>
            <w:noWrap/>
            <w:vAlign w:val="bottom"/>
            <w:hideMark/>
          </w:tcPr>
          <w:p w14:paraId="48DEFB97"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1.545</w:t>
            </w:r>
          </w:p>
        </w:tc>
        <w:tc>
          <w:tcPr>
            <w:tcW w:w="1134" w:type="dxa"/>
            <w:tcBorders>
              <w:top w:val="nil"/>
              <w:left w:val="nil"/>
              <w:bottom w:val="nil"/>
              <w:right w:val="nil"/>
            </w:tcBorders>
            <w:shd w:val="clear" w:color="000000" w:fill="FFFFFF"/>
            <w:noWrap/>
            <w:vAlign w:val="bottom"/>
            <w:hideMark/>
          </w:tcPr>
          <w:p w14:paraId="2D66A739"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Effective</w:t>
            </w:r>
          </w:p>
        </w:tc>
      </w:tr>
      <w:tr w:rsidR="003F393D" w:rsidRPr="00C32509" w14:paraId="7DD326E1" w14:textId="77777777" w:rsidTr="00EB6B6D">
        <w:trPr>
          <w:trHeight w:val="315"/>
          <w:jc w:val="center"/>
        </w:trPr>
        <w:tc>
          <w:tcPr>
            <w:tcW w:w="1843" w:type="dxa"/>
            <w:tcBorders>
              <w:top w:val="nil"/>
              <w:left w:val="nil"/>
              <w:bottom w:val="nil"/>
              <w:right w:val="nil"/>
            </w:tcBorders>
            <w:shd w:val="clear" w:color="000000" w:fill="FFFFFF"/>
            <w:noWrap/>
            <w:vAlign w:val="bottom"/>
            <w:hideMark/>
          </w:tcPr>
          <w:p w14:paraId="25728D3E"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Bulgaria</w:t>
            </w:r>
          </w:p>
        </w:tc>
        <w:tc>
          <w:tcPr>
            <w:tcW w:w="1276" w:type="dxa"/>
            <w:tcBorders>
              <w:top w:val="nil"/>
              <w:left w:val="nil"/>
              <w:bottom w:val="nil"/>
              <w:right w:val="nil"/>
            </w:tcBorders>
            <w:shd w:val="clear" w:color="000000" w:fill="FFFFFF"/>
            <w:noWrap/>
            <w:vAlign w:val="bottom"/>
            <w:hideMark/>
          </w:tcPr>
          <w:p w14:paraId="36A14563"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4</w:t>
            </w:r>
          </w:p>
        </w:tc>
        <w:tc>
          <w:tcPr>
            <w:tcW w:w="1134" w:type="dxa"/>
            <w:tcBorders>
              <w:top w:val="nil"/>
              <w:left w:val="nil"/>
              <w:bottom w:val="nil"/>
              <w:right w:val="nil"/>
            </w:tcBorders>
            <w:shd w:val="clear" w:color="000000" w:fill="FFFFFF"/>
            <w:noWrap/>
            <w:vAlign w:val="bottom"/>
            <w:hideMark/>
          </w:tcPr>
          <w:p w14:paraId="63EFB3D7"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Legal</w:t>
            </w:r>
          </w:p>
        </w:tc>
      </w:tr>
      <w:tr w:rsidR="003F393D" w:rsidRPr="00C32509" w14:paraId="60D1850D" w14:textId="77777777" w:rsidTr="00EB6B6D">
        <w:trPr>
          <w:trHeight w:val="315"/>
          <w:jc w:val="center"/>
        </w:trPr>
        <w:tc>
          <w:tcPr>
            <w:tcW w:w="1843" w:type="dxa"/>
            <w:tcBorders>
              <w:top w:val="nil"/>
              <w:left w:val="nil"/>
              <w:bottom w:val="nil"/>
              <w:right w:val="nil"/>
            </w:tcBorders>
            <w:shd w:val="clear" w:color="000000" w:fill="FFFFFF"/>
            <w:noWrap/>
            <w:vAlign w:val="bottom"/>
            <w:hideMark/>
          </w:tcPr>
          <w:p w14:paraId="28877588"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Cyprus</w:t>
            </w:r>
          </w:p>
        </w:tc>
        <w:tc>
          <w:tcPr>
            <w:tcW w:w="1276" w:type="dxa"/>
            <w:tcBorders>
              <w:top w:val="nil"/>
              <w:left w:val="nil"/>
              <w:bottom w:val="nil"/>
              <w:right w:val="nil"/>
            </w:tcBorders>
            <w:shd w:val="clear" w:color="000000" w:fill="FFFFFF"/>
            <w:noWrap/>
            <w:vAlign w:val="bottom"/>
            <w:hideMark/>
          </w:tcPr>
          <w:p w14:paraId="6FB4BC8B"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3.6</w:t>
            </w:r>
          </w:p>
        </w:tc>
        <w:tc>
          <w:tcPr>
            <w:tcW w:w="1134" w:type="dxa"/>
            <w:tcBorders>
              <w:top w:val="nil"/>
              <w:left w:val="nil"/>
              <w:bottom w:val="nil"/>
              <w:right w:val="nil"/>
            </w:tcBorders>
            <w:shd w:val="clear" w:color="000000" w:fill="FFFFFF"/>
            <w:noWrap/>
            <w:vAlign w:val="bottom"/>
            <w:hideMark/>
          </w:tcPr>
          <w:p w14:paraId="03B20E0C"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Effective</w:t>
            </w:r>
          </w:p>
        </w:tc>
      </w:tr>
      <w:tr w:rsidR="003F393D" w:rsidRPr="00C32509" w14:paraId="67BC49C0" w14:textId="77777777" w:rsidTr="00EB6B6D">
        <w:trPr>
          <w:trHeight w:val="315"/>
          <w:jc w:val="center"/>
        </w:trPr>
        <w:tc>
          <w:tcPr>
            <w:tcW w:w="1843" w:type="dxa"/>
            <w:tcBorders>
              <w:top w:val="nil"/>
              <w:left w:val="nil"/>
              <w:bottom w:val="nil"/>
              <w:right w:val="nil"/>
            </w:tcBorders>
            <w:shd w:val="clear" w:color="000000" w:fill="FFFFFF"/>
            <w:noWrap/>
            <w:vAlign w:val="bottom"/>
            <w:hideMark/>
          </w:tcPr>
          <w:p w14:paraId="60EA2162"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Czech Republic</w:t>
            </w:r>
          </w:p>
        </w:tc>
        <w:tc>
          <w:tcPr>
            <w:tcW w:w="1276" w:type="dxa"/>
            <w:tcBorders>
              <w:top w:val="nil"/>
              <w:left w:val="nil"/>
              <w:bottom w:val="nil"/>
              <w:right w:val="nil"/>
            </w:tcBorders>
            <w:shd w:val="clear" w:color="000000" w:fill="FFFFFF"/>
            <w:noWrap/>
            <w:vAlign w:val="bottom"/>
            <w:hideMark/>
          </w:tcPr>
          <w:p w14:paraId="110F8864"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5</w:t>
            </w:r>
          </w:p>
        </w:tc>
        <w:tc>
          <w:tcPr>
            <w:tcW w:w="1134" w:type="dxa"/>
            <w:tcBorders>
              <w:top w:val="nil"/>
              <w:left w:val="nil"/>
              <w:bottom w:val="nil"/>
              <w:right w:val="nil"/>
            </w:tcBorders>
            <w:shd w:val="clear" w:color="000000" w:fill="FFFFFF"/>
            <w:noWrap/>
            <w:vAlign w:val="bottom"/>
            <w:hideMark/>
          </w:tcPr>
          <w:p w14:paraId="1BF02B5D"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Legal</w:t>
            </w:r>
          </w:p>
        </w:tc>
      </w:tr>
      <w:tr w:rsidR="003F393D" w:rsidRPr="00C32509" w14:paraId="58637D4C" w14:textId="77777777" w:rsidTr="00EB6B6D">
        <w:trPr>
          <w:trHeight w:val="315"/>
          <w:jc w:val="center"/>
        </w:trPr>
        <w:tc>
          <w:tcPr>
            <w:tcW w:w="1843" w:type="dxa"/>
            <w:tcBorders>
              <w:top w:val="nil"/>
              <w:left w:val="nil"/>
              <w:bottom w:val="nil"/>
              <w:right w:val="nil"/>
            </w:tcBorders>
            <w:shd w:val="clear" w:color="000000" w:fill="FFFFFF"/>
            <w:noWrap/>
            <w:vAlign w:val="bottom"/>
            <w:hideMark/>
          </w:tcPr>
          <w:p w14:paraId="3D664914"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Denmark</w:t>
            </w:r>
          </w:p>
        </w:tc>
        <w:tc>
          <w:tcPr>
            <w:tcW w:w="1276" w:type="dxa"/>
            <w:tcBorders>
              <w:top w:val="nil"/>
              <w:left w:val="nil"/>
              <w:bottom w:val="nil"/>
              <w:right w:val="nil"/>
            </w:tcBorders>
            <w:shd w:val="clear" w:color="000000" w:fill="FFFFFF"/>
            <w:noWrap/>
            <w:vAlign w:val="bottom"/>
            <w:hideMark/>
          </w:tcPr>
          <w:p w14:paraId="180E678C"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2</w:t>
            </w:r>
          </w:p>
        </w:tc>
        <w:tc>
          <w:tcPr>
            <w:tcW w:w="1134" w:type="dxa"/>
            <w:tcBorders>
              <w:top w:val="nil"/>
              <w:left w:val="nil"/>
              <w:bottom w:val="nil"/>
              <w:right w:val="nil"/>
            </w:tcBorders>
            <w:shd w:val="clear" w:color="000000" w:fill="FFFFFF"/>
            <w:noWrap/>
            <w:vAlign w:val="bottom"/>
            <w:hideMark/>
          </w:tcPr>
          <w:p w14:paraId="7BA7332F"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Legal</w:t>
            </w:r>
          </w:p>
        </w:tc>
      </w:tr>
      <w:tr w:rsidR="003F393D" w:rsidRPr="00C32509" w14:paraId="313FCC4A" w14:textId="77777777" w:rsidTr="00EB6B6D">
        <w:trPr>
          <w:trHeight w:val="315"/>
          <w:jc w:val="center"/>
        </w:trPr>
        <w:tc>
          <w:tcPr>
            <w:tcW w:w="1843" w:type="dxa"/>
            <w:tcBorders>
              <w:top w:val="nil"/>
              <w:left w:val="nil"/>
              <w:bottom w:val="nil"/>
              <w:right w:val="nil"/>
            </w:tcBorders>
            <w:shd w:val="clear" w:color="000000" w:fill="FFFFFF"/>
            <w:noWrap/>
            <w:vAlign w:val="bottom"/>
            <w:hideMark/>
          </w:tcPr>
          <w:p w14:paraId="7BCAA3BF"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Estonia</w:t>
            </w:r>
          </w:p>
        </w:tc>
        <w:tc>
          <w:tcPr>
            <w:tcW w:w="1276" w:type="dxa"/>
            <w:tcBorders>
              <w:top w:val="nil"/>
              <w:left w:val="nil"/>
              <w:bottom w:val="nil"/>
              <w:right w:val="nil"/>
            </w:tcBorders>
            <w:shd w:val="clear" w:color="000000" w:fill="FFFFFF"/>
            <w:noWrap/>
            <w:vAlign w:val="bottom"/>
            <w:hideMark/>
          </w:tcPr>
          <w:p w14:paraId="27F8E01B"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5</w:t>
            </w:r>
          </w:p>
        </w:tc>
        <w:tc>
          <w:tcPr>
            <w:tcW w:w="1134" w:type="dxa"/>
            <w:tcBorders>
              <w:top w:val="nil"/>
              <w:left w:val="nil"/>
              <w:bottom w:val="nil"/>
              <w:right w:val="nil"/>
            </w:tcBorders>
            <w:shd w:val="clear" w:color="000000" w:fill="FFFFFF"/>
            <w:noWrap/>
            <w:vAlign w:val="bottom"/>
            <w:hideMark/>
          </w:tcPr>
          <w:p w14:paraId="11BA4042"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Legal</w:t>
            </w:r>
          </w:p>
        </w:tc>
      </w:tr>
      <w:tr w:rsidR="003F393D" w:rsidRPr="00C32509" w14:paraId="3205867F" w14:textId="77777777" w:rsidTr="00EB6B6D">
        <w:trPr>
          <w:trHeight w:val="315"/>
          <w:jc w:val="center"/>
        </w:trPr>
        <w:tc>
          <w:tcPr>
            <w:tcW w:w="1843" w:type="dxa"/>
            <w:tcBorders>
              <w:top w:val="nil"/>
              <w:left w:val="nil"/>
              <w:bottom w:val="nil"/>
              <w:right w:val="nil"/>
            </w:tcBorders>
            <w:shd w:val="clear" w:color="000000" w:fill="FFFFFF"/>
            <w:noWrap/>
            <w:vAlign w:val="bottom"/>
            <w:hideMark/>
          </w:tcPr>
          <w:p w14:paraId="778D0214"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Finland</w:t>
            </w:r>
          </w:p>
        </w:tc>
        <w:tc>
          <w:tcPr>
            <w:tcW w:w="1276" w:type="dxa"/>
            <w:tcBorders>
              <w:top w:val="nil"/>
              <w:left w:val="nil"/>
              <w:bottom w:val="nil"/>
              <w:right w:val="nil"/>
            </w:tcBorders>
            <w:shd w:val="clear" w:color="000000" w:fill="FFFFFF"/>
            <w:noWrap/>
            <w:vAlign w:val="bottom"/>
            <w:hideMark/>
          </w:tcPr>
          <w:p w14:paraId="7795B93D"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1.2696</w:t>
            </w:r>
          </w:p>
        </w:tc>
        <w:tc>
          <w:tcPr>
            <w:tcW w:w="1134" w:type="dxa"/>
            <w:tcBorders>
              <w:top w:val="nil"/>
              <w:left w:val="nil"/>
              <w:bottom w:val="nil"/>
              <w:right w:val="nil"/>
            </w:tcBorders>
            <w:shd w:val="clear" w:color="000000" w:fill="FFFFFF"/>
            <w:noWrap/>
            <w:vAlign w:val="bottom"/>
            <w:hideMark/>
          </w:tcPr>
          <w:p w14:paraId="45F062A7"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Effective</w:t>
            </w:r>
          </w:p>
        </w:tc>
      </w:tr>
      <w:tr w:rsidR="003F393D" w:rsidRPr="00C32509" w14:paraId="10DE3BE0" w14:textId="77777777" w:rsidTr="00EB6B6D">
        <w:trPr>
          <w:trHeight w:val="315"/>
          <w:jc w:val="center"/>
        </w:trPr>
        <w:tc>
          <w:tcPr>
            <w:tcW w:w="1843" w:type="dxa"/>
            <w:tcBorders>
              <w:top w:val="nil"/>
              <w:left w:val="nil"/>
              <w:bottom w:val="nil"/>
              <w:right w:val="nil"/>
            </w:tcBorders>
            <w:shd w:val="clear" w:color="000000" w:fill="FFFFFF"/>
            <w:noWrap/>
            <w:vAlign w:val="bottom"/>
            <w:hideMark/>
          </w:tcPr>
          <w:p w14:paraId="19058A35"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Germany</w:t>
            </w:r>
          </w:p>
        </w:tc>
        <w:tc>
          <w:tcPr>
            <w:tcW w:w="1276" w:type="dxa"/>
            <w:tcBorders>
              <w:top w:val="nil"/>
              <w:left w:val="nil"/>
              <w:bottom w:val="nil"/>
              <w:right w:val="nil"/>
            </w:tcBorders>
            <w:shd w:val="clear" w:color="000000" w:fill="FFFFFF"/>
            <w:noWrap/>
            <w:vAlign w:val="bottom"/>
            <w:hideMark/>
          </w:tcPr>
          <w:p w14:paraId="0493E574"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5</w:t>
            </w:r>
          </w:p>
        </w:tc>
        <w:tc>
          <w:tcPr>
            <w:tcW w:w="1134" w:type="dxa"/>
            <w:tcBorders>
              <w:top w:val="nil"/>
              <w:left w:val="nil"/>
              <w:bottom w:val="nil"/>
              <w:right w:val="nil"/>
            </w:tcBorders>
            <w:shd w:val="clear" w:color="000000" w:fill="FFFFFF"/>
            <w:noWrap/>
            <w:vAlign w:val="bottom"/>
            <w:hideMark/>
          </w:tcPr>
          <w:p w14:paraId="38D65095"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Legal</w:t>
            </w:r>
          </w:p>
        </w:tc>
      </w:tr>
      <w:tr w:rsidR="003F393D" w:rsidRPr="00C32509" w14:paraId="121C1FD6" w14:textId="77777777" w:rsidTr="00EB6B6D">
        <w:trPr>
          <w:trHeight w:val="315"/>
          <w:jc w:val="center"/>
        </w:trPr>
        <w:tc>
          <w:tcPr>
            <w:tcW w:w="1843" w:type="dxa"/>
            <w:tcBorders>
              <w:top w:val="nil"/>
              <w:left w:val="nil"/>
              <w:bottom w:val="nil"/>
              <w:right w:val="nil"/>
            </w:tcBorders>
            <w:shd w:val="clear" w:color="000000" w:fill="FFFFFF"/>
            <w:noWrap/>
            <w:vAlign w:val="bottom"/>
            <w:hideMark/>
          </w:tcPr>
          <w:p w14:paraId="38ABA863"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Greece</w:t>
            </w:r>
          </w:p>
        </w:tc>
        <w:tc>
          <w:tcPr>
            <w:tcW w:w="1276" w:type="dxa"/>
            <w:tcBorders>
              <w:top w:val="nil"/>
              <w:left w:val="nil"/>
              <w:bottom w:val="nil"/>
              <w:right w:val="nil"/>
            </w:tcBorders>
            <w:shd w:val="clear" w:color="000000" w:fill="FFFFFF"/>
            <w:noWrap/>
            <w:vAlign w:val="bottom"/>
            <w:hideMark/>
          </w:tcPr>
          <w:p w14:paraId="2C67B7A8"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3</w:t>
            </w:r>
          </w:p>
        </w:tc>
        <w:tc>
          <w:tcPr>
            <w:tcW w:w="1134" w:type="dxa"/>
            <w:tcBorders>
              <w:top w:val="nil"/>
              <w:left w:val="nil"/>
              <w:bottom w:val="nil"/>
              <w:right w:val="nil"/>
            </w:tcBorders>
            <w:shd w:val="clear" w:color="000000" w:fill="FFFFFF"/>
            <w:noWrap/>
            <w:vAlign w:val="bottom"/>
            <w:hideMark/>
          </w:tcPr>
          <w:p w14:paraId="21FD6BC5"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Legal</w:t>
            </w:r>
          </w:p>
        </w:tc>
      </w:tr>
      <w:tr w:rsidR="003F393D" w:rsidRPr="00C32509" w14:paraId="7727DB0D" w14:textId="77777777" w:rsidTr="00EB6B6D">
        <w:trPr>
          <w:trHeight w:val="315"/>
          <w:jc w:val="center"/>
        </w:trPr>
        <w:tc>
          <w:tcPr>
            <w:tcW w:w="1843" w:type="dxa"/>
            <w:tcBorders>
              <w:top w:val="nil"/>
              <w:left w:val="nil"/>
              <w:bottom w:val="nil"/>
              <w:right w:val="nil"/>
            </w:tcBorders>
            <w:shd w:val="clear" w:color="000000" w:fill="FFFFFF"/>
            <w:noWrap/>
            <w:vAlign w:val="bottom"/>
            <w:hideMark/>
          </w:tcPr>
          <w:p w14:paraId="5BFE2237"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Hungary</w:t>
            </w:r>
          </w:p>
        </w:tc>
        <w:tc>
          <w:tcPr>
            <w:tcW w:w="1276" w:type="dxa"/>
            <w:tcBorders>
              <w:top w:val="nil"/>
              <w:left w:val="nil"/>
              <w:bottom w:val="nil"/>
              <w:right w:val="nil"/>
            </w:tcBorders>
            <w:shd w:val="clear" w:color="000000" w:fill="FFFFFF"/>
            <w:noWrap/>
            <w:vAlign w:val="bottom"/>
            <w:hideMark/>
          </w:tcPr>
          <w:p w14:paraId="3F739124"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5</w:t>
            </w:r>
          </w:p>
        </w:tc>
        <w:tc>
          <w:tcPr>
            <w:tcW w:w="1134" w:type="dxa"/>
            <w:tcBorders>
              <w:top w:val="nil"/>
              <w:left w:val="nil"/>
              <w:bottom w:val="nil"/>
              <w:right w:val="nil"/>
            </w:tcBorders>
            <w:shd w:val="clear" w:color="000000" w:fill="FFFFFF"/>
            <w:noWrap/>
            <w:vAlign w:val="bottom"/>
            <w:hideMark/>
          </w:tcPr>
          <w:p w14:paraId="4F93E0E7"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Legal</w:t>
            </w:r>
          </w:p>
        </w:tc>
      </w:tr>
      <w:tr w:rsidR="003F393D" w:rsidRPr="00C32509" w14:paraId="791C5A18" w14:textId="77777777" w:rsidTr="00EB6B6D">
        <w:trPr>
          <w:trHeight w:val="315"/>
          <w:jc w:val="center"/>
        </w:trPr>
        <w:tc>
          <w:tcPr>
            <w:tcW w:w="1843" w:type="dxa"/>
            <w:tcBorders>
              <w:top w:val="nil"/>
              <w:left w:val="nil"/>
              <w:bottom w:val="nil"/>
              <w:right w:val="nil"/>
            </w:tcBorders>
            <w:shd w:val="clear" w:color="000000" w:fill="FFFFFF"/>
            <w:noWrap/>
            <w:vAlign w:val="bottom"/>
            <w:hideMark/>
          </w:tcPr>
          <w:p w14:paraId="4F0B7975"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Iceland</w:t>
            </w:r>
          </w:p>
        </w:tc>
        <w:tc>
          <w:tcPr>
            <w:tcW w:w="1276" w:type="dxa"/>
            <w:tcBorders>
              <w:top w:val="nil"/>
              <w:left w:val="nil"/>
              <w:bottom w:val="nil"/>
              <w:right w:val="nil"/>
            </w:tcBorders>
            <w:shd w:val="clear" w:color="000000" w:fill="FFFFFF"/>
            <w:noWrap/>
            <w:vAlign w:val="bottom"/>
            <w:hideMark/>
          </w:tcPr>
          <w:p w14:paraId="063F6189"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5</w:t>
            </w:r>
          </w:p>
        </w:tc>
        <w:tc>
          <w:tcPr>
            <w:tcW w:w="1134" w:type="dxa"/>
            <w:tcBorders>
              <w:top w:val="nil"/>
              <w:left w:val="nil"/>
              <w:bottom w:val="nil"/>
              <w:right w:val="nil"/>
            </w:tcBorders>
            <w:shd w:val="clear" w:color="000000" w:fill="FFFFFF"/>
            <w:noWrap/>
            <w:vAlign w:val="bottom"/>
            <w:hideMark/>
          </w:tcPr>
          <w:p w14:paraId="488D8B0D"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Legal</w:t>
            </w:r>
          </w:p>
        </w:tc>
      </w:tr>
      <w:tr w:rsidR="003F393D" w:rsidRPr="00C32509" w14:paraId="22B824D9" w14:textId="77777777" w:rsidTr="00EB6B6D">
        <w:trPr>
          <w:trHeight w:val="315"/>
          <w:jc w:val="center"/>
        </w:trPr>
        <w:tc>
          <w:tcPr>
            <w:tcW w:w="1843" w:type="dxa"/>
            <w:tcBorders>
              <w:top w:val="nil"/>
              <w:left w:val="nil"/>
              <w:bottom w:val="nil"/>
              <w:right w:val="nil"/>
            </w:tcBorders>
            <w:shd w:val="clear" w:color="000000" w:fill="FFFFFF"/>
            <w:noWrap/>
            <w:vAlign w:val="bottom"/>
            <w:hideMark/>
          </w:tcPr>
          <w:p w14:paraId="4FB94BE5"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Ireland</w:t>
            </w:r>
          </w:p>
        </w:tc>
        <w:tc>
          <w:tcPr>
            <w:tcW w:w="1276" w:type="dxa"/>
            <w:tcBorders>
              <w:top w:val="nil"/>
              <w:left w:val="nil"/>
              <w:bottom w:val="nil"/>
              <w:right w:val="nil"/>
            </w:tcBorders>
            <w:shd w:val="clear" w:color="000000" w:fill="FFFFFF"/>
            <w:noWrap/>
            <w:vAlign w:val="bottom"/>
            <w:hideMark/>
          </w:tcPr>
          <w:p w14:paraId="12A16FBA"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2.35</w:t>
            </w:r>
          </w:p>
        </w:tc>
        <w:tc>
          <w:tcPr>
            <w:tcW w:w="1134" w:type="dxa"/>
            <w:tcBorders>
              <w:top w:val="nil"/>
              <w:left w:val="nil"/>
              <w:bottom w:val="nil"/>
              <w:right w:val="nil"/>
            </w:tcBorders>
            <w:shd w:val="clear" w:color="000000" w:fill="FFFFFF"/>
            <w:noWrap/>
            <w:vAlign w:val="bottom"/>
            <w:hideMark/>
          </w:tcPr>
          <w:p w14:paraId="5647FCC0"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Effective</w:t>
            </w:r>
          </w:p>
        </w:tc>
      </w:tr>
      <w:tr w:rsidR="003F393D" w:rsidRPr="00C32509" w14:paraId="240DEEC5" w14:textId="77777777" w:rsidTr="00EB6B6D">
        <w:trPr>
          <w:trHeight w:val="315"/>
          <w:jc w:val="center"/>
        </w:trPr>
        <w:tc>
          <w:tcPr>
            <w:tcW w:w="1843" w:type="dxa"/>
            <w:tcBorders>
              <w:top w:val="nil"/>
              <w:left w:val="nil"/>
              <w:bottom w:val="nil"/>
              <w:right w:val="nil"/>
            </w:tcBorders>
            <w:shd w:val="clear" w:color="000000" w:fill="FFFFFF"/>
            <w:noWrap/>
            <w:vAlign w:val="bottom"/>
            <w:hideMark/>
          </w:tcPr>
          <w:p w14:paraId="0D6A5D2C"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Italy</w:t>
            </w:r>
          </w:p>
        </w:tc>
        <w:tc>
          <w:tcPr>
            <w:tcW w:w="1276" w:type="dxa"/>
            <w:tcBorders>
              <w:top w:val="nil"/>
              <w:left w:val="nil"/>
              <w:bottom w:val="nil"/>
              <w:right w:val="nil"/>
            </w:tcBorders>
            <w:shd w:val="clear" w:color="000000" w:fill="FFFFFF"/>
            <w:noWrap/>
            <w:vAlign w:val="bottom"/>
            <w:hideMark/>
          </w:tcPr>
          <w:p w14:paraId="44850746"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3</w:t>
            </w:r>
          </w:p>
        </w:tc>
        <w:tc>
          <w:tcPr>
            <w:tcW w:w="1134" w:type="dxa"/>
            <w:tcBorders>
              <w:top w:val="nil"/>
              <w:left w:val="nil"/>
              <w:bottom w:val="nil"/>
              <w:right w:val="nil"/>
            </w:tcBorders>
            <w:shd w:val="clear" w:color="000000" w:fill="FFFFFF"/>
            <w:noWrap/>
            <w:vAlign w:val="bottom"/>
            <w:hideMark/>
          </w:tcPr>
          <w:p w14:paraId="3E74DB4D"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Legal</w:t>
            </w:r>
          </w:p>
        </w:tc>
      </w:tr>
      <w:tr w:rsidR="003F393D" w:rsidRPr="00C32509" w14:paraId="087BCC97" w14:textId="77777777" w:rsidTr="00EB6B6D">
        <w:trPr>
          <w:trHeight w:val="315"/>
          <w:jc w:val="center"/>
        </w:trPr>
        <w:tc>
          <w:tcPr>
            <w:tcW w:w="1843" w:type="dxa"/>
            <w:tcBorders>
              <w:top w:val="nil"/>
              <w:left w:val="nil"/>
              <w:bottom w:val="nil"/>
              <w:right w:val="nil"/>
            </w:tcBorders>
            <w:shd w:val="clear" w:color="000000" w:fill="FFFFFF"/>
            <w:noWrap/>
            <w:vAlign w:val="bottom"/>
            <w:hideMark/>
          </w:tcPr>
          <w:p w14:paraId="458DAE38"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Latvia</w:t>
            </w:r>
          </w:p>
        </w:tc>
        <w:tc>
          <w:tcPr>
            <w:tcW w:w="1276" w:type="dxa"/>
            <w:tcBorders>
              <w:top w:val="nil"/>
              <w:left w:val="nil"/>
              <w:bottom w:val="nil"/>
              <w:right w:val="nil"/>
            </w:tcBorders>
            <w:shd w:val="clear" w:color="000000" w:fill="FFFFFF"/>
            <w:noWrap/>
            <w:vAlign w:val="bottom"/>
            <w:hideMark/>
          </w:tcPr>
          <w:p w14:paraId="67616C17"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5</w:t>
            </w:r>
          </w:p>
        </w:tc>
        <w:tc>
          <w:tcPr>
            <w:tcW w:w="1134" w:type="dxa"/>
            <w:tcBorders>
              <w:top w:val="nil"/>
              <w:left w:val="nil"/>
              <w:bottom w:val="nil"/>
              <w:right w:val="nil"/>
            </w:tcBorders>
            <w:shd w:val="clear" w:color="000000" w:fill="FFFFFF"/>
            <w:noWrap/>
            <w:vAlign w:val="bottom"/>
            <w:hideMark/>
          </w:tcPr>
          <w:p w14:paraId="1F7C8EB7"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Legal</w:t>
            </w:r>
          </w:p>
        </w:tc>
      </w:tr>
      <w:tr w:rsidR="003F393D" w:rsidRPr="00C32509" w14:paraId="5667804E" w14:textId="77777777" w:rsidTr="00EB6B6D">
        <w:trPr>
          <w:trHeight w:val="315"/>
          <w:jc w:val="center"/>
        </w:trPr>
        <w:tc>
          <w:tcPr>
            <w:tcW w:w="1843" w:type="dxa"/>
            <w:tcBorders>
              <w:top w:val="nil"/>
              <w:left w:val="nil"/>
              <w:bottom w:val="nil"/>
              <w:right w:val="nil"/>
            </w:tcBorders>
            <w:shd w:val="clear" w:color="000000" w:fill="FFFFFF"/>
            <w:noWrap/>
            <w:vAlign w:val="bottom"/>
            <w:hideMark/>
          </w:tcPr>
          <w:p w14:paraId="1064629F"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Lithuania</w:t>
            </w:r>
          </w:p>
        </w:tc>
        <w:tc>
          <w:tcPr>
            <w:tcW w:w="1276" w:type="dxa"/>
            <w:tcBorders>
              <w:top w:val="nil"/>
              <w:left w:val="nil"/>
              <w:bottom w:val="nil"/>
              <w:right w:val="nil"/>
            </w:tcBorders>
            <w:shd w:val="clear" w:color="000000" w:fill="FFFFFF"/>
            <w:noWrap/>
            <w:vAlign w:val="bottom"/>
            <w:hideMark/>
          </w:tcPr>
          <w:p w14:paraId="76283637"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5</w:t>
            </w:r>
          </w:p>
        </w:tc>
        <w:tc>
          <w:tcPr>
            <w:tcW w:w="1134" w:type="dxa"/>
            <w:tcBorders>
              <w:top w:val="nil"/>
              <w:left w:val="nil"/>
              <w:bottom w:val="nil"/>
              <w:right w:val="nil"/>
            </w:tcBorders>
            <w:shd w:val="clear" w:color="000000" w:fill="FFFFFF"/>
            <w:noWrap/>
            <w:vAlign w:val="bottom"/>
            <w:hideMark/>
          </w:tcPr>
          <w:p w14:paraId="7FB4CE9E"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Legal</w:t>
            </w:r>
          </w:p>
        </w:tc>
      </w:tr>
      <w:tr w:rsidR="003F393D" w:rsidRPr="00C32509" w14:paraId="60B10164" w14:textId="77777777" w:rsidTr="00EB6B6D">
        <w:trPr>
          <w:trHeight w:val="315"/>
          <w:jc w:val="center"/>
        </w:trPr>
        <w:tc>
          <w:tcPr>
            <w:tcW w:w="1843" w:type="dxa"/>
            <w:tcBorders>
              <w:top w:val="nil"/>
              <w:left w:val="nil"/>
              <w:bottom w:val="nil"/>
              <w:right w:val="nil"/>
            </w:tcBorders>
            <w:shd w:val="clear" w:color="000000" w:fill="FFFFFF"/>
            <w:noWrap/>
            <w:vAlign w:val="bottom"/>
            <w:hideMark/>
          </w:tcPr>
          <w:p w14:paraId="5BB20262"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Luxembourg</w:t>
            </w:r>
          </w:p>
        </w:tc>
        <w:tc>
          <w:tcPr>
            <w:tcW w:w="1276" w:type="dxa"/>
            <w:tcBorders>
              <w:top w:val="nil"/>
              <w:left w:val="nil"/>
              <w:bottom w:val="nil"/>
              <w:right w:val="nil"/>
            </w:tcBorders>
            <w:shd w:val="clear" w:color="000000" w:fill="FFFFFF"/>
            <w:noWrap/>
            <w:vAlign w:val="bottom"/>
            <w:hideMark/>
          </w:tcPr>
          <w:p w14:paraId="57123F78"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2.95</w:t>
            </w:r>
          </w:p>
        </w:tc>
        <w:tc>
          <w:tcPr>
            <w:tcW w:w="1134" w:type="dxa"/>
            <w:tcBorders>
              <w:top w:val="nil"/>
              <w:left w:val="nil"/>
              <w:bottom w:val="nil"/>
              <w:right w:val="nil"/>
            </w:tcBorders>
            <w:shd w:val="clear" w:color="000000" w:fill="FFFFFF"/>
            <w:noWrap/>
            <w:vAlign w:val="bottom"/>
            <w:hideMark/>
          </w:tcPr>
          <w:p w14:paraId="7219BE93"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Effective</w:t>
            </w:r>
          </w:p>
        </w:tc>
      </w:tr>
      <w:tr w:rsidR="003F393D" w:rsidRPr="00C32509" w14:paraId="1DD0B1B6" w14:textId="77777777" w:rsidTr="00EB6B6D">
        <w:trPr>
          <w:trHeight w:val="315"/>
          <w:jc w:val="center"/>
        </w:trPr>
        <w:tc>
          <w:tcPr>
            <w:tcW w:w="1843" w:type="dxa"/>
            <w:tcBorders>
              <w:top w:val="nil"/>
              <w:left w:val="nil"/>
              <w:bottom w:val="nil"/>
              <w:right w:val="nil"/>
            </w:tcBorders>
            <w:shd w:val="clear" w:color="000000" w:fill="FFFFFF"/>
            <w:noWrap/>
            <w:vAlign w:val="bottom"/>
            <w:hideMark/>
          </w:tcPr>
          <w:p w14:paraId="018F3A11"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Netherlands</w:t>
            </w:r>
          </w:p>
        </w:tc>
        <w:tc>
          <w:tcPr>
            <w:tcW w:w="1276" w:type="dxa"/>
            <w:tcBorders>
              <w:top w:val="nil"/>
              <w:left w:val="nil"/>
              <w:bottom w:val="nil"/>
              <w:right w:val="nil"/>
            </w:tcBorders>
            <w:shd w:val="clear" w:color="000000" w:fill="FFFFFF"/>
            <w:noWrap/>
            <w:vAlign w:val="bottom"/>
            <w:hideMark/>
          </w:tcPr>
          <w:p w14:paraId="6EB33E64"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0.67</w:t>
            </w:r>
          </w:p>
        </w:tc>
        <w:tc>
          <w:tcPr>
            <w:tcW w:w="1134" w:type="dxa"/>
            <w:tcBorders>
              <w:top w:val="nil"/>
              <w:left w:val="nil"/>
              <w:bottom w:val="nil"/>
              <w:right w:val="nil"/>
            </w:tcBorders>
            <w:shd w:val="clear" w:color="000000" w:fill="FFFFFF"/>
            <w:noWrap/>
            <w:vAlign w:val="bottom"/>
            <w:hideMark/>
          </w:tcPr>
          <w:p w14:paraId="6D6D8693"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Effective</w:t>
            </w:r>
          </w:p>
        </w:tc>
      </w:tr>
      <w:tr w:rsidR="003F393D" w:rsidRPr="00C32509" w14:paraId="244A8055" w14:textId="77777777" w:rsidTr="00EB6B6D">
        <w:trPr>
          <w:trHeight w:val="315"/>
          <w:jc w:val="center"/>
        </w:trPr>
        <w:tc>
          <w:tcPr>
            <w:tcW w:w="1843" w:type="dxa"/>
            <w:tcBorders>
              <w:top w:val="nil"/>
              <w:left w:val="nil"/>
              <w:bottom w:val="nil"/>
              <w:right w:val="nil"/>
            </w:tcBorders>
            <w:shd w:val="clear" w:color="000000" w:fill="FFFFFF"/>
            <w:noWrap/>
            <w:vAlign w:val="bottom"/>
            <w:hideMark/>
          </w:tcPr>
          <w:p w14:paraId="6A3E53C7"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Norway</w:t>
            </w:r>
          </w:p>
        </w:tc>
        <w:tc>
          <w:tcPr>
            <w:tcW w:w="1276" w:type="dxa"/>
            <w:tcBorders>
              <w:top w:val="nil"/>
              <w:left w:val="nil"/>
              <w:bottom w:val="nil"/>
              <w:right w:val="nil"/>
            </w:tcBorders>
            <w:shd w:val="clear" w:color="000000" w:fill="FFFFFF"/>
            <w:noWrap/>
            <w:vAlign w:val="bottom"/>
            <w:hideMark/>
          </w:tcPr>
          <w:p w14:paraId="7420F020"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4</w:t>
            </w:r>
          </w:p>
        </w:tc>
        <w:tc>
          <w:tcPr>
            <w:tcW w:w="1134" w:type="dxa"/>
            <w:tcBorders>
              <w:top w:val="nil"/>
              <w:left w:val="nil"/>
              <w:bottom w:val="nil"/>
              <w:right w:val="nil"/>
            </w:tcBorders>
            <w:shd w:val="clear" w:color="000000" w:fill="FFFFFF"/>
            <w:noWrap/>
            <w:vAlign w:val="bottom"/>
            <w:hideMark/>
          </w:tcPr>
          <w:p w14:paraId="2EA8FEFA"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Legal</w:t>
            </w:r>
          </w:p>
        </w:tc>
      </w:tr>
      <w:tr w:rsidR="003F393D" w:rsidRPr="00C32509" w14:paraId="0E3C99B7" w14:textId="77777777" w:rsidTr="00EB6B6D">
        <w:trPr>
          <w:trHeight w:val="315"/>
          <w:jc w:val="center"/>
        </w:trPr>
        <w:tc>
          <w:tcPr>
            <w:tcW w:w="1843" w:type="dxa"/>
            <w:tcBorders>
              <w:top w:val="nil"/>
              <w:left w:val="nil"/>
              <w:bottom w:val="nil"/>
              <w:right w:val="nil"/>
            </w:tcBorders>
            <w:shd w:val="clear" w:color="000000" w:fill="FFFFFF"/>
            <w:noWrap/>
            <w:vAlign w:val="bottom"/>
            <w:hideMark/>
          </w:tcPr>
          <w:p w14:paraId="592A099B"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Poland</w:t>
            </w:r>
          </w:p>
        </w:tc>
        <w:tc>
          <w:tcPr>
            <w:tcW w:w="1276" w:type="dxa"/>
            <w:tcBorders>
              <w:top w:val="nil"/>
              <w:left w:val="nil"/>
              <w:bottom w:val="nil"/>
              <w:right w:val="nil"/>
            </w:tcBorders>
            <w:shd w:val="clear" w:color="000000" w:fill="FFFFFF"/>
            <w:noWrap/>
            <w:vAlign w:val="bottom"/>
            <w:hideMark/>
          </w:tcPr>
          <w:p w14:paraId="3CBF5926"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5</w:t>
            </w:r>
          </w:p>
        </w:tc>
        <w:tc>
          <w:tcPr>
            <w:tcW w:w="1134" w:type="dxa"/>
            <w:tcBorders>
              <w:top w:val="nil"/>
              <w:left w:val="nil"/>
              <w:bottom w:val="nil"/>
              <w:right w:val="nil"/>
            </w:tcBorders>
            <w:shd w:val="clear" w:color="000000" w:fill="FFFFFF"/>
            <w:noWrap/>
            <w:vAlign w:val="bottom"/>
            <w:hideMark/>
          </w:tcPr>
          <w:p w14:paraId="13CBD87B"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Legal</w:t>
            </w:r>
          </w:p>
        </w:tc>
      </w:tr>
      <w:tr w:rsidR="003F393D" w:rsidRPr="00C32509" w14:paraId="2BAF9D1C" w14:textId="77777777" w:rsidTr="00EB6B6D">
        <w:trPr>
          <w:trHeight w:val="315"/>
          <w:jc w:val="center"/>
        </w:trPr>
        <w:tc>
          <w:tcPr>
            <w:tcW w:w="1843" w:type="dxa"/>
            <w:tcBorders>
              <w:top w:val="nil"/>
              <w:left w:val="nil"/>
              <w:bottom w:val="nil"/>
              <w:right w:val="nil"/>
            </w:tcBorders>
            <w:shd w:val="clear" w:color="000000" w:fill="FFFFFF"/>
            <w:noWrap/>
            <w:vAlign w:val="bottom"/>
            <w:hideMark/>
          </w:tcPr>
          <w:p w14:paraId="45E1A958"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Portugal</w:t>
            </w:r>
          </w:p>
        </w:tc>
        <w:tc>
          <w:tcPr>
            <w:tcW w:w="1276" w:type="dxa"/>
            <w:tcBorders>
              <w:top w:val="nil"/>
              <w:left w:val="nil"/>
              <w:bottom w:val="nil"/>
              <w:right w:val="nil"/>
            </w:tcBorders>
            <w:shd w:val="clear" w:color="000000" w:fill="FFFFFF"/>
            <w:noWrap/>
            <w:vAlign w:val="bottom"/>
            <w:hideMark/>
          </w:tcPr>
          <w:p w14:paraId="7D2A60B8"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1.36</w:t>
            </w:r>
          </w:p>
        </w:tc>
        <w:tc>
          <w:tcPr>
            <w:tcW w:w="1134" w:type="dxa"/>
            <w:tcBorders>
              <w:top w:val="nil"/>
              <w:left w:val="nil"/>
              <w:bottom w:val="nil"/>
              <w:right w:val="nil"/>
            </w:tcBorders>
            <w:shd w:val="clear" w:color="000000" w:fill="FFFFFF"/>
            <w:noWrap/>
            <w:vAlign w:val="bottom"/>
            <w:hideMark/>
          </w:tcPr>
          <w:p w14:paraId="5DCD652F"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Effective</w:t>
            </w:r>
          </w:p>
        </w:tc>
      </w:tr>
      <w:tr w:rsidR="003F393D" w:rsidRPr="00C32509" w14:paraId="0E8F9C2A" w14:textId="77777777" w:rsidTr="00EB6B6D">
        <w:trPr>
          <w:trHeight w:val="315"/>
          <w:jc w:val="center"/>
        </w:trPr>
        <w:tc>
          <w:tcPr>
            <w:tcW w:w="1843" w:type="dxa"/>
            <w:tcBorders>
              <w:top w:val="nil"/>
              <w:left w:val="nil"/>
              <w:bottom w:val="nil"/>
              <w:right w:val="nil"/>
            </w:tcBorders>
            <w:shd w:val="clear" w:color="000000" w:fill="FFFFFF"/>
            <w:noWrap/>
            <w:vAlign w:val="bottom"/>
            <w:hideMark/>
          </w:tcPr>
          <w:p w14:paraId="0B2AF745"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Romania</w:t>
            </w:r>
          </w:p>
        </w:tc>
        <w:tc>
          <w:tcPr>
            <w:tcW w:w="1276" w:type="dxa"/>
            <w:tcBorders>
              <w:top w:val="nil"/>
              <w:left w:val="nil"/>
              <w:bottom w:val="nil"/>
              <w:right w:val="nil"/>
            </w:tcBorders>
            <w:shd w:val="clear" w:color="000000" w:fill="FFFFFF"/>
            <w:noWrap/>
            <w:vAlign w:val="bottom"/>
            <w:hideMark/>
          </w:tcPr>
          <w:p w14:paraId="0A5CB91C"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5</w:t>
            </w:r>
          </w:p>
        </w:tc>
        <w:tc>
          <w:tcPr>
            <w:tcW w:w="1134" w:type="dxa"/>
            <w:tcBorders>
              <w:top w:val="nil"/>
              <w:left w:val="nil"/>
              <w:bottom w:val="nil"/>
              <w:right w:val="nil"/>
            </w:tcBorders>
            <w:shd w:val="clear" w:color="000000" w:fill="FFFFFF"/>
            <w:noWrap/>
            <w:vAlign w:val="bottom"/>
            <w:hideMark/>
          </w:tcPr>
          <w:p w14:paraId="22360CA3"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Legal</w:t>
            </w:r>
          </w:p>
        </w:tc>
      </w:tr>
      <w:tr w:rsidR="003F393D" w:rsidRPr="00C32509" w14:paraId="2525A92F" w14:textId="77777777" w:rsidTr="00EB6B6D">
        <w:trPr>
          <w:trHeight w:val="315"/>
          <w:jc w:val="center"/>
        </w:trPr>
        <w:tc>
          <w:tcPr>
            <w:tcW w:w="1843" w:type="dxa"/>
            <w:tcBorders>
              <w:top w:val="nil"/>
              <w:left w:val="nil"/>
              <w:bottom w:val="nil"/>
              <w:right w:val="nil"/>
            </w:tcBorders>
            <w:shd w:val="clear" w:color="000000" w:fill="FFFFFF"/>
            <w:noWrap/>
            <w:vAlign w:val="bottom"/>
            <w:hideMark/>
          </w:tcPr>
          <w:p w14:paraId="3666ADA8"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Slovakia</w:t>
            </w:r>
          </w:p>
        </w:tc>
        <w:tc>
          <w:tcPr>
            <w:tcW w:w="1276" w:type="dxa"/>
            <w:tcBorders>
              <w:top w:val="nil"/>
              <w:left w:val="nil"/>
              <w:bottom w:val="nil"/>
              <w:right w:val="nil"/>
            </w:tcBorders>
            <w:shd w:val="clear" w:color="000000" w:fill="FFFFFF"/>
            <w:noWrap/>
            <w:vAlign w:val="bottom"/>
            <w:hideMark/>
          </w:tcPr>
          <w:p w14:paraId="1C20DAED"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5</w:t>
            </w:r>
          </w:p>
        </w:tc>
        <w:tc>
          <w:tcPr>
            <w:tcW w:w="1134" w:type="dxa"/>
            <w:tcBorders>
              <w:top w:val="nil"/>
              <w:left w:val="nil"/>
              <w:bottom w:val="nil"/>
              <w:right w:val="nil"/>
            </w:tcBorders>
            <w:shd w:val="clear" w:color="000000" w:fill="FFFFFF"/>
            <w:noWrap/>
            <w:vAlign w:val="bottom"/>
            <w:hideMark/>
          </w:tcPr>
          <w:p w14:paraId="337B8838"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Legal</w:t>
            </w:r>
          </w:p>
        </w:tc>
      </w:tr>
      <w:tr w:rsidR="003F393D" w:rsidRPr="00C32509" w14:paraId="686F8AD4" w14:textId="77777777" w:rsidTr="00EB6B6D">
        <w:trPr>
          <w:trHeight w:val="315"/>
          <w:jc w:val="center"/>
        </w:trPr>
        <w:tc>
          <w:tcPr>
            <w:tcW w:w="1843" w:type="dxa"/>
            <w:tcBorders>
              <w:top w:val="nil"/>
              <w:left w:val="nil"/>
              <w:bottom w:val="nil"/>
              <w:right w:val="nil"/>
            </w:tcBorders>
            <w:shd w:val="clear" w:color="000000" w:fill="FFFFFF"/>
            <w:noWrap/>
            <w:vAlign w:val="bottom"/>
            <w:hideMark/>
          </w:tcPr>
          <w:p w14:paraId="30D82593"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Slovenia</w:t>
            </w:r>
          </w:p>
        </w:tc>
        <w:tc>
          <w:tcPr>
            <w:tcW w:w="1276" w:type="dxa"/>
            <w:tcBorders>
              <w:top w:val="nil"/>
              <w:left w:val="nil"/>
              <w:bottom w:val="nil"/>
              <w:right w:val="nil"/>
            </w:tcBorders>
            <w:shd w:val="clear" w:color="000000" w:fill="FFFFFF"/>
            <w:noWrap/>
            <w:vAlign w:val="bottom"/>
            <w:hideMark/>
          </w:tcPr>
          <w:p w14:paraId="6F264666"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4</w:t>
            </w:r>
          </w:p>
        </w:tc>
        <w:tc>
          <w:tcPr>
            <w:tcW w:w="1134" w:type="dxa"/>
            <w:tcBorders>
              <w:top w:val="nil"/>
              <w:left w:val="nil"/>
              <w:bottom w:val="nil"/>
              <w:right w:val="nil"/>
            </w:tcBorders>
            <w:shd w:val="clear" w:color="000000" w:fill="FFFFFF"/>
            <w:noWrap/>
            <w:vAlign w:val="bottom"/>
            <w:hideMark/>
          </w:tcPr>
          <w:p w14:paraId="2A67BAA1"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Legal</w:t>
            </w:r>
          </w:p>
        </w:tc>
      </w:tr>
      <w:tr w:rsidR="003F393D" w:rsidRPr="00C32509" w14:paraId="54CAD7E5" w14:textId="77777777" w:rsidTr="00EB6B6D">
        <w:trPr>
          <w:trHeight w:val="315"/>
          <w:jc w:val="center"/>
        </w:trPr>
        <w:tc>
          <w:tcPr>
            <w:tcW w:w="1843" w:type="dxa"/>
            <w:tcBorders>
              <w:top w:val="nil"/>
              <w:left w:val="nil"/>
              <w:bottom w:val="nil"/>
              <w:right w:val="nil"/>
            </w:tcBorders>
            <w:shd w:val="clear" w:color="000000" w:fill="FFFFFF"/>
            <w:noWrap/>
            <w:vAlign w:val="bottom"/>
            <w:hideMark/>
          </w:tcPr>
          <w:p w14:paraId="1A2DC6C7"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Spain</w:t>
            </w:r>
          </w:p>
        </w:tc>
        <w:tc>
          <w:tcPr>
            <w:tcW w:w="1276" w:type="dxa"/>
            <w:tcBorders>
              <w:top w:val="nil"/>
              <w:left w:val="nil"/>
              <w:bottom w:val="nil"/>
              <w:right w:val="nil"/>
            </w:tcBorders>
            <w:shd w:val="clear" w:color="000000" w:fill="FFFFFF"/>
            <w:noWrap/>
            <w:vAlign w:val="bottom"/>
            <w:hideMark/>
          </w:tcPr>
          <w:p w14:paraId="692F7903"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1.3454</w:t>
            </w:r>
          </w:p>
        </w:tc>
        <w:tc>
          <w:tcPr>
            <w:tcW w:w="1134" w:type="dxa"/>
            <w:tcBorders>
              <w:top w:val="nil"/>
              <w:left w:val="nil"/>
              <w:bottom w:val="nil"/>
              <w:right w:val="nil"/>
            </w:tcBorders>
            <w:shd w:val="clear" w:color="000000" w:fill="FFFFFF"/>
            <w:noWrap/>
            <w:vAlign w:val="bottom"/>
            <w:hideMark/>
          </w:tcPr>
          <w:p w14:paraId="5D42552F"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Effective</w:t>
            </w:r>
          </w:p>
        </w:tc>
      </w:tr>
      <w:tr w:rsidR="003F393D" w:rsidRPr="00C32509" w14:paraId="488AF14C" w14:textId="77777777" w:rsidTr="00EB6B6D">
        <w:trPr>
          <w:trHeight w:val="315"/>
          <w:jc w:val="center"/>
        </w:trPr>
        <w:tc>
          <w:tcPr>
            <w:tcW w:w="1843" w:type="dxa"/>
            <w:tcBorders>
              <w:top w:val="nil"/>
              <w:left w:val="nil"/>
              <w:bottom w:val="nil"/>
              <w:right w:val="nil"/>
            </w:tcBorders>
            <w:shd w:val="clear" w:color="000000" w:fill="FFFFFF"/>
            <w:noWrap/>
            <w:vAlign w:val="bottom"/>
            <w:hideMark/>
          </w:tcPr>
          <w:p w14:paraId="04C954A5"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Sweden</w:t>
            </w:r>
          </w:p>
        </w:tc>
        <w:tc>
          <w:tcPr>
            <w:tcW w:w="1276" w:type="dxa"/>
            <w:tcBorders>
              <w:top w:val="nil"/>
              <w:left w:val="nil"/>
              <w:bottom w:val="nil"/>
              <w:right w:val="nil"/>
            </w:tcBorders>
            <w:shd w:val="clear" w:color="000000" w:fill="FFFFFF"/>
            <w:noWrap/>
            <w:vAlign w:val="bottom"/>
            <w:hideMark/>
          </w:tcPr>
          <w:p w14:paraId="3AC0F95C"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4</w:t>
            </w:r>
          </w:p>
        </w:tc>
        <w:tc>
          <w:tcPr>
            <w:tcW w:w="1134" w:type="dxa"/>
            <w:tcBorders>
              <w:top w:val="nil"/>
              <w:left w:val="nil"/>
              <w:bottom w:val="nil"/>
              <w:right w:val="nil"/>
            </w:tcBorders>
            <w:shd w:val="clear" w:color="000000" w:fill="FFFFFF"/>
            <w:noWrap/>
            <w:vAlign w:val="bottom"/>
            <w:hideMark/>
          </w:tcPr>
          <w:p w14:paraId="182B19D6"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Legal</w:t>
            </w:r>
          </w:p>
        </w:tc>
      </w:tr>
      <w:tr w:rsidR="003F393D" w:rsidRPr="00C32509" w14:paraId="54001C11" w14:textId="77777777" w:rsidTr="00EB6B6D">
        <w:trPr>
          <w:trHeight w:val="315"/>
          <w:jc w:val="center"/>
        </w:trPr>
        <w:tc>
          <w:tcPr>
            <w:tcW w:w="1843" w:type="dxa"/>
            <w:tcBorders>
              <w:top w:val="nil"/>
              <w:left w:val="nil"/>
              <w:bottom w:val="nil"/>
              <w:right w:val="nil"/>
            </w:tcBorders>
            <w:shd w:val="clear" w:color="000000" w:fill="FFFFFF"/>
            <w:noWrap/>
            <w:vAlign w:val="bottom"/>
            <w:hideMark/>
          </w:tcPr>
          <w:p w14:paraId="1557C030"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Switzerland</w:t>
            </w:r>
          </w:p>
        </w:tc>
        <w:tc>
          <w:tcPr>
            <w:tcW w:w="1276" w:type="dxa"/>
            <w:tcBorders>
              <w:top w:val="nil"/>
              <w:left w:val="nil"/>
              <w:bottom w:val="nil"/>
              <w:right w:val="nil"/>
            </w:tcBorders>
            <w:shd w:val="clear" w:color="000000" w:fill="FFFFFF"/>
            <w:noWrap/>
            <w:vAlign w:val="bottom"/>
            <w:hideMark/>
          </w:tcPr>
          <w:p w14:paraId="6274A12A"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1.69</w:t>
            </w:r>
          </w:p>
        </w:tc>
        <w:tc>
          <w:tcPr>
            <w:tcW w:w="1134" w:type="dxa"/>
            <w:tcBorders>
              <w:top w:val="nil"/>
              <w:left w:val="nil"/>
              <w:bottom w:val="nil"/>
              <w:right w:val="nil"/>
            </w:tcBorders>
            <w:shd w:val="clear" w:color="000000" w:fill="FFFFFF"/>
            <w:noWrap/>
            <w:vAlign w:val="bottom"/>
            <w:hideMark/>
          </w:tcPr>
          <w:p w14:paraId="2F57BD26"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Effective</w:t>
            </w:r>
          </w:p>
        </w:tc>
      </w:tr>
      <w:tr w:rsidR="003F393D" w:rsidRPr="00C32509" w14:paraId="2AB9BB60" w14:textId="77777777" w:rsidTr="00EB6B6D">
        <w:trPr>
          <w:trHeight w:val="330"/>
          <w:jc w:val="center"/>
        </w:trPr>
        <w:tc>
          <w:tcPr>
            <w:tcW w:w="1843" w:type="dxa"/>
            <w:tcBorders>
              <w:top w:val="nil"/>
              <w:left w:val="nil"/>
              <w:bottom w:val="double" w:sz="6" w:space="0" w:color="auto"/>
              <w:right w:val="nil"/>
            </w:tcBorders>
            <w:shd w:val="clear" w:color="000000" w:fill="FFFFFF"/>
            <w:noWrap/>
            <w:vAlign w:val="bottom"/>
            <w:hideMark/>
          </w:tcPr>
          <w:p w14:paraId="23419A09"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Ukraine</w:t>
            </w:r>
          </w:p>
        </w:tc>
        <w:tc>
          <w:tcPr>
            <w:tcW w:w="1276" w:type="dxa"/>
            <w:tcBorders>
              <w:top w:val="nil"/>
              <w:left w:val="nil"/>
              <w:bottom w:val="double" w:sz="6" w:space="0" w:color="auto"/>
              <w:right w:val="nil"/>
            </w:tcBorders>
            <w:shd w:val="clear" w:color="000000" w:fill="FFFFFF"/>
            <w:noWrap/>
            <w:vAlign w:val="bottom"/>
            <w:hideMark/>
          </w:tcPr>
          <w:p w14:paraId="26BF074A"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5</w:t>
            </w:r>
          </w:p>
        </w:tc>
        <w:tc>
          <w:tcPr>
            <w:tcW w:w="1134" w:type="dxa"/>
            <w:tcBorders>
              <w:top w:val="nil"/>
              <w:left w:val="nil"/>
              <w:bottom w:val="double" w:sz="6" w:space="0" w:color="auto"/>
              <w:right w:val="nil"/>
            </w:tcBorders>
            <w:shd w:val="clear" w:color="000000" w:fill="FFFFFF"/>
            <w:noWrap/>
            <w:vAlign w:val="bottom"/>
            <w:hideMark/>
          </w:tcPr>
          <w:p w14:paraId="09876852" w14:textId="77777777" w:rsidR="003F393D" w:rsidRPr="00C32509" w:rsidRDefault="003F393D" w:rsidP="0007287A">
            <w:pPr>
              <w:spacing w:before="0" w:after="0" w:line="240" w:lineRule="auto"/>
              <w:jc w:val="both"/>
              <w:rPr>
                <w:rFonts w:ascii="Times New Roman" w:eastAsia="Times New Roman" w:hAnsi="Times New Roman" w:cs="Times New Roman"/>
                <w:color w:val="000000"/>
                <w:sz w:val="20"/>
                <w:szCs w:val="24"/>
              </w:rPr>
            </w:pPr>
            <w:r w:rsidRPr="00C32509">
              <w:rPr>
                <w:rFonts w:ascii="Times New Roman" w:eastAsia="Times New Roman" w:hAnsi="Times New Roman" w:cs="Times New Roman"/>
                <w:color w:val="000000"/>
                <w:sz w:val="20"/>
                <w:szCs w:val="24"/>
              </w:rPr>
              <w:t>Legal</w:t>
            </w:r>
          </w:p>
        </w:tc>
      </w:tr>
    </w:tbl>
    <w:p w14:paraId="2030C2AA" w14:textId="2F690E2C" w:rsidR="000A73F2" w:rsidRDefault="00F0105B" w:rsidP="00CB426B">
      <w:pPr>
        <w:spacing w:line="360" w:lineRule="auto"/>
        <w:ind w:firstLine="288"/>
        <w:jc w:val="both"/>
        <w:rPr>
          <w:rFonts w:ascii="Times New Roman" w:hAnsi="Times New Roman" w:cs="Times New Roman"/>
          <w:sz w:val="24"/>
          <w:szCs w:val="24"/>
        </w:rPr>
      </w:pPr>
      <w:r>
        <w:rPr>
          <w:rFonts w:ascii="Times New Roman" w:hAnsi="Times New Roman" w:cs="Times New Roman"/>
          <w:sz w:val="24"/>
          <w:szCs w:val="24"/>
        </w:rPr>
        <w:t xml:space="preserve">In the RDD, </w:t>
      </w:r>
      <w:r w:rsidR="005D44FD">
        <w:rPr>
          <w:rFonts w:ascii="Times New Roman" w:hAnsi="Times New Roman" w:cs="Times New Roman"/>
          <w:sz w:val="24"/>
          <w:szCs w:val="24"/>
        </w:rPr>
        <w:t>t</w:t>
      </w:r>
      <w:r w:rsidR="00661E67" w:rsidRPr="00FE1434">
        <w:rPr>
          <w:rFonts w:ascii="Times New Roman" w:hAnsi="Times New Roman" w:cs="Times New Roman"/>
          <w:sz w:val="24"/>
          <w:szCs w:val="24"/>
        </w:rPr>
        <w:t>reatment status</w:t>
      </w:r>
      <w:r w:rsidR="00661E67">
        <w:rPr>
          <w:rFonts w:ascii="Times New Roman" w:hAnsi="Times New Roman" w:cs="Times New Roman"/>
          <w:sz w:val="24"/>
          <w:szCs w:val="24"/>
        </w:rPr>
        <w:t xml:space="preserve"> D</w:t>
      </w:r>
      <w:r w:rsidR="00661E67" w:rsidRPr="00FE1434">
        <w:rPr>
          <w:rFonts w:ascii="Times New Roman" w:hAnsi="Times New Roman" w:cs="Times New Roman"/>
          <w:sz w:val="24"/>
          <w:szCs w:val="24"/>
        </w:rPr>
        <w:t xml:space="preserve"> is determined by</w:t>
      </w:r>
      <w:r w:rsidR="00661E67">
        <w:rPr>
          <w:rFonts w:ascii="Times New Roman" w:hAnsi="Times New Roman" w:cs="Times New Roman"/>
          <w:sz w:val="24"/>
          <w:szCs w:val="24"/>
        </w:rPr>
        <w:t xml:space="preserve"> the </w:t>
      </w:r>
      <w:r w:rsidR="00CC691C">
        <w:rPr>
          <w:rFonts w:ascii="Times New Roman" w:hAnsi="Times New Roman" w:cs="Times New Roman"/>
          <w:sz w:val="24"/>
          <w:szCs w:val="24"/>
        </w:rPr>
        <w:t>RRP</w:t>
      </w:r>
      <w:r w:rsidR="00661E67">
        <w:rPr>
          <w:rFonts w:ascii="Times New Roman" w:hAnsi="Times New Roman" w:cs="Times New Roman"/>
          <w:sz w:val="24"/>
          <w:szCs w:val="24"/>
        </w:rPr>
        <w:t>s vote share</w:t>
      </w:r>
      <w:r w:rsidR="00661E67" w:rsidRPr="00FE1434">
        <w:rPr>
          <w:rFonts w:ascii="Times New Roman" w:hAnsi="Times New Roman" w:cs="Times New Roman"/>
          <w:sz w:val="24"/>
          <w:szCs w:val="24"/>
        </w:rPr>
        <w:t xml:space="preserve"> being below</w:t>
      </w:r>
      <w:r w:rsidR="00661E67">
        <w:rPr>
          <w:rFonts w:ascii="Times New Roman" w:hAnsi="Times New Roman" w:cs="Times New Roman"/>
          <w:sz w:val="24"/>
          <w:szCs w:val="24"/>
        </w:rPr>
        <w:t xml:space="preserve"> </w:t>
      </w:r>
      <w:r w:rsidR="00661E67" w:rsidRPr="00FE1434">
        <w:rPr>
          <w:rFonts w:ascii="Times New Roman" w:hAnsi="Times New Roman" w:cs="Times New Roman"/>
          <w:sz w:val="24"/>
          <w:szCs w:val="24"/>
        </w:rPr>
        <w:t>or above</w:t>
      </w:r>
      <w:r w:rsidR="00661E67">
        <w:rPr>
          <w:rFonts w:ascii="Times New Roman" w:hAnsi="Times New Roman" w:cs="Times New Roman"/>
          <w:sz w:val="24"/>
          <w:szCs w:val="24"/>
        </w:rPr>
        <w:t xml:space="preserve"> </w:t>
      </w:r>
      <w:r w:rsidR="00661E67" w:rsidRPr="00FE1434">
        <w:rPr>
          <w:rFonts w:ascii="Times New Roman" w:hAnsi="Times New Roman" w:cs="Times New Roman"/>
          <w:sz w:val="24"/>
          <w:szCs w:val="24"/>
        </w:rPr>
        <w:t xml:space="preserve">a </w:t>
      </w:r>
      <w:r w:rsidR="00661E67">
        <w:rPr>
          <w:rFonts w:ascii="Times New Roman" w:hAnsi="Times New Roman" w:cs="Times New Roman"/>
          <w:sz w:val="24"/>
          <w:szCs w:val="24"/>
        </w:rPr>
        <w:t xml:space="preserve">defined </w:t>
      </w:r>
      <w:r w:rsidR="00661E67" w:rsidRPr="00FE1434">
        <w:rPr>
          <w:rFonts w:ascii="Times New Roman" w:hAnsi="Times New Roman" w:cs="Times New Roman"/>
          <w:sz w:val="24"/>
          <w:szCs w:val="24"/>
        </w:rPr>
        <w:t>cutoff</w:t>
      </w:r>
      <w:r w:rsidR="00661E67">
        <w:rPr>
          <w:rFonts w:ascii="Times New Roman" w:hAnsi="Times New Roman" w:cs="Times New Roman"/>
          <w:sz w:val="24"/>
          <w:szCs w:val="24"/>
        </w:rPr>
        <w:t xml:space="preserve"> c. A </w:t>
      </w:r>
      <w:r w:rsidR="00CC691C">
        <w:rPr>
          <w:rFonts w:ascii="Times New Roman" w:hAnsi="Times New Roman" w:cs="Times New Roman"/>
          <w:sz w:val="24"/>
          <w:szCs w:val="24"/>
        </w:rPr>
        <w:t>RRP</w:t>
      </w:r>
      <w:r w:rsidR="00661E67">
        <w:rPr>
          <w:rFonts w:ascii="Times New Roman" w:hAnsi="Times New Roman" w:cs="Times New Roman"/>
          <w:sz w:val="24"/>
          <w:szCs w:val="24"/>
        </w:rPr>
        <w:t xml:space="preserve"> is represented in the national parliament </w:t>
      </w:r>
      <m:oMath>
        <m:r>
          <w:rPr>
            <w:rFonts w:ascii="Cambria Math" w:hAnsi="Cambria Math" w:cs="Times New Roman"/>
            <w:sz w:val="24"/>
            <w:szCs w:val="24"/>
          </w:rPr>
          <m:t>(D=1)</m:t>
        </m:r>
      </m:oMath>
      <w:r w:rsidR="00661E67">
        <w:rPr>
          <w:rFonts w:ascii="Times New Roman" w:hAnsi="Times New Roman" w:cs="Times New Roman"/>
          <w:sz w:val="24"/>
          <w:szCs w:val="24"/>
        </w:rPr>
        <w:t xml:space="preserve"> if its vote share is the same or exceeds this </w:t>
      </w:r>
      <w:r w:rsidR="007C3145">
        <w:rPr>
          <w:rFonts w:ascii="Times New Roman" w:hAnsi="Times New Roman" w:cs="Times New Roman"/>
          <w:sz w:val="24"/>
          <w:szCs w:val="24"/>
        </w:rPr>
        <w:t xml:space="preserve">electoral </w:t>
      </w:r>
      <w:r w:rsidR="00661E67">
        <w:rPr>
          <w:rFonts w:ascii="Times New Roman" w:hAnsi="Times New Roman" w:cs="Times New Roman"/>
          <w:sz w:val="24"/>
          <w:szCs w:val="24"/>
        </w:rPr>
        <w:t xml:space="preserve">threshold </w:t>
      </w:r>
      <m:oMath>
        <m:r>
          <w:rPr>
            <w:rFonts w:ascii="Cambria Math" w:hAnsi="Cambria Math" w:cs="Times New Roman"/>
            <w:sz w:val="24"/>
            <w:szCs w:val="24"/>
          </w:rPr>
          <m:t>(x≥c</m:t>
        </m:r>
        <m:r>
          <w:rPr>
            <w:rFonts w:ascii="Cambria Math" w:eastAsiaTheme="minorEastAsia" w:hAnsi="Cambria Math" w:cs="Times New Roman"/>
            <w:sz w:val="24"/>
            <w:szCs w:val="24"/>
          </w:rPr>
          <m:t>)</m:t>
        </m:r>
      </m:oMath>
      <w:r w:rsidR="00661E67">
        <w:rPr>
          <w:rFonts w:ascii="Times New Roman" w:hAnsi="Times New Roman" w:cs="Times New Roman"/>
          <w:sz w:val="24"/>
          <w:szCs w:val="24"/>
        </w:rPr>
        <w:t xml:space="preserve"> </w:t>
      </w:r>
      <w:r w:rsidR="00661E67" w:rsidRPr="00F206C0">
        <w:rPr>
          <w:rFonts w:ascii="Times New Roman" w:hAnsi="Times New Roman" w:cs="Times New Roman"/>
          <w:sz w:val="24"/>
          <w:szCs w:val="24"/>
        </w:rPr>
        <w:t xml:space="preserve">and not represented </w:t>
      </w:r>
      <m:oMath>
        <m:r>
          <w:rPr>
            <w:rFonts w:ascii="Cambria Math" w:hAnsi="Cambria Math" w:cs="Times New Roman"/>
            <w:sz w:val="24"/>
            <w:szCs w:val="24"/>
          </w:rPr>
          <m:t>(D=0)</m:t>
        </m:r>
      </m:oMath>
      <w:r w:rsidR="00661E67" w:rsidRPr="00F206C0">
        <w:rPr>
          <w:rFonts w:ascii="Times New Roman" w:hAnsi="Times New Roman" w:cs="Times New Roman"/>
          <w:sz w:val="24"/>
          <w:szCs w:val="24"/>
        </w:rPr>
        <w:t xml:space="preserve"> if the vote share does not exceed this threshold of </w:t>
      </w:r>
      <w:r w:rsidR="002A4E90" w:rsidRPr="00F206C0">
        <w:rPr>
          <w:rFonts w:ascii="Times New Roman" w:hAnsi="Times New Roman" w:cs="Times New Roman"/>
          <w:sz w:val="24"/>
          <w:szCs w:val="24"/>
        </w:rPr>
        <w:t>representation</w:t>
      </w:r>
      <w:r w:rsidR="002A4E90">
        <w:rPr>
          <w:rFonts w:ascii="Times New Roman" w:eastAsiaTheme="minorEastAsia" w:hAnsi="Times New Roman" w:cs="Times New Roman"/>
          <w:sz w:val="24"/>
          <w:szCs w:val="24"/>
        </w:rPr>
        <w:t xml:space="preserve"> </w:t>
      </w:r>
      <m:oMath>
        <m:r>
          <w:rPr>
            <w:rFonts w:ascii="Cambria Math" w:hAnsi="Cambria Math" w:cs="Times New Roman"/>
            <w:sz w:val="24"/>
            <w:szCs w:val="24"/>
          </w:rPr>
          <m:t>(x &lt; c</m:t>
        </m:r>
        <m:r>
          <w:rPr>
            <w:rFonts w:ascii="Cambria Math" w:eastAsiaTheme="minorEastAsia" w:hAnsi="Cambria Math" w:cs="Times New Roman"/>
            <w:sz w:val="24"/>
            <w:szCs w:val="24"/>
          </w:rPr>
          <m:t>)</m:t>
        </m:r>
      </m:oMath>
      <w:r w:rsidR="00661E67" w:rsidRPr="00F206C0">
        <w:rPr>
          <w:rFonts w:ascii="Times New Roman" w:eastAsiaTheme="minorEastAsia" w:hAnsi="Times New Roman" w:cs="Times New Roman"/>
          <w:sz w:val="24"/>
          <w:szCs w:val="24"/>
        </w:rPr>
        <w:t>.</w:t>
      </w:r>
      <w:r w:rsidR="00661E67" w:rsidRPr="00F206C0">
        <w:rPr>
          <w:rFonts w:ascii="Times New Roman" w:hAnsi="Times New Roman" w:cs="Times New Roman"/>
          <w:sz w:val="24"/>
          <w:szCs w:val="24"/>
        </w:rPr>
        <w:t xml:space="preserve"> </w:t>
      </w:r>
      <w:r w:rsidR="00D53DC7">
        <w:rPr>
          <w:rFonts w:ascii="Times New Roman" w:hAnsi="Times New Roman" w:cs="Times New Roman"/>
          <w:sz w:val="24"/>
          <w:szCs w:val="24"/>
        </w:rPr>
        <w:t xml:space="preserve">According to table </w:t>
      </w:r>
      <w:r w:rsidR="00D53DC7">
        <w:rPr>
          <w:rFonts w:ascii="Times New Roman" w:hAnsi="Times New Roman" w:cs="Times New Roman"/>
          <w:sz w:val="24"/>
          <w:szCs w:val="24"/>
        </w:rPr>
        <w:lastRenderedPageBreak/>
        <w:t xml:space="preserve">A2, </w:t>
      </w:r>
      <w:r w:rsidR="00D53DC7" w:rsidRPr="00F206C0">
        <w:rPr>
          <w:rFonts w:ascii="Times New Roman" w:hAnsi="Times New Roman" w:cs="Times New Roman"/>
          <w:sz w:val="24"/>
          <w:szCs w:val="24"/>
        </w:rPr>
        <w:t>this cutoff varies from 0.79 % of the total vote share in the Netherlands to 5 %</w:t>
      </w:r>
      <w:r w:rsidR="00D53DC7">
        <w:rPr>
          <w:rFonts w:ascii="Times New Roman" w:hAnsi="Times New Roman" w:cs="Times New Roman"/>
          <w:sz w:val="24"/>
          <w:szCs w:val="24"/>
        </w:rPr>
        <w:t xml:space="preserve">, which is also the most common threshold. </w:t>
      </w:r>
      <w:r w:rsidR="005772C8">
        <w:rPr>
          <w:rFonts w:ascii="Times New Roman" w:hAnsi="Times New Roman" w:cs="Times New Roman"/>
          <w:sz w:val="24"/>
          <w:szCs w:val="24"/>
        </w:rPr>
        <w:t>E</w:t>
      </w:r>
      <w:r w:rsidR="000A73F2">
        <w:rPr>
          <w:rFonts w:ascii="Times New Roman" w:hAnsi="Times New Roman" w:cs="Times New Roman"/>
          <w:sz w:val="24"/>
          <w:szCs w:val="24"/>
        </w:rPr>
        <w:t>quation (2) describes the RDD:</w:t>
      </w:r>
    </w:p>
    <w:p w14:paraId="09A8B0AE" w14:textId="77777777" w:rsidR="000A73F2" w:rsidRDefault="005D483E" w:rsidP="0007287A">
      <w:pPr>
        <w:spacing w:line="360" w:lineRule="auto"/>
        <w:ind w:firstLine="288"/>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ijt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τD</m:t>
              </m:r>
            </m:e>
            <m:sub>
              <m:r>
                <w:rPr>
                  <w:rFonts w:ascii="Cambria Math" w:hAnsi="Cambria Math" w:cs="Times New Roman"/>
                  <w:sz w:val="24"/>
                  <w:szCs w:val="24"/>
                </w:rPr>
                <m:t>jt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jt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ijt</m:t>
              </m:r>
            </m:sub>
          </m:sSub>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jt</m:t>
              </m:r>
            </m:sub>
          </m:sSub>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δ</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ijt</m:t>
              </m:r>
            </m:sub>
          </m:sSub>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2</m:t>
              </m:r>
            </m:e>
          </m:d>
          <m:r>
            <w:rPr>
              <w:rFonts w:ascii="Cambria Math" w:eastAsiaTheme="minorEastAsia" w:hAnsi="Cambria Math" w:cs="Times New Roman"/>
              <w:sz w:val="24"/>
              <w:szCs w:val="24"/>
            </w:rPr>
            <m:t>,</m:t>
          </m:r>
        </m:oMath>
      </m:oMathPara>
    </w:p>
    <w:p w14:paraId="1D1DF8B5" w14:textId="64DB44F2" w:rsidR="000A73F2" w:rsidRPr="000A73F2" w:rsidRDefault="000A73F2" w:rsidP="0007287A">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where </w:t>
      </w:r>
      <m:oMath>
        <m:r>
          <w:rPr>
            <w:rFonts w:ascii="Cambria Math" w:hAnsi="Cambria Math" w:cs="Times New Roman"/>
            <w:sz w:val="24"/>
            <w:szCs w:val="24"/>
          </w:rPr>
          <m:t>τ</m:t>
        </m:r>
      </m:oMath>
      <w:r>
        <w:rPr>
          <w:rFonts w:ascii="Times New Roman" w:eastAsiaTheme="minorEastAsia" w:hAnsi="Times New Roman" w:cs="Times New Roman"/>
          <w:sz w:val="24"/>
          <w:szCs w:val="24"/>
        </w:rPr>
        <w:t xml:space="preserve"> is</w:t>
      </w:r>
      <w:r w:rsidR="00787D4E">
        <w:rPr>
          <w:rFonts w:ascii="Times New Roman" w:eastAsiaTheme="minorEastAsia" w:hAnsi="Times New Roman" w:cs="Times New Roman"/>
          <w:sz w:val="24"/>
          <w:szCs w:val="24"/>
        </w:rPr>
        <w:t xml:space="preserve"> the local average treatment effect</w:t>
      </w:r>
      <w:r>
        <w:rPr>
          <w:rFonts w:ascii="Times New Roman" w:eastAsiaTheme="minorEastAsia" w:hAnsi="Times New Roman" w:cs="Times New Roman"/>
          <w:sz w:val="24"/>
          <w:szCs w:val="24"/>
        </w:rPr>
        <w:t xml:space="preserve"> LATE and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oMath>
      <w:r>
        <w:rPr>
          <w:rFonts w:ascii="Times New Roman" w:eastAsiaTheme="minorEastAsia" w:hAnsi="Times New Roman" w:cs="Times New Roman"/>
          <w:sz w:val="24"/>
          <w:szCs w:val="24"/>
        </w:rPr>
        <w:t xml:space="preserve"> is the </w:t>
      </w:r>
      <w:r w:rsidR="00CC691C">
        <w:rPr>
          <w:rFonts w:ascii="Times New Roman" w:eastAsiaTheme="minorEastAsia" w:hAnsi="Times New Roman" w:cs="Times New Roman"/>
          <w:sz w:val="24"/>
          <w:szCs w:val="24"/>
        </w:rPr>
        <w:t>RRP</w:t>
      </w:r>
      <w:r>
        <w:rPr>
          <w:rFonts w:ascii="Times New Roman" w:eastAsiaTheme="minorEastAsia" w:hAnsi="Times New Roman" w:cs="Times New Roman"/>
          <w:sz w:val="24"/>
          <w:szCs w:val="24"/>
        </w:rPr>
        <w:t xml:space="preserve"> vote share distance relative to the country-specific electoral threshold, which constitutes the running variable. Like</w:t>
      </w:r>
      <w:r w:rsidR="005740EE">
        <w:rPr>
          <w:rFonts w:ascii="Times New Roman" w:eastAsiaTheme="minorEastAsia" w:hAnsi="Times New Roman" w:cs="Times New Roman"/>
          <w:sz w:val="24"/>
          <w:szCs w:val="24"/>
        </w:rPr>
        <w:t xml:space="preserve"> in</w:t>
      </w:r>
      <w:r>
        <w:rPr>
          <w:rFonts w:ascii="Times New Roman" w:eastAsiaTheme="minorEastAsia" w:hAnsi="Times New Roman" w:cs="Times New Roman"/>
          <w:sz w:val="24"/>
          <w:szCs w:val="24"/>
        </w:rPr>
        <w:t xml:space="preserve"> the two-way fixed effects models, I control for individual- and country-year specific characteristics that may be associated with the outcome and country- and year fixed effects. In line with standard practice, I rely </w:t>
      </w:r>
      <w:r w:rsidRPr="00544499">
        <w:rPr>
          <w:rFonts w:ascii="Times New Roman" w:eastAsiaTheme="minorEastAsia" w:hAnsi="Times New Roman" w:cs="Times New Roman"/>
          <w:sz w:val="24"/>
          <w:szCs w:val="24"/>
        </w:rPr>
        <w:t>on both parametric estimations using second-and third-order polynomials and a non-parametric local linear regression using different bandwidths (h) to test the proposed hypotheses (see table</w:t>
      </w:r>
      <w:r w:rsidR="00E56844" w:rsidRPr="00544499">
        <w:rPr>
          <w:rFonts w:ascii="Times New Roman" w:eastAsiaTheme="minorEastAsia" w:hAnsi="Times New Roman" w:cs="Times New Roman"/>
          <w:sz w:val="24"/>
          <w:szCs w:val="24"/>
        </w:rPr>
        <w:t>s</w:t>
      </w:r>
      <w:r w:rsidRPr="00544499">
        <w:rPr>
          <w:rFonts w:ascii="Times New Roman" w:eastAsiaTheme="minorEastAsia" w:hAnsi="Times New Roman" w:cs="Times New Roman"/>
          <w:sz w:val="24"/>
          <w:szCs w:val="24"/>
        </w:rPr>
        <w:t xml:space="preserve"> </w:t>
      </w:r>
      <w:r w:rsidR="00E56844" w:rsidRPr="00544499">
        <w:rPr>
          <w:rFonts w:ascii="Times New Roman" w:eastAsiaTheme="minorEastAsia" w:hAnsi="Times New Roman" w:cs="Times New Roman"/>
          <w:sz w:val="24"/>
          <w:szCs w:val="24"/>
        </w:rPr>
        <w:t>G</w:t>
      </w:r>
      <w:r w:rsidRPr="00544499">
        <w:rPr>
          <w:rFonts w:ascii="Times New Roman" w:eastAsiaTheme="minorEastAsia" w:hAnsi="Times New Roman" w:cs="Times New Roman"/>
          <w:sz w:val="24"/>
          <w:szCs w:val="24"/>
        </w:rPr>
        <w:t>1</w:t>
      </w:r>
      <w:r w:rsidR="00E56844" w:rsidRPr="00544499">
        <w:rPr>
          <w:rFonts w:ascii="Times New Roman" w:eastAsiaTheme="minorEastAsia" w:hAnsi="Times New Roman" w:cs="Times New Roman"/>
          <w:sz w:val="24"/>
          <w:szCs w:val="24"/>
        </w:rPr>
        <w:t>-</w:t>
      </w:r>
      <w:r w:rsidRPr="00544499">
        <w:rPr>
          <w:rFonts w:ascii="Times New Roman" w:eastAsiaTheme="minorEastAsia" w:hAnsi="Times New Roman" w:cs="Times New Roman"/>
          <w:sz w:val="24"/>
          <w:szCs w:val="24"/>
        </w:rPr>
        <w:t>2 &amp; figure</w:t>
      </w:r>
      <w:r w:rsidR="00E56844" w:rsidRPr="00544499">
        <w:rPr>
          <w:rFonts w:ascii="Times New Roman" w:eastAsiaTheme="minorEastAsia" w:hAnsi="Times New Roman" w:cs="Times New Roman"/>
          <w:sz w:val="24"/>
          <w:szCs w:val="24"/>
        </w:rPr>
        <w:t>s G1-2</w:t>
      </w:r>
      <w:r w:rsidRPr="00544499">
        <w:rPr>
          <w:rFonts w:ascii="Times New Roman" w:eastAsiaTheme="minorEastAsia" w:hAnsi="Times New Roman" w:cs="Times New Roman"/>
          <w:sz w:val="24"/>
          <w:szCs w:val="24"/>
        </w:rPr>
        <w:t xml:space="preserve">). </w:t>
      </w:r>
      <w:r w:rsidRPr="00544499">
        <w:rPr>
          <w:rFonts w:ascii="Times New Roman" w:hAnsi="Times New Roman" w:cs="Times New Roman"/>
          <w:sz w:val="24"/>
          <w:szCs w:val="24"/>
        </w:rPr>
        <w:t>In</w:t>
      </w:r>
      <w:r>
        <w:rPr>
          <w:rFonts w:ascii="Times New Roman" w:hAnsi="Times New Roman" w:cs="Times New Roman"/>
          <w:sz w:val="24"/>
          <w:szCs w:val="24"/>
        </w:rPr>
        <w:t xml:space="preserve"> each model, I use </w:t>
      </w:r>
      <w:r w:rsidRPr="001413C2">
        <w:rPr>
          <w:rFonts w:ascii="Times New Roman" w:hAnsi="Times New Roman" w:cs="Times New Roman"/>
          <w:sz w:val="24"/>
          <w:szCs w:val="24"/>
        </w:rPr>
        <w:t>ESS post-stratification weights</w:t>
      </w:r>
      <w:r>
        <w:rPr>
          <w:rFonts w:ascii="Times New Roman" w:hAnsi="Times New Roman" w:cs="Times New Roman"/>
          <w:sz w:val="24"/>
          <w:szCs w:val="24"/>
        </w:rPr>
        <w:t xml:space="preserve"> adjusted</w:t>
      </w:r>
      <w:r w:rsidRPr="001413C2">
        <w:rPr>
          <w:rFonts w:ascii="Times New Roman" w:hAnsi="Times New Roman" w:cs="Times New Roman"/>
          <w:sz w:val="24"/>
          <w:szCs w:val="24"/>
        </w:rPr>
        <w:t xml:space="preserve"> by a weighting factor that divides the total weights for the whole sample by the weights for each country-year</w:t>
      </w:r>
      <w:r>
        <w:rPr>
          <w:rFonts w:ascii="Times New Roman" w:hAnsi="Times New Roman" w:cs="Times New Roman"/>
          <w:sz w:val="24"/>
          <w:szCs w:val="24"/>
        </w:rPr>
        <w:t xml:space="preserve"> giving </w:t>
      </w:r>
      <w:r w:rsidRPr="001413C2">
        <w:rPr>
          <w:rFonts w:ascii="Times New Roman" w:hAnsi="Times New Roman" w:cs="Times New Roman"/>
          <w:sz w:val="24"/>
          <w:szCs w:val="24"/>
        </w:rPr>
        <w:t xml:space="preserve">each country-year equal weights </w:t>
      </w:r>
      <w:r w:rsidRPr="001413C2">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{"citationID":"KqoBaHBO","properties":{"formattedCitation":"(Abou-Chadi &amp; Finnigan, 2019)","plainCitation":"(Abou-Chadi &amp; Finnigan, 2019)","dontUpdate":true,"noteIndex":0},"citationItems":[{"id":2008,"uris":["http://zotero.org/users/6208848/items/QDZUC8RG"],"itemData":{"id":2008,"type":"article-journal","abstract":"This article investigates how changes in same-sex rights affect attitudes toward homosexuality. We argue that different same-sex relationship policies vary in their impact. Whereas registered partnership laws construct a distinct target population that receives new benefits, marriage equality sends an unambiguously positive signal and reduces the perceived group difference through inclusion into existing rights. As a consequence, marriage equality should have a positive effect on attitudes toward homosexuality, whereas partnership laws should have much less positive effects and could even lead to backlash among some groups. Combining data from eight waves of the European Social Survey with data on legislation, we analyze the effects of same-sex marriage, registered partnerships, and marriage bans on attitudes toward gays and lesbians. Marriage has a positive effect, bans and registered partnerships have a negative effect. Legalized partnership is especially associated with significantly more negative attitudes among nonreligious and less educated people.","container-title":"Comparative Political Studies","DOI":"10.1177/0010414018797947","ISSN":"0010-4140, 1552-3829","issue":"6","journalAbbreviation":"Comparative Political Studies","language":"en","page":"868-895","source":"DOI.org (Crossref)","title":"Rights for Same-Sex Couples and Public Attitudes Toward Gays and Lesbians in Europe","volume":"52","author":[{"family":"Abou-Chadi","given":"Tarik"},{"family":"Finnigan","given":"Ryan"}],"issued":{"date-parts":[["2019",5]]}}}],"schema":"https://github.com/citation-style-language/schema/raw/master/csl-citation.json"} </w:instrText>
      </w:r>
      <w:r w:rsidRPr="001413C2">
        <w:rPr>
          <w:rFonts w:ascii="Times New Roman" w:hAnsi="Times New Roman" w:cs="Times New Roman"/>
          <w:sz w:val="24"/>
          <w:szCs w:val="24"/>
        </w:rPr>
        <w:fldChar w:fldCharType="separate"/>
      </w:r>
      <w:r w:rsidRPr="001413C2">
        <w:rPr>
          <w:rFonts w:ascii="Times New Roman" w:hAnsi="Times New Roman" w:cs="Times New Roman"/>
          <w:sz w:val="24"/>
        </w:rPr>
        <w:t xml:space="preserve">(see Abou-Chadi &amp; Finnigan, 2019 for </w:t>
      </w:r>
      <w:r w:rsidR="00BB33EA">
        <w:rPr>
          <w:rFonts w:ascii="Times New Roman" w:hAnsi="Times New Roman" w:cs="Times New Roman"/>
          <w:sz w:val="24"/>
        </w:rPr>
        <w:t>a similar weighting procedure</w:t>
      </w:r>
      <w:r w:rsidRPr="001413C2">
        <w:rPr>
          <w:rFonts w:ascii="Times New Roman" w:hAnsi="Times New Roman" w:cs="Times New Roman"/>
          <w:sz w:val="24"/>
        </w:rPr>
        <w:t>)</w:t>
      </w:r>
      <w:r w:rsidRPr="001413C2">
        <w:rPr>
          <w:rFonts w:ascii="Times New Roman" w:hAnsi="Times New Roman" w:cs="Times New Roman"/>
          <w:sz w:val="24"/>
          <w:szCs w:val="24"/>
        </w:rPr>
        <w:fldChar w:fldCharType="end"/>
      </w:r>
      <w:r w:rsidRPr="001413C2">
        <w:rPr>
          <w:rFonts w:ascii="Times New Roman" w:hAnsi="Times New Roman" w:cs="Times New Roman"/>
          <w:sz w:val="24"/>
          <w:szCs w:val="24"/>
        </w:rPr>
        <w:t xml:space="preserve">. </w:t>
      </w:r>
      <w:r>
        <w:rPr>
          <w:rFonts w:ascii="Times New Roman" w:hAnsi="Times New Roman" w:cs="Times New Roman"/>
          <w:sz w:val="24"/>
          <w:szCs w:val="24"/>
        </w:rPr>
        <w:t>T</w:t>
      </w:r>
      <w:r w:rsidRPr="001413C2">
        <w:rPr>
          <w:rFonts w:ascii="Times New Roman" w:hAnsi="Times New Roman" w:cs="Times New Roman"/>
          <w:sz w:val="24"/>
          <w:szCs w:val="24"/>
        </w:rPr>
        <w:t>o allow for between-individual correlation</w:t>
      </w:r>
      <w:r>
        <w:rPr>
          <w:rFonts w:ascii="Times New Roman" w:hAnsi="Times New Roman" w:cs="Times New Roman"/>
          <w:sz w:val="24"/>
          <w:szCs w:val="24"/>
        </w:rPr>
        <w:t>,</w:t>
      </w:r>
      <w:r w:rsidRPr="001413C2">
        <w:rPr>
          <w:rFonts w:ascii="Times New Roman" w:hAnsi="Times New Roman" w:cs="Times New Roman"/>
          <w:sz w:val="24"/>
          <w:szCs w:val="24"/>
        </w:rPr>
        <w:t xml:space="preserve"> I</w:t>
      </w:r>
      <w:r>
        <w:rPr>
          <w:rFonts w:ascii="Times New Roman" w:hAnsi="Times New Roman" w:cs="Times New Roman"/>
          <w:sz w:val="24"/>
          <w:szCs w:val="24"/>
        </w:rPr>
        <w:t xml:space="preserve"> </w:t>
      </w:r>
      <w:r w:rsidRPr="001413C2">
        <w:rPr>
          <w:rFonts w:ascii="Times New Roman" w:hAnsi="Times New Roman" w:cs="Times New Roman"/>
          <w:sz w:val="24"/>
          <w:szCs w:val="24"/>
        </w:rPr>
        <w:t xml:space="preserve">cluster standard errors at the </w:t>
      </w:r>
      <w:r>
        <w:rPr>
          <w:rFonts w:ascii="Times New Roman" w:hAnsi="Times New Roman" w:cs="Times New Roman"/>
          <w:sz w:val="24"/>
          <w:szCs w:val="24"/>
        </w:rPr>
        <w:t>level of country-years</w:t>
      </w:r>
      <w:r w:rsidRPr="001413C2">
        <w:rPr>
          <w:rFonts w:ascii="Times New Roman" w:hAnsi="Times New Roman" w:cs="Times New Roman"/>
          <w:sz w:val="24"/>
          <w:szCs w:val="24"/>
        </w:rPr>
        <w:t xml:space="preserve">. </w:t>
      </w:r>
      <w:r w:rsidRPr="00EC59B3">
        <w:rPr>
          <w:rFonts w:ascii="Times New Roman" w:hAnsi="Times New Roman" w:cs="Times New Roman"/>
          <w:sz w:val="24"/>
          <w:szCs w:val="24"/>
        </w:rPr>
        <w:t>Since the predictor is measured at the country-year level, the estimated regression models have 1</w:t>
      </w:r>
      <w:r w:rsidR="00EC59B3" w:rsidRPr="00EC59B3">
        <w:rPr>
          <w:rFonts w:ascii="Times New Roman" w:hAnsi="Times New Roman" w:cs="Times New Roman"/>
          <w:sz w:val="24"/>
          <w:szCs w:val="24"/>
        </w:rPr>
        <w:t>21</w:t>
      </w:r>
      <w:r w:rsidRPr="00EC59B3">
        <w:rPr>
          <w:rFonts w:ascii="Times New Roman" w:hAnsi="Times New Roman" w:cs="Times New Roman"/>
          <w:sz w:val="24"/>
          <w:szCs w:val="24"/>
        </w:rPr>
        <w:t xml:space="preserve"> model degrees of freedom. For a two-tailed t-test with a significance level at </w:t>
      </w:r>
      <m:oMath>
        <m:r>
          <m:rPr>
            <m:sty m:val="p"/>
          </m:rPr>
          <w:rPr>
            <w:rFonts w:ascii="Cambria Math" w:hAnsi="Cambria Math" w:cs="Times New Roman"/>
            <w:sz w:val="24"/>
            <w:szCs w:val="24"/>
          </w:rPr>
          <m:t>α</m:t>
        </m:r>
        <m:r>
          <w:rPr>
            <w:rFonts w:ascii="Cambria Math" w:hAnsi="Cambria Math" w:cs="Times New Roman"/>
            <w:sz w:val="24"/>
            <w:szCs w:val="24"/>
          </w:rPr>
          <m:t>= 0.05</m:t>
        </m:r>
      </m:oMath>
      <w:r w:rsidRPr="00EC59B3">
        <w:rPr>
          <w:rFonts w:ascii="Times New Roman" w:hAnsi="Times New Roman" w:cs="Times New Roman"/>
          <w:sz w:val="24"/>
          <w:szCs w:val="24"/>
        </w:rPr>
        <w:t xml:space="preserve"> the critical value is </w:t>
      </w:r>
      <m:oMath>
        <m:r>
          <w:rPr>
            <w:rFonts w:ascii="Cambria Math" w:hAnsi="Cambria Math" w:cs="Times New Roman"/>
            <w:sz w:val="24"/>
            <w:szCs w:val="24"/>
          </w:rPr>
          <m:t>t=1.998</m:t>
        </m:r>
      </m:oMath>
      <w:r w:rsidRPr="00EC59B3">
        <w:rPr>
          <w:rFonts w:ascii="Times New Roman" w:eastAsiaTheme="minorEastAsia" w:hAnsi="Times New Roman" w:cs="Times New Roman"/>
          <w:sz w:val="24"/>
          <w:szCs w:val="24"/>
        </w:rPr>
        <w:t xml:space="preserve"> </w:t>
      </w:r>
      <w:r w:rsidRPr="00EC59B3">
        <w:rPr>
          <w:rFonts w:ascii="Times New Roman" w:eastAsiaTheme="minorEastAsia" w:hAnsi="Times New Roman" w:cs="Times New Roman"/>
          <w:sz w:val="24"/>
          <w:szCs w:val="24"/>
        </w:rPr>
        <w:fldChar w:fldCharType="begin"/>
      </w:r>
      <w:r w:rsidRPr="00EC59B3">
        <w:rPr>
          <w:rFonts w:ascii="Times New Roman" w:eastAsiaTheme="minorEastAsia" w:hAnsi="Times New Roman" w:cs="Times New Roman"/>
          <w:sz w:val="24"/>
          <w:szCs w:val="24"/>
        </w:rPr>
        <w:instrText xml:space="preserve"> ADDIN ZOTERO_ITEM CSL_CITATION {"citationID":"12R4Ghyw","properties":{"formattedCitation":"(Elff et al., 2021)","plainCitation":"(Elff et al., 2021)","noteIndex":0},"citationItems":[{"id":2200,"uris":["http://zotero.org/users/6208848/items/GE6TXBNA"],"itemData":{"id":2200,"type":"article-journal","abstract":"Quantitative comparative social scientists have long worried about the performance of multilevel models when the number of upper-level units is small. Adding to these concerns, an influential Monte Carlo study by Stegmueller (2013) suggests that standard maximum-likelihood (ML) methods yield biased point estimates and severely anti-conservative inference with few upper-level units. In this article, the authors seek to rectify this negative assessment. First, they show that ML estimators of coefficients are unbiased in linear multilevel models. The apparent bias in coefficient estimates found by Stegmueller can be attributed to Monte Carlo Error and a flaw in the design of his simulation study. Secondly, they demonstrate how inferential problems can be overcome by using restricted ML estimators for variance parameters and a t-distribution with appropriate degrees of freedom for statistical inference. Thus, accurate multilevel analysis is possible within the framework that most practitioners are familiar with, even if there are only a few upper-level units.","container-title":"British Journal of Political Science","DOI":"10.1017/S0007123419000097","ISSN":"0007-1234, 1469-2112","issue":"1","journalAbbreviation":"Brit. J. Polit. Sci.","language":"en","page":"412-426","source":"DOI.org (Crossref)","title":"Multilevel Analysis with Few Clusters: Improving Likelihood-Based Methods to Provide Unbiased Estimates and Accurate Inference","title-short":"Multilevel Analysis with Few Clusters","volume":"51","author":[{"family":"Elff","given":"Martin"},{"family":"Heisig","given":"Jan Paul"},{"family":"Schaeffer","given":"Merlin"},{"family":"Shikano","given":"Susumu"}],"issued":{"date-parts":[["2021",1]]}}}],"schema":"https://github.com/citation-style-language/schema/raw/master/csl-citation.json"} </w:instrText>
      </w:r>
      <w:r w:rsidRPr="00EC59B3">
        <w:rPr>
          <w:rFonts w:ascii="Times New Roman" w:eastAsiaTheme="minorEastAsia" w:hAnsi="Times New Roman" w:cs="Times New Roman"/>
          <w:sz w:val="24"/>
          <w:szCs w:val="24"/>
        </w:rPr>
        <w:fldChar w:fldCharType="separate"/>
      </w:r>
      <w:r w:rsidRPr="00EC59B3">
        <w:rPr>
          <w:rFonts w:ascii="Times New Roman" w:hAnsi="Times New Roman" w:cs="Times New Roman"/>
          <w:sz w:val="24"/>
        </w:rPr>
        <w:t>(Elff et al., 2021)</w:t>
      </w:r>
      <w:r w:rsidRPr="00EC59B3">
        <w:rPr>
          <w:rFonts w:ascii="Times New Roman" w:eastAsiaTheme="minorEastAsia" w:hAnsi="Times New Roman" w:cs="Times New Roman"/>
          <w:sz w:val="24"/>
          <w:szCs w:val="24"/>
        </w:rPr>
        <w:fldChar w:fldCharType="end"/>
      </w:r>
      <w:r w:rsidRPr="00EC59B3">
        <w:rPr>
          <w:rFonts w:ascii="Times New Roman" w:eastAsiaTheme="minorEastAsia" w:hAnsi="Times New Roman" w:cs="Times New Roman"/>
          <w:sz w:val="24"/>
          <w:szCs w:val="24"/>
        </w:rPr>
        <w:t>.</w:t>
      </w:r>
      <w:r w:rsidRPr="001413C2">
        <w:rPr>
          <w:rFonts w:ascii="Times New Roman" w:hAnsi="Times New Roman" w:cs="Times New Roman"/>
          <w:sz w:val="24"/>
          <w:szCs w:val="24"/>
        </w:rPr>
        <w:t xml:space="preserve"> </w:t>
      </w:r>
    </w:p>
    <w:p w14:paraId="33076E43" w14:textId="571F9180" w:rsidR="002E3873" w:rsidRPr="00C058CA" w:rsidRDefault="00661E67" w:rsidP="0007287A">
      <w:pPr>
        <w:spacing w:line="360" w:lineRule="auto"/>
        <w:ind w:firstLine="288"/>
        <w:jc w:val="both"/>
        <w:rPr>
          <w:rFonts w:ascii="Times New Roman" w:hAnsi="Times New Roman" w:cs="Times New Roman"/>
          <w:sz w:val="24"/>
          <w:szCs w:val="24"/>
        </w:rPr>
      </w:pPr>
      <w:r>
        <w:rPr>
          <w:rFonts w:ascii="Times New Roman" w:hAnsi="Times New Roman" w:cs="Times New Roman"/>
          <w:sz w:val="24"/>
          <w:szCs w:val="24"/>
        </w:rPr>
        <w:t>The validity of a regression discontinuity design necessi</w:t>
      </w:r>
      <w:r w:rsidR="00222374">
        <w:rPr>
          <w:rFonts w:ascii="Times New Roman" w:hAnsi="Times New Roman" w:cs="Times New Roman"/>
          <w:sz w:val="24"/>
          <w:szCs w:val="24"/>
        </w:rPr>
        <w:t>tates</w:t>
      </w:r>
      <w:r w:rsidR="005B120C">
        <w:rPr>
          <w:rFonts w:ascii="Times New Roman" w:hAnsi="Times New Roman" w:cs="Times New Roman"/>
          <w:sz w:val="24"/>
          <w:szCs w:val="24"/>
        </w:rPr>
        <w:t xml:space="preserve"> that (1) t</w:t>
      </w:r>
      <w:r>
        <w:rPr>
          <w:rFonts w:ascii="Times New Roman" w:hAnsi="Times New Roman" w:cs="Times New Roman"/>
          <w:sz w:val="24"/>
          <w:szCs w:val="24"/>
        </w:rPr>
        <w:t>he continuity assumption</w:t>
      </w:r>
      <w:r w:rsidR="005B120C">
        <w:rPr>
          <w:rFonts w:ascii="Times New Roman" w:hAnsi="Times New Roman" w:cs="Times New Roman"/>
          <w:sz w:val="24"/>
          <w:szCs w:val="24"/>
        </w:rPr>
        <w:t xml:space="preserve"> holds and (2) that</w:t>
      </w:r>
      <w:r w:rsidR="00906D2D">
        <w:rPr>
          <w:rFonts w:ascii="Times New Roman" w:hAnsi="Times New Roman" w:cs="Times New Roman"/>
          <w:sz w:val="24"/>
          <w:szCs w:val="24"/>
        </w:rPr>
        <w:t xml:space="preserve"> </w:t>
      </w:r>
      <w:r w:rsidR="00C71C45">
        <w:rPr>
          <w:rFonts w:ascii="Times New Roman" w:hAnsi="Times New Roman" w:cs="Times New Roman"/>
          <w:sz w:val="24"/>
          <w:szCs w:val="24"/>
        </w:rPr>
        <w:t xml:space="preserve">no one (e.g., </w:t>
      </w:r>
      <w:r w:rsidR="00CC691C">
        <w:rPr>
          <w:rFonts w:ascii="Times New Roman" w:hAnsi="Times New Roman" w:cs="Times New Roman"/>
          <w:sz w:val="24"/>
          <w:szCs w:val="24"/>
        </w:rPr>
        <w:t>RRP</w:t>
      </w:r>
      <w:r w:rsidR="00C71C45">
        <w:rPr>
          <w:rFonts w:ascii="Times New Roman" w:hAnsi="Times New Roman" w:cs="Times New Roman"/>
          <w:sz w:val="24"/>
          <w:szCs w:val="24"/>
        </w:rPr>
        <w:t>s</w:t>
      </w:r>
      <w:r w:rsidR="00BD4099">
        <w:rPr>
          <w:rFonts w:ascii="Times New Roman" w:hAnsi="Times New Roman" w:cs="Times New Roman"/>
          <w:sz w:val="24"/>
          <w:szCs w:val="24"/>
        </w:rPr>
        <w:t xml:space="preserve"> themselves</w:t>
      </w:r>
      <w:r w:rsidR="00C71C45">
        <w:rPr>
          <w:rFonts w:ascii="Times New Roman" w:hAnsi="Times New Roman" w:cs="Times New Roman"/>
          <w:sz w:val="24"/>
          <w:szCs w:val="24"/>
        </w:rPr>
        <w:t>, their voters</w:t>
      </w:r>
      <w:r w:rsidR="00540872">
        <w:rPr>
          <w:rFonts w:ascii="Times New Roman" w:hAnsi="Times New Roman" w:cs="Times New Roman"/>
          <w:sz w:val="24"/>
          <w:szCs w:val="24"/>
        </w:rPr>
        <w:t>,</w:t>
      </w:r>
      <w:r w:rsidR="00C71C45">
        <w:rPr>
          <w:rFonts w:ascii="Times New Roman" w:hAnsi="Times New Roman" w:cs="Times New Roman"/>
          <w:sz w:val="24"/>
          <w:szCs w:val="24"/>
        </w:rPr>
        <w:t xml:space="preserve"> or their competitors)</w:t>
      </w:r>
      <w:r w:rsidR="005B120C">
        <w:rPr>
          <w:rFonts w:ascii="Times New Roman" w:hAnsi="Times New Roman" w:cs="Times New Roman"/>
          <w:sz w:val="24"/>
          <w:szCs w:val="24"/>
        </w:rPr>
        <w:t xml:space="preserve"> </w:t>
      </w:r>
      <w:r w:rsidR="006C5D76">
        <w:rPr>
          <w:rFonts w:ascii="Times New Roman" w:hAnsi="Times New Roman" w:cs="Times New Roman"/>
          <w:sz w:val="24"/>
          <w:szCs w:val="24"/>
        </w:rPr>
        <w:t>can</w:t>
      </w:r>
      <w:r w:rsidR="005B120C">
        <w:rPr>
          <w:rFonts w:ascii="Times New Roman" w:hAnsi="Times New Roman" w:cs="Times New Roman"/>
          <w:sz w:val="24"/>
          <w:szCs w:val="24"/>
        </w:rPr>
        <w:t xml:space="preserve"> manipulate </w:t>
      </w:r>
      <w:r w:rsidR="00CC691C">
        <w:rPr>
          <w:rFonts w:ascii="Times New Roman" w:hAnsi="Times New Roman" w:cs="Times New Roman"/>
          <w:sz w:val="24"/>
          <w:szCs w:val="24"/>
        </w:rPr>
        <w:t>RRP</w:t>
      </w:r>
      <w:r w:rsidR="005B120C">
        <w:rPr>
          <w:rFonts w:ascii="Times New Roman" w:hAnsi="Times New Roman" w:cs="Times New Roman"/>
          <w:sz w:val="24"/>
          <w:szCs w:val="24"/>
        </w:rPr>
        <w:t>s treatment status</w:t>
      </w:r>
      <w:r w:rsidR="004114F4">
        <w:rPr>
          <w:rFonts w:ascii="Times New Roman" w:hAnsi="Times New Roman" w:cs="Times New Roman"/>
          <w:sz w:val="24"/>
          <w:szCs w:val="24"/>
        </w:rPr>
        <w:t xml:space="preserve"> on either side of the </w:t>
      </w:r>
      <w:r w:rsidR="00A6708D">
        <w:rPr>
          <w:rFonts w:ascii="Times New Roman" w:hAnsi="Times New Roman" w:cs="Times New Roman"/>
          <w:sz w:val="24"/>
          <w:szCs w:val="24"/>
        </w:rPr>
        <w:t>cutoff</w:t>
      </w:r>
      <w:r>
        <w:rPr>
          <w:rFonts w:ascii="Times New Roman" w:hAnsi="Times New Roman" w:cs="Times New Roman"/>
          <w:sz w:val="24"/>
          <w:szCs w:val="24"/>
        </w:rPr>
        <w:t xml:space="preserve">. </w:t>
      </w:r>
      <w:r w:rsidR="00EE390B">
        <w:rPr>
          <w:rFonts w:ascii="Times New Roman" w:hAnsi="Times New Roman" w:cs="Times New Roman"/>
          <w:sz w:val="24"/>
          <w:szCs w:val="24"/>
        </w:rPr>
        <w:t>The continuity</w:t>
      </w:r>
      <w:r w:rsidRPr="00C332DE">
        <w:rPr>
          <w:rFonts w:ascii="Times New Roman" w:hAnsi="Times New Roman" w:cs="Times New Roman"/>
          <w:sz w:val="24"/>
          <w:szCs w:val="24"/>
        </w:rPr>
        <w:t xml:space="preserve"> assumption </w:t>
      </w:r>
      <w:r w:rsidR="00005C8A">
        <w:rPr>
          <w:rFonts w:ascii="Times New Roman" w:hAnsi="Times New Roman" w:cs="Times New Roman"/>
          <w:sz w:val="24"/>
          <w:szCs w:val="24"/>
        </w:rPr>
        <w:t>entails</w:t>
      </w:r>
      <w:r w:rsidRPr="00C332DE">
        <w:rPr>
          <w:rFonts w:ascii="Times New Roman" w:hAnsi="Times New Roman" w:cs="Times New Roman"/>
          <w:sz w:val="24"/>
          <w:szCs w:val="24"/>
        </w:rPr>
        <w:t xml:space="preserve"> that countr</w:t>
      </w:r>
      <w:r>
        <w:rPr>
          <w:rFonts w:ascii="Times New Roman" w:hAnsi="Times New Roman" w:cs="Times New Roman"/>
          <w:sz w:val="24"/>
          <w:szCs w:val="24"/>
        </w:rPr>
        <w:t>y-years</w:t>
      </w:r>
      <w:r w:rsidRPr="00C332DE">
        <w:rPr>
          <w:rFonts w:ascii="Times New Roman" w:hAnsi="Times New Roman" w:cs="Times New Roman"/>
          <w:sz w:val="24"/>
          <w:szCs w:val="24"/>
        </w:rPr>
        <w:t xml:space="preserve"> w</w:t>
      </w:r>
      <w:r w:rsidR="007A7ED6">
        <w:rPr>
          <w:rFonts w:ascii="Times New Roman" w:hAnsi="Times New Roman" w:cs="Times New Roman"/>
          <w:sz w:val="24"/>
          <w:szCs w:val="24"/>
        </w:rPr>
        <w:t>h</w:t>
      </w:r>
      <w:r w:rsidRPr="00C332DE">
        <w:rPr>
          <w:rFonts w:ascii="Times New Roman" w:hAnsi="Times New Roman" w:cs="Times New Roman"/>
          <w:sz w:val="24"/>
          <w:szCs w:val="24"/>
        </w:rPr>
        <w:t xml:space="preserve">ere a </w:t>
      </w:r>
      <w:r w:rsidR="00CC691C">
        <w:rPr>
          <w:rFonts w:ascii="Times New Roman" w:hAnsi="Times New Roman" w:cs="Times New Roman"/>
          <w:sz w:val="24"/>
          <w:szCs w:val="24"/>
        </w:rPr>
        <w:t>RRP</w:t>
      </w:r>
      <w:r w:rsidRPr="00C332DE">
        <w:rPr>
          <w:rFonts w:ascii="Times New Roman" w:hAnsi="Times New Roman" w:cs="Times New Roman"/>
          <w:sz w:val="24"/>
          <w:szCs w:val="24"/>
        </w:rPr>
        <w:t xml:space="preserve"> </w:t>
      </w:r>
      <w:r>
        <w:rPr>
          <w:rFonts w:ascii="Times New Roman" w:hAnsi="Times New Roman" w:cs="Times New Roman"/>
          <w:sz w:val="24"/>
          <w:szCs w:val="24"/>
        </w:rPr>
        <w:t>barely</w:t>
      </w:r>
      <w:r w:rsidRPr="00C332DE">
        <w:rPr>
          <w:rFonts w:ascii="Times New Roman" w:hAnsi="Times New Roman" w:cs="Times New Roman"/>
          <w:sz w:val="24"/>
          <w:szCs w:val="24"/>
        </w:rPr>
        <w:t xml:space="preserve"> </w:t>
      </w:r>
      <w:r>
        <w:rPr>
          <w:rFonts w:ascii="Times New Roman" w:hAnsi="Times New Roman" w:cs="Times New Roman"/>
          <w:sz w:val="24"/>
          <w:szCs w:val="24"/>
        </w:rPr>
        <w:t xml:space="preserve">managed to enter </w:t>
      </w:r>
      <w:r w:rsidRPr="00C332DE">
        <w:rPr>
          <w:rFonts w:ascii="Times New Roman" w:hAnsi="Times New Roman" w:cs="Times New Roman"/>
          <w:sz w:val="24"/>
          <w:szCs w:val="24"/>
        </w:rPr>
        <w:t xml:space="preserve">parliament </w:t>
      </w:r>
      <w:r>
        <w:rPr>
          <w:rFonts w:ascii="Times New Roman" w:hAnsi="Times New Roman" w:cs="Times New Roman"/>
          <w:sz w:val="24"/>
          <w:szCs w:val="24"/>
        </w:rPr>
        <w:t>are</w:t>
      </w:r>
      <w:r w:rsidRPr="00C332DE">
        <w:rPr>
          <w:rFonts w:ascii="Times New Roman" w:hAnsi="Times New Roman" w:cs="Times New Roman"/>
          <w:sz w:val="24"/>
          <w:szCs w:val="24"/>
        </w:rPr>
        <w:t xml:space="preserve"> </w:t>
      </w:r>
      <w:r>
        <w:rPr>
          <w:rFonts w:ascii="Times New Roman" w:hAnsi="Times New Roman" w:cs="Times New Roman"/>
          <w:sz w:val="24"/>
          <w:szCs w:val="24"/>
        </w:rPr>
        <w:t>similar to</w:t>
      </w:r>
      <w:r w:rsidRPr="00C332DE">
        <w:rPr>
          <w:rFonts w:ascii="Times New Roman" w:hAnsi="Times New Roman" w:cs="Times New Roman"/>
          <w:sz w:val="24"/>
          <w:szCs w:val="24"/>
        </w:rPr>
        <w:t xml:space="preserve"> </w:t>
      </w:r>
      <w:r>
        <w:rPr>
          <w:rFonts w:ascii="Times New Roman" w:hAnsi="Times New Roman" w:cs="Times New Roman"/>
          <w:sz w:val="24"/>
          <w:szCs w:val="24"/>
        </w:rPr>
        <w:t>country-years</w:t>
      </w:r>
      <w:r w:rsidRPr="00C332DE">
        <w:rPr>
          <w:rFonts w:ascii="Times New Roman" w:hAnsi="Times New Roman" w:cs="Times New Roman"/>
          <w:sz w:val="24"/>
          <w:szCs w:val="24"/>
        </w:rPr>
        <w:t xml:space="preserve"> where the radical right barely lost representation</w:t>
      </w:r>
      <w:r>
        <w:rPr>
          <w:rFonts w:ascii="Times New Roman" w:hAnsi="Times New Roman" w:cs="Times New Roman"/>
          <w:sz w:val="24"/>
          <w:szCs w:val="24"/>
        </w:rPr>
        <w:t xml:space="preserve">, so, the only change that occurs at the point of discontinuity is the shift in treatment status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{"citationID":"DvzZ0Txg","properties":{"formattedCitation":"(de la Cuesta &amp; Imai, 2016, p. 377)","plainCitation":"(de la Cuesta &amp; Imai, 2016, p. 377)","noteIndex":0},"citationItems":[{"id":2456,"uris":["http://zotero.org/users/6208848/items/LUWIR2GH"],"itemData":{"id":2456,"type":"article-journal","abstract":"Recently, the regression discontinuity (RD) design has become increasingly popular among social scientists. One prominent application is the study of close elections. We explicate several methodological misunderstandings widespread across disciplines by revisiting the controversy concerning the validity of RD design when applied to close elections. Although many researchers invoke the local or as-if-random assumption near the threshold, it is more stringent than the required continuity assumption. We show that this seemingly subtle point determines the appropriateness of various statistical methods and changes our understanding of how sorting invalidates the design. When multiple-testing problems are also addressed, we find that evidence for sorting in US House elections is substantially weaker and highly dependent on estimation methods. Finally, we caution that despite the temptation to improve the external validity, the extrapolation of RD estimates away from the threshold sacrifices the design's advantage in internal validity.","container-title":"Annual Review of Political Science","DOI":"10.1146/annurev-polisci-032015-010115","issue":"1","note":"_eprint: https://doi.org/10.1146/annurev-polisci-032015-010115","page":"375-396","source":"Annual Reviews","title":"Misunderstandings About the Regression Discontinuity Design in the Study of Close Elections","volume":"19","author":[{"family":"Cuesta","given":"Brandon","non-dropping-particle":"de la"},{"family":"Imai","given":"Kosuke"}],"issued":{"date-parts":[["2016"]]}},"locator":"377"}],"schema":"https://github.com/citation-style-language/schema/raw/master/csl-citation.json"} </w:instrText>
      </w:r>
      <w:r>
        <w:rPr>
          <w:rFonts w:ascii="Times New Roman" w:hAnsi="Times New Roman" w:cs="Times New Roman"/>
          <w:sz w:val="24"/>
          <w:szCs w:val="24"/>
        </w:rPr>
        <w:fldChar w:fldCharType="separate"/>
      </w:r>
      <w:r w:rsidRPr="00C63C31">
        <w:rPr>
          <w:rFonts w:ascii="Times New Roman" w:hAnsi="Times New Roman" w:cs="Times New Roman"/>
          <w:sz w:val="24"/>
        </w:rPr>
        <w:t>(de la Cuesta &amp; Imai, 2016, p. 377)</w:t>
      </w:r>
      <w:r>
        <w:rPr>
          <w:rFonts w:ascii="Times New Roman" w:hAnsi="Times New Roman" w:cs="Times New Roman"/>
          <w:sz w:val="24"/>
          <w:szCs w:val="24"/>
        </w:rPr>
        <w:fldChar w:fldCharType="end"/>
      </w:r>
      <w:r>
        <w:rPr>
          <w:rFonts w:ascii="Times New Roman" w:hAnsi="Times New Roman" w:cs="Times New Roman"/>
          <w:sz w:val="24"/>
          <w:szCs w:val="24"/>
        </w:rPr>
        <w:t>.</w:t>
      </w:r>
      <w:r w:rsidRPr="00C332DE">
        <w:rPr>
          <w:rFonts w:ascii="Times New Roman" w:hAnsi="Times New Roman" w:cs="Times New Roman"/>
          <w:sz w:val="24"/>
          <w:szCs w:val="24"/>
        </w:rPr>
        <w:t xml:space="preserve"> </w:t>
      </w:r>
      <w:r>
        <w:rPr>
          <w:rFonts w:ascii="Times New Roman" w:hAnsi="Times New Roman" w:cs="Times New Roman"/>
          <w:sz w:val="24"/>
          <w:szCs w:val="24"/>
        </w:rPr>
        <w:t xml:space="preserve">Figure </w:t>
      </w:r>
      <w:r w:rsidR="003D0336">
        <w:rPr>
          <w:rFonts w:ascii="Times New Roman" w:hAnsi="Times New Roman" w:cs="Times New Roman"/>
          <w:sz w:val="24"/>
          <w:szCs w:val="24"/>
        </w:rPr>
        <w:t>H1</w:t>
      </w:r>
      <w:r>
        <w:rPr>
          <w:rFonts w:ascii="Times New Roman" w:hAnsi="Times New Roman" w:cs="Times New Roman"/>
          <w:sz w:val="24"/>
          <w:szCs w:val="24"/>
        </w:rPr>
        <w:t xml:space="preserve"> shows that</w:t>
      </w:r>
      <w:r w:rsidRPr="00C332DE">
        <w:rPr>
          <w:rFonts w:ascii="Times New Roman" w:hAnsi="Times New Roman" w:cs="Times New Roman"/>
          <w:sz w:val="24"/>
          <w:szCs w:val="24"/>
        </w:rPr>
        <w:t xml:space="preserve"> treated and untreated </w:t>
      </w:r>
      <w:r>
        <w:rPr>
          <w:rFonts w:ascii="Times New Roman" w:hAnsi="Times New Roman" w:cs="Times New Roman"/>
          <w:sz w:val="24"/>
          <w:szCs w:val="24"/>
        </w:rPr>
        <w:t>units</w:t>
      </w:r>
      <w:r w:rsidRPr="00C332DE">
        <w:rPr>
          <w:rFonts w:ascii="Times New Roman" w:hAnsi="Times New Roman" w:cs="Times New Roman"/>
          <w:sz w:val="24"/>
          <w:szCs w:val="24"/>
        </w:rPr>
        <w:t xml:space="preserve"> </w:t>
      </w:r>
      <w:r>
        <w:rPr>
          <w:rFonts w:ascii="Times New Roman" w:hAnsi="Times New Roman" w:cs="Times New Roman"/>
          <w:sz w:val="24"/>
          <w:szCs w:val="24"/>
        </w:rPr>
        <w:t>are balanced</w:t>
      </w:r>
      <w:r w:rsidRPr="00C332DE">
        <w:rPr>
          <w:rFonts w:ascii="Times New Roman" w:hAnsi="Times New Roman" w:cs="Times New Roman"/>
          <w:sz w:val="24"/>
          <w:szCs w:val="24"/>
        </w:rPr>
        <w:t xml:space="preserve"> on all</w:t>
      </w:r>
      <w:r>
        <w:rPr>
          <w:rFonts w:ascii="Times New Roman" w:hAnsi="Times New Roman" w:cs="Times New Roman"/>
          <w:sz w:val="24"/>
          <w:szCs w:val="24"/>
        </w:rPr>
        <w:t xml:space="preserve"> </w:t>
      </w:r>
      <w:r w:rsidR="00734FED">
        <w:rPr>
          <w:rFonts w:ascii="Times New Roman" w:hAnsi="Times New Roman" w:cs="Times New Roman"/>
          <w:sz w:val="24"/>
          <w:szCs w:val="24"/>
        </w:rPr>
        <w:t>observed</w:t>
      </w:r>
      <w:r w:rsidRPr="00C332DE">
        <w:rPr>
          <w:rFonts w:ascii="Times New Roman" w:hAnsi="Times New Roman" w:cs="Times New Roman"/>
          <w:sz w:val="24"/>
          <w:szCs w:val="24"/>
        </w:rPr>
        <w:t xml:space="preserve"> covariates except for population density</w:t>
      </w:r>
      <w:r w:rsidR="006835D3">
        <w:rPr>
          <w:rFonts w:ascii="Times New Roman" w:hAnsi="Times New Roman" w:cs="Times New Roman"/>
          <w:sz w:val="24"/>
          <w:szCs w:val="24"/>
        </w:rPr>
        <w:t xml:space="preserve"> and </w:t>
      </w:r>
      <w:r w:rsidR="00217071">
        <w:rPr>
          <w:rFonts w:ascii="Times New Roman" w:hAnsi="Times New Roman" w:cs="Times New Roman"/>
          <w:sz w:val="24"/>
          <w:szCs w:val="24"/>
        </w:rPr>
        <w:t>foreign-born</w:t>
      </w:r>
      <w:r w:rsidR="00E3099F">
        <w:rPr>
          <w:rFonts w:ascii="Times New Roman" w:hAnsi="Times New Roman" w:cs="Times New Roman"/>
          <w:sz w:val="24"/>
          <w:szCs w:val="24"/>
        </w:rPr>
        <w:t xml:space="preserve"> population</w:t>
      </w:r>
      <w:r w:rsidRPr="00C332DE">
        <w:rPr>
          <w:rFonts w:ascii="Times New Roman" w:hAnsi="Times New Roman" w:cs="Times New Roman"/>
          <w:sz w:val="24"/>
          <w:szCs w:val="24"/>
        </w:rPr>
        <w:t xml:space="preserve">, which therefore constitute important </w:t>
      </w:r>
      <w:r w:rsidRPr="007E58CA">
        <w:rPr>
          <w:rFonts w:ascii="Times New Roman" w:hAnsi="Times New Roman" w:cs="Times New Roman"/>
          <w:sz w:val="24"/>
          <w:szCs w:val="24"/>
        </w:rPr>
        <w:t>control</w:t>
      </w:r>
      <w:r w:rsidR="006835D3">
        <w:rPr>
          <w:rFonts w:ascii="Times New Roman" w:hAnsi="Times New Roman" w:cs="Times New Roman"/>
          <w:sz w:val="24"/>
          <w:szCs w:val="24"/>
        </w:rPr>
        <w:t>s</w:t>
      </w:r>
      <w:r w:rsidRPr="007E58CA">
        <w:rPr>
          <w:rFonts w:ascii="Times New Roman" w:hAnsi="Times New Roman" w:cs="Times New Roman"/>
          <w:sz w:val="24"/>
          <w:szCs w:val="24"/>
        </w:rPr>
        <w:t xml:space="preserve"> </w:t>
      </w:r>
      <w:r>
        <w:rPr>
          <w:rFonts w:ascii="Times New Roman" w:hAnsi="Times New Roman" w:cs="Times New Roman"/>
          <w:sz w:val="24"/>
          <w:szCs w:val="24"/>
        </w:rPr>
        <w:t>in the estimated models.</w:t>
      </w:r>
      <w:r w:rsidR="00906D2D">
        <w:rPr>
          <w:rFonts w:ascii="Times New Roman" w:hAnsi="Times New Roman" w:cs="Times New Roman"/>
          <w:sz w:val="24"/>
          <w:szCs w:val="24"/>
        </w:rPr>
        <w:t xml:space="preserve"> </w:t>
      </w:r>
      <w:r w:rsidR="001F2B99">
        <w:rPr>
          <w:rFonts w:ascii="Times New Roman" w:hAnsi="Times New Roman" w:cs="Times New Roman"/>
          <w:sz w:val="24"/>
          <w:szCs w:val="24"/>
        </w:rPr>
        <w:t>While I</w:t>
      </w:r>
      <w:r w:rsidR="001C6253">
        <w:rPr>
          <w:rFonts w:ascii="Times New Roman" w:hAnsi="Times New Roman" w:cs="Times New Roman"/>
          <w:sz w:val="24"/>
          <w:szCs w:val="24"/>
        </w:rPr>
        <w:t xml:space="preserve"> </w:t>
      </w:r>
      <w:r w:rsidR="00217071">
        <w:rPr>
          <w:rFonts w:ascii="Times New Roman" w:hAnsi="Times New Roman" w:cs="Times New Roman"/>
          <w:sz w:val="24"/>
          <w:szCs w:val="24"/>
        </w:rPr>
        <w:t>am still unable to</w:t>
      </w:r>
      <w:r w:rsidR="001C6253">
        <w:rPr>
          <w:rFonts w:ascii="Times New Roman" w:hAnsi="Times New Roman" w:cs="Times New Roman"/>
          <w:sz w:val="24"/>
          <w:szCs w:val="24"/>
        </w:rPr>
        <w:t xml:space="preserve"> </w:t>
      </w:r>
      <w:r w:rsidR="006A027D">
        <w:rPr>
          <w:rFonts w:ascii="Times New Roman" w:hAnsi="Times New Roman" w:cs="Times New Roman"/>
          <w:sz w:val="24"/>
          <w:szCs w:val="24"/>
        </w:rPr>
        <w:t>eliminate</w:t>
      </w:r>
      <w:r w:rsidR="001C6253">
        <w:rPr>
          <w:rFonts w:ascii="Times New Roman" w:hAnsi="Times New Roman" w:cs="Times New Roman"/>
          <w:sz w:val="24"/>
          <w:szCs w:val="24"/>
        </w:rPr>
        <w:t xml:space="preserve"> the possibility of unobserved heterogeneity, </w:t>
      </w:r>
      <w:r w:rsidR="002C4CC8">
        <w:rPr>
          <w:rFonts w:ascii="Times New Roman" w:hAnsi="Times New Roman" w:cs="Times New Roman"/>
          <w:sz w:val="24"/>
          <w:szCs w:val="24"/>
        </w:rPr>
        <w:t>it strengthens the causal interpretation of the results.</w:t>
      </w:r>
      <w:r w:rsidR="00640B5B">
        <w:rPr>
          <w:rFonts w:ascii="Times New Roman" w:hAnsi="Times New Roman" w:cs="Times New Roman"/>
          <w:sz w:val="24"/>
          <w:szCs w:val="24"/>
        </w:rPr>
        <w:t xml:space="preserve"> </w:t>
      </w:r>
      <w:r w:rsidR="001B4E8C">
        <w:rPr>
          <w:rFonts w:ascii="Times New Roman" w:hAnsi="Times New Roman" w:cs="Times New Roman"/>
          <w:sz w:val="24"/>
          <w:szCs w:val="24"/>
        </w:rPr>
        <w:t>Moreover</w:t>
      </w:r>
      <w:r w:rsidR="000B4C4D">
        <w:rPr>
          <w:rFonts w:ascii="Times New Roman" w:hAnsi="Times New Roman" w:cs="Times New Roman"/>
          <w:sz w:val="24"/>
          <w:szCs w:val="24"/>
        </w:rPr>
        <w:t>, the manipulation assumption</w:t>
      </w:r>
      <w:r w:rsidR="0089529B">
        <w:rPr>
          <w:rFonts w:ascii="Times New Roman" w:hAnsi="Times New Roman" w:cs="Times New Roman"/>
          <w:sz w:val="24"/>
          <w:szCs w:val="24"/>
        </w:rPr>
        <w:t>, I argue,</w:t>
      </w:r>
      <w:r w:rsidR="000B4C4D">
        <w:rPr>
          <w:rFonts w:ascii="Times New Roman" w:hAnsi="Times New Roman" w:cs="Times New Roman"/>
          <w:sz w:val="24"/>
          <w:szCs w:val="24"/>
        </w:rPr>
        <w:t xml:space="preserve"> </w:t>
      </w:r>
      <w:r w:rsidR="007C44EF">
        <w:rPr>
          <w:rFonts w:ascii="Times New Roman" w:hAnsi="Times New Roman" w:cs="Times New Roman"/>
          <w:sz w:val="24"/>
          <w:szCs w:val="24"/>
        </w:rPr>
        <w:t>is realistic, s</w:t>
      </w:r>
      <w:r w:rsidR="00441E58">
        <w:rPr>
          <w:rFonts w:ascii="Times New Roman" w:hAnsi="Times New Roman" w:cs="Times New Roman"/>
          <w:sz w:val="24"/>
          <w:szCs w:val="24"/>
        </w:rPr>
        <w:t xml:space="preserve">ince manipulation </w:t>
      </w:r>
      <w:r w:rsidR="006A22FF">
        <w:rPr>
          <w:rFonts w:ascii="Times New Roman" w:hAnsi="Times New Roman" w:cs="Times New Roman"/>
          <w:sz w:val="24"/>
          <w:szCs w:val="24"/>
        </w:rPr>
        <w:t>is only</w:t>
      </w:r>
      <w:r>
        <w:rPr>
          <w:rFonts w:ascii="Times New Roman" w:hAnsi="Times New Roman" w:cs="Times New Roman"/>
          <w:sz w:val="24"/>
          <w:szCs w:val="24"/>
        </w:rPr>
        <w:t xml:space="preserve"> </w:t>
      </w:r>
      <w:r w:rsidR="007C44EF">
        <w:rPr>
          <w:rFonts w:ascii="Times New Roman" w:hAnsi="Times New Roman" w:cs="Times New Roman"/>
          <w:sz w:val="24"/>
          <w:szCs w:val="24"/>
        </w:rPr>
        <w:t>possible</w:t>
      </w:r>
      <w:r>
        <w:rPr>
          <w:rFonts w:ascii="Times New Roman" w:hAnsi="Times New Roman" w:cs="Times New Roman"/>
          <w:sz w:val="24"/>
          <w:szCs w:val="24"/>
        </w:rPr>
        <w:t xml:space="preserve"> through electoral fraud or by changing electoral laws</w:t>
      </w:r>
      <w:r w:rsidR="002A67FD">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{"citationID":"L7LyDFoy","properties":{"formattedCitation":"(Abou-Chadi &amp; Krause, 2020)","plainCitation":"(Abou-Chadi &amp; Krause, 2020)","noteIndex":0},"citationItems":[{"id":1850,"uris":["http://zotero.org/users/6208848/items/TTD5KZZP"],"itemData":{"id":1850,"type":"article-journal","abstract":"This article investigates how the success of radical right parties affects the policy positions of mainstream parties. We do this using a regression discontinuity approach that allows us to causally attribute mainstream parties’ positional changes to radical right strength independent of public opinion as a potential confounder. Making use of exogenous variation created through differences in electoral thresholds, we empirically demonstrate that radical right success, indeed, causally affects mainstream parties’ positions. This is true for mainstream left as well as mainstream right parties. These findings make an important contribution to the broader literature on party competition as they indicate that other parties’ behavior and not only public opinion plays a crucial role in explaining parties’ policy shift.","container-title":"British Journal of Political Science","DOI":"10.1017/S0007123418000029","ISSN":"0007-1234, 1469-2112","issue":"3","journalAbbreviation":"Brit. J. Polit. Sci.","language":"en","page":"829-847","source":"DOI.org (Crossref)","title":"The Causal Effect of Radical Right Success on Mainstream Parties’ Policy Positions: A Regression Discontinuity Approach","title-short":"The Causal Effect of Radical Right Success on Mainstream Parties’ Policy Positions","volume":"50","author":[{"family":"Abou-Chadi","given":"Tarik"},{"family":"Krause","given":"Werner"}],"issued":{"date-parts":[["2020",7]]}}}],"schema":"https://github.com/citation-style-language/schema/raw/master/csl-citation.json"} </w:instrText>
      </w:r>
      <w:r>
        <w:rPr>
          <w:rFonts w:ascii="Times New Roman" w:hAnsi="Times New Roman" w:cs="Times New Roman"/>
          <w:sz w:val="24"/>
          <w:szCs w:val="24"/>
        </w:rPr>
        <w:fldChar w:fldCharType="separate"/>
      </w:r>
      <w:r w:rsidRPr="009C6F22">
        <w:rPr>
          <w:rFonts w:ascii="Times New Roman" w:hAnsi="Times New Roman" w:cs="Times New Roman"/>
          <w:sz w:val="24"/>
        </w:rPr>
        <w:t>(Abou-Chadi &amp; Krause, 2020)</w:t>
      </w:r>
      <w:r>
        <w:rPr>
          <w:rFonts w:ascii="Times New Roman" w:hAnsi="Times New Roman" w:cs="Times New Roman"/>
          <w:sz w:val="24"/>
          <w:szCs w:val="24"/>
        </w:rPr>
        <w:fldChar w:fldCharType="end"/>
      </w:r>
      <w:r>
        <w:rPr>
          <w:rFonts w:ascii="Times New Roman" w:hAnsi="Times New Roman" w:cs="Times New Roman"/>
          <w:sz w:val="24"/>
          <w:szCs w:val="24"/>
        </w:rPr>
        <w:t>.</w:t>
      </w:r>
      <w:r w:rsidRPr="00FD7FBF">
        <w:rPr>
          <w:rFonts w:ascii="Times New Roman" w:hAnsi="Times New Roman" w:cs="Times New Roman"/>
          <w:sz w:val="24"/>
          <w:szCs w:val="24"/>
        </w:rPr>
        <w:t xml:space="preserve"> </w:t>
      </w:r>
      <w:r w:rsidR="009A0982">
        <w:rPr>
          <w:rFonts w:ascii="Times New Roman" w:hAnsi="Times New Roman" w:cs="Times New Roman"/>
          <w:sz w:val="24"/>
          <w:szCs w:val="24"/>
        </w:rPr>
        <w:t>However, in a few cases the threshold does not completely determine treatment assignment. As a robustness check,</w:t>
      </w:r>
      <w:r w:rsidR="004B73E7">
        <w:rPr>
          <w:rFonts w:ascii="Times New Roman" w:hAnsi="Times New Roman" w:cs="Times New Roman"/>
          <w:sz w:val="24"/>
          <w:szCs w:val="24"/>
        </w:rPr>
        <w:t xml:space="preserve"> I</w:t>
      </w:r>
      <w:r w:rsidR="009B45F0">
        <w:rPr>
          <w:rFonts w:ascii="Times New Roman" w:hAnsi="Times New Roman" w:cs="Times New Roman"/>
          <w:sz w:val="24"/>
          <w:szCs w:val="24"/>
        </w:rPr>
        <w:t xml:space="preserve"> therefore</w:t>
      </w:r>
      <w:r w:rsidR="004B73E7">
        <w:rPr>
          <w:rFonts w:ascii="Times New Roman" w:hAnsi="Times New Roman" w:cs="Times New Roman"/>
          <w:sz w:val="24"/>
          <w:szCs w:val="24"/>
        </w:rPr>
        <w:t xml:space="preserve"> conduct a fuzzy regression discontinuity design</w:t>
      </w:r>
      <w:r w:rsidR="006C5E97">
        <w:rPr>
          <w:rFonts w:ascii="Times New Roman" w:hAnsi="Times New Roman" w:cs="Times New Roman"/>
          <w:sz w:val="24"/>
          <w:szCs w:val="24"/>
        </w:rPr>
        <w:t xml:space="preserve"> that probabilistically </w:t>
      </w:r>
      <w:r w:rsidR="00AB5C93">
        <w:rPr>
          <w:rFonts w:ascii="Times New Roman" w:hAnsi="Times New Roman" w:cs="Times New Roman"/>
          <w:sz w:val="24"/>
          <w:szCs w:val="24"/>
        </w:rPr>
        <w:t>define</w:t>
      </w:r>
      <w:r w:rsidR="00AE0318">
        <w:rPr>
          <w:rFonts w:ascii="Times New Roman" w:hAnsi="Times New Roman" w:cs="Times New Roman"/>
          <w:sz w:val="24"/>
          <w:szCs w:val="24"/>
        </w:rPr>
        <w:t>s</w:t>
      </w:r>
      <w:r w:rsidR="00AB5C93">
        <w:rPr>
          <w:rFonts w:ascii="Times New Roman" w:hAnsi="Times New Roman" w:cs="Times New Roman"/>
          <w:sz w:val="24"/>
          <w:szCs w:val="24"/>
        </w:rPr>
        <w:t xml:space="preserve"> </w:t>
      </w:r>
      <w:r w:rsidR="006C5E97">
        <w:rPr>
          <w:rFonts w:ascii="Times New Roman" w:hAnsi="Times New Roman" w:cs="Times New Roman"/>
          <w:sz w:val="24"/>
          <w:szCs w:val="24"/>
        </w:rPr>
        <w:t xml:space="preserve">treatment status in a two-stage regression framework, where </w:t>
      </w:r>
      <w:r w:rsidR="0064531F">
        <w:rPr>
          <w:rFonts w:ascii="Times New Roman" w:hAnsi="Times New Roman" w:cs="Times New Roman"/>
          <w:sz w:val="24"/>
          <w:szCs w:val="24"/>
        </w:rPr>
        <w:t>the running varia</w:t>
      </w:r>
      <w:r w:rsidR="0064531F">
        <w:rPr>
          <w:rFonts w:ascii="Times New Roman" w:hAnsi="Times New Roman" w:cs="Times New Roman"/>
          <w:sz w:val="24"/>
          <w:szCs w:val="24"/>
        </w:rPr>
        <w:lastRenderedPageBreak/>
        <w:t>ble (i.e., vote share relative to the threshold)</w:t>
      </w:r>
      <w:r w:rsidR="0047657E">
        <w:rPr>
          <w:rFonts w:ascii="Times New Roman" w:hAnsi="Times New Roman" w:cs="Times New Roman"/>
          <w:sz w:val="24"/>
          <w:szCs w:val="24"/>
        </w:rPr>
        <w:t xml:space="preserve"> is used as an instrument for treatment</w:t>
      </w:r>
      <w:r w:rsidR="003F1281">
        <w:rPr>
          <w:rFonts w:ascii="Times New Roman" w:hAnsi="Times New Roman" w:cs="Times New Roman"/>
          <w:sz w:val="24"/>
          <w:szCs w:val="24"/>
        </w:rPr>
        <w:t xml:space="preserve"> status</w:t>
      </w:r>
      <w:r w:rsidR="0047657E">
        <w:rPr>
          <w:rFonts w:ascii="Times New Roman" w:hAnsi="Times New Roman" w:cs="Times New Roman"/>
          <w:sz w:val="24"/>
          <w:szCs w:val="24"/>
        </w:rPr>
        <w:t>.</w:t>
      </w:r>
      <w:r w:rsidR="00AC0CF4">
        <w:rPr>
          <w:rFonts w:ascii="Times New Roman" w:hAnsi="Times New Roman" w:cs="Times New Roman"/>
          <w:sz w:val="24"/>
          <w:szCs w:val="24"/>
        </w:rPr>
        <w:t xml:space="preserve"> The results</w:t>
      </w:r>
      <w:r w:rsidR="00523AC0">
        <w:rPr>
          <w:rFonts w:ascii="Times New Roman" w:hAnsi="Times New Roman" w:cs="Times New Roman"/>
          <w:sz w:val="24"/>
          <w:szCs w:val="24"/>
        </w:rPr>
        <w:t xml:space="preserve"> of the fuzzy RDD</w:t>
      </w:r>
      <w:r w:rsidR="00AC0CF4">
        <w:rPr>
          <w:rFonts w:ascii="Times New Roman" w:hAnsi="Times New Roman" w:cs="Times New Roman"/>
          <w:sz w:val="24"/>
          <w:szCs w:val="24"/>
        </w:rPr>
        <w:t xml:space="preserve"> </w:t>
      </w:r>
      <w:r w:rsidR="00BB7DE0">
        <w:rPr>
          <w:rFonts w:ascii="Times New Roman" w:hAnsi="Times New Roman" w:cs="Times New Roman"/>
          <w:sz w:val="24"/>
          <w:szCs w:val="24"/>
        </w:rPr>
        <w:t>do not deviate from</w:t>
      </w:r>
      <w:r w:rsidR="00AC0CF4">
        <w:rPr>
          <w:rFonts w:ascii="Times New Roman" w:hAnsi="Times New Roman" w:cs="Times New Roman"/>
          <w:sz w:val="24"/>
          <w:szCs w:val="24"/>
        </w:rPr>
        <w:t xml:space="preserve"> the </w:t>
      </w:r>
      <w:r w:rsidR="00E311A5">
        <w:rPr>
          <w:rFonts w:ascii="Times New Roman" w:hAnsi="Times New Roman" w:cs="Times New Roman"/>
          <w:sz w:val="24"/>
          <w:szCs w:val="24"/>
        </w:rPr>
        <w:t xml:space="preserve">results </w:t>
      </w:r>
      <w:r w:rsidR="00BB7DE0">
        <w:rPr>
          <w:rFonts w:ascii="Times New Roman" w:hAnsi="Times New Roman" w:cs="Times New Roman"/>
          <w:sz w:val="24"/>
          <w:szCs w:val="24"/>
        </w:rPr>
        <w:t>of</w:t>
      </w:r>
      <w:r w:rsidR="00E311A5">
        <w:rPr>
          <w:rFonts w:ascii="Times New Roman" w:hAnsi="Times New Roman" w:cs="Times New Roman"/>
          <w:sz w:val="24"/>
          <w:szCs w:val="24"/>
        </w:rPr>
        <w:t xml:space="preserve"> the sharp </w:t>
      </w:r>
      <w:r w:rsidR="00431B7E">
        <w:rPr>
          <w:rFonts w:ascii="Times New Roman" w:hAnsi="Times New Roman" w:cs="Times New Roman"/>
          <w:sz w:val="24"/>
          <w:szCs w:val="24"/>
        </w:rPr>
        <w:t>RDD</w:t>
      </w:r>
      <w:r w:rsidR="00BC473D">
        <w:rPr>
          <w:rFonts w:ascii="Times New Roman" w:hAnsi="Times New Roman" w:cs="Times New Roman"/>
          <w:sz w:val="24"/>
          <w:szCs w:val="24"/>
        </w:rPr>
        <w:t xml:space="preserve"> (see table </w:t>
      </w:r>
      <w:r w:rsidR="00C1318F">
        <w:rPr>
          <w:rFonts w:ascii="Times New Roman" w:hAnsi="Times New Roman" w:cs="Times New Roman"/>
          <w:sz w:val="24"/>
          <w:szCs w:val="24"/>
        </w:rPr>
        <w:t>H2</w:t>
      </w:r>
      <w:r w:rsidR="00BC473D">
        <w:rPr>
          <w:rFonts w:ascii="Times New Roman" w:hAnsi="Times New Roman" w:cs="Times New Roman"/>
          <w:sz w:val="24"/>
          <w:szCs w:val="24"/>
        </w:rPr>
        <w:t>)</w:t>
      </w:r>
      <w:r w:rsidR="00E311A5">
        <w:rPr>
          <w:rFonts w:ascii="Times New Roman" w:hAnsi="Times New Roman" w:cs="Times New Roman"/>
          <w:sz w:val="24"/>
          <w:szCs w:val="24"/>
        </w:rPr>
        <w:t xml:space="preserve">. </w:t>
      </w:r>
      <w:r w:rsidR="00C363B2">
        <w:rPr>
          <w:rFonts w:ascii="Times New Roman" w:hAnsi="Times New Roman" w:cs="Times New Roman"/>
          <w:sz w:val="24"/>
          <w:szCs w:val="24"/>
        </w:rPr>
        <w:t xml:space="preserve">Additionally, </w:t>
      </w:r>
      <w:r w:rsidRPr="00FD7FBF">
        <w:rPr>
          <w:rFonts w:ascii="Times New Roman" w:hAnsi="Times New Roman" w:cs="Times New Roman"/>
          <w:sz w:val="24"/>
          <w:szCs w:val="24"/>
        </w:rPr>
        <w:t>I</w:t>
      </w:r>
      <w:r w:rsidR="009F3113">
        <w:rPr>
          <w:rFonts w:ascii="Times New Roman" w:hAnsi="Times New Roman" w:cs="Times New Roman"/>
          <w:sz w:val="24"/>
          <w:szCs w:val="24"/>
        </w:rPr>
        <w:t xml:space="preserve"> do not</w:t>
      </w:r>
      <w:r w:rsidRPr="00FD7FBF">
        <w:rPr>
          <w:rFonts w:ascii="Times New Roman" w:hAnsi="Times New Roman" w:cs="Times New Roman"/>
          <w:sz w:val="24"/>
          <w:szCs w:val="24"/>
        </w:rPr>
        <w:t xml:space="preserve"> find </w:t>
      </w:r>
      <w:r w:rsidR="009F3113">
        <w:rPr>
          <w:rFonts w:ascii="Times New Roman" w:hAnsi="Times New Roman" w:cs="Times New Roman"/>
          <w:sz w:val="24"/>
          <w:szCs w:val="24"/>
        </w:rPr>
        <w:t>any evidence of</w:t>
      </w:r>
      <w:r w:rsidRPr="00FD7FBF">
        <w:rPr>
          <w:rFonts w:ascii="Times New Roman" w:hAnsi="Times New Roman" w:cs="Times New Roman"/>
          <w:sz w:val="24"/>
          <w:szCs w:val="24"/>
        </w:rPr>
        <w:t xml:space="preserve"> within-group jumps</w:t>
      </w:r>
      <w:r>
        <w:rPr>
          <w:rFonts w:ascii="Times New Roman" w:hAnsi="Times New Roman" w:cs="Times New Roman"/>
          <w:sz w:val="24"/>
          <w:szCs w:val="24"/>
        </w:rPr>
        <w:t xml:space="preserve"> </w:t>
      </w:r>
      <w:r w:rsidR="00454E60">
        <w:rPr>
          <w:rFonts w:ascii="Times New Roman" w:hAnsi="Times New Roman" w:cs="Times New Roman"/>
          <w:sz w:val="24"/>
          <w:szCs w:val="24"/>
        </w:rPr>
        <w:t xml:space="preserve">supporting the </w:t>
      </w:r>
      <w:r w:rsidR="00443D95">
        <w:rPr>
          <w:rFonts w:ascii="Times New Roman" w:hAnsi="Times New Roman" w:cs="Times New Roman"/>
          <w:sz w:val="24"/>
          <w:szCs w:val="24"/>
        </w:rPr>
        <w:t>identification assumption</w:t>
      </w:r>
      <w:r>
        <w:rPr>
          <w:rFonts w:ascii="Times New Roman" w:hAnsi="Times New Roman" w:cs="Times New Roman"/>
          <w:sz w:val="24"/>
          <w:szCs w:val="24"/>
        </w:rPr>
        <w:t xml:space="preserve"> that </w:t>
      </w:r>
      <w:r w:rsidR="00B375EB">
        <w:rPr>
          <w:rFonts w:ascii="Times New Roman" w:hAnsi="Times New Roman" w:cs="Times New Roman"/>
          <w:sz w:val="24"/>
          <w:szCs w:val="24"/>
        </w:rPr>
        <w:t xml:space="preserve">any effect </w:t>
      </w:r>
      <w:r>
        <w:rPr>
          <w:rFonts w:ascii="Times New Roman" w:hAnsi="Times New Roman" w:cs="Times New Roman"/>
          <w:sz w:val="24"/>
          <w:szCs w:val="24"/>
        </w:rPr>
        <w:t>only happens at the point of discontinuity</w:t>
      </w:r>
      <w:r w:rsidRPr="00FD7FBF">
        <w:rPr>
          <w:rFonts w:ascii="Times New Roman" w:hAnsi="Times New Roman" w:cs="Times New Roman"/>
          <w:sz w:val="24"/>
          <w:szCs w:val="24"/>
        </w:rPr>
        <w:t xml:space="preserve"> (see table </w:t>
      </w:r>
      <w:r w:rsidR="007C2C70">
        <w:rPr>
          <w:rFonts w:ascii="Times New Roman" w:hAnsi="Times New Roman" w:cs="Times New Roman"/>
          <w:sz w:val="24"/>
          <w:szCs w:val="24"/>
        </w:rPr>
        <w:t>H1</w:t>
      </w:r>
      <w:r w:rsidRPr="00FD7FBF">
        <w:rPr>
          <w:rFonts w:ascii="Times New Roman" w:hAnsi="Times New Roman" w:cs="Times New Roman"/>
          <w:sz w:val="24"/>
          <w:szCs w:val="24"/>
        </w:rPr>
        <w:t>).</w:t>
      </w:r>
      <w:r>
        <w:rPr>
          <w:rFonts w:ascii="Times New Roman" w:hAnsi="Times New Roman" w:cs="Times New Roman"/>
          <w:sz w:val="24"/>
          <w:szCs w:val="24"/>
        </w:rPr>
        <w:t xml:space="preserve"> </w:t>
      </w:r>
      <w:r w:rsidR="00AC0CF4">
        <w:rPr>
          <w:rFonts w:ascii="Times New Roman" w:hAnsi="Times New Roman" w:cs="Times New Roman"/>
          <w:sz w:val="24"/>
          <w:szCs w:val="24"/>
        </w:rPr>
        <w:t xml:space="preserve">Yet, it is important to </w:t>
      </w:r>
      <w:r w:rsidR="00B26D34">
        <w:rPr>
          <w:rFonts w:ascii="Times New Roman" w:hAnsi="Times New Roman" w:cs="Times New Roman"/>
          <w:sz w:val="24"/>
          <w:szCs w:val="24"/>
        </w:rPr>
        <w:t>stress</w:t>
      </w:r>
      <w:r w:rsidR="00AC0CF4">
        <w:rPr>
          <w:rFonts w:ascii="Times New Roman" w:hAnsi="Times New Roman" w:cs="Times New Roman"/>
          <w:sz w:val="24"/>
          <w:szCs w:val="24"/>
        </w:rPr>
        <w:t xml:space="preserve"> that the results should be considered exploratory because of issues of low </w:t>
      </w:r>
      <w:r w:rsidR="00814546">
        <w:rPr>
          <w:rFonts w:ascii="Times New Roman" w:hAnsi="Times New Roman" w:cs="Times New Roman"/>
          <w:sz w:val="24"/>
          <w:szCs w:val="24"/>
        </w:rPr>
        <w:t xml:space="preserve">statistical </w:t>
      </w:r>
      <w:r w:rsidR="00AC0CF4">
        <w:rPr>
          <w:rFonts w:ascii="Times New Roman" w:hAnsi="Times New Roman" w:cs="Times New Roman"/>
          <w:sz w:val="24"/>
          <w:szCs w:val="24"/>
        </w:rPr>
        <w:t>power</w:t>
      </w:r>
      <w:r w:rsidR="008D6AB9">
        <w:rPr>
          <w:rFonts w:ascii="Times New Roman" w:hAnsi="Times New Roman" w:cs="Times New Roman"/>
          <w:sz w:val="24"/>
          <w:szCs w:val="24"/>
        </w:rPr>
        <w:t>.</w:t>
      </w:r>
    </w:p>
    <w:p w14:paraId="31810E93" w14:textId="77777777" w:rsidR="0026299D" w:rsidRDefault="0026299D">
      <w:pPr>
        <w:spacing w:before="0" w:after="160"/>
        <w:rPr>
          <w:rFonts w:ascii="Times New Roman" w:eastAsiaTheme="majorEastAsia" w:hAnsi="Times New Roman" w:cs="Times New Roman"/>
          <w:b/>
          <w:bCs/>
          <w:sz w:val="28"/>
          <w:szCs w:val="28"/>
        </w:rPr>
      </w:pPr>
      <w:r>
        <w:rPr>
          <w:rFonts w:ascii="Times New Roman" w:hAnsi="Times New Roman" w:cs="Times New Roman"/>
          <w:b/>
          <w:bCs/>
          <w:sz w:val="28"/>
          <w:szCs w:val="28"/>
        </w:rPr>
        <w:br w:type="page"/>
      </w:r>
    </w:p>
    <w:p w14:paraId="3C6D767E" w14:textId="06BA3B49" w:rsidR="008529EE" w:rsidRPr="00640C21" w:rsidRDefault="0004359F" w:rsidP="0007287A">
      <w:pPr>
        <w:pStyle w:val="Overskrift2"/>
        <w:spacing w:line="360" w:lineRule="auto"/>
        <w:rPr>
          <w:rFonts w:ascii="Times New Roman" w:hAnsi="Times New Roman" w:cs="Times New Roman"/>
          <w:b/>
          <w:bCs/>
          <w:i/>
          <w:color w:val="auto"/>
          <w:sz w:val="28"/>
          <w:szCs w:val="28"/>
        </w:rPr>
      </w:pPr>
      <w:bookmarkStart w:id="7" w:name="_Toc113820348"/>
      <w:r w:rsidRPr="00640C21">
        <w:rPr>
          <w:rFonts w:ascii="Times New Roman" w:hAnsi="Times New Roman" w:cs="Times New Roman"/>
          <w:b/>
          <w:bCs/>
          <w:color w:val="auto"/>
          <w:sz w:val="28"/>
          <w:szCs w:val="28"/>
        </w:rPr>
        <w:lastRenderedPageBreak/>
        <w:t>Appendix B</w:t>
      </w:r>
      <w:r w:rsidR="00BF381D">
        <w:rPr>
          <w:rFonts w:ascii="Times New Roman" w:hAnsi="Times New Roman" w:cs="Times New Roman"/>
          <w:b/>
          <w:bCs/>
          <w:color w:val="auto"/>
          <w:sz w:val="28"/>
          <w:szCs w:val="28"/>
        </w:rPr>
        <w:t>.</w:t>
      </w:r>
      <w:r w:rsidRPr="00640C21">
        <w:rPr>
          <w:rFonts w:ascii="Times New Roman" w:hAnsi="Times New Roman" w:cs="Times New Roman"/>
          <w:b/>
          <w:bCs/>
          <w:color w:val="auto"/>
          <w:sz w:val="28"/>
          <w:szCs w:val="28"/>
        </w:rPr>
        <w:t xml:space="preserve"> Survey items</w:t>
      </w:r>
      <w:bookmarkEnd w:id="7"/>
    </w:p>
    <w:p w14:paraId="1E36B2FC" w14:textId="6E1E3CF6" w:rsidR="00E07765" w:rsidRPr="00C32509" w:rsidRDefault="00502AE9" w:rsidP="0007287A">
      <w:pPr>
        <w:spacing w:line="360" w:lineRule="auto"/>
        <w:jc w:val="both"/>
        <w:rPr>
          <w:rFonts w:ascii="Times New Roman" w:hAnsi="Times New Roman" w:cs="Times New Roman"/>
          <w:sz w:val="24"/>
          <w:szCs w:val="24"/>
        </w:rPr>
      </w:pPr>
      <w:r w:rsidRPr="00C32509">
        <w:rPr>
          <w:rFonts w:ascii="Times New Roman" w:hAnsi="Times New Roman" w:cs="Times New Roman"/>
          <w:sz w:val="24"/>
          <w:szCs w:val="24"/>
        </w:rPr>
        <w:t xml:space="preserve">(1) </w:t>
      </w:r>
      <w:r w:rsidR="008529EE" w:rsidRPr="00C32509">
        <w:rPr>
          <w:rFonts w:ascii="Times New Roman" w:hAnsi="Times New Roman" w:cs="Times New Roman"/>
          <w:sz w:val="24"/>
          <w:szCs w:val="24"/>
        </w:rPr>
        <w:t xml:space="preserve">I use principal component analysis (PCA) to construct a variable measuring </w:t>
      </w:r>
      <w:r w:rsidR="008529EE" w:rsidRPr="00C32509">
        <w:rPr>
          <w:rFonts w:ascii="Times New Roman" w:hAnsi="Times New Roman" w:cs="Times New Roman"/>
          <w:i/>
          <w:iCs/>
          <w:sz w:val="24"/>
          <w:szCs w:val="24"/>
        </w:rPr>
        <w:t>anti-immigrant sentiment</w:t>
      </w:r>
      <w:r w:rsidR="008529EE" w:rsidRPr="00C32509">
        <w:rPr>
          <w:rFonts w:ascii="Times New Roman" w:hAnsi="Times New Roman" w:cs="Times New Roman"/>
          <w:sz w:val="24"/>
          <w:szCs w:val="24"/>
        </w:rPr>
        <w:t xml:space="preserve">. The PCA is estimated using three items that tap into attitudes towards the cultural, societal, and economic consequences of immigration. </w:t>
      </w:r>
      <w:r w:rsidR="00E07765" w:rsidRPr="00C32509">
        <w:rPr>
          <w:rFonts w:ascii="Times New Roman" w:hAnsi="Times New Roman" w:cs="Times New Roman"/>
          <w:sz w:val="24"/>
          <w:szCs w:val="24"/>
        </w:rPr>
        <w:t xml:space="preserve">The </w:t>
      </w:r>
      <w:r w:rsidR="00A1493F" w:rsidRPr="00C32509">
        <w:rPr>
          <w:rFonts w:ascii="Times New Roman" w:hAnsi="Times New Roman" w:cs="Times New Roman"/>
          <w:sz w:val="24"/>
          <w:szCs w:val="24"/>
        </w:rPr>
        <w:t>survey questions are worded in the following way</w:t>
      </w:r>
      <w:r w:rsidR="00E07765" w:rsidRPr="00C32509">
        <w:rPr>
          <w:rFonts w:ascii="Times New Roman" w:hAnsi="Times New Roman" w:cs="Times New Roman"/>
          <w:sz w:val="24"/>
          <w:szCs w:val="24"/>
        </w:rPr>
        <w:t>:</w:t>
      </w:r>
    </w:p>
    <w:p w14:paraId="77F3C484" w14:textId="77777777" w:rsidR="000439C3" w:rsidRPr="00B268B5" w:rsidRDefault="00E07765" w:rsidP="0007287A">
      <w:pPr>
        <w:pStyle w:val="Listeafsnit"/>
        <w:numPr>
          <w:ilvl w:val="0"/>
          <w:numId w:val="5"/>
        </w:numPr>
        <w:spacing w:line="360" w:lineRule="auto"/>
        <w:jc w:val="both"/>
        <w:rPr>
          <w:rFonts w:ascii="Times New Roman" w:hAnsi="Times New Roman" w:cs="Times New Roman"/>
          <w:i/>
          <w:iCs/>
          <w:sz w:val="24"/>
          <w:szCs w:val="24"/>
        </w:rPr>
      </w:pPr>
      <w:r w:rsidRPr="00B268B5">
        <w:rPr>
          <w:rFonts w:ascii="Times New Roman" w:hAnsi="Times New Roman" w:cs="Times New Roman"/>
          <w:i/>
          <w:iCs/>
          <w:sz w:val="24"/>
          <w:szCs w:val="24"/>
        </w:rPr>
        <w:t xml:space="preserve">“Would you say that it is generally bad or good for [country]’s economy that people come to live here from other countries?” </w:t>
      </w:r>
    </w:p>
    <w:p w14:paraId="475AB0DB" w14:textId="77777777" w:rsidR="000439C3" w:rsidRPr="00B268B5" w:rsidRDefault="00E07765" w:rsidP="0007287A">
      <w:pPr>
        <w:pStyle w:val="Listeafsnit"/>
        <w:numPr>
          <w:ilvl w:val="0"/>
          <w:numId w:val="5"/>
        </w:numPr>
        <w:spacing w:line="360" w:lineRule="auto"/>
        <w:jc w:val="both"/>
        <w:rPr>
          <w:rFonts w:ascii="Times New Roman" w:hAnsi="Times New Roman" w:cs="Times New Roman"/>
          <w:i/>
          <w:iCs/>
          <w:sz w:val="24"/>
          <w:szCs w:val="24"/>
        </w:rPr>
      </w:pPr>
      <w:r w:rsidRPr="00B268B5">
        <w:rPr>
          <w:rFonts w:ascii="Times New Roman" w:hAnsi="Times New Roman" w:cs="Times New Roman"/>
          <w:i/>
          <w:iCs/>
          <w:sz w:val="24"/>
          <w:szCs w:val="24"/>
        </w:rPr>
        <w:t xml:space="preserve">“Would you say that [country]’s cultural life is generally undermined or enriched by people coming to live here from other countries? </w:t>
      </w:r>
    </w:p>
    <w:p w14:paraId="7A5C4316" w14:textId="33B1CEE3" w:rsidR="00E07765" w:rsidRPr="00B268B5" w:rsidRDefault="00E07765" w:rsidP="0007287A">
      <w:pPr>
        <w:pStyle w:val="Listeafsnit"/>
        <w:numPr>
          <w:ilvl w:val="0"/>
          <w:numId w:val="5"/>
        </w:numPr>
        <w:spacing w:line="360" w:lineRule="auto"/>
        <w:jc w:val="both"/>
        <w:rPr>
          <w:rFonts w:ascii="Times New Roman" w:hAnsi="Times New Roman" w:cs="Times New Roman"/>
          <w:i/>
          <w:iCs/>
          <w:sz w:val="24"/>
          <w:szCs w:val="24"/>
        </w:rPr>
      </w:pPr>
      <w:r w:rsidRPr="00B268B5">
        <w:rPr>
          <w:rFonts w:ascii="Times New Roman" w:hAnsi="Times New Roman" w:cs="Times New Roman"/>
          <w:i/>
          <w:iCs/>
          <w:sz w:val="24"/>
          <w:szCs w:val="24"/>
        </w:rPr>
        <w:t xml:space="preserve">“Is [country] made a worse or a better place to live by people coming to live here from other countries? </w:t>
      </w:r>
    </w:p>
    <w:p w14:paraId="0EB75A38" w14:textId="0FEA1B60" w:rsidR="00EF2B59" w:rsidRPr="00C32509" w:rsidRDefault="00E07765" w:rsidP="0007287A">
      <w:pPr>
        <w:spacing w:line="360" w:lineRule="auto"/>
        <w:jc w:val="both"/>
        <w:rPr>
          <w:rFonts w:ascii="Times New Roman" w:hAnsi="Times New Roman" w:cs="Times New Roman"/>
          <w:sz w:val="24"/>
          <w:szCs w:val="24"/>
        </w:rPr>
      </w:pPr>
      <w:r w:rsidRPr="00C32509">
        <w:rPr>
          <w:rFonts w:ascii="Times New Roman" w:hAnsi="Times New Roman" w:cs="Times New Roman"/>
          <w:sz w:val="24"/>
          <w:szCs w:val="24"/>
        </w:rPr>
        <w:t xml:space="preserve">The </w:t>
      </w:r>
      <w:r w:rsidR="00EC14CB" w:rsidRPr="00C32509">
        <w:rPr>
          <w:rFonts w:ascii="Times New Roman" w:hAnsi="Times New Roman" w:cs="Times New Roman"/>
          <w:sz w:val="24"/>
          <w:szCs w:val="24"/>
        </w:rPr>
        <w:t>items are</w:t>
      </w:r>
      <w:r w:rsidRPr="00C32509">
        <w:rPr>
          <w:rFonts w:ascii="Times New Roman" w:hAnsi="Times New Roman" w:cs="Times New Roman"/>
          <w:sz w:val="24"/>
          <w:szCs w:val="24"/>
        </w:rPr>
        <w:t xml:space="preserve"> measured on an eleven-point scale ranging from 0 (“Bad for the economy”/”Cultural life undermined”/”Worse place to live”) to 10 (“Good for the economy”/“Cultural life enriched”/“Better place to live”).</w:t>
      </w:r>
      <w:r w:rsidR="004925CD">
        <w:rPr>
          <w:rFonts w:ascii="Times New Roman" w:hAnsi="Times New Roman" w:cs="Times New Roman"/>
          <w:sz w:val="24"/>
          <w:szCs w:val="24"/>
        </w:rPr>
        <w:t xml:space="preserve"> </w:t>
      </w:r>
      <w:r w:rsidR="003E671C" w:rsidRPr="00C32509">
        <w:rPr>
          <w:rFonts w:ascii="Times New Roman" w:hAnsi="Times New Roman" w:cs="Times New Roman"/>
          <w:sz w:val="24"/>
          <w:szCs w:val="24"/>
        </w:rPr>
        <w:t xml:space="preserve">I </w:t>
      </w:r>
      <w:r w:rsidR="00E67170">
        <w:rPr>
          <w:rFonts w:ascii="Times New Roman" w:hAnsi="Times New Roman" w:cs="Times New Roman"/>
          <w:sz w:val="24"/>
          <w:szCs w:val="24"/>
        </w:rPr>
        <w:t>change the direction of</w:t>
      </w:r>
      <w:r w:rsidR="003E671C" w:rsidRPr="00C32509">
        <w:rPr>
          <w:rFonts w:ascii="Times New Roman" w:hAnsi="Times New Roman" w:cs="Times New Roman"/>
          <w:sz w:val="24"/>
          <w:szCs w:val="24"/>
        </w:rPr>
        <w:t xml:space="preserve"> the items</w:t>
      </w:r>
      <w:r w:rsidR="008529EE" w:rsidRPr="00C32509">
        <w:rPr>
          <w:rFonts w:ascii="Times New Roman" w:hAnsi="Times New Roman" w:cs="Times New Roman"/>
          <w:sz w:val="24"/>
          <w:szCs w:val="24"/>
        </w:rPr>
        <w:t xml:space="preserve"> so high values indicate negative and low values</w:t>
      </w:r>
      <w:r w:rsidR="00247C67" w:rsidRPr="00C32509">
        <w:rPr>
          <w:rFonts w:ascii="Times New Roman" w:hAnsi="Times New Roman" w:cs="Times New Roman"/>
          <w:sz w:val="24"/>
          <w:szCs w:val="24"/>
        </w:rPr>
        <w:t xml:space="preserve"> indicate</w:t>
      </w:r>
      <w:r w:rsidR="008529EE" w:rsidRPr="00C32509">
        <w:rPr>
          <w:rFonts w:ascii="Times New Roman" w:hAnsi="Times New Roman" w:cs="Times New Roman"/>
          <w:sz w:val="24"/>
          <w:szCs w:val="24"/>
        </w:rPr>
        <w:t xml:space="preserve"> positive attitudes towards immigrants. </w:t>
      </w:r>
      <w:r w:rsidR="003862FB" w:rsidRPr="00C32509">
        <w:rPr>
          <w:rFonts w:ascii="Times New Roman" w:hAnsi="Times New Roman" w:cs="Times New Roman"/>
          <w:sz w:val="24"/>
          <w:szCs w:val="24"/>
        </w:rPr>
        <w:t>The variables</w:t>
      </w:r>
      <w:r w:rsidR="008529EE" w:rsidRPr="00C32509">
        <w:rPr>
          <w:rFonts w:ascii="Times New Roman" w:hAnsi="Times New Roman" w:cs="Times New Roman"/>
          <w:sz w:val="24"/>
          <w:szCs w:val="24"/>
        </w:rPr>
        <w:t xml:space="preserve"> load primarily on one principal component that explains about 79 % of the total variance, which I keep </w:t>
      </w:r>
      <w:r w:rsidR="00E81483" w:rsidRPr="00C32509">
        <w:rPr>
          <w:rFonts w:ascii="Times New Roman" w:hAnsi="Times New Roman" w:cs="Times New Roman"/>
          <w:sz w:val="24"/>
          <w:szCs w:val="24"/>
        </w:rPr>
        <w:t>and use</w:t>
      </w:r>
      <w:r w:rsidR="008529EE" w:rsidRPr="00C32509">
        <w:rPr>
          <w:rFonts w:ascii="Times New Roman" w:hAnsi="Times New Roman" w:cs="Times New Roman"/>
          <w:sz w:val="24"/>
          <w:szCs w:val="24"/>
        </w:rPr>
        <w:t xml:space="preserve"> as a variable capturing </w:t>
      </w:r>
      <w:r w:rsidR="00F7378F">
        <w:rPr>
          <w:rFonts w:ascii="Times New Roman" w:hAnsi="Times New Roman" w:cs="Times New Roman"/>
          <w:sz w:val="24"/>
          <w:szCs w:val="24"/>
        </w:rPr>
        <w:t>xenophobic</w:t>
      </w:r>
      <w:r w:rsidR="008529EE" w:rsidRPr="00C32509">
        <w:rPr>
          <w:rFonts w:ascii="Times New Roman" w:hAnsi="Times New Roman" w:cs="Times New Roman"/>
          <w:sz w:val="24"/>
          <w:szCs w:val="24"/>
        </w:rPr>
        <w:t xml:space="preserve"> sentiment</w:t>
      </w:r>
      <w:r w:rsidR="00F7378F">
        <w:rPr>
          <w:rFonts w:ascii="Times New Roman" w:hAnsi="Times New Roman" w:cs="Times New Roman"/>
          <w:sz w:val="24"/>
          <w:szCs w:val="24"/>
        </w:rPr>
        <w:t>s</w:t>
      </w:r>
      <w:r w:rsidR="008529EE" w:rsidRPr="00C32509">
        <w:rPr>
          <w:rFonts w:ascii="Times New Roman" w:hAnsi="Times New Roman" w:cs="Times New Roman"/>
          <w:sz w:val="24"/>
          <w:szCs w:val="24"/>
        </w:rPr>
        <w:t xml:space="preserve">. </w:t>
      </w:r>
    </w:p>
    <w:p w14:paraId="5D86971F" w14:textId="1FA7CDFE" w:rsidR="008529EE" w:rsidRPr="00C32509" w:rsidRDefault="00502AE9" w:rsidP="0007287A">
      <w:pPr>
        <w:spacing w:line="360" w:lineRule="auto"/>
        <w:jc w:val="both"/>
        <w:rPr>
          <w:rFonts w:ascii="Times New Roman" w:hAnsi="Times New Roman" w:cs="Times New Roman"/>
          <w:sz w:val="24"/>
          <w:szCs w:val="24"/>
        </w:rPr>
      </w:pPr>
      <w:r w:rsidRPr="00C32509">
        <w:rPr>
          <w:rFonts w:ascii="Times New Roman" w:hAnsi="Times New Roman" w:cs="Times New Roman"/>
          <w:sz w:val="24"/>
          <w:szCs w:val="24"/>
        </w:rPr>
        <w:t xml:space="preserve">(2) </w:t>
      </w:r>
      <w:r w:rsidR="008529EE" w:rsidRPr="00C32509">
        <w:rPr>
          <w:rFonts w:ascii="Times New Roman" w:hAnsi="Times New Roman" w:cs="Times New Roman"/>
          <w:sz w:val="24"/>
          <w:szCs w:val="24"/>
        </w:rPr>
        <w:t xml:space="preserve">To measure public </w:t>
      </w:r>
      <w:r w:rsidR="008529EE" w:rsidRPr="009122DF">
        <w:rPr>
          <w:rFonts w:ascii="Times New Roman" w:hAnsi="Times New Roman" w:cs="Times New Roman"/>
          <w:i/>
          <w:iCs/>
          <w:sz w:val="24"/>
          <w:szCs w:val="24"/>
        </w:rPr>
        <w:t>polarization of anti-immigrant sentiment</w:t>
      </w:r>
      <w:r w:rsidR="008529EE" w:rsidRPr="00C32509">
        <w:rPr>
          <w:rFonts w:ascii="Times New Roman" w:hAnsi="Times New Roman" w:cs="Times New Roman"/>
          <w:sz w:val="24"/>
          <w:szCs w:val="24"/>
        </w:rPr>
        <w:t xml:space="preserve">, I rely on </w:t>
      </w:r>
      <w:r w:rsidR="003F3319">
        <w:rPr>
          <w:rFonts w:ascii="Times New Roman" w:hAnsi="Times New Roman" w:cs="Times New Roman"/>
          <w:sz w:val="24"/>
          <w:szCs w:val="24"/>
        </w:rPr>
        <w:t>two different measures. The first is the squared deviation o</w:t>
      </w:r>
      <w:r w:rsidR="008C615A">
        <w:rPr>
          <w:rFonts w:ascii="Times New Roman" w:hAnsi="Times New Roman" w:cs="Times New Roman"/>
          <w:sz w:val="24"/>
          <w:szCs w:val="24"/>
        </w:rPr>
        <w:t xml:space="preserve">f an </w:t>
      </w:r>
      <w:r w:rsidR="00DF3854">
        <w:rPr>
          <w:rFonts w:ascii="Times New Roman" w:hAnsi="Times New Roman" w:cs="Times New Roman"/>
          <w:sz w:val="24"/>
          <w:szCs w:val="24"/>
        </w:rPr>
        <w:t>individual’s</w:t>
      </w:r>
      <w:r w:rsidR="003F3319">
        <w:rPr>
          <w:rFonts w:ascii="Times New Roman" w:hAnsi="Times New Roman" w:cs="Times New Roman"/>
          <w:sz w:val="24"/>
          <w:szCs w:val="24"/>
        </w:rPr>
        <w:t xml:space="preserve"> anti-immigrant sentiment from the country-year mean of anti-immigrant sentiment</w:t>
      </w:r>
      <w:r w:rsidR="002C3CAC">
        <w:rPr>
          <w:rFonts w:ascii="Times New Roman" w:hAnsi="Times New Roman" w:cs="Times New Roman"/>
          <w:sz w:val="24"/>
          <w:szCs w:val="24"/>
        </w:rPr>
        <w:t>:</w:t>
      </w:r>
      <w:r w:rsidR="003F3319">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2</m:t>
            </m:r>
          </m:sup>
        </m:sSubSup>
        <m:r>
          <w:rPr>
            <w:rFonts w:ascii="Cambria Math" w:hAnsi="Cambria Math" w:cs="Times New Roman"/>
            <w:sz w:val="24"/>
            <w:szCs w:val="24"/>
          </w:rPr>
          <m:t>-</m:t>
        </m:r>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jt</m:t>
                </m:r>
              </m:sub>
            </m:sSub>
          </m:e>
        </m:acc>
      </m:oMath>
      <w:r w:rsidR="002C3CAC">
        <w:rPr>
          <w:rFonts w:ascii="Times New Roman" w:eastAsiaTheme="minorEastAsia" w:hAnsi="Times New Roman" w:cs="Times New Roman"/>
          <w:sz w:val="24"/>
          <w:szCs w:val="24"/>
        </w:rPr>
        <w:t>.</w:t>
      </w:r>
      <w:r w:rsidR="00F770A2">
        <w:rPr>
          <w:rFonts w:ascii="Times New Roman" w:hAnsi="Times New Roman" w:cs="Times New Roman"/>
          <w:sz w:val="24"/>
          <w:szCs w:val="24"/>
        </w:rPr>
        <w:t xml:space="preserve"> </w:t>
      </w:r>
      <w:r w:rsidR="009C3C58">
        <w:rPr>
          <w:rFonts w:ascii="Times New Roman" w:hAnsi="Times New Roman" w:cs="Times New Roman"/>
          <w:sz w:val="24"/>
          <w:szCs w:val="24"/>
        </w:rPr>
        <w:t>The second measure I use is a</w:t>
      </w:r>
      <w:r w:rsidR="008529EE" w:rsidRPr="00C32509">
        <w:rPr>
          <w:rFonts w:ascii="Times New Roman" w:hAnsi="Times New Roman" w:cs="Times New Roman"/>
          <w:sz w:val="24"/>
          <w:szCs w:val="24"/>
        </w:rPr>
        <w:t xml:space="preserve"> rescaled version of </w:t>
      </w:r>
      <w:r w:rsidR="003F1BC0">
        <w:rPr>
          <w:rFonts w:ascii="Times New Roman" w:hAnsi="Times New Roman" w:cs="Times New Roman"/>
          <w:sz w:val="24"/>
          <w:szCs w:val="24"/>
        </w:rPr>
        <w:t>V</w:t>
      </w:r>
      <w:r w:rsidR="008529EE" w:rsidRPr="00C32509">
        <w:rPr>
          <w:rFonts w:ascii="Times New Roman" w:hAnsi="Times New Roman" w:cs="Times New Roman"/>
          <w:sz w:val="24"/>
          <w:szCs w:val="24"/>
        </w:rPr>
        <w:t xml:space="preserve">an der Eijk’s </w:t>
      </w:r>
      <w:r w:rsidR="008529EE" w:rsidRPr="00C32509">
        <w:rPr>
          <w:rFonts w:ascii="Times New Roman" w:hAnsi="Times New Roman" w:cs="Times New Roman"/>
          <w:sz w:val="24"/>
          <w:szCs w:val="24"/>
        </w:rPr>
        <w:fldChar w:fldCharType="begin"/>
      </w:r>
      <w:r w:rsidR="001131A7">
        <w:rPr>
          <w:rFonts w:ascii="Times New Roman" w:hAnsi="Times New Roman" w:cs="Times New Roman"/>
          <w:sz w:val="24"/>
          <w:szCs w:val="24"/>
        </w:rPr>
        <w:instrText xml:space="preserve"> ADDIN ZOTERO_ITEM CSL_CITATION {"citationID":"5e4wxeYn","properties":{"formattedCitation":"(2001)","plainCitation":"(2001)","noteIndex":0},"citationItems":[{"id":2445,"uris":["http://zotero.org/users/6208848/items/7EM22W8U"],"itemData":{"id":2445,"type":"article-journal","container-title":"Quality &amp; Quantity: International Journal of Methodology","ISSN":"0033-5177","issue":"3","note":"publisher: Springer","page":"325-341","source":"RePEc - Econpapers","title":"Measuring Agreement in Ordered Rating Scales","volume":"35","author":[{"family":"Van Der Eijk","given":"Cees"}],"issued":{"date-parts":[["2001"]]}},"suppress-author":true}],"schema":"https://github.com/citation-style-language/schema/raw/master/csl-citation.json"} </w:instrText>
      </w:r>
      <w:r w:rsidR="008529EE" w:rsidRPr="00C32509">
        <w:rPr>
          <w:rFonts w:ascii="Times New Roman" w:hAnsi="Times New Roman" w:cs="Times New Roman"/>
          <w:sz w:val="24"/>
          <w:szCs w:val="24"/>
        </w:rPr>
        <w:fldChar w:fldCharType="separate"/>
      </w:r>
      <w:r w:rsidR="008529EE" w:rsidRPr="00C32509">
        <w:rPr>
          <w:rFonts w:ascii="Times New Roman" w:hAnsi="Times New Roman" w:cs="Times New Roman"/>
          <w:sz w:val="24"/>
          <w:szCs w:val="24"/>
        </w:rPr>
        <w:t>(2001)</w:t>
      </w:r>
      <w:r w:rsidR="008529EE" w:rsidRPr="00C32509">
        <w:rPr>
          <w:rFonts w:ascii="Times New Roman" w:hAnsi="Times New Roman" w:cs="Times New Roman"/>
          <w:sz w:val="24"/>
          <w:szCs w:val="24"/>
        </w:rPr>
        <w:fldChar w:fldCharType="end"/>
      </w:r>
      <w:r w:rsidR="008529EE" w:rsidRPr="00C32509">
        <w:rPr>
          <w:rFonts w:ascii="Times New Roman" w:hAnsi="Times New Roman" w:cs="Times New Roman"/>
          <w:sz w:val="24"/>
          <w:szCs w:val="24"/>
        </w:rPr>
        <w:t xml:space="preserve"> agreement measure that goes from 0 which represents perfect unimodality and 1 represents perfect polarization</w:t>
      </w:r>
      <w:r w:rsidR="000C2BEE" w:rsidRPr="00C32509">
        <w:rPr>
          <w:rFonts w:ascii="Times New Roman" w:hAnsi="Times New Roman" w:cs="Times New Roman"/>
          <w:sz w:val="24"/>
          <w:szCs w:val="24"/>
        </w:rPr>
        <w:t>.</w:t>
      </w:r>
      <w:r w:rsidR="008529EE" w:rsidRPr="00C32509">
        <w:rPr>
          <w:rFonts w:ascii="Times New Roman" w:hAnsi="Times New Roman" w:cs="Times New Roman"/>
          <w:sz w:val="24"/>
          <w:szCs w:val="24"/>
        </w:rPr>
        <w:t xml:space="preserve"> While there is no agreed upon way to measure the polarization of attitudes, </w:t>
      </w:r>
      <w:r w:rsidR="003B7C13">
        <w:rPr>
          <w:rFonts w:ascii="Times New Roman" w:hAnsi="Times New Roman" w:cs="Times New Roman"/>
          <w:sz w:val="24"/>
          <w:szCs w:val="24"/>
        </w:rPr>
        <w:t>both</w:t>
      </w:r>
      <w:r w:rsidR="008529EE" w:rsidRPr="00C32509">
        <w:rPr>
          <w:rFonts w:ascii="Times New Roman" w:hAnsi="Times New Roman" w:cs="Times New Roman"/>
          <w:sz w:val="24"/>
          <w:szCs w:val="24"/>
        </w:rPr>
        <w:t xml:space="preserve"> measure</w:t>
      </w:r>
      <w:r w:rsidR="003B7C13">
        <w:rPr>
          <w:rFonts w:ascii="Times New Roman" w:hAnsi="Times New Roman" w:cs="Times New Roman"/>
          <w:sz w:val="24"/>
          <w:szCs w:val="24"/>
        </w:rPr>
        <w:t>s</w:t>
      </w:r>
      <w:r w:rsidR="008529EE" w:rsidRPr="00C32509">
        <w:rPr>
          <w:rFonts w:ascii="Times New Roman" w:hAnsi="Times New Roman" w:cs="Times New Roman"/>
          <w:sz w:val="24"/>
          <w:szCs w:val="24"/>
        </w:rPr>
        <w:t xml:space="preserve"> has previously been used</w:t>
      </w:r>
      <w:r w:rsidR="0022160C">
        <w:rPr>
          <w:rFonts w:ascii="Times New Roman" w:hAnsi="Times New Roman" w:cs="Times New Roman"/>
          <w:sz w:val="24"/>
          <w:szCs w:val="24"/>
        </w:rPr>
        <w:t xml:space="preserve"> in peer-reviewed studies</w:t>
      </w:r>
      <w:r w:rsidR="008529EE" w:rsidRPr="00C32509">
        <w:rPr>
          <w:rFonts w:ascii="Times New Roman" w:hAnsi="Times New Roman" w:cs="Times New Roman"/>
          <w:sz w:val="24"/>
          <w:szCs w:val="24"/>
        </w:rPr>
        <w:t xml:space="preserve"> </w:t>
      </w:r>
      <w:r w:rsidR="008529EE" w:rsidRPr="00C32509">
        <w:rPr>
          <w:rFonts w:ascii="Times New Roman" w:hAnsi="Times New Roman" w:cs="Times New Roman"/>
          <w:sz w:val="24"/>
          <w:szCs w:val="24"/>
        </w:rPr>
        <w:fldChar w:fldCharType="begin"/>
      </w:r>
      <w:r w:rsidR="00BD0859">
        <w:rPr>
          <w:rFonts w:ascii="Times New Roman" w:hAnsi="Times New Roman" w:cs="Times New Roman"/>
          <w:sz w:val="24"/>
          <w:szCs w:val="24"/>
        </w:rPr>
        <w:instrText xml:space="preserve"> ADDIN ZOTERO_ITEM CSL_CITATION {"citationID":"A28nXMKu","properties":{"formattedCitation":"(Bischof &amp; Wagner, 2019; Bohman &amp; Hjerm, 2016; Castanho Silva, 2017)","plainCitation":"(Bischof &amp; Wagner, 2019; Bohman &amp; Hjerm, 2016; Castanho Silva, 2017)","noteIndex":0},"citationItems":[{"id":135,"uris":["http://zotero.org/users/6208848/items/KJH7U6RC"],"itemData":{"id":135,"type":"article-journal","abstract":"Do voters polarize ideologically when radical views gain political legitimacy, or does the rise of radical voices merely reflect societal conflict? We argue that elite polarization as signaled by radical parties’ first entrance into parliament leads to voter divergence. Immediately after the election, legitimization and backlash effects mean that voters on both ideological sides move toward the extremes. In the longer term, this polarization is solidified because of radical parties’ parliamentary presence. A panel study of Dutch voters shows that the 2002 parliamentary entrance of a radical-right party indeed led to immediate ideological polarization across the political spectrum. Estimating time-series cross-sectional models on Eurobarometer data from 17 countries (1973–2016) shows an additional long-term impact of radical-right party entry on polarization. The presence of radical voices on the right has polarizing effects, illustrating how such institutional recognition and legitimization can have a far-reaching impact on society.","container-title":"American Journal of Political Science","DOI":"10.1111/ajps.12449","ISSN":"0092-5853, 1540-5907","issue":"4","language":"en","page":"888-904","source":"Crossref","title":"Do Voters Polarize When Radical Parties Enter Parliament?","volume":"63","author":[{"family":"Bischof","given":"Daniel"},{"family":"Wagner","given":"Markus"}],"issued":{"date-parts":[["2019",10]]}}},{"id":1841,"uris":["http://zotero.org/users/6208848/items/JDTGLC5F"],"itemData":{"id":1841,"type":"article-journal","abstract":"This paper tests the theoretically assumed relationship between the parliamentary presence of radical right parties (RRPs) and anti-immigration attitudes over time. Data come from six rounds of the European Social Survey between 2002 and 2012. Using multi-level models with applications for repeated cross-sectional data, the study examines the implications of changes tied to the political advancements of the radical right with a focus on three possible scenarios: people's attitudes about immigration have generally become more negative, opposition towards immigration has become more dependent on immigrants' ethnicity, and attitudes towards immigration have become more polarised. Contrary to expectations, it is found that neither the presence, the representational strength, nor the nationalistic framing of an RRP affect opposition towards immigration over time. Thus, the conclusion is that the RRPs, so far, have not driven anti-immigration attitudes in Europe. Possible explanations for these results are discussed in the concluding section.","container-title":"Journal of Ethnic and Migration Studies","DOI":"10.1080/1369183X.2015.1131607","ISSN":"1369-183X","issue":"11","note":"publisher: Routledge\n_eprint: https://doi.org/10.1080/1369183X.2015.1131607","page":"1729-1747","source":"Taylor and Francis+NEJM","title":"In the wake of radical right electoral success: a cross-country comparative study of anti-immigration attitudes over time","title-short":"In the wake of radical right electoral success","volume":"42","author":[{"family":"Bohman","given":"Andrea"},{"family":"Hjerm","given":"Mikael"}],"issued":{"date-parts":[["2016",9,1]]}}},{"id":1978,"uris":["http://zotero.org/users/6208848/items/IFF8SHRJ"],"itemData":{"id":1978,"type":"article-journal","abstract":"Radical parties have been found to succeed under conditions of mass polarization. It is argued that their message resonates better with voters at the extremes of an ideological spectrum. This paper investigates if the reverse also holds, meaning that radical parties may contribute to the polarization of the public. I test this claim in the Netherlands, a country that has experienced the rise of populist radical right parties since 2002, using a synthetic control model built with a pool of comparable countries and Eurobarometer survey data. Results show that, after the rise of Pim Fortuyn and Geert Wilders, the level of polarization among the Dutch public increased more than it otherwise would have. These findings contribute to understanding the connection between elite- and mass-level polarization, and the consequences of populist radical right parties’ emergence in Western Europe.","container-title":"European Political Science Review","DOI":"10.1017/S1755773917000066","journalAbbreviation":"European Political Science Review","page":"1-26","source":"ResearchGate","title":"Populist radical right parties and mass polarization in the Netherlands","volume":"10","author":[{"family":"Castanho Silva","given":"Bruno"}],"issued":{"date-parts":[["2017",3,21]]}}}],"schema":"https://github.com/citation-style-language/schema/raw/master/csl-citation.json"} </w:instrText>
      </w:r>
      <w:r w:rsidR="008529EE" w:rsidRPr="00C32509">
        <w:rPr>
          <w:rFonts w:ascii="Times New Roman" w:hAnsi="Times New Roman" w:cs="Times New Roman"/>
          <w:sz w:val="24"/>
          <w:szCs w:val="24"/>
        </w:rPr>
        <w:fldChar w:fldCharType="separate"/>
      </w:r>
      <w:r w:rsidR="00BD0859" w:rsidRPr="00BD0859">
        <w:rPr>
          <w:rFonts w:ascii="Times New Roman" w:hAnsi="Times New Roman" w:cs="Times New Roman"/>
          <w:sz w:val="24"/>
        </w:rPr>
        <w:t>(Bischof &amp; Wagner, 2019; Bohman &amp; Hjerm, 2016; Castanho Silva, 2017)</w:t>
      </w:r>
      <w:r w:rsidR="008529EE" w:rsidRPr="00C32509">
        <w:rPr>
          <w:rFonts w:ascii="Times New Roman" w:hAnsi="Times New Roman" w:cs="Times New Roman"/>
          <w:sz w:val="24"/>
          <w:szCs w:val="24"/>
        </w:rPr>
        <w:fldChar w:fldCharType="end"/>
      </w:r>
      <w:r w:rsidR="008529EE" w:rsidRPr="00C32509">
        <w:rPr>
          <w:rFonts w:ascii="Times New Roman" w:hAnsi="Times New Roman" w:cs="Times New Roman"/>
          <w:sz w:val="24"/>
          <w:szCs w:val="24"/>
        </w:rPr>
        <w:t>.</w:t>
      </w:r>
    </w:p>
    <w:p w14:paraId="6564C6E1" w14:textId="0908749B" w:rsidR="0018234D" w:rsidRPr="00C32509" w:rsidRDefault="001D24A4" w:rsidP="0007287A">
      <w:pPr>
        <w:spacing w:line="360" w:lineRule="auto"/>
        <w:jc w:val="both"/>
        <w:rPr>
          <w:rFonts w:ascii="Times New Roman" w:hAnsi="Times New Roman" w:cs="Times New Roman"/>
          <w:sz w:val="24"/>
          <w:szCs w:val="24"/>
        </w:rPr>
      </w:pPr>
      <w:r w:rsidRPr="00C32509">
        <w:rPr>
          <w:rFonts w:ascii="Times New Roman" w:hAnsi="Times New Roman" w:cs="Times New Roman"/>
          <w:sz w:val="24"/>
          <w:szCs w:val="24"/>
        </w:rPr>
        <w:t xml:space="preserve">(3) </w:t>
      </w:r>
      <w:r w:rsidR="008529EE" w:rsidRPr="00C32509">
        <w:rPr>
          <w:rFonts w:ascii="Times New Roman" w:hAnsi="Times New Roman" w:cs="Times New Roman"/>
          <w:sz w:val="24"/>
          <w:szCs w:val="24"/>
        </w:rPr>
        <w:t xml:space="preserve">I capture </w:t>
      </w:r>
      <w:r w:rsidR="008529EE" w:rsidRPr="00C32509">
        <w:rPr>
          <w:rFonts w:ascii="Times New Roman" w:hAnsi="Times New Roman" w:cs="Times New Roman"/>
          <w:i/>
          <w:iCs/>
          <w:sz w:val="24"/>
          <w:szCs w:val="24"/>
        </w:rPr>
        <w:t>support for redistribution</w:t>
      </w:r>
      <w:r w:rsidR="008529EE" w:rsidRPr="00C32509">
        <w:rPr>
          <w:rFonts w:ascii="Times New Roman" w:hAnsi="Times New Roman" w:cs="Times New Roman"/>
          <w:sz w:val="24"/>
          <w:szCs w:val="24"/>
        </w:rPr>
        <w:t xml:space="preserve"> with a single item running on a five-point scale asking respondents about their level of (dis)agreement with the statement that</w:t>
      </w:r>
      <w:r w:rsidR="0053784E">
        <w:rPr>
          <w:rFonts w:ascii="Times New Roman" w:hAnsi="Times New Roman" w:cs="Times New Roman"/>
          <w:sz w:val="24"/>
          <w:szCs w:val="24"/>
        </w:rPr>
        <w:t>:</w:t>
      </w:r>
      <w:r w:rsidR="00CB7442" w:rsidRPr="00D22285">
        <w:rPr>
          <w:rFonts w:ascii="Times New Roman" w:hAnsi="Times New Roman" w:cs="Times New Roman"/>
          <w:i/>
          <w:iCs/>
          <w:sz w:val="24"/>
          <w:szCs w:val="24"/>
        </w:rPr>
        <w:t>“T</w:t>
      </w:r>
      <w:r w:rsidR="008529EE" w:rsidRPr="00D22285">
        <w:rPr>
          <w:rFonts w:ascii="Times New Roman" w:hAnsi="Times New Roman" w:cs="Times New Roman"/>
          <w:i/>
          <w:iCs/>
          <w:sz w:val="24"/>
          <w:szCs w:val="24"/>
        </w:rPr>
        <w:t>he government should take measures to reduce differences in income levels”</w:t>
      </w:r>
      <w:r w:rsidR="00830FD4" w:rsidRPr="00D22285">
        <w:rPr>
          <w:rFonts w:ascii="Times New Roman" w:hAnsi="Times New Roman" w:cs="Times New Roman"/>
          <w:i/>
          <w:iCs/>
          <w:sz w:val="24"/>
          <w:szCs w:val="24"/>
        </w:rPr>
        <w:t xml:space="preserve">. </w:t>
      </w:r>
      <w:r w:rsidR="00830FD4">
        <w:rPr>
          <w:rFonts w:ascii="Times New Roman" w:hAnsi="Times New Roman" w:cs="Times New Roman"/>
          <w:sz w:val="24"/>
          <w:szCs w:val="24"/>
        </w:rPr>
        <w:t>A</w:t>
      </w:r>
      <w:r w:rsidR="004304E7" w:rsidRPr="00C32509">
        <w:rPr>
          <w:rFonts w:ascii="Times New Roman" w:hAnsi="Times New Roman" w:cs="Times New Roman"/>
          <w:sz w:val="24"/>
          <w:szCs w:val="24"/>
        </w:rPr>
        <w:t xml:space="preserve">nswer options </w:t>
      </w:r>
      <w:r w:rsidR="00107C1E">
        <w:rPr>
          <w:rFonts w:ascii="Times New Roman" w:hAnsi="Times New Roman" w:cs="Times New Roman"/>
          <w:sz w:val="24"/>
          <w:szCs w:val="24"/>
        </w:rPr>
        <w:t>range</w:t>
      </w:r>
      <w:r w:rsidR="004F6128" w:rsidRPr="00C32509">
        <w:rPr>
          <w:rFonts w:ascii="Times New Roman" w:hAnsi="Times New Roman" w:cs="Times New Roman"/>
          <w:sz w:val="24"/>
          <w:szCs w:val="24"/>
        </w:rPr>
        <w:t xml:space="preserve"> from 1 completely disagree to 5 completely agree.</w:t>
      </w:r>
      <w:r w:rsidR="004304E7" w:rsidRPr="00C32509">
        <w:rPr>
          <w:rFonts w:ascii="Times New Roman" w:hAnsi="Times New Roman" w:cs="Times New Roman"/>
          <w:sz w:val="24"/>
          <w:szCs w:val="24"/>
        </w:rPr>
        <w:t xml:space="preserve"> </w:t>
      </w:r>
      <w:r w:rsidR="008529EE" w:rsidRPr="00C32509">
        <w:rPr>
          <w:rFonts w:ascii="Times New Roman" w:hAnsi="Times New Roman" w:cs="Times New Roman"/>
          <w:sz w:val="24"/>
          <w:szCs w:val="24"/>
        </w:rPr>
        <w:t xml:space="preserve">This survey question </w:t>
      </w:r>
      <w:r w:rsidR="00D211FB">
        <w:rPr>
          <w:rFonts w:ascii="Times New Roman" w:hAnsi="Times New Roman" w:cs="Times New Roman"/>
          <w:sz w:val="24"/>
          <w:szCs w:val="24"/>
        </w:rPr>
        <w:t>has been used frequently to capture support for redistribution and the welfare state</w:t>
      </w:r>
      <w:r w:rsidR="008529EE" w:rsidRPr="00C32509">
        <w:rPr>
          <w:rFonts w:ascii="Times New Roman" w:hAnsi="Times New Roman" w:cs="Times New Roman"/>
          <w:sz w:val="24"/>
          <w:szCs w:val="24"/>
        </w:rPr>
        <w:t xml:space="preserve"> </w:t>
      </w:r>
      <w:r w:rsidR="008529EE" w:rsidRPr="00C32509">
        <w:rPr>
          <w:rFonts w:ascii="Times New Roman" w:hAnsi="Times New Roman" w:cs="Times New Roman"/>
          <w:sz w:val="24"/>
          <w:szCs w:val="24"/>
        </w:rPr>
        <w:fldChar w:fldCharType="begin"/>
      </w:r>
      <w:r w:rsidR="001131A7">
        <w:rPr>
          <w:rFonts w:ascii="Times New Roman" w:hAnsi="Times New Roman" w:cs="Times New Roman"/>
          <w:sz w:val="24"/>
          <w:szCs w:val="24"/>
        </w:rPr>
        <w:instrText xml:space="preserve"> ADDIN ZOTERO_ITEM CSL_CITATION {"citationID":"VxcsXttW","properties":{"formattedCitation":"(J\\uc0\\u230{}ger, 2006)","plainCitation":"(Jæger, 2006)","dontUpdate":true,"noteIndex":0},"citationItems":[{"id":1038,"uris":["http://zotero.org/users/6208848/items/7QKTYMLC"],"itemData":{"id":1038,"type":"article-journal","abstract":"This article investigates which socio-economic and ideological factors make individuals support the normative principles of the welfare state. Two principal theoretical perspectives, relating to self-interest and the political ideology, respectively, have been proposed in the literature as causal explanations. However, as most studies utilize solely cross-sectional data, causal interpretations of which factors make people express support for the welfare state have so far been hard to sustain. This article, using panel data from the Canadian ?Equality, Security, and Community? survey and an extended random-effect model, exploits the longitudinal nature of the data and econometric methods to provide a more accurate analysis of the extent to which self-interest and political ideology actually determine support for welfare state principles. The empirical analysis indicates that both self-interest and political ideology variables to some extent are significant predictors of support for welfare state principles. In addition, the article discusses several avenues for future research.","container-title":"Acta Sociologica","DOI":"10.1177/0001699306067718","ISSN":"0001-6993","issue":"3","journalAbbreviation":"Acta Sociologica","page":"321-338","source":"SAGE Journals","title":"What Makes People Support Public Responsibility for Welfare Provision:                 Self-interest or Political Ideology?: A Longitudinal Approach","title-short":"What Makes People Support Public Responsibility for Welfare Provision","volume":"49","author":[{"family":"Jæger","given":"Mads Meier"}],"issued":{"date-parts":[["2006",9,1]]}}}],"schema":"https://github.com/citation-style-language/schema/raw/master/csl-citation.json"} </w:instrText>
      </w:r>
      <w:r w:rsidR="008529EE" w:rsidRPr="00C32509">
        <w:rPr>
          <w:rFonts w:ascii="Times New Roman" w:hAnsi="Times New Roman" w:cs="Times New Roman"/>
          <w:sz w:val="24"/>
          <w:szCs w:val="24"/>
        </w:rPr>
        <w:fldChar w:fldCharType="separate"/>
      </w:r>
      <w:r w:rsidR="008529EE" w:rsidRPr="00C32509">
        <w:rPr>
          <w:rFonts w:ascii="Times New Roman" w:hAnsi="Times New Roman" w:cs="Times New Roman"/>
          <w:sz w:val="24"/>
          <w:szCs w:val="24"/>
        </w:rPr>
        <w:t>(</w:t>
      </w:r>
      <w:r w:rsidR="00E87A6C">
        <w:rPr>
          <w:rFonts w:ascii="Times New Roman" w:hAnsi="Times New Roman" w:cs="Times New Roman"/>
          <w:sz w:val="24"/>
          <w:szCs w:val="24"/>
        </w:rPr>
        <w:t xml:space="preserve">e.g., </w:t>
      </w:r>
      <w:r w:rsidR="008529EE" w:rsidRPr="00C32509">
        <w:rPr>
          <w:rFonts w:ascii="Times New Roman" w:hAnsi="Times New Roman" w:cs="Times New Roman"/>
          <w:sz w:val="24"/>
          <w:szCs w:val="24"/>
        </w:rPr>
        <w:t>Jæger, 2006)</w:t>
      </w:r>
      <w:r w:rsidR="008529EE" w:rsidRPr="00C32509">
        <w:rPr>
          <w:rFonts w:ascii="Times New Roman" w:hAnsi="Times New Roman" w:cs="Times New Roman"/>
          <w:sz w:val="24"/>
          <w:szCs w:val="24"/>
        </w:rPr>
        <w:fldChar w:fldCharType="end"/>
      </w:r>
      <w:r w:rsidR="0018234D" w:rsidRPr="00C32509">
        <w:rPr>
          <w:rFonts w:ascii="Times New Roman" w:hAnsi="Times New Roman" w:cs="Times New Roman"/>
          <w:sz w:val="24"/>
          <w:szCs w:val="24"/>
        </w:rPr>
        <w:t>.</w:t>
      </w:r>
    </w:p>
    <w:p w14:paraId="479CAB36" w14:textId="1E271FFC" w:rsidR="001B1357" w:rsidRPr="00C32509" w:rsidRDefault="00DB7C4B" w:rsidP="0007287A">
      <w:pPr>
        <w:spacing w:line="360" w:lineRule="auto"/>
        <w:jc w:val="both"/>
        <w:rPr>
          <w:rFonts w:ascii="Times New Roman" w:hAnsi="Times New Roman" w:cs="Times New Roman"/>
          <w:sz w:val="24"/>
          <w:szCs w:val="24"/>
          <w:lang w:val="da-DK"/>
        </w:rPr>
      </w:pPr>
      <w:r w:rsidRPr="00C32509">
        <w:rPr>
          <w:rFonts w:ascii="Times New Roman" w:hAnsi="Times New Roman" w:cs="Times New Roman"/>
          <w:sz w:val="24"/>
          <w:szCs w:val="24"/>
        </w:rPr>
        <w:lastRenderedPageBreak/>
        <w:t xml:space="preserve">(4) </w:t>
      </w:r>
      <w:r w:rsidR="008529EE" w:rsidRPr="00C32509">
        <w:rPr>
          <w:rFonts w:ascii="Times New Roman" w:hAnsi="Times New Roman" w:cs="Times New Roman"/>
          <w:sz w:val="24"/>
          <w:szCs w:val="24"/>
        </w:rPr>
        <w:t xml:space="preserve">To operationalize </w:t>
      </w:r>
      <w:r w:rsidR="008529EE" w:rsidRPr="00C32509">
        <w:rPr>
          <w:rFonts w:ascii="Times New Roman" w:hAnsi="Times New Roman" w:cs="Times New Roman"/>
          <w:i/>
          <w:iCs/>
          <w:sz w:val="24"/>
          <w:szCs w:val="24"/>
        </w:rPr>
        <w:t>Welfare chauvinism</w:t>
      </w:r>
      <w:r w:rsidR="008529EE" w:rsidRPr="00C32509">
        <w:rPr>
          <w:rFonts w:ascii="Times New Roman" w:hAnsi="Times New Roman" w:cs="Times New Roman"/>
          <w:sz w:val="24"/>
          <w:szCs w:val="24"/>
        </w:rPr>
        <w:t>, I use the following survey item</w:t>
      </w:r>
      <w:r w:rsidR="004E1CD3">
        <w:rPr>
          <w:rFonts w:ascii="Times New Roman" w:hAnsi="Times New Roman" w:cs="Times New Roman"/>
          <w:sz w:val="24"/>
          <w:szCs w:val="24"/>
        </w:rPr>
        <w:t xml:space="preserve">, which </w:t>
      </w:r>
      <w:r w:rsidR="008529EE" w:rsidRPr="00C32509">
        <w:rPr>
          <w:rFonts w:ascii="Times New Roman" w:hAnsi="Times New Roman" w:cs="Times New Roman"/>
          <w:sz w:val="24"/>
          <w:szCs w:val="24"/>
        </w:rPr>
        <w:t xml:space="preserve">has been frequently used </w:t>
      </w:r>
      <w:r w:rsidR="00284897">
        <w:rPr>
          <w:rFonts w:ascii="Times New Roman" w:hAnsi="Times New Roman" w:cs="Times New Roman"/>
          <w:sz w:val="24"/>
          <w:szCs w:val="24"/>
        </w:rPr>
        <w:t xml:space="preserve">in the literature </w:t>
      </w:r>
      <w:r w:rsidR="008529EE" w:rsidRPr="00C32509">
        <w:rPr>
          <w:rFonts w:ascii="Times New Roman" w:hAnsi="Times New Roman" w:cs="Times New Roman"/>
          <w:sz w:val="24"/>
          <w:szCs w:val="24"/>
        </w:rPr>
        <w:t xml:space="preserve">as an indicator of welfare chauvinism </w:t>
      </w:r>
      <w:r w:rsidR="008529EE" w:rsidRPr="00C32509">
        <w:rPr>
          <w:rFonts w:ascii="Times New Roman" w:hAnsi="Times New Roman" w:cs="Times New Roman"/>
          <w:sz w:val="24"/>
          <w:szCs w:val="24"/>
        </w:rPr>
        <w:fldChar w:fldCharType="begin"/>
      </w:r>
      <w:r w:rsidR="001131A7">
        <w:rPr>
          <w:rFonts w:ascii="Times New Roman" w:hAnsi="Times New Roman" w:cs="Times New Roman"/>
          <w:sz w:val="24"/>
          <w:szCs w:val="24"/>
        </w:rPr>
        <w:instrText xml:space="preserve"> ADDIN ZOTERO_ITEM CSL_CITATION {"citationID":"pwffcI8Q","properties":{"formattedCitation":"(Mewes &amp; Mau, 2013; Reeskens &amp; van Oorschot, 2012; Van Der Waal et al., 2013)","plainCitation":"(Mewes &amp; Mau, 2013; Reeskens &amp; van Oorschot, 2012; Van Der Waal et al., 2013)","noteIndex":0},"citationItems":[{"id":1006,"uris":["http://zotero.org/users/6208848/items/C3FHWIXD"],"itemData":{"id":1006,"type":"article-journal","abstract":"This article addresses the question of whether globalization impacts individual preferences to exclude immigrants from national welfare systems (‘welfare chauvinism’). Intergroup contact theory and arguments from the ‘new cosmopolitanism’ debate suggest that cross-border social contacts (‘social globalization’) foster a willingness to include and accept newcomers. However, group conflict theory suggests that trade openness (‘economic globalization’) can unleash feelings of insecurity and trigger welfare chauvinism. While these approaches point in different directions, we argue that the impact of globalization on welfare chauvinism differs across socio-economic status groups. Using cross-national data from the European Social Survey 2008/2009, we find scarce support for the hypothesis that social globalization reduces welfare chauvinism in general. However, there is evidence that it diminishes exclusionary attitudes among those with relatively high socio-economic statuses. Moreover, we find no general evidence for an impact of economic globalization on chauvinism, but a positive interaction of intensified engagement with global market forces and higher socio-economic status.","container-title":"International Journal of Comparative Sociology","DOI":"10.1177/0020715213494395","ISSN":"0020-7152, 1745-2554","issue":"3","language":"en","page":"228-245","source":"Crossref","title":"Globalization, socio-economic status and welfare chauvinism: European perspectives on attitudes toward the exclusion of immigrants","title-short":"Globalization, socio-economic status and welfare chauvinism","volume":"54","author":[{"family":"Mewes","given":"Jan"},{"family":"Mau","given":"Steffen"}],"issued":{"date-parts":[["2013",6]]}}},{"id":996,"uris":["http://zotero.org/users/6208848/items/62MKBZEQ"],"itemData":{"id":996,"type":"article-journal","abstract":"In the present ‘Age of Migration’, public policy as well as social scientists are puzzled by the ‘New Liberal Dilemma’ (Newton, 2007) of finding popular support for welfare programs that have been installed in times of cultural homogeneity. In this article, we are interested in the question of whether opinions about immigrants’ access to welfare provisions originate from general preferences towards welfare redistribution, and whether this association is moderated by the national context. Using the 2008 wave of the European Social Survey, we show that particularly those who favor that welfare benefits should in the first place target the neediest, place the highest restrictions on welfare provisions for immigrants. In addition, the relationship between preferences for welfare redistribution and opinions about immigrants’ access to social welfare is moderated by a national context of cultural heterogeneity. We conclude the article by drawing implications for public policy.","container-title":"International Journal of Comparative Sociology","DOI":"10.1177/0020715212451987","ISSN":"0020-7152, 1745-2554","issue":"2","language":"en","page":"120-139","source":"Crossref","title":"Disentangling the ‘New Liberal Dilemma’: On the relation between general welfare redistribution preferences and welfare chauvinism","title-short":"Disentangling the ‘New Liberal Dilemma’","volume":"53","author":[{"family":"Reeskens","given":"Tim"},{"family":"Oorschot","given":"Wim","non-dropping-particle":"van"}],"issued":{"date-parts":[["2012",4]]}}},{"id":1023,"ur</w:instrText>
      </w:r>
      <w:r w:rsidR="001131A7" w:rsidRPr="001131A7">
        <w:rPr>
          <w:rFonts w:ascii="Times New Roman" w:hAnsi="Times New Roman" w:cs="Times New Roman"/>
          <w:sz w:val="24"/>
          <w:szCs w:val="24"/>
          <w:lang w:val="da-DK"/>
        </w:rPr>
        <w:instrText xml:space="preserve">is":["http://zotero.org/users/6208848/items/RTF85QPH"],"itemData":{"id":1023,"type":"article-journal","abstract":"Analyzing the 2008 wave of the European Social Survey, this study assesses whether an elaborate institutional theory is able to explain why levels of welfare chauvinism differ among welfare regimes. As expected, native populations in liberal and conservative welfare regimes prove more reluctant to distributing welfare services to immigrants than those in social-democratic ones. Adding country-level data, it is demonstrated that neither differences in the selectivity nor differences in employment protection and unemployment levels can explain these varying levels of welfare chauvinism. Instead, regime differences in welfare chauvinism can be fully attributed to their differences in income inequality.","container-title":"Journal of Comparative Policy Analysis: Research and Practice","DOI":"10.1080/13876988.2013.785147","ISSN":"1387-6988, 1572-5448","issue":"2","language":"en","page":"164-181","source":"Crossref","title":"Three Worlds of Welfare Chauvinism? How Welfare Regimes Affect Support for Distributing Welfare to Immigrants in Europe","title-short":"Three Worlds of Welfare Chauvinism?","volume":"15","author":[{"family":"Van Der Waal","given":"Jeroen"},{"family":"De Koster","given":"Willem"},{"family":"Van Oorschot","given":"Wim"}],"issued":{"date-parts":[["2013",4]]}}}],"schema":"https://github.com/citation-style-language/schema/raw/master/csl-citation.json"} </w:instrText>
      </w:r>
      <w:r w:rsidR="008529EE" w:rsidRPr="00C32509">
        <w:rPr>
          <w:rFonts w:ascii="Times New Roman" w:hAnsi="Times New Roman" w:cs="Times New Roman"/>
          <w:sz w:val="24"/>
          <w:szCs w:val="24"/>
        </w:rPr>
        <w:fldChar w:fldCharType="separate"/>
      </w:r>
      <w:r w:rsidR="008529EE" w:rsidRPr="00C32509">
        <w:rPr>
          <w:rFonts w:ascii="Times New Roman" w:hAnsi="Times New Roman" w:cs="Times New Roman"/>
          <w:sz w:val="24"/>
          <w:szCs w:val="24"/>
          <w:lang w:val="da-DK"/>
        </w:rPr>
        <w:t>(Mewes &amp; Mau, 2013; Reeskens &amp; van Oorschot, 2012; Van Der Waal et al., 2013)</w:t>
      </w:r>
      <w:r w:rsidR="008529EE" w:rsidRPr="00C32509">
        <w:rPr>
          <w:rFonts w:ascii="Times New Roman" w:hAnsi="Times New Roman" w:cs="Times New Roman"/>
          <w:sz w:val="24"/>
          <w:szCs w:val="24"/>
        </w:rPr>
        <w:fldChar w:fldCharType="end"/>
      </w:r>
      <w:r w:rsidR="008529EE" w:rsidRPr="00C32509">
        <w:rPr>
          <w:rFonts w:ascii="Times New Roman" w:hAnsi="Times New Roman" w:cs="Times New Roman"/>
          <w:sz w:val="24"/>
          <w:szCs w:val="24"/>
          <w:lang w:val="da-DK"/>
        </w:rPr>
        <w:t xml:space="preserve">. </w:t>
      </w:r>
    </w:p>
    <w:p w14:paraId="1616C4FB" w14:textId="6F9B9CEE" w:rsidR="001B1357" w:rsidRPr="00B268B5" w:rsidRDefault="008529EE" w:rsidP="0007287A">
      <w:pPr>
        <w:pStyle w:val="Listeafsnit"/>
        <w:numPr>
          <w:ilvl w:val="0"/>
          <w:numId w:val="5"/>
        </w:numPr>
        <w:spacing w:line="360" w:lineRule="auto"/>
        <w:jc w:val="both"/>
        <w:rPr>
          <w:rFonts w:ascii="Times New Roman" w:hAnsi="Times New Roman" w:cs="Times New Roman"/>
          <w:i/>
          <w:iCs/>
          <w:sz w:val="24"/>
          <w:szCs w:val="24"/>
        </w:rPr>
      </w:pPr>
      <w:r w:rsidRPr="00B268B5">
        <w:rPr>
          <w:rFonts w:ascii="Times New Roman" w:hAnsi="Times New Roman" w:cs="Times New Roman"/>
          <w:i/>
          <w:iCs/>
          <w:sz w:val="24"/>
          <w:szCs w:val="24"/>
        </w:rPr>
        <w:t>“Thinking of people coming to live in [country] from other countries, when do you think they should obtain the same rights to social benefits and services as a citizen already living here?”</w:t>
      </w:r>
    </w:p>
    <w:p w14:paraId="0F60668B" w14:textId="38EF784B" w:rsidR="008529EE" w:rsidRPr="00C32509" w:rsidRDefault="0068200B" w:rsidP="0007287A">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8529EE" w:rsidRPr="00C32509">
        <w:rPr>
          <w:rFonts w:ascii="Times New Roman" w:hAnsi="Times New Roman" w:cs="Times New Roman"/>
          <w:sz w:val="24"/>
          <w:szCs w:val="24"/>
        </w:rPr>
        <w:t>he answer scale is ordinal</w:t>
      </w:r>
      <w:r w:rsidR="00B94DF4">
        <w:rPr>
          <w:rFonts w:ascii="Times New Roman" w:hAnsi="Times New Roman" w:cs="Times New Roman"/>
          <w:sz w:val="24"/>
          <w:szCs w:val="24"/>
        </w:rPr>
        <w:t xml:space="preserve"> and includes five categories: (1) Immediately on arrival, (2) After living in [country] for a year,</w:t>
      </w:r>
      <w:r w:rsidR="00B70582">
        <w:rPr>
          <w:rFonts w:ascii="Times New Roman" w:hAnsi="Times New Roman" w:cs="Times New Roman"/>
          <w:sz w:val="24"/>
          <w:szCs w:val="24"/>
        </w:rPr>
        <w:t xml:space="preserve"> (3) only after they have worked and paid taxes for a year, (4) once they have become a </w:t>
      </w:r>
      <w:r w:rsidR="000F6E4E">
        <w:rPr>
          <w:rFonts w:ascii="Times New Roman" w:hAnsi="Times New Roman" w:cs="Times New Roman"/>
          <w:sz w:val="24"/>
          <w:szCs w:val="24"/>
        </w:rPr>
        <w:t xml:space="preserve">[country] citizen, (5) they should never get the same rights. </w:t>
      </w:r>
      <w:r w:rsidR="00ED27F6">
        <w:rPr>
          <w:rFonts w:ascii="Times New Roman" w:hAnsi="Times New Roman" w:cs="Times New Roman"/>
          <w:sz w:val="24"/>
          <w:szCs w:val="24"/>
        </w:rPr>
        <w:t>Even though it has been debated</w:t>
      </w:r>
      <w:r w:rsidR="00A41B64">
        <w:rPr>
          <w:rFonts w:ascii="Times New Roman" w:hAnsi="Times New Roman" w:cs="Times New Roman"/>
          <w:sz w:val="24"/>
          <w:szCs w:val="24"/>
        </w:rPr>
        <w:t xml:space="preserve"> </w:t>
      </w:r>
      <w:r w:rsidR="008E596B">
        <w:rPr>
          <w:rFonts w:ascii="Times New Roman" w:hAnsi="Times New Roman" w:cs="Times New Roman"/>
          <w:sz w:val="24"/>
          <w:szCs w:val="24"/>
        </w:rPr>
        <w:t>whether the item captures a continuous measure of</w:t>
      </w:r>
      <w:r w:rsidR="007D4CED">
        <w:rPr>
          <w:rFonts w:ascii="Times New Roman" w:hAnsi="Times New Roman" w:cs="Times New Roman"/>
          <w:sz w:val="24"/>
          <w:szCs w:val="24"/>
        </w:rPr>
        <w:t xml:space="preserve"> </w:t>
      </w:r>
      <w:r w:rsidR="008E596B">
        <w:rPr>
          <w:rFonts w:ascii="Times New Roman" w:hAnsi="Times New Roman" w:cs="Times New Roman"/>
          <w:sz w:val="24"/>
          <w:szCs w:val="24"/>
        </w:rPr>
        <w:t>more and less</w:t>
      </w:r>
      <w:r w:rsidR="00F934E3">
        <w:rPr>
          <w:rFonts w:ascii="Times New Roman" w:hAnsi="Times New Roman" w:cs="Times New Roman"/>
          <w:sz w:val="24"/>
          <w:szCs w:val="24"/>
        </w:rPr>
        <w:t xml:space="preserve"> welfare chauvinism </w:t>
      </w:r>
      <w:r w:rsidR="00F934E3">
        <w:rPr>
          <w:rFonts w:ascii="Times New Roman" w:hAnsi="Times New Roman" w:cs="Times New Roman"/>
          <w:sz w:val="24"/>
          <w:szCs w:val="24"/>
        </w:rPr>
        <w:fldChar w:fldCharType="begin"/>
      </w:r>
      <w:r w:rsidR="00F934E3">
        <w:rPr>
          <w:rFonts w:ascii="Times New Roman" w:hAnsi="Times New Roman" w:cs="Times New Roman"/>
          <w:sz w:val="24"/>
          <w:szCs w:val="24"/>
        </w:rPr>
        <w:instrText xml:space="preserve"> ADDIN ZOTERO_ITEM CSL_CITATION {"citationID":"8bUl8vFk","properties":{"formattedCitation":"(Mewes &amp; Mau, 2013, pp. 130\\uc0\\u8211{}131; Van Der Waal et al., 2013, pp. 171\\uc0\\u8211{}172)","plainCitation":"(Mewes &amp; Mau, 2013, pp. 130–131; Van Der Waal et al., 2013, pp. 171–172)","noteIndex":0},"citationItems":[{"id":1006,"uris":["http://zotero.org/users/6208848/items/C3FHWIXD"],"itemData":{"id":1006,"type":"article-journal","abstract":"This article addresses the question of whether globalization impacts individual preferences to exclude immigrants from national welfare systems (‘welfare chauvinism’). Intergroup contact theory and arguments from the ‘new cosmopolitanism’ debate suggest that cross-border social contacts (‘social globalization’) foster a willingness to include and accept newcomers. However, group conflict theory suggests that trade openness (‘economic globalization’) can unleash feelings of insecurity and trigger welfare chauvinism. While these approaches point in different directions, we argue that the impact of globalization on welfare chauvinism differs across socio-economic status groups. Using cross-national data from the European Social Survey 2008/2009, we find scarce support for the hypothesis that social globalization reduces welfare chauvinism in general. However, there is evidence that it diminishes exclusionary attitudes among those with relatively high socio-economic statuses. Moreover, we find no general evidence for an impact of economic globalization on chauvinism, but a positive interaction of intensified engagement with global market forces and higher socio-economic status.","container-title":"International Journal of Comparative Sociology","DOI":"10.1177/0020715213494395","ISSN":"0020-7152, 1745-2554","issue":"3","language":"en","page":"228-245","source":"Crossref","title":"Globalization, socio-economic status and welfare chauvinism: European perspectives on attitudes toward the exclusion of immigrants","title-short":"Globalization, socio-economic status and welfare chauvinism","volume":"54","author":[{"family":"Mewes","given":"Jan"},{"family":"Mau","given":"Steffen"}],"issued":{"date-parts":[["2013",6]]}},"locator":"130-131"},{"id":1023,"uris":["http://zotero.org/users/6208848/items/RTF85QPH"],"itemData":{"id":1023,"type":"article-journal","abstract":"Analyzing the 2008 wave of the European Social Survey, this study assesses whether an elaborate institutional theory is able to explain why levels of welfare chauvinism differ among welfare regimes. As expected, native populations in liberal and conservative welfare regimes prove more reluctant to distributing welfare services to immigrants than those in social-democratic ones. Adding country-level data, it is demonstrated that neither differences in the selectivity nor differences in employment protection and unemployment levels can explain these varying levels of welfare chauvinism. Instead, regime differences in welfare chauvinism can be fully attributed to their differences in income inequality.","container-title":"Journal of Comparative Policy Analysis: Research and Practice","DOI":"10.1080/13876988.2013.785147","ISSN":"1387-6988, 1572-5448","issue":"2","language":"en","page":"164-181","source":"Crossref","title":"Three Worlds of Welfare Chauvinism? How Welfare Regimes Affect Support for Distributing Welfare to Immigrants in Europe","title-short":"Three Worlds of Welfare Chauvinism?","volume":"15","author":[{"family":"Van Der Waal","given":"Jeroen"},{"family":"De Koster","given":"Willem"},{"family":"Van Oorschot","given":"Wim"}],"issued":{"date-parts":[["2013",4]]}},"locator":"171-172"}],"schema":"https://github.com/citation-style-language/schema/raw/master/csl-citation.json"} </w:instrText>
      </w:r>
      <w:r w:rsidR="00F934E3">
        <w:rPr>
          <w:rFonts w:ascii="Times New Roman" w:hAnsi="Times New Roman" w:cs="Times New Roman"/>
          <w:sz w:val="24"/>
          <w:szCs w:val="24"/>
        </w:rPr>
        <w:fldChar w:fldCharType="separate"/>
      </w:r>
      <w:r w:rsidR="00F934E3" w:rsidRPr="00F934E3">
        <w:rPr>
          <w:rFonts w:ascii="Times New Roman" w:hAnsi="Times New Roman" w:cs="Times New Roman"/>
          <w:sz w:val="24"/>
          <w:szCs w:val="24"/>
        </w:rPr>
        <w:t>(Mewes &amp; Mau, 2013, pp. 130–131; Van Der Waal et al., 2013, pp. 171–172)</w:t>
      </w:r>
      <w:r w:rsidR="00F934E3">
        <w:rPr>
          <w:rFonts w:ascii="Times New Roman" w:hAnsi="Times New Roman" w:cs="Times New Roman"/>
          <w:sz w:val="24"/>
          <w:szCs w:val="24"/>
        </w:rPr>
        <w:fldChar w:fldCharType="end"/>
      </w:r>
      <w:r w:rsidR="008529EE" w:rsidRPr="00C32509">
        <w:rPr>
          <w:rFonts w:ascii="Times New Roman" w:hAnsi="Times New Roman" w:cs="Times New Roman"/>
          <w:sz w:val="24"/>
          <w:szCs w:val="24"/>
        </w:rPr>
        <w:t xml:space="preserve">. </w:t>
      </w:r>
      <w:r w:rsidR="003D0DF9">
        <w:rPr>
          <w:rFonts w:ascii="Times New Roman" w:hAnsi="Times New Roman" w:cs="Times New Roman"/>
          <w:sz w:val="24"/>
          <w:szCs w:val="24"/>
        </w:rPr>
        <w:t>This discussion notwithstanding,</w:t>
      </w:r>
      <w:r w:rsidR="00C12ED1">
        <w:rPr>
          <w:rFonts w:ascii="Times New Roman" w:hAnsi="Times New Roman" w:cs="Times New Roman"/>
          <w:sz w:val="24"/>
          <w:szCs w:val="24"/>
        </w:rPr>
        <w:t xml:space="preserve"> and for reasons of simplicity,</w:t>
      </w:r>
      <w:r w:rsidR="003D0DF9">
        <w:rPr>
          <w:rFonts w:ascii="Times New Roman" w:hAnsi="Times New Roman" w:cs="Times New Roman"/>
          <w:sz w:val="24"/>
          <w:szCs w:val="24"/>
        </w:rPr>
        <w:t xml:space="preserve"> I treat the question as a</w:t>
      </w:r>
      <w:r w:rsidR="003D0DF9" w:rsidRPr="00C32509">
        <w:rPr>
          <w:rFonts w:ascii="Times New Roman" w:hAnsi="Times New Roman" w:cs="Times New Roman"/>
          <w:sz w:val="24"/>
          <w:szCs w:val="24"/>
        </w:rPr>
        <w:t xml:space="preserve"> </w:t>
      </w:r>
      <w:r w:rsidR="003D0DF9">
        <w:rPr>
          <w:rFonts w:ascii="Times New Roman" w:hAnsi="Times New Roman" w:cs="Times New Roman"/>
          <w:sz w:val="24"/>
          <w:szCs w:val="24"/>
        </w:rPr>
        <w:t>(</w:t>
      </w:r>
      <w:r w:rsidR="003D0DF9" w:rsidRPr="00C32509">
        <w:rPr>
          <w:rFonts w:ascii="Times New Roman" w:hAnsi="Times New Roman" w:cs="Times New Roman"/>
          <w:sz w:val="24"/>
          <w:szCs w:val="24"/>
        </w:rPr>
        <w:t>quasi-</w:t>
      </w:r>
      <w:r w:rsidR="003D0DF9">
        <w:rPr>
          <w:rFonts w:ascii="Times New Roman" w:hAnsi="Times New Roman" w:cs="Times New Roman"/>
          <w:sz w:val="24"/>
          <w:szCs w:val="24"/>
        </w:rPr>
        <w:t>)</w:t>
      </w:r>
      <w:r w:rsidR="003D0DF9" w:rsidRPr="00C32509">
        <w:rPr>
          <w:rFonts w:ascii="Times New Roman" w:hAnsi="Times New Roman" w:cs="Times New Roman"/>
          <w:sz w:val="24"/>
          <w:szCs w:val="24"/>
        </w:rPr>
        <w:t>continuous measure of welfare chauvinism</w:t>
      </w:r>
      <w:r w:rsidR="00E36F7B">
        <w:rPr>
          <w:rFonts w:ascii="Times New Roman" w:hAnsi="Times New Roman" w:cs="Times New Roman"/>
          <w:sz w:val="24"/>
          <w:szCs w:val="24"/>
        </w:rPr>
        <w:t>.</w:t>
      </w:r>
      <w:r w:rsidR="003D0DF9">
        <w:rPr>
          <w:rFonts w:ascii="Times New Roman" w:hAnsi="Times New Roman" w:cs="Times New Roman"/>
          <w:sz w:val="24"/>
          <w:szCs w:val="24"/>
        </w:rPr>
        <w:t xml:space="preserve"> </w:t>
      </w:r>
      <w:r w:rsidR="008529EE" w:rsidRPr="00C32509">
        <w:rPr>
          <w:rFonts w:ascii="Times New Roman" w:hAnsi="Times New Roman" w:cs="Times New Roman"/>
          <w:sz w:val="24"/>
          <w:szCs w:val="24"/>
        </w:rPr>
        <w:t xml:space="preserve">Unfortunately, the question is only part of a special module on welfare attitudes during ESS rounds 4 and 8, which </w:t>
      </w:r>
      <w:r w:rsidR="000506A2">
        <w:rPr>
          <w:rFonts w:ascii="Times New Roman" w:hAnsi="Times New Roman" w:cs="Times New Roman"/>
          <w:sz w:val="24"/>
          <w:szCs w:val="24"/>
        </w:rPr>
        <w:t xml:space="preserve">therefore </w:t>
      </w:r>
      <w:r w:rsidR="008529EE" w:rsidRPr="00C32509">
        <w:rPr>
          <w:rFonts w:ascii="Times New Roman" w:hAnsi="Times New Roman" w:cs="Times New Roman"/>
          <w:sz w:val="24"/>
          <w:szCs w:val="24"/>
        </w:rPr>
        <w:t xml:space="preserve">substantially reduces statistical power. </w:t>
      </w:r>
    </w:p>
    <w:p w14:paraId="004A93A7" w14:textId="2F20F04A" w:rsidR="008529EE" w:rsidRPr="00C32509" w:rsidRDefault="00DB7C4B" w:rsidP="00FD1195">
      <w:pPr>
        <w:spacing w:line="360" w:lineRule="auto"/>
        <w:jc w:val="both"/>
        <w:rPr>
          <w:rFonts w:ascii="Times New Roman" w:hAnsi="Times New Roman" w:cs="Times New Roman"/>
          <w:sz w:val="24"/>
          <w:szCs w:val="24"/>
        </w:rPr>
      </w:pPr>
      <w:r w:rsidRPr="00C32509">
        <w:rPr>
          <w:rFonts w:ascii="Times New Roman" w:hAnsi="Times New Roman" w:cs="Times New Roman"/>
          <w:sz w:val="24"/>
          <w:szCs w:val="24"/>
        </w:rPr>
        <w:t xml:space="preserve">(5) </w:t>
      </w:r>
      <w:r w:rsidR="008529EE" w:rsidRPr="00C32509">
        <w:rPr>
          <w:rFonts w:ascii="Times New Roman" w:hAnsi="Times New Roman" w:cs="Times New Roman"/>
          <w:sz w:val="24"/>
          <w:szCs w:val="24"/>
        </w:rPr>
        <w:t xml:space="preserve"> To capture </w:t>
      </w:r>
      <w:r w:rsidR="008529EE" w:rsidRPr="00C32509">
        <w:rPr>
          <w:rFonts w:ascii="Times New Roman" w:hAnsi="Times New Roman" w:cs="Times New Roman"/>
          <w:i/>
          <w:iCs/>
          <w:sz w:val="24"/>
          <w:szCs w:val="24"/>
        </w:rPr>
        <w:t>institutional trust</w:t>
      </w:r>
      <w:r w:rsidR="008529EE" w:rsidRPr="00C32509">
        <w:rPr>
          <w:rFonts w:ascii="Times New Roman" w:hAnsi="Times New Roman" w:cs="Times New Roman"/>
          <w:sz w:val="24"/>
          <w:szCs w:val="24"/>
        </w:rPr>
        <w:t xml:space="preserve">, I estimate a PCA </w:t>
      </w:r>
      <w:r w:rsidR="00E37343" w:rsidRPr="00C32509">
        <w:rPr>
          <w:rFonts w:ascii="Times New Roman" w:hAnsi="Times New Roman" w:cs="Times New Roman"/>
          <w:sz w:val="24"/>
          <w:szCs w:val="24"/>
        </w:rPr>
        <w:t xml:space="preserve">composed of </w:t>
      </w:r>
      <w:r w:rsidR="0089257A">
        <w:rPr>
          <w:rFonts w:ascii="Times New Roman" w:hAnsi="Times New Roman" w:cs="Times New Roman"/>
          <w:sz w:val="24"/>
          <w:szCs w:val="24"/>
        </w:rPr>
        <w:t>three</w:t>
      </w:r>
      <w:r w:rsidR="008529EE" w:rsidRPr="00C32509">
        <w:rPr>
          <w:rFonts w:ascii="Times New Roman" w:hAnsi="Times New Roman" w:cs="Times New Roman"/>
          <w:sz w:val="24"/>
          <w:szCs w:val="24"/>
        </w:rPr>
        <w:t xml:space="preserve"> </w:t>
      </w:r>
      <w:r w:rsidR="00E37343" w:rsidRPr="00C32509">
        <w:rPr>
          <w:rFonts w:ascii="Times New Roman" w:hAnsi="Times New Roman" w:cs="Times New Roman"/>
          <w:sz w:val="24"/>
          <w:szCs w:val="24"/>
        </w:rPr>
        <w:t xml:space="preserve">survey </w:t>
      </w:r>
      <w:r w:rsidR="008529EE" w:rsidRPr="00C32509">
        <w:rPr>
          <w:rFonts w:ascii="Times New Roman" w:hAnsi="Times New Roman" w:cs="Times New Roman"/>
          <w:sz w:val="24"/>
          <w:szCs w:val="24"/>
        </w:rPr>
        <w:t>items that tap into trust towards the parliament, politicians, and the legal system</w:t>
      </w:r>
      <w:r w:rsidR="00751E9E">
        <w:rPr>
          <w:rFonts w:ascii="Times New Roman" w:hAnsi="Times New Roman" w:cs="Times New Roman"/>
          <w:sz w:val="24"/>
          <w:szCs w:val="24"/>
        </w:rPr>
        <w:t xml:space="preserve">. </w:t>
      </w:r>
      <w:r w:rsidR="00BC673A" w:rsidRPr="00C32509">
        <w:rPr>
          <w:rFonts w:ascii="Times New Roman" w:hAnsi="Times New Roman" w:cs="Times New Roman"/>
          <w:sz w:val="24"/>
          <w:szCs w:val="24"/>
        </w:rPr>
        <w:t>This</w:t>
      </w:r>
      <w:r w:rsidR="00E60D90" w:rsidRPr="00C32509">
        <w:rPr>
          <w:rFonts w:ascii="Times New Roman" w:hAnsi="Times New Roman" w:cs="Times New Roman"/>
          <w:sz w:val="24"/>
          <w:szCs w:val="24"/>
        </w:rPr>
        <w:t xml:space="preserve"> institutional trust scale is based on the following </w:t>
      </w:r>
      <w:r w:rsidR="002D70A1">
        <w:rPr>
          <w:rFonts w:ascii="Times New Roman" w:hAnsi="Times New Roman" w:cs="Times New Roman"/>
          <w:sz w:val="24"/>
          <w:szCs w:val="24"/>
        </w:rPr>
        <w:t>three</w:t>
      </w:r>
      <w:r w:rsidR="00E60D90" w:rsidRPr="00C32509">
        <w:rPr>
          <w:rFonts w:ascii="Times New Roman" w:hAnsi="Times New Roman" w:cs="Times New Roman"/>
          <w:sz w:val="24"/>
          <w:szCs w:val="24"/>
        </w:rPr>
        <w:t xml:space="preserve"> questions:</w:t>
      </w:r>
      <w:r w:rsidR="00FD1195">
        <w:rPr>
          <w:rFonts w:ascii="Times New Roman" w:hAnsi="Times New Roman" w:cs="Times New Roman"/>
          <w:sz w:val="24"/>
          <w:szCs w:val="24"/>
        </w:rPr>
        <w:t xml:space="preserve"> </w:t>
      </w:r>
      <w:r w:rsidR="008519CA" w:rsidRPr="00B268B5">
        <w:rPr>
          <w:rFonts w:ascii="Times New Roman" w:hAnsi="Times New Roman" w:cs="Times New Roman"/>
          <w:i/>
          <w:iCs/>
          <w:sz w:val="24"/>
          <w:szCs w:val="24"/>
        </w:rPr>
        <w:t>“</w:t>
      </w:r>
      <w:r w:rsidR="00E60D90" w:rsidRPr="00B268B5">
        <w:rPr>
          <w:rFonts w:ascii="Times New Roman" w:hAnsi="Times New Roman" w:cs="Times New Roman"/>
          <w:i/>
          <w:iCs/>
          <w:sz w:val="24"/>
          <w:szCs w:val="24"/>
        </w:rPr>
        <w:t>How much do you personally trust [“the parliament”/ "politicians"/”the legal system”]?</w:t>
      </w:r>
      <w:r w:rsidR="008519CA" w:rsidRPr="00B268B5">
        <w:rPr>
          <w:rFonts w:ascii="Times New Roman" w:hAnsi="Times New Roman" w:cs="Times New Roman"/>
          <w:i/>
          <w:iCs/>
          <w:sz w:val="24"/>
          <w:szCs w:val="24"/>
        </w:rPr>
        <w:t>”</w:t>
      </w:r>
      <w:r w:rsidR="00FD1195" w:rsidRPr="00B268B5">
        <w:rPr>
          <w:rFonts w:ascii="Times New Roman" w:hAnsi="Times New Roman" w:cs="Times New Roman"/>
          <w:i/>
          <w:iCs/>
          <w:sz w:val="24"/>
          <w:szCs w:val="24"/>
        </w:rPr>
        <w:t xml:space="preserve">. </w:t>
      </w:r>
      <w:r w:rsidR="00E60D90" w:rsidRPr="00C32509">
        <w:rPr>
          <w:rFonts w:ascii="Times New Roman" w:hAnsi="Times New Roman" w:cs="Times New Roman"/>
          <w:sz w:val="24"/>
          <w:szCs w:val="24"/>
        </w:rPr>
        <w:t>The items are measured on an eleven-point scale ranging from 0 (No trust) to 10 (Complete trust).</w:t>
      </w:r>
      <w:r w:rsidR="00116CBC" w:rsidRPr="00C32509">
        <w:rPr>
          <w:rFonts w:ascii="Times New Roman" w:hAnsi="Times New Roman" w:cs="Times New Roman"/>
          <w:sz w:val="24"/>
          <w:szCs w:val="24"/>
        </w:rPr>
        <w:t xml:space="preserve"> </w:t>
      </w:r>
      <w:r w:rsidR="0061030D" w:rsidRPr="00C32509">
        <w:rPr>
          <w:rFonts w:ascii="Times New Roman" w:hAnsi="Times New Roman" w:cs="Times New Roman"/>
          <w:sz w:val="24"/>
          <w:szCs w:val="24"/>
        </w:rPr>
        <w:t>In the PCA, the items</w:t>
      </w:r>
      <w:r w:rsidR="008529EE" w:rsidRPr="00C32509">
        <w:rPr>
          <w:rFonts w:ascii="Times New Roman" w:hAnsi="Times New Roman" w:cs="Times New Roman"/>
          <w:sz w:val="24"/>
          <w:szCs w:val="24"/>
        </w:rPr>
        <w:t xml:space="preserve"> load primarily on one principal component that explains about 76 % of the total variance, which I extract and use as a variable of institutional trust.</w:t>
      </w:r>
    </w:p>
    <w:p w14:paraId="14D527B9" w14:textId="422F3D1F" w:rsidR="00856DD3" w:rsidRPr="00C32509" w:rsidRDefault="00F33C66" w:rsidP="0007287A">
      <w:pPr>
        <w:spacing w:line="360" w:lineRule="auto"/>
        <w:jc w:val="both"/>
        <w:rPr>
          <w:rFonts w:ascii="Times New Roman" w:hAnsi="Times New Roman" w:cs="Times New Roman"/>
          <w:sz w:val="24"/>
          <w:szCs w:val="24"/>
        </w:rPr>
      </w:pPr>
      <w:r w:rsidRPr="00C32509">
        <w:rPr>
          <w:rFonts w:ascii="Times New Roman" w:hAnsi="Times New Roman" w:cs="Times New Roman"/>
          <w:sz w:val="24"/>
          <w:szCs w:val="24"/>
        </w:rPr>
        <w:t>(6)</w:t>
      </w:r>
      <w:r w:rsidR="008529EE" w:rsidRPr="00C32509">
        <w:rPr>
          <w:rFonts w:ascii="Times New Roman" w:hAnsi="Times New Roman" w:cs="Times New Roman"/>
          <w:sz w:val="24"/>
          <w:szCs w:val="24"/>
        </w:rPr>
        <w:t xml:space="preserve"> </w:t>
      </w:r>
      <w:r w:rsidR="008529EE" w:rsidRPr="00C32509">
        <w:rPr>
          <w:rFonts w:ascii="Times New Roman" w:hAnsi="Times New Roman" w:cs="Times New Roman"/>
          <w:i/>
          <w:iCs/>
          <w:sz w:val="24"/>
          <w:szCs w:val="24"/>
        </w:rPr>
        <w:t>Social trust</w:t>
      </w:r>
      <w:r w:rsidR="008529EE" w:rsidRPr="00C32509">
        <w:rPr>
          <w:rFonts w:ascii="Times New Roman" w:hAnsi="Times New Roman" w:cs="Times New Roman"/>
          <w:sz w:val="24"/>
          <w:szCs w:val="24"/>
        </w:rPr>
        <w:t xml:space="preserve"> is measured using the validated three-item scale </w:t>
      </w:r>
      <w:r w:rsidR="008529EE" w:rsidRPr="00C32509">
        <w:rPr>
          <w:rFonts w:ascii="Times New Roman" w:hAnsi="Times New Roman" w:cs="Times New Roman"/>
          <w:sz w:val="24"/>
          <w:szCs w:val="24"/>
        </w:rPr>
        <w:fldChar w:fldCharType="begin"/>
      </w:r>
      <w:r w:rsidR="001131A7">
        <w:rPr>
          <w:rFonts w:ascii="Times New Roman" w:hAnsi="Times New Roman" w:cs="Times New Roman"/>
          <w:sz w:val="24"/>
          <w:szCs w:val="24"/>
        </w:rPr>
        <w:instrText xml:space="preserve"> ADDIN ZOTERO_ITEM CSL_CITATION {"citationID":"FRMn4RUJ","properties":{"formattedCitation":"(Dinesen &amp; S\\uc0\\u248{}nderskov, 2015; Reeskens &amp; Hooghe, 2008; Zmerli &amp; Newton, 2008)","plainCitation":"(Dinesen &amp; Sønderskov, 2015; Reeskens &amp; Hooghe, 2008; Zmerli &amp; Newton, 2008)","noteIndex":0},"citationItems":[{"id":1794,"uris":["http://zotero.org/users/6208848/items/MK4AUIHB"],"itemData":{"id":1794,"type":"article-journal","abstract":"We argue that residential exposure to ethnic diversity reduces social trust. Previous within-country analyses of the relationship between contextual ethnic diversity and trust have been conducted at higher levels of aggregation, thus ignoring substantial variation in actual exposure to ethnic diversity. In contrast, we analyze how ethnic diversity of the immediate micro-context—where interethnic exposure is inevitable—affects trust. We do this using Danish survey data linked with register-based data, which enables us to obtain precise measures of the ethnic diversity of each individual’s residential surroundings. We focus on contextual diversity within a radius of 80 meters of a given individual, but we also compare the effect in the micro-context to the impact of diversity in more aggregate contexts. Our results show that ethnic diversity in the micro-context affects trust negatively, whereas the effect vanishes in larger contextual units. This supports the conjecture that interethnic exposure underlies the negative relationship between ethnic diversity in residential contexts and social trust.","container-title":"American Sociological Review","DOI":"10.1177/0003122415577989","ISSN":"0003-1224","issue":"3","journalAbbreviation":"Am Sociol Rev","language":"en","note":"publisher: SAGE Publications Inc","page":"550-573","source":"SAGE Journals","title":"Ethnic Diversity and Social Trust: Evidence from the Micro-Context","title-short":"Ethnic Diversity and Social Trust","volume":"80","author":[{"family":"Dinesen","given":"Peter Thisted"},{"family":"Sønderskov","given":"Kim Mannemar"}],"issued":{"date-parts":[["2015",6,1]]}}},{"id":2001,"uris":["http://zotero.org/users/6208848/items/VQU4SBGE"],"itemData":{"id":2001,"type":"article-journal","abstract":"Generalized trust features as the most prominent attitudinal element of social capital, and as such the concept is widely used in comparative research. In this article we investigate the cross-cultural equivalence of the three-item scale on generalized trust that is included in the European Social Survey 2002 and 2004 waves. The use of metric equivalence tests demonstrates that these tree items can be considered as a reliable and cross-culturally valid concept. If we apply the stricter scalar equivalence test, however, the result is that the scale is not sufficiently equivalent across European societies, with especially the item on expecting help from others showing major problems in a number of countries. We close this article by offering some suggestions on how the generalized trust scale might be used in a (sufficiently) reliable manner in cross-cultural research across Europe.","container-title":"Social Indicators Research","DOI":"10.1007/s11205-007-9100-z","journalAbbreviation":"Social Indicators Research","page":"515-532","source":"ResearchGate","title":"Cross-cultural measurement equivalence of generalized trust. Evidence from the European Social Survey (2002 and 2004)","volume":"85","author":[{"family":"Reeskens","given":"Tim"},{"family":"Hooghe","given":"Marc"}],"issued":{"date-parts":[["2008",2,1]]}}},{"id":2004,"uris":["http://zotero.org/users/6208848/items/ZFI2NSWV"],"itemData":{"id":2004,"type":"article-journal","abstract":"In spite of the great importance attached by social capital theory to the role of social trust in maintaining stable and effective democracy, research has produced rather weak and mixed support for the idea that the socially trusting individuals tend to be politically trusting, and the weight of evidence suggests either a weak or insignificant relationship between social and political trust. The present work, however, reports robust and statistically significant correlations between generalized social trust, on the one hand, and confidence in political institutions and satisfaction with democracy, on the other. The associations are significant in 23 European countries and in the United States. This article argues that its findings are more accurate and more reliable than much of the previous work because they are based on better and more sensitive measures. The results pose a dilemma for future survey work, while reopening possibilities for social capital research.","container-title":"Public Opinion Quarterly","DOI":"10.1093/poq/nfn054","ISSN":"0033-362X","issue":"4","journalAbbreviation":"Public Opinion Quarterly","page":"706-724","source":"Silverchair","title":"Social Trust and Attitudes Toward Democracy","volume":"72","author":[{"family":"Zmerli","given":"Sonja"},{"family":"Newton","given":"Ken"}],"issued":{"date-parts":[["2008",1,1]]}}}],"schema":"https://github.com/citation-style-language/schema/raw/master/csl-citation.json"} </w:instrText>
      </w:r>
      <w:r w:rsidR="008529EE" w:rsidRPr="00C32509">
        <w:rPr>
          <w:rFonts w:ascii="Times New Roman" w:hAnsi="Times New Roman" w:cs="Times New Roman"/>
          <w:sz w:val="24"/>
          <w:szCs w:val="24"/>
        </w:rPr>
        <w:fldChar w:fldCharType="separate"/>
      </w:r>
      <w:r w:rsidR="008529EE" w:rsidRPr="00C32509">
        <w:rPr>
          <w:rFonts w:ascii="Times New Roman" w:hAnsi="Times New Roman" w:cs="Times New Roman"/>
          <w:sz w:val="24"/>
          <w:szCs w:val="24"/>
        </w:rPr>
        <w:t>(Dinesen &amp; Sønderskov, 2015; Reeskens &amp; Hooghe, 2008; Zmerli &amp; Newton, 2008)</w:t>
      </w:r>
      <w:r w:rsidR="008529EE" w:rsidRPr="00C32509">
        <w:rPr>
          <w:rFonts w:ascii="Times New Roman" w:hAnsi="Times New Roman" w:cs="Times New Roman"/>
          <w:sz w:val="24"/>
          <w:szCs w:val="24"/>
        </w:rPr>
        <w:fldChar w:fldCharType="end"/>
      </w:r>
      <w:r w:rsidR="008529EE" w:rsidRPr="00C32509">
        <w:rPr>
          <w:rFonts w:ascii="Times New Roman" w:hAnsi="Times New Roman" w:cs="Times New Roman"/>
          <w:sz w:val="24"/>
          <w:szCs w:val="24"/>
        </w:rPr>
        <w:t xml:space="preserve">. I capture this scale using PCA. </w:t>
      </w:r>
      <w:r w:rsidR="00856DD3" w:rsidRPr="00C32509">
        <w:rPr>
          <w:rFonts w:ascii="Times New Roman" w:hAnsi="Times New Roman" w:cs="Times New Roman"/>
          <w:sz w:val="24"/>
          <w:szCs w:val="24"/>
        </w:rPr>
        <w:t xml:space="preserve">The three questions are asked in the following way: </w:t>
      </w:r>
    </w:p>
    <w:p w14:paraId="00E07683" w14:textId="420E3B44" w:rsidR="00603898" w:rsidRPr="00C452DB" w:rsidRDefault="00603898" w:rsidP="0007287A">
      <w:pPr>
        <w:pStyle w:val="Opstilling-punkttegn"/>
        <w:spacing w:line="360" w:lineRule="auto"/>
        <w:jc w:val="both"/>
        <w:rPr>
          <w:rFonts w:ascii="Times New Roman" w:hAnsi="Times New Roman" w:cs="Times New Roman"/>
          <w:i/>
          <w:iCs/>
          <w:sz w:val="24"/>
          <w:szCs w:val="24"/>
        </w:rPr>
      </w:pPr>
      <w:r w:rsidRPr="00C452DB">
        <w:rPr>
          <w:rFonts w:ascii="Times New Roman" w:hAnsi="Times New Roman" w:cs="Times New Roman"/>
          <w:i/>
          <w:iCs/>
          <w:sz w:val="24"/>
          <w:szCs w:val="24"/>
        </w:rPr>
        <w:t>“Generally speaking, would you say that most people can be trusted, or that you can’t be too careful in dealing with people”</w:t>
      </w:r>
    </w:p>
    <w:p w14:paraId="108E3967" w14:textId="729F1BD8" w:rsidR="00603898" w:rsidRPr="00C452DB" w:rsidRDefault="00603898" w:rsidP="0007287A">
      <w:pPr>
        <w:pStyle w:val="Opstilling-punkttegn"/>
        <w:spacing w:line="360" w:lineRule="auto"/>
        <w:jc w:val="both"/>
        <w:rPr>
          <w:rFonts w:ascii="Times New Roman" w:hAnsi="Times New Roman" w:cs="Times New Roman"/>
          <w:i/>
          <w:iCs/>
          <w:sz w:val="24"/>
          <w:szCs w:val="24"/>
        </w:rPr>
      </w:pPr>
      <w:r w:rsidRPr="00C452DB">
        <w:rPr>
          <w:rFonts w:ascii="Times New Roman" w:hAnsi="Times New Roman" w:cs="Times New Roman"/>
          <w:i/>
          <w:iCs/>
          <w:sz w:val="24"/>
          <w:szCs w:val="24"/>
        </w:rPr>
        <w:t>“Do you think that most people would try to take advantage of you if they got the chance, or would they try to be fair?”</w:t>
      </w:r>
    </w:p>
    <w:p w14:paraId="4EBF3B4F" w14:textId="634687E2" w:rsidR="00856DD3" w:rsidRPr="00C452DB" w:rsidRDefault="00603898" w:rsidP="0007287A">
      <w:pPr>
        <w:pStyle w:val="Opstilling-punkttegn"/>
        <w:spacing w:line="360" w:lineRule="auto"/>
        <w:jc w:val="both"/>
        <w:rPr>
          <w:rFonts w:ascii="Times New Roman" w:hAnsi="Times New Roman" w:cs="Times New Roman"/>
          <w:i/>
          <w:iCs/>
          <w:sz w:val="24"/>
          <w:szCs w:val="24"/>
        </w:rPr>
      </w:pPr>
      <w:r w:rsidRPr="00C452DB">
        <w:rPr>
          <w:rFonts w:ascii="Times New Roman" w:hAnsi="Times New Roman" w:cs="Times New Roman"/>
          <w:i/>
          <w:iCs/>
          <w:sz w:val="24"/>
          <w:szCs w:val="24"/>
        </w:rPr>
        <w:t>“Would you say that most of the time people try to be helpful or that they are mostly looking out for themselves?”</w:t>
      </w:r>
    </w:p>
    <w:p w14:paraId="33824422" w14:textId="6E87EDEC" w:rsidR="009D0A6F" w:rsidRPr="00C32509" w:rsidRDefault="00603898" w:rsidP="0007287A">
      <w:pPr>
        <w:spacing w:line="360" w:lineRule="auto"/>
        <w:jc w:val="both"/>
        <w:rPr>
          <w:rFonts w:ascii="Times New Roman" w:hAnsi="Times New Roman" w:cs="Times New Roman"/>
          <w:sz w:val="24"/>
          <w:szCs w:val="24"/>
        </w:rPr>
      </w:pPr>
      <w:r w:rsidRPr="00C32509">
        <w:rPr>
          <w:rFonts w:ascii="Times New Roman" w:hAnsi="Times New Roman" w:cs="Times New Roman"/>
          <w:sz w:val="24"/>
          <w:szCs w:val="24"/>
        </w:rPr>
        <w:lastRenderedPageBreak/>
        <w:t>The items are measured on an eleven-point scale ranging from 0 (“You can’t be too</w:t>
      </w:r>
      <w:r w:rsidR="00DF072E">
        <w:rPr>
          <w:rFonts w:ascii="Times New Roman" w:hAnsi="Times New Roman" w:cs="Times New Roman"/>
          <w:sz w:val="24"/>
          <w:szCs w:val="24"/>
        </w:rPr>
        <w:t xml:space="preserve"> </w:t>
      </w:r>
      <w:r w:rsidRPr="00C32509">
        <w:rPr>
          <w:rFonts w:ascii="Times New Roman" w:hAnsi="Times New Roman" w:cs="Times New Roman"/>
          <w:sz w:val="24"/>
          <w:szCs w:val="24"/>
        </w:rPr>
        <w:t>careful”/“Most people would try to take advantage of me”/“People mostly look out for</w:t>
      </w:r>
      <w:r w:rsidR="00DF072E">
        <w:rPr>
          <w:rFonts w:ascii="Times New Roman" w:hAnsi="Times New Roman" w:cs="Times New Roman"/>
          <w:sz w:val="24"/>
          <w:szCs w:val="24"/>
        </w:rPr>
        <w:t xml:space="preserve"> </w:t>
      </w:r>
      <w:r w:rsidRPr="00C32509">
        <w:rPr>
          <w:rFonts w:ascii="Times New Roman" w:hAnsi="Times New Roman" w:cs="Times New Roman"/>
          <w:sz w:val="24"/>
          <w:szCs w:val="24"/>
        </w:rPr>
        <w:t>themselves”) to 10 (“Most people can be trusted”/“Most people would try to be fair ”/</w:t>
      </w:r>
      <w:r w:rsidR="00DF072E">
        <w:rPr>
          <w:rFonts w:ascii="Times New Roman" w:hAnsi="Times New Roman" w:cs="Times New Roman"/>
          <w:sz w:val="24"/>
          <w:szCs w:val="24"/>
        </w:rPr>
        <w:t xml:space="preserve"> </w:t>
      </w:r>
      <w:r w:rsidRPr="00C32509">
        <w:rPr>
          <w:rFonts w:ascii="Times New Roman" w:hAnsi="Times New Roman" w:cs="Times New Roman"/>
          <w:sz w:val="24"/>
          <w:szCs w:val="24"/>
        </w:rPr>
        <w:t>“People mostly try to be helpful”).</w:t>
      </w:r>
      <w:r w:rsidR="004D2AA0" w:rsidRPr="00C32509">
        <w:rPr>
          <w:rFonts w:ascii="Times New Roman" w:hAnsi="Times New Roman" w:cs="Times New Roman"/>
          <w:sz w:val="24"/>
          <w:szCs w:val="24"/>
        </w:rPr>
        <w:t xml:space="preserve"> In the PCA,</w:t>
      </w:r>
      <w:r w:rsidRPr="00C32509">
        <w:rPr>
          <w:rFonts w:ascii="Times New Roman" w:hAnsi="Times New Roman" w:cs="Times New Roman"/>
          <w:sz w:val="24"/>
          <w:szCs w:val="24"/>
        </w:rPr>
        <w:t xml:space="preserve"> </w:t>
      </w:r>
      <w:r w:rsidR="004D2AA0" w:rsidRPr="00C32509">
        <w:rPr>
          <w:rFonts w:ascii="Times New Roman" w:hAnsi="Times New Roman" w:cs="Times New Roman"/>
          <w:sz w:val="24"/>
          <w:szCs w:val="24"/>
        </w:rPr>
        <w:t>t</w:t>
      </w:r>
      <w:r w:rsidR="008529EE" w:rsidRPr="00C32509">
        <w:rPr>
          <w:rFonts w:ascii="Times New Roman" w:hAnsi="Times New Roman" w:cs="Times New Roman"/>
          <w:sz w:val="24"/>
          <w:szCs w:val="24"/>
        </w:rPr>
        <w:t>he items load on one principal component that explains about 69 % of the total variance, which I use as a variable measuring social trust.</w:t>
      </w:r>
    </w:p>
    <w:p w14:paraId="4B522A4C" w14:textId="6C6187F4" w:rsidR="008B276C" w:rsidRPr="005F2E81" w:rsidRDefault="0026299D" w:rsidP="005F2E81">
      <w:pPr>
        <w:pStyle w:val="Overskrift2"/>
        <w:rPr>
          <w:rFonts w:ascii="Times New Roman" w:hAnsi="Times New Roman" w:cs="Times New Roman"/>
          <w:b/>
          <w:bCs/>
          <w:color w:val="auto"/>
          <w:sz w:val="28"/>
          <w:szCs w:val="28"/>
        </w:rPr>
      </w:pPr>
      <w:r w:rsidRPr="005F2E81">
        <w:rPr>
          <w:rFonts w:ascii="Times New Roman" w:hAnsi="Times New Roman" w:cs="Times New Roman"/>
          <w:b/>
          <w:bCs/>
          <w:color w:val="auto"/>
          <w:sz w:val="28"/>
          <w:szCs w:val="28"/>
        </w:rPr>
        <w:br w:type="page"/>
      </w:r>
      <w:bookmarkStart w:id="8" w:name="_Toc113820349"/>
      <w:r w:rsidR="008B276C" w:rsidRPr="005F2E81">
        <w:rPr>
          <w:rFonts w:ascii="Times New Roman" w:hAnsi="Times New Roman" w:cs="Times New Roman"/>
          <w:b/>
          <w:bCs/>
          <w:color w:val="auto"/>
          <w:sz w:val="28"/>
          <w:szCs w:val="28"/>
        </w:rPr>
        <w:lastRenderedPageBreak/>
        <w:t>Appendix C</w:t>
      </w:r>
      <w:r w:rsidR="00BF381D" w:rsidRPr="005F2E81">
        <w:rPr>
          <w:rFonts w:ascii="Times New Roman" w:hAnsi="Times New Roman" w:cs="Times New Roman"/>
          <w:b/>
          <w:bCs/>
          <w:color w:val="auto"/>
          <w:sz w:val="28"/>
          <w:szCs w:val="28"/>
        </w:rPr>
        <w:t>.</w:t>
      </w:r>
      <w:r w:rsidR="008B276C" w:rsidRPr="005F2E81">
        <w:rPr>
          <w:rFonts w:ascii="Times New Roman" w:hAnsi="Times New Roman" w:cs="Times New Roman"/>
          <w:b/>
          <w:bCs/>
          <w:color w:val="auto"/>
          <w:sz w:val="28"/>
          <w:szCs w:val="28"/>
        </w:rPr>
        <w:t xml:space="preserve"> </w:t>
      </w:r>
      <w:r w:rsidR="000A1069" w:rsidRPr="005F2E81">
        <w:rPr>
          <w:rFonts w:ascii="Times New Roman" w:hAnsi="Times New Roman" w:cs="Times New Roman"/>
          <w:b/>
          <w:bCs/>
          <w:color w:val="auto"/>
          <w:sz w:val="28"/>
          <w:szCs w:val="28"/>
        </w:rPr>
        <w:t>Two</w:t>
      </w:r>
      <w:r w:rsidR="00622311" w:rsidRPr="005F2E81">
        <w:rPr>
          <w:rFonts w:ascii="Times New Roman" w:hAnsi="Times New Roman" w:cs="Times New Roman"/>
          <w:b/>
          <w:bCs/>
          <w:color w:val="auto"/>
          <w:sz w:val="28"/>
          <w:szCs w:val="28"/>
        </w:rPr>
        <w:t xml:space="preserve">-way </w:t>
      </w:r>
      <w:r w:rsidR="00B258A9" w:rsidRPr="005F2E81">
        <w:rPr>
          <w:rFonts w:ascii="Times New Roman" w:hAnsi="Times New Roman" w:cs="Times New Roman"/>
          <w:b/>
          <w:bCs/>
          <w:color w:val="auto"/>
          <w:sz w:val="28"/>
          <w:szCs w:val="28"/>
        </w:rPr>
        <w:t>fixed effects</w:t>
      </w:r>
      <w:r w:rsidR="00794D2B" w:rsidRPr="005F2E81">
        <w:rPr>
          <w:rFonts w:ascii="Times New Roman" w:hAnsi="Times New Roman" w:cs="Times New Roman"/>
          <w:b/>
          <w:bCs/>
          <w:color w:val="auto"/>
          <w:sz w:val="28"/>
          <w:szCs w:val="28"/>
        </w:rPr>
        <w:t xml:space="preserve"> </w:t>
      </w:r>
      <w:r w:rsidR="00B258A9" w:rsidRPr="005F2E81">
        <w:rPr>
          <w:rFonts w:ascii="Times New Roman" w:hAnsi="Times New Roman" w:cs="Times New Roman"/>
          <w:b/>
          <w:bCs/>
          <w:color w:val="auto"/>
          <w:sz w:val="28"/>
          <w:szCs w:val="28"/>
        </w:rPr>
        <w:t>m</w:t>
      </w:r>
      <w:r w:rsidR="00794D2B" w:rsidRPr="005F2E81">
        <w:rPr>
          <w:rFonts w:ascii="Times New Roman" w:hAnsi="Times New Roman" w:cs="Times New Roman"/>
          <w:b/>
          <w:bCs/>
          <w:color w:val="auto"/>
          <w:sz w:val="28"/>
          <w:szCs w:val="28"/>
        </w:rPr>
        <w:t>odels</w:t>
      </w:r>
      <w:bookmarkEnd w:id="8"/>
    </w:p>
    <w:p w14:paraId="54DB286D" w14:textId="77777777" w:rsidR="00171FBB" w:rsidRDefault="009515CF" w:rsidP="00171FBB">
      <w:pPr>
        <w:spacing w:line="360" w:lineRule="auto"/>
        <w:jc w:val="both"/>
        <w:rPr>
          <w:rFonts w:ascii="Times New Roman" w:hAnsi="Times New Roman" w:cs="Times New Roman"/>
          <w:sz w:val="24"/>
          <w:szCs w:val="24"/>
        </w:rPr>
      </w:pPr>
      <w:r w:rsidRPr="00C32509">
        <w:rPr>
          <w:rFonts w:ascii="Times New Roman" w:hAnsi="Times New Roman" w:cs="Times New Roman"/>
          <w:sz w:val="24"/>
          <w:szCs w:val="24"/>
        </w:rPr>
        <w:t>To analyze the data, I run weighted</w:t>
      </w:r>
      <w:r w:rsidR="0052003E">
        <w:rPr>
          <w:rFonts w:ascii="Times New Roman" w:hAnsi="Times New Roman" w:cs="Times New Roman"/>
          <w:sz w:val="24"/>
          <w:szCs w:val="24"/>
        </w:rPr>
        <w:t xml:space="preserve"> six</w:t>
      </w:r>
      <w:r w:rsidRPr="00C32509">
        <w:rPr>
          <w:rFonts w:ascii="Times New Roman" w:hAnsi="Times New Roman" w:cs="Times New Roman"/>
          <w:sz w:val="24"/>
          <w:szCs w:val="24"/>
        </w:rPr>
        <w:t xml:space="preserve"> two-way fixed effects linear regressions with country-clustered robust standard errors</w:t>
      </w:r>
      <w:r w:rsidR="00A6012D">
        <w:rPr>
          <w:rFonts w:ascii="Times New Roman" w:hAnsi="Times New Roman" w:cs="Times New Roman"/>
          <w:sz w:val="24"/>
          <w:szCs w:val="24"/>
        </w:rPr>
        <w:t>; one for each outcome variable</w:t>
      </w:r>
      <w:r w:rsidRPr="00C32509">
        <w:rPr>
          <w:rFonts w:ascii="Times New Roman" w:hAnsi="Times New Roman" w:cs="Times New Roman"/>
          <w:sz w:val="24"/>
          <w:szCs w:val="24"/>
        </w:rPr>
        <w:t xml:space="preserve">. Table </w:t>
      </w:r>
      <w:r w:rsidR="00576BFE" w:rsidRPr="00C32509">
        <w:rPr>
          <w:rFonts w:ascii="Times New Roman" w:hAnsi="Times New Roman" w:cs="Times New Roman"/>
          <w:sz w:val="24"/>
          <w:szCs w:val="24"/>
        </w:rPr>
        <w:t>C</w:t>
      </w:r>
      <w:r w:rsidRPr="00C32509">
        <w:rPr>
          <w:rFonts w:ascii="Times New Roman" w:hAnsi="Times New Roman" w:cs="Times New Roman"/>
          <w:sz w:val="24"/>
          <w:szCs w:val="24"/>
        </w:rPr>
        <w:t xml:space="preserve">1 and figure </w:t>
      </w:r>
      <w:r w:rsidR="00576BFE" w:rsidRPr="00C32509">
        <w:rPr>
          <w:rFonts w:ascii="Times New Roman" w:hAnsi="Times New Roman" w:cs="Times New Roman"/>
          <w:sz w:val="24"/>
          <w:szCs w:val="24"/>
        </w:rPr>
        <w:t>C</w:t>
      </w:r>
      <w:r w:rsidRPr="00C32509">
        <w:rPr>
          <w:rFonts w:ascii="Times New Roman" w:hAnsi="Times New Roman" w:cs="Times New Roman"/>
          <w:sz w:val="24"/>
          <w:szCs w:val="24"/>
        </w:rPr>
        <w:t>1 display the result</w:t>
      </w:r>
      <w:r w:rsidR="00D436BA">
        <w:rPr>
          <w:rFonts w:ascii="Times New Roman" w:hAnsi="Times New Roman" w:cs="Times New Roman"/>
          <w:sz w:val="24"/>
          <w:szCs w:val="24"/>
        </w:rPr>
        <w:t>s</w:t>
      </w:r>
      <w:r w:rsidR="00C1717C">
        <w:rPr>
          <w:rFonts w:ascii="Times New Roman" w:hAnsi="Times New Roman" w:cs="Times New Roman"/>
          <w:sz w:val="24"/>
          <w:szCs w:val="24"/>
        </w:rPr>
        <w:t>.</w:t>
      </w:r>
      <w:r w:rsidR="00D436BA">
        <w:rPr>
          <w:rFonts w:ascii="Times New Roman" w:hAnsi="Times New Roman" w:cs="Times New Roman"/>
          <w:sz w:val="24"/>
          <w:szCs w:val="24"/>
        </w:rPr>
        <w:t xml:space="preserve"> Figure C1 is identical to figure 1 in the main article</w:t>
      </w:r>
      <w:r w:rsidR="00171FBB">
        <w:rPr>
          <w:rFonts w:ascii="Times New Roman" w:hAnsi="Times New Roman" w:cs="Times New Roman"/>
          <w:sz w:val="24"/>
          <w:szCs w:val="24"/>
        </w:rPr>
        <w:t>.</w:t>
      </w:r>
    </w:p>
    <w:p w14:paraId="1243969A" w14:textId="48E35906" w:rsidR="00760CDD" w:rsidRPr="005F2E81" w:rsidRDefault="00760CDD" w:rsidP="005F2E81">
      <w:pPr>
        <w:pStyle w:val="Overskrift3"/>
        <w:rPr>
          <w:rFonts w:ascii="Times New Roman" w:hAnsi="Times New Roman" w:cs="Times New Roman"/>
          <w:b/>
          <w:bCs/>
          <w:i/>
          <w:iCs/>
          <w:color w:val="auto"/>
        </w:rPr>
      </w:pPr>
      <w:bookmarkStart w:id="9" w:name="_Toc113820350"/>
      <w:r w:rsidRPr="005F2E81">
        <w:rPr>
          <w:rFonts w:ascii="Times New Roman" w:hAnsi="Times New Roman" w:cs="Times New Roman"/>
          <w:b/>
          <w:bCs/>
          <w:i/>
          <w:iCs/>
          <w:color w:val="auto"/>
        </w:rPr>
        <w:t>Table C1: Regression table of main findings from two-way FE approach</w:t>
      </w:r>
      <w:bookmarkEnd w:id="9"/>
    </w:p>
    <w:p w14:paraId="5352F4D7" w14:textId="77777777" w:rsidR="00171FBB" w:rsidRDefault="00171FBB" w:rsidP="00171FBB">
      <w:pPr>
        <w:spacing w:line="360" w:lineRule="auto"/>
        <w:jc w:val="center"/>
        <w:rPr>
          <w:rFonts w:ascii="Times New Roman" w:hAnsi="Times New Roman" w:cs="Times New Roman"/>
          <w:i/>
          <w:iCs/>
          <w:sz w:val="24"/>
          <w:szCs w:val="24"/>
        </w:rPr>
      </w:pPr>
      <w:r w:rsidRPr="00171FBB">
        <w:rPr>
          <w:noProof/>
        </w:rPr>
        <w:drawing>
          <wp:inline distT="0" distB="0" distL="0" distR="0" wp14:anchorId="6E6855CB" wp14:editId="59CC0CF9">
            <wp:extent cx="4559182" cy="6529137"/>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0766" cy="6560048"/>
                    </a:xfrm>
                    <a:prstGeom prst="rect">
                      <a:avLst/>
                    </a:prstGeom>
                    <a:noFill/>
                    <a:ln>
                      <a:noFill/>
                    </a:ln>
                  </pic:spPr>
                </pic:pic>
              </a:graphicData>
            </a:graphic>
          </wp:inline>
        </w:drawing>
      </w:r>
    </w:p>
    <w:p w14:paraId="69478C41" w14:textId="0D1E0282" w:rsidR="00760CDD" w:rsidRPr="00CB2424" w:rsidRDefault="00760CDD" w:rsidP="00171FBB">
      <w:pPr>
        <w:spacing w:line="360" w:lineRule="auto"/>
        <w:rPr>
          <w:rFonts w:ascii="Times New Roman" w:hAnsi="Times New Roman" w:cs="Times New Roman"/>
          <w:i/>
          <w:iCs/>
          <w:sz w:val="24"/>
          <w:szCs w:val="24"/>
        </w:rPr>
        <w:sectPr w:rsidR="00760CDD" w:rsidRPr="00CB2424">
          <w:pgSz w:w="11906" w:h="16838"/>
          <w:pgMar w:top="1440" w:right="1440" w:bottom="1440" w:left="1440" w:header="708" w:footer="708" w:gutter="0"/>
          <w:cols w:space="708"/>
          <w:docGrid w:linePitch="360"/>
        </w:sectPr>
      </w:pPr>
      <w:r w:rsidRPr="00C32509">
        <w:rPr>
          <w:rFonts w:ascii="Times New Roman" w:hAnsi="Times New Roman" w:cs="Times New Roman"/>
          <w:i/>
          <w:iCs/>
          <w:sz w:val="24"/>
          <w:szCs w:val="24"/>
        </w:rPr>
        <w:t xml:space="preserve">Note: Results are based on weighted linear two-way fixed effects models with cluster-robust standard errors. 95% confidence intervals are in brackets. Two-tailed p-values are indicated by </w:t>
      </w:r>
      <w:r w:rsidRPr="00C32509">
        <w:rPr>
          <w:rFonts w:ascii="Times New Roman" w:hAnsi="Times New Roman" w:cs="Times New Roman"/>
          <w:i/>
          <w:iCs/>
          <w:sz w:val="24"/>
          <w:szCs w:val="24"/>
          <w:vertAlign w:val="superscript"/>
        </w:rPr>
        <w:t>+</w:t>
      </w:r>
      <w:r w:rsidRPr="00C32509">
        <w:rPr>
          <w:rFonts w:ascii="Times New Roman" w:hAnsi="Times New Roman" w:cs="Times New Roman"/>
          <w:i/>
          <w:iCs/>
          <w:sz w:val="24"/>
          <w:szCs w:val="24"/>
        </w:rPr>
        <w:t xml:space="preserve">p&lt;0.1, </w:t>
      </w:r>
      <w:r w:rsidRPr="00C32509">
        <w:rPr>
          <w:rFonts w:ascii="Times New Roman" w:hAnsi="Times New Roman" w:cs="Times New Roman"/>
          <w:i/>
          <w:iCs/>
          <w:sz w:val="24"/>
          <w:szCs w:val="24"/>
          <w:vertAlign w:val="superscript"/>
        </w:rPr>
        <w:t xml:space="preserve">* </w:t>
      </w:r>
      <w:r w:rsidRPr="00C32509">
        <w:rPr>
          <w:rFonts w:ascii="Times New Roman" w:hAnsi="Times New Roman" w:cs="Times New Roman"/>
          <w:i/>
          <w:iCs/>
          <w:sz w:val="24"/>
          <w:szCs w:val="24"/>
        </w:rPr>
        <w:t>p&lt;0.05,</w:t>
      </w:r>
      <w:r w:rsidRPr="00C32509">
        <w:rPr>
          <w:rFonts w:ascii="Times New Roman" w:hAnsi="Times New Roman" w:cs="Times New Roman"/>
          <w:i/>
          <w:iCs/>
          <w:sz w:val="24"/>
          <w:szCs w:val="24"/>
          <w:vertAlign w:val="superscript"/>
        </w:rPr>
        <w:t xml:space="preserve"> **</w:t>
      </w:r>
      <w:r w:rsidRPr="00C32509">
        <w:rPr>
          <w:rFonts w:ascii="Times New Roman" w:hAnsi="Times New Roman" w:cs="Times New Roman"/>
          <w:i/>
          <w:iCs/>
          <w:sz w:val="24"/>
          <w:szCs w:val="24"/>
        </w:rPr>
        <w:t xml:space="preserve">p&lt;0.01, </w:t>
      </w:r>
      <w:r w:rsidRPr="00C32509">
        <w:rPr>
          <w:rFonts w:ascii="Times New Roman" w:hAnsi="Times New Roman" w:cs="Times New Roman"/>
          <w:i/>
          <w:iCs/>
          <w:sz w:val="24"/>
          <w:szCs w:val="24"/>
          <w:vertAlign w:val="superscript"/>
        </w:rPr>
        <w:t>***</w:t>
      </w:r>
      <w:r w:rsidRPr="00C32509">
        <w:rPr>
          <w:rFonts w:ascii="Times New Roman" w:hAnsi="Times New Roman" w:cs="Times New Roman"/>
          <w:i/>
          <w:iCs/>
          <w:sz w:val="24"/>
          <w:szCs w:val="24"/>
        </w:rPr>
        <w:t xml:space="preserve"> p&lt;0.001</w:t>
      </w:r>
    </w:p>
    <w:p w14:paraId="64752E4C" w14:textId="6EB6D401" w:rsidR="00C4156F" w:rsidRPr="00F52E38" w:rsidRDefault="00CD7378" w:rsidP="00C4156F">
      <w:pPr>
        <w:pStyle w:val="Overskrift3"/>
        <w:spacing w:line="360" w:lineRule="auto"/>
        <w:rPr>
          <w:rFonts w:ascii="Times New Roman" w:hAnsi="Times New Roman" w:cs="Times New Roman"/>
          <w:i/>
          <w:iCs/>
          <w:color w:val="auto"/>
        </w:rPr>
      </w:pPr>
      <w:bookmarkStart w:id="10" w:name="_Toc113820351"/>
      <w:r>
        <w:rPr>
          <w:noProof/>
        </w:rPr>
        <w:lastRenderedPageBreak/>
        <w:drawing>
          <wp:anchor distT="0" distB="0" distL="114300" distR="114300" simplePos="0" relativeHeight="251654144" behindDoc="1" locked="0" layoutInCell="1" allowOverlap="1" wp14:anchorId="57A2B1F7" wp14:editId="3BC1CA6C">
            <wp:simplePos x="0" y="0"/>
            <wp:positionH relativeFrom="column">
              <wp:posOffset>-444045</wp:posOffset>
            </wp:positionH>
            <wp:positionV relativeFrom="paragraph">
              <wp:posOffset>483870</wp:posOffset>
            </wp:positionV>
            <wp:extent cx="6519545" cy="4625975"/>
            <wp:effectExtent l="0" t="0" r="0" b="3175"/>
            <wp:wrapTight wrapText="bothSides">
              <wp:wrapPolygon edited="0">
                <wp:start x="0" y="0"/>
                <wp:lineTo x="0" y="21526"/>
                <wp:lineTo x="21522" y="21526"/>
                <wp:lineTo x="21522" y="0"/>
                <wp:lineTo x="0" y="0"/>
              </wp:wrapPolygon>
            </wp:wrapTight>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519545" cy="4625975"/>
                    </a:xfrm>
                    <a:prstGeom prst="rect">
                      <a:avLst/>
                    </a:prstGeom>
                  </pic:spPr>
                </pic:pic>
              </a:graphicData>
            </a:graphic>
          </wp:anchor>
        </w:drawing>
      </w:r>
      <w:r w:rsidR="00C4156F" w:rsidRPr="00F52E38">
        <w:rPr>
          <w:rFonts w:ascii="Times New Roman" w:hAnsi="Times New Roman" w:cs="Times New Roman"/>
          <w:b/>
          <w:bCs/>
          <w:color w:val="auto"/>
        </w:rPr>
        <w:t>Figure C1: Coefficient plot of main findings from two-way FE approach</w:t>
      </w:r>
      <w:bookmarkEnd w:id="10"/>
    </w:p>
    <w:p w14:paraId="66F4E9BC" w14:textId="77777777" w:rsidR="00F66015" w:rsidRDefault="00F66015" w:rsidP="00C4156F">
      <w:pPr>
        <w:spacing w:line="360" w:lineRule="auto"/>
        <w:jc w:val="both"/>
        <w:rPr>
          <w:rFonts w:ascii="Times New Roman" w:hAnsi="Times New Roman" w:cs="Times New Roman"/>
          <w:i/>
          <w:iCs/>
          <w:sz w:val="24"/>
          <w:szCs w:val="24"/>
        </w:rPr>
      </w:pPr>
    </w:p>
    <w:p w14:paraId="45CB1C95" w14:textId="27C5B672" w:rsidR="00C4156F" w:rsidRPr="00C32509" w:rsidRDefault="00C4156F" w:rsidP="00C4156F">
      <w:pPr>
        <w:spacing w:line="360" w:lineRule="auto"/>
        <w:jc w:val="both"/>
        <w:rPr>
          <w:rFonts w:ascii="Times New Roman" w:hAnsi="Times New Roman" w:cs="Times New Roman"/>
          <w:i/>
          <w:iCs/>
          <w:sz w:val="24"/>
          <w:szCs w:val="24"/>
        </w:rPr>
      </w:pPr>
      <w:r w:rsidRPr="00C32509">
        <w:rPr>
          <w:rFonts w:ascii="Times New Roman" w:hAnsi="Times New Roman" w:cs="Times New Roman"/>
          <w:i/>
          <w:iCs/>
          <w:sz w:val="24"/>
          <w:szCs w:val="24"/>
        </w:rPr>
        <w:t>Note: Point estimates and associated 90 and 95% (two-tailed) confidence intervals</w:t>
      </w:r>
      <w:r>
        <w:rPr>
          <w:rFonts w:ascii="Times New Roman" w:hAnsi="Times New Roman" w:cs="Times New Roman"/>
          <w:i/>
          <w:iCs/>
          <w:sz w:val="24"/>
          <w:szCs w:val="24"/>
        </w:rPr>
        <w:t xml:space="preserve"> (thin grey and thick black lines)</w:t>
      </w:r>
      <w:r w:rsidRPr="00C32509">
        <w:rPr>
          <w:rFonts w:ascii="Times New Roman" w:hAnsi="Times New Roman" w:cs="Times New Roman"/>
          <w:i/>
          <w:iCs/>
          <w:sz w:val="24"/>
          <w:szCs w:val="24"/>
        </w:rPr>
        <w:t xml:space="preserve"> are based on weighted linear two-way fixed effects models with cluster-robust standard errors. </w:t>
      </w:r>
    </w:p>
    <w:p w14:paraId="78DC813C" w14:textId="77777777" w:rsidR="00463645" w:rsidRDefault="00463645" w:rsidP="00816B9C">
      <w:pPr>
        <w:sectPr w:rsidR="00463645" w:rsidSect="00C4156F">
          <w:pgSz w:w="11906" w:h="16838"/>
          <w:pgMar w:top="1440" w:right="1440" w:bottom="1440" w:left="1440" w:header="706" w:footer="706" w:gutter="0"/>
          <w:cols w:space="708"/>
          <w:docGrid w:linePitch="360"/>
        </w:sectPr>
      </w:pPr>
    </w:p>
    <w:p w14:paraId="030D73A1" w14:textId="2919E776" w:rsidR="001E1172" w:rsidRPr="005F2E81" w:rsidRDefault="001E1172" w:rsidP="005F2E81">
      <w:pPr>
        <w:pStyle w:val="Overskrift2"/>
        <w:rPr>
          <w:rFonts w:ascii="Times New Roman" w:hAnsi="Times New Roman" w:cs="Times New Roman"/>
          <w:b/>
          <w:bCs/>
          <w:color w:val="auto"/>
          <w:sz w:val="28"/>
          <w:szCs w:val="28"/>
        </w:rPr>
      </w:pPr>
      <w:bookmarkStart w:id="11" w:name="_Toc113820352"/>
      <w:r w:rsidRPr="005F2E81">
        <w:rPr>
          <w:rFonts w:ascii="Times New Roman" w:hAnsi="Times New Roman" w:cs="Times New Roman"/>
          <w:b/>
          <w:bCs/>
          <w:color w:val="auto"/>
          <w:sz w:val="28"/>
          <w:szCs w:val="28"/>
        </w:rPr>
        <w:lastRenderedPageBreak/>
        <w:t xml:space="preserve">Appendix </w:t>
      </w:r>
      <w:r w:rsidR="00870A87" w:rsidRPr="005F2E81">
        <w:rPr>
          <w:rFonts w:ascii="Times New Roman" w:hAnsi="Times New Roman" w:cs="Times New Roman"/>
          <w:b/>
          <w:bCs/>
          <w:color w:val="auto"/>
          <w:sz w:val="28"/>
          <w:szCs w:val="28"/>
        </w:rPr>
        <w:t>D</w:t>
      </w:r>
      <w:r w:rsidR="00BF381D" w:rsidRPr="005F2E81">
        <w:rPr>
          <w:rFonts w:ascii="Times New Roman" w:hAnsi="Times New Roman" w:cs="Times New Roman"/>
          <w:b/>
          <w:bCs/>
          <w:color w:val="auto"/>
          <w:sz w:val="28"/>
          <w:szCs w:val="28"/>
        </w:rPr>
        <w:t>.</w:t>
      </w:r>
      <w:r w:rsidRPr="005F2E81">
        <w:rPr>
          <w:rFonts w:ascii="Times New Roman" w:hAnsi="Times New Roman" w:cs="Times New Roman"/>
          <w:b/>
          <w:bCs/>
          <w:color w:val="auto"/>
          <w:sz w:val="28"/>
          <w:szCs w:val="28"/>
        </w:rPr>
        <w:t xml:space="preserve"> Two-</w:t>
      </w:r>
      <w:r w:rsidR="001B1BE9" w:rsidRPr="005F2E81">
        <w:rPr>
          <w:rFonts w:ascii="Times New Roman" w:hAnsi="Times New Roman" w:cs="Times New Roman"/>
          <w:b/>
          <w:bCs/>
          <w:color w:val="auto"/>
          <w:sz w:val="28"/>
          <w:szCs w:val="28"/>
        </w:rPr>
        <w:t>w</w:t>
      </w:r>
      <w:r w:rsidRPr="005F2E81">
        <w:rPr>
          <w:rFonts w:ascii="Times New Roman" w:hAnsi="Times New Roman" w:cs="Times New Roman"/>
          <w:b/>
          <w:bCs/>
          <w:color w:val="auto"/>
          <w:sz w:val="28"/>
          <w:szCs w:val="28"/>
        </w:rPr>
        <w:t xml:space="preserve">ay </w:t>
      </w:r>
      <w:r w:rsidR="001B1BE9" w:rsidRPr="005F2E81">
        <w:rPr>
          <w:rFonts w:ascii="Times New Roman" w:hAnsi="Times New Roman" w:cs="Times New Roman"/>
          <w:b/>
          <w:bCs/>
          <w:color w:val="auto"/>
          <w:sz w:val="28"/>
          <w:szCs w:val="28"/>
        </w:rPr>
        <w:t>f</w:t>
      </w:r>
      <w:r w:rsidRPr="005F2E81">
        <w:rPr>
          <w:rFonts w:ascii="Times New Roman" w:hAnsi="Times New Roman" w:cs="Times New Roman"/>
          <w:b/>
          <w:bCs/>
          <w:color w:val="auto"/>
          <w:sz w:val="28"/>
          <w:szCs w:val="28"/>
        </w:rPr>
        <w:t xml:space="preserve">ixed </w:t>
      </w:r>
      <w:r w:rsidR="001B1BE9" w:rsidRPr="005F2E81">
        <w:rPr>
          <w:rFonts w:ascii="Times New Roman" w:hAnsi="Times New Roman" w:cs="Times New Roman"/>
          <w:b/>
          <w:bCs/>
          <w:color w:val="auto"/>
          <w:sz w:val="28"/>
          <w:szCs w:val="28"/>
        </w:rPr>
        <w:t>e</w:t>
      </w:r>
      <w:r w:rsidRPr="005F2E81">
        <w:rPr>
          <w:rFonts w:ascii="Times New Roman" w:hAnsi="Times New Roman" w:cs="Times New Roman"/>
          <w:b/>
          <w:bCs/>
          <w:color w:val="auto"/>
          <w:sz w:val="28"/>
          <w:szCs w:val="28"/>
        </w:rPr>
        <w:t>ffects</w:t>
      </w:r>
      <w:r w:rsidR="00BF381D" w:rsidRPr="005F2E81">
        <w:rPr>
          <w:rFonts w:ascii="Times New Roman" w:hAnsi="Times New Roman" w:cs="Times New Roman"/>
          <w:b/>
          <w:bCs/>
          <w:color w:val="auto"/>
          <w:sz w:val="28"/>
          <w:szCs w:val="28"/>
        </w:rPr>
        <w:t>:</w:t>
      </w:r>
      <w:r w:rsidRPr="005F2E81">
        <w:rPr>
          <w:rFonts w:ascii="Times New Roman" w:hAnsi="Times New Roman" w:cs="Times New Roman"/>
          <w:b/>
          <w:bCs/>
          <w:color w:val="auto"/>
          <w:sz w:val="28"/>
          <w:szCs w:val="28"/>
        </w:rPr>
        <w:t xml:space="preserve"> </w:t>
      </w:r>
      <w:r w:rsidR="00EA7324" w:rsidRPr="005F2E81">
        <w:rPr>
          <w:rFonts w:ascii="Times New Roman" w:hAnsi="Times New Roman" w:cs="Times New Roman"/>
          <w:b/>
          <w:bCs/>
          <w:color w:val="auto"/>
          <w:sz w:val="28"/>
          <w:szCs w:val="28"/>
        </w:rPr>
        <w:t>Characteristics of the electoral systems</w:t>
      </w:r>
      <w:bookmarkEnd w:id="11"/>
    </w:p>
    <w:p w14:paraId="4AFE0995" w14:textId="563457CC" w:rsidR="004E7E64" w:rsidRDefault="00E41914" w:rsidP="0007287A">
      <w:pPr>
        <w:spacing w:line="360" w:lineRule="auto"/>
        <w:jc w:val="both"/>
        <w:rPr>
          <w:rFonts w:ascii="Times New Roman" w:hAnsi="Times New Roman" w:cs="Times New Roman"/>
          <w:sz w:val="24"/>
          <w:szCs w:val="24"/>
        </w:rPr>
      </w:pPr>
      <w:r w:rsidRPr="00E41914">
        <w:rPr>
          <w:rFonts w:ascii="Times New Roman" w:hAnsi="Times New Roman" w:cs="Times New Roman"/>
          <w:sz w:val="24"/>
          <w:szCs w:val="24"/>
        </w:rPr>
        <w:t xml:space="preserve">One might be concerned </w:t>
      </w:r>
      <w:r w:rsidR="0012026A">
        <w:rPr>
          <w:rFonts w:ascii="Times New Roman" w:hAnsi="Times New Roman" w:cs="Times New Roman"/>
          <w:sz w:val="24"/>
          <w:szCs w:val="24"/>
        </w:rPr>
        <w:t xml:space="preserve">that the main </w:t>
      </w:r>
      <w:r w:rsidRPr="00E41914">
        <w:rPr>
          <w:rFonts w:ascii="Times New Roman" w:hAnsi="Times New Roman" w:cs="Times New Roman"/>
          <w:sz w:val="24"/>
          <w:szCs w:val="24"/>
        </w:rPr>
        <w:t xml:space="preserve">results are contingent on the characteristics of the electoral systems. To alleviate this concern, I re-estimate the </w:t>
      </w:r>
      <w:r w:rsidR="0095054B">
        <w:rPr>
          <w:rFonts w:ascii="Times New Roman" w:hAnsi="Times New Roman" w:cs="Times New Roman"/>
          <w:sz w:val="24"/>
          <w:szCs w:val="24"/>
        </w:rPr>
        <w:t>two</w:t>
      </w:r>
      <w:r w:rsidR="001B5BD3">
        <w:rPr>
          <w:rFonts w:ascii="Times New Roman" w:hAnsi="Times New Roman" w:cs="Times New Roman"/>
          <w:sz w:val="24"/>
          <w:szCs w:val="24"/>
        </w:rPr>
        <w:t>-way FE models</w:t>
      </w:r>
      <w:r w:rsidRPr="00E41914">
        <w:rPr>
          <w:rFonts w:ascii="Times New Roman" w:hAnsi="Times New Roman" w:cs="Times New Roman"/>
          <w:sz w:val="24"/>
          <w:szCs w:val="24"/>
        </w:rPr>
        <w:t xml:space="preserve"> </w:t>
      </w:r>
      <w:r w:rsidR="00C020D5">
        <w:rPr>
          <w:rFonts w:ascii="Times New Roman" w:hAnsi="Times New Roman" w:cs="Times New Roman"/>
          <w:sz w:val="24"/>
          <w:szCs w:val="24"/>
        </w:rPr>
        <w:t>separately</w:t>
      </w:r>
      <w:r w:rsidRPr="00E41914">
        <w:rPr>
          <w:rFonts w:ascii="Times New Roman" w:hAnsi="Times New Roman" w:cs="Times New Roman"/>
          <w:sz w:val="24"/>
          <w:szCs w:val="24"/>
        </w:rPr>
        <w:t xml:space="preserve"> </w:t>
      </w:r>
      <w:r w:rsidR="00BC3761">
        <w:rPr>
          <w:rFonts w:ascii="Times New Roman" w:hAnsi="Times New Roman" w:cs="Times New Roman"/>
          <w:sz w:val="24"/>
          <w:szCs w:val="24"/>
        </w:rPr>
        <w:t>for</w:t>
      </w:r>
      <w:r w:rsidRPr="00E41914">
        <w:rPr>
          <w:rFonts w:ascii="Times New Roman" w:hAnsi="Times New Roman" w:cs="Times New Roman"/>
          <w:sz w:val="24"/>
          <w:szCs w:val="24"/>
        </w:rPr>
        <w:t xml:space="preserve"> countries that use a proportional voting system and </w:t>
      </w:r>
      <w:r w:rsidR="00D73280">
        <w:rPr>
          <w:rFonts w:ascii="Times New Roman" w:hAnsi="Times New Roman" w:cs="Times New Roman"/>
          <w:sz w:val="24"/>
          <w:szCs w:val="24"/>
        </w:rPr>
        <w:t xml:space="preserve">for </w:t>
      </w:r>
      <w:r w:rsidRPr="00E41914">
        <w:rPr>
          <w:rFonts w:ascii="Times New Roman" w:hAnsi="Times New Roman" w:cs="Times New Roman"/>
          <w:sz w:val="24"/>
          <w:szCs w:val="24"/>
        </w:rPr>
        <w:t xml:space="preserve">countries </w:t>
      </w:r>
      <w:r w:rsidR="003975AE">
        <w:rPr>
          <w:rFonts w:ascii="Times New Roman" w:hAnsi="Times New Roman" w:cs="Times New Roman"/>
          <w:sz w:val="24"/>
          <w:szCs w:val="24"/>
        </w:rPr>
        <w:t>with an</w:t>
      </w:r>
      <w:r w:rsidR="00380077">
        <w:rPr>
          <w:rFonts w:ascii="Times New Roman" w:hAnsi="Times New Roman" w:cs="Times New Roman"/>
          <w:sz w:val="24"/>
          <w:szCs w:val="24"/>
        </w:rPr>
        <w:t xml:space="preserve"> electoral system </w:t>
      </w:r>
      <w:r w:rsidR="007F12AB">
        <w:rPr>
          <w:rFonts w:ascii="Times New Roman" w:hAnsi="Times New Roman" w:cs="Times New Roman"/>
          <w:sz w:val="24"/>
          <w:szCs w:val="24"/>
        </w:rPr>
        <w:t>that has</w:t>
      </w:r>
      <w:r w:rsidR="00380077">
        <w:rPr>
          <w:rFonts w:ascii="Times New Roman" w:hAnsi="Times New Roman" w:cs="Times New Roman"/>
          <w:sz w:val="24"/>
          <w:szCs w:val="24"/>
        </w:rPr>
        <w:t xml:space="preserve"> a legally defined</w:t>
      </w:r>
      <w:r w:rsidRPr="00E41914">
        <w:rPr>
          <w:rFonts w:ascii="Times New Roman" w:hAnsi="Times New Roman" w:cs="Times New Roman"/>
          <w:sz w:val="24"/>
          <w:szCs w:val="24"/>
        </w:rPr>
        <w:t xml:space="preserve"> </w:t>
      </w:r>
      <w:r w:rsidR="005C14C8">
        <w:rPr>
          <w:rFonts w:ascii="Times New Roman" w:hAnsi="Times New Roman" w:cs="Times New Roman"/>
          <w:sz w:val="24"/>
          <w:szCs w:val="24"/>
        </w:rPr>
        <w:t xml:space="preserve">voting </w:t>
      </w:r>
      <w:r w:rsidRPr="00E41914">
        <w:rPr>
          <w:rFonts w:ascii="Times New Roman" w:hAnsi="Times New Roman" w:cs="Times New Roman"/>
          <w:sz w:val="24"/>
          <w:szCs w:val="24"/>
        </w:rPr>
        <w:t xml:space="preserve">threshold. Figure </w:t>
      </w:r>
      <w:r w:rsidR="00B77285">
        <w:rPr>
          <w:rFonts w:ascii="Times New Roman" w:hAnsi="Times New Roman" w:cs="Times New Roman"/>
          <w:sz w:val="24"/>
          <w:szCs w:val="24"/>
        </w:rPr>
        <w:t>D</w:t>
      </w:r>
      <w:r w:rsidR="00365CBF">
        <w:rPr>
          <w:rFonts w:ascii="Times New Roman" w:hAnsi="Times New Roman" w:cs="Times New Roman"/>
          <w:sz w:val="24"/>
          <w:szCs w:val="24"/>
        </w:rPr>
        <w:t>1</w:t>
      </w:r>
      <w:r w:rsidRPr="00E41914">
        <w:rPr>
          <w:rFonts w:ascii="Times New Roman" w:hAnsi="Times New Roman" w:cs="Times New Roman"/>
          <w:sz w:val="24"/>
          <w:szCs w:val="24"/>
        </w:rPr>
        <w:t xml:space="preserve"> shows </w:t>
      </w:r>
      <w:r w:rsidR="00CF5675">
        <w:rPr>
          <w:rFonts w:ascii="Times New Roman" w:hAnsi="Times New Roman" w:cs="Times New Roman"/>
          <w:sz w:val="24"/>
          <w:szCs w:val="24"/>
        </w:rPr>
        <w:t>that the estimates</w:t>
      </w:r>
      <w:r w:rsidR="00072F56">
        <w:rPr>
          <w:rFonts w:ascii="Times New Roman" w:hAnsi="Times New Roman" w:cs="Times New Roman"/>
          <w:sz w:val="24"/>
          <w:szCs w:val="24"/>
        </w:rPr>
        <w:t>,</w:t>
      </w:r>
      <w:r w:rsidR="00CF5675">
        <w:rPr>
          <w:rFonts w:ascii="Times New Roman" w:hAnsi="Times New Roman" w:cs="Times New Roman"/>
          <w:sz w:val="24"/>
          <w:szCs w:val="24"/>
        </w:rPr>
        <w:t xml:space="preserve"> when </w:t>
      </w:r>
      <w:r w:rsidR="00072F56">
        <w:rPr>
          <w:rFonts w:ascii="Times New Roman" w:hAnsi="Times New Roman" w:cs="Times New Roman"/>
          <w:sz w:val="24"/>
          <w:szCs w:val="24"/>
        </w:rPr>
        <w:t>restricting the analysis to</w:t>
      </w:r>
      <w:r w:rsidR="00CF5675">
        <w:rPr>
          <w:rFonts w:ascii="Times New Roman" w:hAnsi="Times New Roman" w:cs="Times New Roman"/>
          <w:sz w:val="24"/>
          <w:szCs w:val="24"/>
        </w:rPr>
        <w:t xml:space="preserve"> these</w:t>
      </w:r>
      <w:r w:rsidR="00DF0BC6">
        <w:rPr>
          <w:rFonts w:ascii="Times New Roman" w:hAnsi="Times New Roman" w:cs="Times New Roman"/>
          <w:sz w:val="24"/>
          <w:szCs w:val="24"/>
        </w:rPr>
        <w:t xml:space="preserve"> two</w:t>
      </w:r>
      <w:r w:rsidR="00CF5675">
        <w:rPr>
          <w:rFonts w:ascii="Times New Roman" w:hAnsi="Times New Roman" w:cs="Times New Roman"/>
          <w:sz w:val="24"/>
          <w:szCs w:val="24"/>
        </w:rPr>
        <w:t xml:space="preserve"> sample definitions</w:t>
      </w:r>
      <w:r w:rsidR="00072F56">
        <w:rPr>
          <w:rFonts w:ascii="Times New Roman" w:hAnsi="Times New Roman" w:cs="Times New Roman"/>
          <w:sz w:val="24"/>
          <w:szCs w:val="24"/>
        </w:rPr>
        <w:t>,</w:t>
      </w:r>
      <w:r w:rsidR="00CF5675">
        <w:rPr>
          <w:rFonts w:ascii="Times New Roman" w:hAnsi="Times New Roman" w:cs="Times New Roman"/>
          <w:sz w:val="24"/>
          <w:szCs w:val="24"/>
        </w:rPr>
        <w:t xml:space="preserve"> are very similar to </w:t>
      </w:r>
      <w:r w:rsidR="00383FBC">
        <w:rPr>
          <w:rFonts w:ascii="Times New Roman" w:hAnsi="Times New Roman" w:cs="Times New Roman"/>
          <w:sz w:val="24"/>
          <w:szCs w:val="24"/>
        </w:rPr>
        <w:t>the</w:t>
      </w:r>
      <w:r w:rsidR="003713E8">
        <w:rPr>
          <w:rFonts w:ascii="Times New Roman" w:hAnsi="Times New Roman" w:cs="Times New Roman"/>
          <w:sz w:val="24"/>
          <w:szCs w:val="24"/>
        </w:rPr>
        <w:t xml:space="preserve"> main</w:t>
      </w:r>
      <w:r w:rsidR="00383FBC">
        <w:rPr>
          <w:rFonts w:ascii="Times New Roman" w:hAnsi="Times New Roman" w:cs="Times New Roman"/>
          <w:sz w:val="24"/>
          <w:szCs w:val="24"/>
        </w:rPr>
        <w:t xml:space="preserve"> </w:t>
      </w:r>
      <w:r w:rsidR="007A12F9">
        <w:rPr>
          <w:rFonts w:ascii="Times New Roman" w:hAnsi="Times New Roman" w:cs="Times New Roman"/>
          <w:sz w:val="24"/>
          <w:szCs w:val="24"/>
        </w:rPr>
        <w:t xml:space="preserve">results presented in table </w:t>
      </w:r>
      <w:r w:rsidR="0013088A">
        <w:rPr>
          <w:rFonts w:ascii="Times New Roman" w:hAnsi="Times New Roman" w:cs="Times New Roman"/>
          <w:sz w:val="24"/>
          <w:szCs w:val="24"/>
        </w:rPr>
        <w:t>C</w:t>
      </w:r>
      <w:r w:rsidR="007A12F9">
        <w:rPr>
          <w:rFonts w:ascii="Times New Roman" w:hAnsi="Times New Roman" w:cs="Times New Roman"/>
          <w:sz w:val="24"/>
          <w:szCs w:val="24"/>
        </w:rPr>
        <w:t>1</w:t>
      </w:r>
      <w:r w:rsidR="0013088A">
        <w:rPr>
          <w:rFonts w:ascii="Times New Roman" w:hAnsi="Times New Roman" w:cs="Times New Roman"/>
          <w:sz w:val="24"/>
          <w:szCs w:val="24"/>
        </w:rPr>
        <w:t xml:space="preserve"> and figure C1</w:t>
      </w:r>
      <w:r w:rsidR="00383FBC">
        <w:rPr>
          <w:rFonts w:ascii="Times New Roman" w:hAnsi="Times New Roman" w:cs="Times New Roman"/>
          <w:sz w:val="24"/>
          <w:szCs w:val="24"/>
        </w:rPr>
        <w:t xml:space="preserve">. </w:t>
      </w:r>
    </w:p>
    <w:p w14:paraId="6460002D" w14:textId="6682CA6A" w:rsidR="0001326E" w:rsidRPr="00F5726B" w:rsidRDefault="0001326E" w:rsidP="0007287A">
      <w:pPr>
        <w:pStyle w:val="Overskrift3"/>
        <w:spacing w:line="360" w:lineRule="auto"/>
        <w:rPr>
          <w:rFonts w:ascii="Times New Roman" w:hAnsi="Times New Roman" w:cs="Times New Roman"/>
          <w:b/>
          <w:bCs/>
          <w:color w:val="auto"/>
        </w:rPr>
      </w:pPr>
      <w:bookmarkStart w:id="12" w:name="_Toc113820353"/>
      <w:r w:rsidRPr="00F5726B">
        <w:rPr>
          <w:rFonts w:ascii="Times New Roman" w:hAnsi="Times New Roman" w:cs="Times New Roman"/>
          <w:b/>
          <w:bCs/>
          <w:color w:val="auto"/>
        </w:rPr>
        <w:lastRenderedPageBreak/>
        <w:t xml:space="preserve">Figure </w:t>
      </w:r>
      <w:r w:rsidR="00D7152F" w:rsidRPr="00F5726B">
        <w:rPr>
          <w:rFonts w:ascii="Times New Roman" w:hAnsi="Times New Roman" w:cs="Times New Roman"/>
          <w:b/>
          <w:bCs/>
          <w:color w:val="auto"/>
        </w:rPr>
        <w:t>D</w:t>
      </w:r>
      <w:r w:rsidRPr="00F5726B">
        <w:rPr>
          <w:rFonts w:ascii="Times New Roman" w:hAnsi="Times New Roman" w:cs="Times New Roman"/>
          <w:b/>
          <w:bCs/>
          <w:color w:val="auto"/>
        </w:rPr>
        <w:t>1:</w:t>
      </w:r>
      <w:r w:rsidR="00715BED">
        <w:rPr>
          <w:rFonts w:ascii="Times New Roman" w:hAnsi="Times New Roman" w:cs="Times New Roman"/>
          <w:b/>
          <w:bCs/>
          <w:color w:val="auto"/>
        </w:rPr>
        <w:t xml:space="preserve"> Effect sizes across sample definitions</w:t>
      </w:r>
      <w:bookmarkEnd w:id="12"/>
    </w:p>
    <w:p w14:paraId="6A576642" w14:textId="788F127A" w:rsidR="00EB2E72" w:rsidRPr="00C32509" w:rsidRDefault="00A30A5C" w:rsidP="004E0F5B">
      <w:pPr>
        <w:spacing w:line="360" w:lineRule="auto"/>
        <w:jc w:val="center"/>
      </w:pPr>
      <w:r>
        <w:rPr>
          <w:noProof/>
        </w:rPr>
        <w:drawing>
          <wp:inline distT="0" distB="0" distL="0" distR="0" wp14:anchorId="23C4BCA5" wp14:editId="74091694">
            <wp:extent cx="5691753" cy="70739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694"/>
                    <a:stretch/>
                  </pic:blipFill>
                  <pic:spPr bwMode="auto">
                    <a:xfrm>
                      <a:off x="0" y="0"/>
                      <a:ext cx="5691753" cy="7073900"/>
                    </a:xfrm>
                    <a:prstGeom prst="rect">
                      <a:avLst/>
                    </a:prstGeom>
                    <a:ln>
                      <a:noFill/>
                    </a:ln>
                    <a:extLst>
                      <a:ext uri="{53640926-AAD7-44D8-BBD7-CCE9431645EC}">
                        <a14:shadowObscured xmlns:a14="http://schemas.microsoft.com/office/drawing/2010/main"/>
                      </a:ext>
                    </a:extLst>
                  </pic:spPr>
                </pic:pic>
              </a:graphicData>
            </a:graphic>
          </wp:inline>
        </w:drawing>
      </w:r>
    </w:p>
    <w:p w14:paraId="67A98352" w14:textId="62DB81F6" w:rsidR="007823ED" w:rsidRPr="0026299D" w:rsidRDefault="00925A2F" w:rsidP="0026299D">
      <w:pPr>
        <w:spacing w:line="360" w:lineRule="auto"/>
        <w:jc w:val="both"/>
        <w:rPr>
          <w:rFonts w:ascii="Times New Roman" w:hAnsi="Times New Roman" w:cs="Times New Roman"/>
          <w:i/>
          <w:iCs/>
          <w:sz w:val="24"/>
          <w:szCs w:val="24"/>
        </w:rPr>
      </w:pPr>
      <w:r w:rsidRPr="00C32509">
        <w:rPr>
          <w:rFonts w:ascii="Times New Roman" w:hAnsi="Times New Roman" w:cs="Times New Roman"/>
          <w:i/>
          <w:iCs/>
          <w:sz w:val="24"/>
          <w:szCs w:val="24"/>
        </w:rPr>
        <w:t xml:space="preserve">Note: Point estimates and associated 90 and 95% (two-tailed) confidence intervals are based on weighted linear two-way fixed effects models with cluster-robust standard errors. </w:t>
      </w:r>
    </w:p>
    <w:p w14:paraId="29D3C975" w14:textId="292B0DD2" w:rsidR="00597EB0" w:rsidRDefault="005A0F32" w:rsidP="0007287A">
      <w:pPr>
        <w:pStyle w:val="Overskrift2"/>
        <w:spacing w:line="360" w:lineRule="auto"/>
        <w:jc w:val="both"/>
        <w:rPr>
          <w:rFonts w:ascii="Times New Roman" w:hAnsi="Times New Roman" w:cs="Times New Roman"/>
          <w:b/>
          <w:bCs/>
          <w:color w:val="auto"/>
          <w:sz w:val="28"/>
          <w:szCs w:val="28"/>
        </w:rPr>
      </w:pPr>
      <w:bookmarkStart w:id="13" w:name="_Toc113820354"/>
      <w:r w:rsidRPr="00597EB0">
        <w:rPr>
          <w:rFonts w:ascii="Times New Roman" w:hAnsi="Times New Roman" w:cs="Times New Roman"/>
          <w:b/>
          <w:bCs/>
          <w:color w:val="auto"/>
          <w:sz w:val="28"/>
          <w:szCs w:val="28"/>
        </w:rPr>
        <w:lastRenderedPageBreak/>
        <w:t xml:space="preserve">Appendix </w:t>
      </w:r>
      <w:r w:rsidR="00087D3B">
        <w:rPr>
          <w:rFonts w:ascii="Times New Roman" w:hAnsi="Times New Roman" w:cs="Times New Roman"/>
          <w:b/>
          <w:bCs/>
          <w:color w:val="auto"/>
          <w:sz w:val="28"/>
          <w:szCs w:val="28"/>
        </w:rPr>
        <w:t>E</w:t>
      </w:r>
      <w:r w:rsidR="007E5A3F">
        <w:rPr>
          <w:rFonts w:ascii="Times New Roman" w:hAnsi="Times New Roman" w:cs="Times New Roman"/>
          <w:b/>
          <w:bCs/>
          <w:color w:val="auto"/>
          <w:sz w:val="28"/>
          <w:szCs w:val="28"/>
        </w:rPr>
        <w:t>. Two-way fixed effects:</w:t>
      </w:r>
      <w:r w:rsidRPr="00597EB0">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 xml:space="preserve">Influential </w:t>
      </w:r>
      <w:r w:rsidR="00DA3C35">
        <w:rPr>
          <w:rFonts w:ascii="Times New Roman" w:hAnsi="Times New Roman" w:cs="Times New Roman"/>
          <w:b/>
          <w:bCs/>
          <w:color w:val="auto"/>
          <w:sz w:val="28"/>
          <w:szCs w:val="28"/>
        </w:rPr>
        <w:t>c</w:t>
      </w:r>
      <w:r>
        <w:rPr>
          <w:rFonts w:ascii="Times New Roman" w:hAnsi="Times New Roman" w:cs="Times New Roman"/>
          <w:b/>
          <w:bCs/>
          <w:color w:val="auto"/>
          <w:sz w:val="28"/>
          <w:szCs w:val="28"/>
        </w:rPr>
        <w:t xml:space="preserve">ase </w:t>
      </w:r>
      <w:r w:rsidR="00DA3C35">
        <w:rPr>
          <w:rFonts w:ascii="Times New Roman" w:hAnsi="Times New Roman" w:cs="Times New Roman"/>
          <w:b/>
          <w:bCs/>
          <w:color w:val="auto"/>
          <w:sz w:val="28"/>
          <w:szCs w:val="28"/>
        </w:rPr>
        <w:t>a</w:t>
      </w:r>
      <w:r>
        <w:rPr>
          <w:rFonts w:ascii="Times New Roman" w:hAnsi="Times New Roman" w:cs="Times New Roman"/>
          <w:b/>
          <w:bCs/>
          <w:color w:val="auto"/>
          <w:sz w:val="28"/>
          <w:szCs w:val="28"/>
        </w:rPr>
        <w:t>nalysis</w:t>
      </w:r>
      <w:bookmarkEnd w:id="13"/>
    </w:p>
    <w:p w14:paraId="31D97608" w14:textId="3E8C01B4" w:rsidR="004E7E64" w:rsidRDefault="008325E7" w:rsidP="0007287A">
      <w:pPr>
        <w:spacing w:line="360" w:lineRule="auto"/>
        <w:jc w:val="both"/>
        <w:rPr>
          <w:rFonts w:ascii="Times New Roman" w:hAnsi="Times New Roman" w:cs="Times New Roman"/>
          <w:sz w:val="24"/>
          <w:szCs w:val="24"/>
        </w:rPr>
      </w:pPr>
      <w:r>
        <w:rPr>
          <w:rFonts w:ascii="Times New Roman" w:hAnsi="Times New Roman" w:cs="Times New Roman"/>
          <w:sz w:val="24"/>
          <w:szCs w:val="24"/>
        </w:rPr>
        <w:t>In cross-national research</w:t>
      </w:r>
      <w:r w:rsidR="00C61655">
        <w:rPr>
          <w:rFonts w:ascii="Times New Roman" w:hAnsi="Times New Roman" w:cs="Times New Roman"/>
          <w:sz w:val="24"/>
          <w:szCs w:val="24"/>
        </w:rPr>
        <w:t>,</w:t>
      </w:r>
      <w:r>
        <w:rPr>
          <w:rFonts w:ascii="Times New Roman" w:hAnsi="Times New Roman" w:cs="Times New Roman"/>
          <w:sz w:val="24"/>
          <w:szCs w:val="24"/>
        </w:rPr>
        <w:t xml:space="preserve"> it is crucial to examine whether</w:t>
      </w:r>
      <w:r w:rsidR="007B5949" w:rsidRPr="007B5949">
        <w:rPr>
          <w:rFonts w:ascii="Times New Roman" w:hAnsi="Times New Roman" w:cs="Times New Roman"/>
          <w:sz w:val="24"/>
          <w:szCs w:val="24"/>
        </w:rPr>
        <w:t xml:space="preserve"> some countries or country-years are driving the negative </w:t>
      </w:r>
      <w:r w:rsidR="003A5865">
        <w:rPr>
          <w:rFonts w:ascii="Times New Roman" w:hAnsi="Times New Roman" w:cs="Times New Roman"/>
          <w:sz w:val="24"/>
          <w:szCs w:val="24"/>
        </w:rPr>
        <w:t>relationship</w:t>
      </w:r>
      <w:r w:rsidR="007B5949" w:rsidRPr="007B5949">
        <w:rPr>
          <w:rFonts w:ascii="Times New Roman" w:hAnsi="Times New Roman" w:cs="Times New Roman"/>
          <w:sz w:val="24"/>
          <w:szCs w:val="24"/>
        </w:rPr>
        <w:t xml:space="preserve"> between</w:t>
      </w:r>
      <w:r w:rsidR="009B64FA">
        <w:rPr>
          <w:rFonts w:ascii="Times New Roman" w:hAnsi="Times New Roman" w:cs="Times New Roman"/>
          <w:sz w:val="24"/>
          <w:szCs w:val="24"/>
        </w:rPr>
        <w:t xml:space="preserve"> the explanatory variable</w:t>
      </w:r>
      <w:r w:rsidR="007B5949" w:rsidRPr="007B5949">
        <w:rPr>
          <w:rFonts w:ascii="Times New Roman" w:hAnsi="Times New Roman" w:cs="Times New Roman"/>
          <w:sz w:val="24"/>
          <w:szCs w:val="24"/>
        </w:rPr>
        <w:t xml:space="preserve"> </w:t>
      </w:r>
      <w:r w:rsidR="009B64FA">
        <w:rPr>
          <w:rFonts w:ascii="Times New Roman" w:hAnsi="Times New Roman" w:cs="Times New Roman"/>
          <w:sz w:val="24"/>
          <w:szCs w:val="24"/>
        </w:rPr>
        <w:t>(</w:t>
      </w:r>
      <w:r w:rsidR="009B79EE">
        <w:rPr>
          <w:rFonts w:ascii="Times New Roman" w:hAnsi="Times New Roman" w:cs="Times New Roman"/>
          <w:sz w:val="24"/>
          <w:szCs w:val="24"/>
        </w:rPr>
        <w:t xml:space="preserve">national representation of a </w:t>
      </w:r>
      <w:r w:rsidR="00CC691C">
        <w:rPr>
          <w:rFonts w:ascii="Times New Roman" w:hAnsi="Times New Roman" w:cs="Times New Roman"/>
          <w:sz w:val="24"/>
          <w:szCs w:val="24"/>
        </w:rPr>
        <w:t>RRP</w:t>
      </w:r>
      <w:r w:rsidR="009B64FA">
        <w:rPr>
          <w:rFonts w:ascii="Times New Roman" w:hAnsi="Times New Roman" w:cs="Times New Roman"/>
          <w:sz w:val="24"/>
          <w:szCs w:val="24"/>
        </w:rPr>
        <w:t>)</w:t>
      </w:r>
      <w:r w:rsidR="007B5949" w:rsidRPr="007B5949">
        <w:rPr>
          <w:rFonts w:ascii="Times New Roman" w:hAnsi="Times New Roman" w:cs="Times New Roman"/>
          <w:sz w:val="24"/>
          <w:szCs w:val="24"/>
        </w:rPr>
        <w:t xml:space="preserve"> </w:t>
      </w:r>
      <w:r w:rsidR="00A91DE9">
        <w:rPr>
          <w:rFonts w:ascii="Times New Roman" w:hAnsi="Times New Roman" w:cs="Times New Roman"/>
          <w:sz w:val="24"/>
          <w:szCs w:val="24"/>
        </w:rPr>
        <w:t>and</w:t>
      </w:r>
      <w:r w:rsidR="007B5949" w:rsidRPr="007B5949">
        <w:rPr>
          <w:rFonts w:ascii="Times New Roman" w:hAnsi="Times New Roman" w:cs="Times New Roman"/>
          <w:sz w:val="24"/>
          <w:szCs w:val="24"/>
        </w:rPr>
        <w:t xml:space="preserve"> </w:t>
      </w:r>
      <w:r w:rsidR="009B64FA">
        <w:rPr>
          <w:rFonts w:ascii="Times New Roman" w:hAnsi="Times New Roman" w:cs="Times New Roman"/>
          <w:sz w:val="24"/>
          <w:szCs w:val="24"/>
        </w:rPr>
        <w:t>the outcome variable (</w:t>
      </w:r>
      <w:r w:rsidR="007B5949" w:rsidRPr="007B5949">
        <w:rPr>
          <w:rFonts w:ascii="Times New Roman" w:hAnsi="Times New Roman" w:cs="Times New Roman"/>
          <w:sz w:val="24"/>
          <w:szCs w:val="24"/>
        </w:rPr>
        <w:t>support for redistribution</w:t>
      </w:r>
      <w:r w:rsidR="009B64FA">
        <w:rPr>
          <w:rFonts w:ascii="Times New Roman" w:hAnsi="Times New Roman" w:cs="Times New Roman"/>
          <w:sz w:val="24"/>
          <w:szCs w:val="24"/>
        </w:rPr>
        <w:t>)</w:t>
      </w:r>
      <w:r w:rsidR="007B5949" w:rsidRPr="007B5949">
        <w:rPr>
          <w:rFonts w:ascii="Times New Roman" w:hAnsi="Times New Roman" w:cs="Times New Roman"/>
          <w:sz w:val="24"/>
          <w:szCs w:val="24"/>
        </w:rPr>
        <w:t>.</w:t>
      </w:r>
      <w:r w:rsidR="006A6DB2">
        <w:rPr>
          <w:rFonts w:ascii="Times New Roman" w:hAnsi="Times New Roman" w:cs="Times New Roman"/>
          <w:sz w:val="24"/>
          <w:szCs w:val="24"/>
        </w:rPr>
        <w:t xml:space="preserve"> </w:t>
      </w:r>
      <w:r w:rsidR="00B315CD">
        <w:rPr>
          <w:rFonts w:ascii="Times New Roman" w:hAnsi="Times New Roman" w:cs="Times New Roman"/>
          <w:sz w:val="24"/>
          <w:szCs w:val="24"/>
        </w:rPr>
        <w:t>To investigate this potential problem further,</w:t>
      </w:r>
      <w:r w:rsidR="00B315CD" w:rsidRPr="007B5949">
        <w:rPr>
          <w:rFonts w:ascii="Times New Roman" w:hAnsi="Times New Roman" w:cs="Times New Roman"/>
          <w:sz w:val="24"/>
          <w:szCs w:val="24"/>
        </w:rPr>
        <w:t xml:space="preserve"> </w:t>
      </w:r>
      <w:r w:rsidR="007B5949" w:rsidRPr="007B5949">
        <w:rPr>
          <w:rFonts w:ascii="Times New Roman" w:hAnsi="Times New Roman" w:cs="Times New Roman"/>
          <w:sz w:val="24"/>
          <w:szCs w:val="24"/>
        </w:rPr>
        <w:t>I conduct influential case analysis using DFbeta plots and leave-one-out models</w:t>
      </w:r>
      <w:r w:rsidR="006F4E4E">
        <w:rPr>
          <w:rFonts w:ascii="Times New Roman" w:hAnsi="Times New Roman" w:cs="Times New Roman"/>
          <w:sz w:val="24"/>
          <w:szCs w:val="24"/>
        </w:rPr>
        <w:t xml:space="preserve">. </w:t>
      </w:r>
      <w:r w:rsidR="00C94CEA">
        <w:rPr>
          <w:rFonts w:ascii="Times New Roman" w:hAnsi="Times New Roman" w:cs="Times New Roman"/>
          <w:sz w:val="24"/>
          <w:szCs w:val="24"/>
        </w:rPr>
        <w:t>T</w:t>
      </w:r>
      <w:r w:rsidR="009B52E6" w:rsidRPr="007B5949">
        <w:rPr>
          <w:rFonts w:ascii="Times New Roman" w:hAnsi="Times New Roman" w:cs="Times New Roman"/>
          <w:sz w:val="24"/>
          <w:szCs w:val="24"/>
        </w:rPr>
        <w:t>he</w:t>
      </w:r>
      <w:r w:rsidR="007B5949" w:rsidRPr="007B5949">
        <w:rPr>
          <w:rFonts w:ascii="Times New Roman" w:hAnsi="Times New Roman" w:cs="Times New Roman"/>
          <w:sz w:val="24"/>
          <w:szCs w:val="24"/>
        </w:rPr>
        <w:t xml:space="preserve"> </w:t>
      </w:r>
      <w:r w:rsidR="00AB611A">
        <w:rPr>
          <w:rFonts w:ascii="Times New Roman" w:hAnsi="Times New Roman" w:cs="Times New Roman"/>
          <w:sz w:val="24"/>
          <w:szCs w:val="24"/>
        </w:rPr>
        <w:t>results from the main analysis are</w:t>
      </w:r>
      <w:r w:rsidR="007B5949" w:rsidRPr="007B5949">
        <w:rPr>
          <w:rFonts w:ascii="Times New Roman" w:hAnsi="Times New Roman" w:cs="Times New Roman"/>
          <w:sz w:val="24"/>
          <w:szCs w:val="24"/>
        </w:rPr>
        <w:t xml:space="preserve"> robust against dropping all influential country-years from the model</w:t>
      </w:r>
      <w:r w:rsidR="00113C0F">
        <w:rPr>
          <w:rFonts w:ascii="Times New Roman" w:hAnsi="Times New Roman" w:cs="Times New Roman"/>
          <w:sz w:val="24"/>
          <w:szCs w:val="24"/>
        </w:rPr>
        <w:t xml:space="preserve"> (see figure E1 and table E1)</w:t>
      </w:r>
      <w:r w:rsidR="007B5949" w:rsidRPr="007B5949">
        <w:rPr>
          <w:rFonts w:ascii="Times New Roman" w:hAnsi="Times New Roman" w:cs="Times New Roman"/>
          <w:sz w:val="24"/>
          <w:szCs w:val="24"/>
        </w:rPr>
        <w:t xml:space="preserve"> as well as </w:t>
      </w:r>
      <w:r w:rsidR="00794F9B">
        <w:rPr>
          <w:rFonts w:ascii="Times New Roman" w:hAnsi="Times New Roman" w:cs="Times New Roman"/>
          <w:sz w:val="24"/>
          <w:szCs w:val="24"/>
        </w:rPr>
        <w:t xml:space="preserve">against </w:t>
      </w:r>
      <w:r w:rsidR="007B5949" w:rsidRPr="007B5949">
        <w:rPr>
          <w:rFonts w:ascii="Times New Roman" w:hAnsi="Times New Roman" w:cs="Times New Roman"/>
          <w:sz w:val="24"/>
          <w:szCs w:val="24"/>
        </w:rPr>
        <w:t>dropping entire countries</w:t>
      </w:r>
      <w:r w:rsidR="00113C0F">
        <w:rPr>
          <w:rFonts w:ascii="Times New Roman" w:hAnsi="Times New Roman" w:cs="Times New Roman"/>
          <w:sz w:val="24"/>
          <w:szCs w:val="24"/>
        </w:rPr>
        <w:t xml:space="preserve"> (see figure E2)</w:t>
      </w:r>
      <w:r w:rsidR="0035795B">
        <w:rPr>
          <w:rFonts w:ascii="Times New Roman" w:hAnsi="Times New Roman" w:cs="Times New Roman"/>
          <w:sz w:val="24"/>
          <w:szCs w:val="24"/>
        </w:rPr>
        <w:t>.</w:t>
      </w:r>
    </w:p>
    <w:p w14:paraId="22FA6AF7" w14:textId="3829976A" w:rsidR="001A4007" w:rsidRPr="003C5B1D" w:rsidRDefault="001A4007" w:rsidP="0007287A">
      <w:pPr>
        <w:pStyle w:val="Overskrift3"/>
        <w:spacing w:line="360" w:lineRule="auto"/>
        <w:rPr>
          <w:rFonts w:ascii="Times New Roman" w:hAnsi="Times New Roman" w:cs="Times New Roman"/>
          <w:b/>
          <w:bCs/>
          <w:color w:val="auto"/>
        </w:rPr>
      </w:pPr>
      <w:bookmarkStart w:id="14" w:name="_Toc113820355"/>
      <w:r w:rsidRPr="003C5B1D">
        <w:rPr>
          <w:rFonts w:ascii="Times New Roman" w:hAnsi="Times New Roman" w:cs="Times New Roman"/>
          <w:b/>
          <w:bCs/>
          <w:color w:val="auto"/>
        </w:rPr>
        <w:t xml:space="preserve">Figure </w:t>
      </w:r>
      <w:r w:rsidR="00745E96" w:rsidRPr="003C5B1D">
        <w:rPr>
          <w:rFonts w:ascii="Times New Roman" w:hAnsi="Times New Roman" w:cs="Times New Roman"/>
          <w:b/>
          <w:bCs/>
          <w:color w:val="auto"/>
        </w:rPr>
        <w:t>E</w:t>
      </w:r>
      <w:r w:rsidRPr="003C5B1D">
        <w:rPr>
          <w:rFonts w:ascii="Times New Roman" w:hAnsi="Times New Roman" w:cs="Times New Roman"/>
          <w:b/>
          <w:bCs/>
          <w:color w:val="auto"/>
        </w:rPr>
        <w:t xml:space="preserve">1: </w:t>
      </w:r>
      <w:r w:rsidR="00D62ACF" w:rsidRPr="003C5B1D">
        <w:rPr>
          <w:rFonts w:ascii="Times New Roman" w:hAnsi="Times New Roman" w:cs="Times New Roman"/>
          <w:b/>
          <w:bCs/>
          <w:color w:val="auto"/>
        </w:rPr>
        <w:t>DFbeta plot</w:t>
      </w:r>
      <w:bookmarkEnd w:id="14"/>
    </w:p>
    <w:p w14:paraId="1789180A" w14:textId="722817DA" w:rsidR="001A4007" w:rsidRDefault="00D845B4" w:rsidP="0007287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object w:dxaOrig="6913" w:dyaOrig="5185" w14:anchorId="6786AE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24.4pt" o:ole="">
            <v:imagedata r:id="rId17" o:title=""/>
          </v:shape>
          <o:OLEObject Type="Embed" ProgID="AcroExch.Document.DC" ShapeID="_x0000_i1025" DrawAspect="Content" ObjectID="_1724497695" r:id="rId18"/>
        </w:object>
      </w:r>
    </w:p>
    <w:p w14:paraId="49BDAA59" w14:textId="77777777" w:rsidR="00836379" w:rsidRDefault="00836379">
      <w:pPr>
        <w:spacing w:before="0" w:after="160"/>
        <w:rPr>
          <w:rFonts w:ascii="Times New Roman" w:eastAsiaTheme="majorEastAsia" w:hAnsi="Times New Roman" w:cs="Times New Roman"/>
          <w:b/>
          <w:bCs/>
          <w:sz w:val="24"/>
          <w:szCs w:val="24"/>
        </w:rPr>
      </w:pPr>
      <w:r>
        <w:rPr>
          <w:rFonts w:ascii="Times New Roman" w:hAnsi="Times New Roman" w:cs="Times New Roman"/>
          <w:b/>
          <w:bCs/>
        </w:rPr>
        <w:br w:type="page"/>
      </w:r>
    </w:p>
    <w:p w14:paraId="16271A81" w14:textId="77777777" w:rsidR="00284D5C" w:rsidRDefault="00284D5C" w:rsidP="0007287A">
      <w:pPr>
        <w:pStyle w:val="Overskrift3"/>
        <w:spacing w:line="360" w:lineRule="auto"/>
        <w:rPr>
          <w:rFonts w:ascii="Times New Roman" w:hAnsi="Times New Roman" w:cs="Times New Roman"/>
          <w:b/>
          <w:bCs/>
          <w:color w:val="auto"/>
        </w:rPr>
        <w:sectPr w:rsidR="00284D5C">
          <w:pgSz w:w="11906" w:h="16838"/>
          <w:pgMar w:top="1440" w:right="1440" w:bottom="1440" w:left="1440" w:header="708" w:footer="708" w:gutter="0"/>
          <w:cols w:space="708"/>
          <w:docGrid w:linePitch="360"/>
        </w:sectPr>
      </w:pPr>
    </w:p>
    <w:p w14:paraId="18F83599" w14:textId="3DF62C4C" w:rsidR="00836379" w:rsidRPr="00150576" w:rsidRDefault="00D046D4" w:rsidP="00150576">
      <w:pPr>
        <w:pStyle w:val="Overskrift3"/>
        <w:spacing w:line="360" w:lineRule="auto"/>
        <w:rPr>
          <w:rFonts w:ascii="Times New Roman" w:hAnsi="Times New Roman" w:cs="Times New Roman"/>
          <w:b/>
          <w:bCs/>
          <w:color w:val="auto"/>
        </w:rPr>
      </w:pPr>
      <w:bookmarkStart w:id="15" w:name="_Toc113820356"/>
      <w:r>
        <w:rPr>
          <w:rFonts w:ascii="Times New Roman" w:hAnsi="Times New Roman" w:cs="Times New Roman"/>
          <w:b/>
          <w:bCs/>
          <w:color w:val="auto"/>
        </w:rPr>
        <w:lastRenderedPageBreak/>
        <w:t xml:space="preserve">Table </w:t>
      </w:r>
      <w:r w:rsidR="00EF485E">
        <w:rPr>
          <w:rFonts w:ascii="Times New Roman" w:hAnsi="Times New Roman" w:cs="Times New Roman"/>
          <w:b/>
          <w:bCs/>
          <w:color w:val="auto"/>
        </w:rPr>
        <w:t>E</w:t>
      </w:r>
      <w:r>
        <w:rPr>
          <w:rFonts w:ascii="Times New Roman" w:hAnsi="Times New Roman" w:cs="Times New Roman"/>
          <w:b/>
          <w:bCs/>
          <w:color w:val="auto"/>
        </w:rPr>
        <w:t>1:</w:t>
      </w:r>
      <w:r w:rsidR="0061486A">
        <w:rPr>
          <w:rFonts w:ascii="Times New Roman" w:hAnsi="Times New Roman" w:cs="Times New Roman"/>
          <w:b/>
          <w:bCs/>
          <w:color w:val="auto"/>
        </w:rPr>
        <w:t xml:space="preserve"> </w:t>
      </w:r>
      <w:r w:rsidR="00CA11D7">
        <w:rPr>
          <w:rFonts w:ascii="Times New Roman" w:hAnsi="Times New Roman" w:cs="Times New Roman"/>
          <w:b/>
          <w:bCs/>
          <w:color w:val="auto"/>
        </w:rPr>
        <w:t xml:space="preserve">Test of </w:t>
      </w:r>
      <w:r w:rsidR="00735D3D">
        <w:rPr>
          <w:rFonts w:ascii="Times New Roman" w:hAnsi="Times New Roman" w:cs="Times New Roman"/>
          <w:b/>
          <w:bCs/>
          <w:color w:val="auto"/>
        </w:rPr>
        <w:t xml:space="preserve">H2a </w:t>
      </w:r>
      <w:r w:rsidR="0061486A">
        <w:rPr>
          <w:rFonts w:ascii="Times New Roman" w:hAnsi="Times New Roman" w:cs="Times New Roman"/>
          <w:b/>
          <w:bCs/>
          <w:color w:val="auto"/>
        </w:rPr>
        <w:t>with and without influential country-year cases</w:t>
      </w:r>
      <w:bookmarkEnd w:id="15"/>
    </w:p>
    <w:p w14:paraId="5CE2CB16" w14:textId="3633891C" w:rsidR="00BF3A4B" w:rsidRDefault="00BF3A4B" w:rsidP="00BF3A4B">
      <w:pPr>
        <w:spacing w:line="360" w:lineRule="auto"/>
        <w:jc w:val="center"/>
        <w:rPr>
          <w:rFonts w:ascii="Times New Roman" w:hAnsi="Times New Roman" w:cs="Times New Roman"/>
          <w:i/>
          <w:iCs/>
          <w:sz w:val="24"/>
          <w:szCs w:val="24"/>
        </w:rPr>
      </w:pPr>
      <w:r w:rsidRPr="00BF3A4B">
        <w:rPr>
          <w:noProof/>
        </w:rPr>
        <w:drawing>
          <wp:inline distT="0" distB="0" distL="0" distR="0" wp14:anchorId="214E0269" wp14:editId="156EDBFA">
            <wp:extent cx="3797403" cy="7555832"/>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24959" cy="7610660"/>
                    </a:xfrm>
                    <a:prstGeom prst="rect">
                      <a:avLst/>
                    </a:prstGeom>
                    <a:noFill/>
                    <a:ln>
                      <a:noFill/>
                    </a:ln>
                  </pic:spPr>
                </pic:pic>
              </a:graphicData>
            </a:graphic>
          </wp:inline>
        </w:drawing>
      </w:r>
    </w:p>
    <w:p w14:paraId="261678B5" w14:textId="61999B2C" w:rsidR="00AB30FE" w:rsidRPr="00866F6D" w:rsidRDefault="00BC3FF4" w:rsidP="00866F6D">
      <w:pPr>
        <w:spacing w:line="360" w:lineRule="auto"/>
        <w:jc w:val="both"/>
        <w:rPr>
          <w:rFonts w:ascii="Times New Roman" w:hAnsi="Times New Roman" w:cs="Times New Roman"/>
          <w:i/>
          <w:iCs/>
          <w:sz w:val="24"/>
          <w:szCs w:val="24"/>
        </w:rPr>
      </w:pPr>
      <w:r w:rsidRPr="00C32509">
        <w:rPr>
          <w:rFonts w:ascii="Times New Roman" w:hAnsi="Times New Roman" w:cs="Times New Roman"/>
          <w:i/>
          <w:iCs/>
          <w:sz w:val="24"/>
          <w:szCs w:val="24"/>
        </w:rPr>
        <w:t xml:space="preserve">Note: Results are based on weighted linear two-way fixed effects models with cluster-robust standard errors. 95% confidence intervals are in brackets. Two-tailed p-values are indicated by </w:t>
      </w:r>
      <w:r w:rsidRPr="00C32509">
        <w:rPr>
          <w:rFonts w:ascii="Times New Roman" w:hAnsi="Times New Roman" w:cs="Times New Roman"/>
          <w:i/>
          <w:iCs/>
          <w:sz w:val="24"/>
          <w:szCs w:val="24"/>
          <w:vertAlign w:val="superscript"/>
        </w:rPr>
        <w:t>+</w:t>
      </w:r>
      <w:r w:rsidRPr="00C32509">
        <w:rPr>
          <w:rFonts w:ascii="Times New Roman" w:hAnsi="Times New Roman" w:cs="Times New Roman"/>
          <w:i/>
          <w:iCs/>
          <w:sz w:val="24"/>
          <w:szCs w:val="24"/>
        </w:rPr>
        <w:t xml:space="preserve">p&lt;0.1, </w:t>
      </w:r>
      <w:r w:rsidRPr="00C32509">
        <w:rPr>
          <w:rFonts w:ascii="Times New Roman" w:hAnsi="Times New Roman" w:cs="Times New Roman"/>
          <w:i/>
          <w:iCs/>
          <w:sz w:val="24"/>
          <w:szCs w:val="24"/>
          <w:vertAlign w:val="superscript"/>
        </w:rPr>
        <w:t xml:space="preserve">* </w:t>
      </w:r>
      <w:r w:rsidRPr="00C32509">
        <w:rPr>
          <w:rFonts w:ascii="Times New Roman" w:hAnsi="Times New Roman" w:cs="Times New Roman"/>
          <w:i/>
          <w:iCs/>
          <w:sz w:val="24"/>
          <w:szCs w:val="24"/>
        </w:rPr>
        <w:t>p&lt;0.05,</w:t>
      </w:r>
      <w:r w:rsidRPr="00C32509">
        <w:rPr>
          <w:rFonts w:ascii="Times New Roman" w:hAnsi="Times New Roman" w:cs="Times New Roman"/>
          <w:i/>
          <w:iCs/>
          <w:sz w:val="24"/>
          <w:szCs w:val="24"/>
          <w:vertAlign w:val="superscript"/>
        </w:rPr>
        <w:t xml:space="preserve"> **</w:t>
      </w:r>
      <w:r w:rsidRPr="00C32509">
        <w:rPr>
          <w:rFonts w:ascii="Times New Roman" w:hAnsi="Times New Roman" w:cs="Times New Roman"/>
          <w:i/>
          <w:iCs/>
          <w:sz w:val="24"/>
          <w:szCs w:val="24"/>
        </w:rPr>
        <w:t xml:space="preserve">p&lt;0.01, </w:t>
      </w:r>
      <w:r w:rsidRPr="00C32509">
        <w:rPr>
          <w:rFonts w:ascii="Times New Roman" w:hAnsi="Times New Roman" w:cs="Times New Roman"/>
          <w:i/>
          <w:iCs/>
          <w:sz w:val="24"/>
          <w:szCs w:val="24"/>
          <w:vertAlign w:val="superscript"/>
        </w:rPr>
        <w:t>***</w:t>
      </w:r>
      <w:r w:rsidRPr="00C32509">
        <w:rPr>
          <w:rFonts w:ascii="Times New Roman" w:hAnsi="Times New Roman" w:cs="Times New Roman"/>
          <w:i/>
          <w:iCs/>
          <w:sz w:val="24"/>
          <w:szCs w:val="24"/>
        </w:rPr>
        <w:t xml:space="preserve"> p&lt;0.001</w:t>
      </w:r>
    </w:p>
    <w:p w14:paraId="75307E02" w14:textId="77777777" w:rsidR="00284D5C" w:rsidRDefault="00284D5C" w:rsidP="0007287A">
      <w:pPr>
        <w:pStyle w:val="Overskrift3"/>
        <w:spacing w:line="360" w:lineRule="auto"/>
        <w:rPr>
          <w:rFonts w:ascii="Times New Roman" w:hAnsi="Times New Roman" w:cs="Times New Roman"/>
          <w:b/>
          <w:bCs/>
          <w:i/>
          <w:iCs/>
          <w:color w:val="auto"/>
        </w:rPr>
        <w:sectPr w:rsidR="00284D5C" w:rsidSect="00150576">
          <w:pgSz w:w="11906" w:h="16838"/>
          <w:pgMar w:top="1440" w:right="1440" w:bottom="1440" w:left="1440" w:header="706" w:footer="706" w:gutter="0"/>
          <w:cols w:space="708"/>
          <w:docGrid w:linePitch="360"/>
        </w:sectPr>
      </w:pPr>
    </w:p>
    <w:p w14:paraId="736372AC" w14:textId="38D6DE2F" w:rsidR="005A0F32" w:rsidRPr="00B92ED5" w:rsidRDefault="005A0F32" w:rsidP="0007287A">
      <w:pPr>
        <w:pStyle w:val="Overskrift3"/>
        <w:spacing w:line="360" w:lineRule="auto"/>
        <w:rPr>
          <w:rFonts w:ascii="Times New Roman" w:hAnsi="Times New Roman" w:cs="Times New Roman"/>
          <w:b/>
          <w:bCs/>
          <w:color w:val="auto"/>
        </w:rPr>
      </w:pPr>
      <w:bookmarkStart w:id="16" w:name="_Toc113820357"/>
      <w:r w:rsidRPr="00B92ED5">
        <w:rPr>
          <w:rFonts w:ascii="Times New Roman" w:hAnsi="Times New Roman" w:cs="Times New Roman"/>
          <w:b/>
          <w:bCs/>
          <w:color w:val="auto"/>
        </w:rPr>
        <w:lastRenderedPageBreak/>
        <w:t xml:space="preserve">Figure </w:t>
      </w:r>
      <w:r w:rsidR="00EF485E" w:rsidRPr="00B92ED5">
        <w:rPr>
          <w:rFonts w:ascii="Times New Roman" w:hAnsi="Times New Roman" w:cs="Times New Roman"/>
          <w:b/>
          <w:bCs/>
          <w:color w:val="auto"/>
        </w:rPr>
        <w:t>E</w:t>
      </w:r>
      <w:r w:rsidRPr="00B92ED5">
        <w:rPr>
          <w:rFonts w:ascii="Times New Roman" w:hAnsi="Times New Roman" w:cs="Times New Roman"/>
          <w:b/>
          <w:bCs/>
          <w:color w:val="auto"/>
        </w:rPr>
        <w:t>2: Leave-one-out models</w:t>
      </w:r>
      <w:bookmarkEnd w:id="16"/>
    </w:p>
    <w:p w14:paraId="1A5D937D" w14:textId="74566321" w:rsidR="00DA11C4" w:rsidRPr="00C32509" w:rsidRDefault="00FB67BF" w:rsidP="00653AE9">
      <w:pPr>
        <w:spacing w:line="360" w:lineRule="auto"/>
        <w:jc w:val="center"/>
        <w:rPr>
          <w:rFonts w:ascii="Times New Roman" w:hAnsi="Times New Roman" w:cs="Times New Roman"/>
          <w:highlight w:val="yellow"/>
        </w:rPr>
      </w:pPr>
      <w:r w:rsidRPr="00FB67BF">
        <w:rPr>
          <w:rFonts w:ascii="Times New Roman" w:hAnsi="Times New Roman" w:cs="Times New Roman"/>
        </w:rPr>
        <w:object w:dxaOrig="6913" w:dyaOrig="5185" w14:anchorId="79B39AD6">
          <v:shape id="_x0000_i1026" type="#_x0000_t75" style="width:385.4pt;height:289.9pt" o:ole="">
            <v:imagedata r:id="rId20" o:title=""/>
          </v:shape>
          <o:OLEObject Type="Embed" ProgID="AcroExch.Document.DC" ShapeID="_x0000_i1026" DrawAspect="Content" ObjectID="_1724497696" r:id="rId21"/>
        </w:object>
      </w:r>
    </w:p>
    <w:p w14:paraId="03542C8E" w14:textId="20DB374E" w:rsidR="00732A6C" w:rsidRPr="00732A6C" w:rsidRDefault="00FE3B7F" w:rsidP="0007287A">
      <w:pPr>
        <w:spacing w:line="360" w:lineRule="auto"/>
        <w:jc w:val="both"/>
        <w:rPr>
          <w:rFonts w:ascii="Times New Roman" w:hAnsi="Times New Roman" w:cs="Times New Roman"/>
          <w:i/>
          <w:iCs/>
          <w:sz w:val="24"/>
          <w:szCs w:val="24"/>
        </w:rPr>
      </w:pPr>
      <w:r w:rsidRPr="00C32509">
        <w:rPr>
          <w:rFonts w:ascii="Times New Roman" w:hAnsi="Times New Roman" w:cs="Times New Roman"/>
          <w:i/>
          <w:iCs/>
          <w:sz w:val="24"/>
          <w:szCs w:val="24"/>
        </w:rPr>
        <w:t xml:space="preserve">Note: Point estimates and associated 90 and 95% (two-tailed) confidence intervals are based on weighted linear two-way fixed effects models with cluster-robust standard errors. </w:t>
      </w:r>
    </w:p>
    <w:p w14:paraId="597A0321" w14:textId="77777777" w:rsidR="00AB30FE" w:rsidRDefault="00AB30FE">
      <w:pPr>
        <w:spacing w:before="0" w:after="160"/>
        <w:rPr>
          <w:rFonts w:ascii="Times New Roman" w:hAnsi="Times New Roman" w:cs="Times New Roman"/>
          <w:b/>
          <w:bCs/>
          <w:sz w:val="28"/>
          <w:szCs w:val="28"/>
        </w:rPr>
      </w:pPr>
      <w:r>
        <w:rPr>
          <w:rFonts w:ascii="Times New Roman" w:hAnsi="Times New Roman" w:cs="Times New Roman"/>
          <w:b/>
          <w:bCs/>
          <w:sz w:val="28"/>
          <w:szCs w:val="28"/>
        </w:rPr>
        <w:br w:type="page"/>
      </w:r>
    </w:p>
    <w:p w14:paraId="4E1F1570" w14:textId="22F3F0C5" w:rsidR="0004359F" w:rsidRPr="00A81FFE" w:rsidRDefault="0004359F" w:rsidP="00A81FFE">
      <w:pPr>
        <w:pStyle w:val="Overskrift2"/>
        <w:spacing w:line="360" w:lineRule="auto"/>
        <w:jc w:val="both"/>
        <w:rPr>
          <w:rFonts w:ascii="Times New Roman" w:hAnsi="Times New Roman" w:cs="Times New Roman"/>
          <w:b/>
          <w:bCs/>
          <w:color w:val="auto"/>
          <w:sz w:val="28"/>
          <w:szCs w:val="28"/>
        </w:rPr>
      </w:pPr>
      <w:bookmarkStart w:id="17" w:name="_Toc113820358"/>
      <w:r w:rsidRPr="00A81FFE">
        <w:rPr>
          <w:rFonts w:ascii="Times New Roman" w:hAnsi="Times New Roman" w:cs="Times New Roman"/>
          <w:b/>
          <w:bCs/>
          <w:color w:val="auto"/>
          <w:sz w:val="28"/>
          <w:szCs w:val="28"/>
        </w:rPr>
        <w:lastRenderedPageBreak/>
        <w:t xml:space="preserve">Appendix </w:t>
      </w:r>
      <w:r w:rsidR="00170A2D" w:rsidRPr="00A81FFE">
        <w:rPr>
          <w:rFonts w:ascii="Times New Roman" w:hAnsi="Times New Roman" w:cs="Times New Roman"/>
          <w:b/>
          <w:bCs/>
          <w:color w:val="auto"/>
          <w:sz w:val="28"/>
          <w:szCs w:val="28"/>
        </w:rPr>
        <w:t>F</w:t>
      </w:r>
      <w:r w:rsidR="00A43D77" w:rsidRPr="00A81FFE">
        <w:rPr>
          <w:rFonts w:ascii="Times New Roman" w:hAnsi="Times New Roman" w:cs="Times New Roman"/>
          <w:b/>
          <w:bCs/>
          <w:color w:val="auto"/>
          <w:sz w:val="28"/>
          <w:szCs w:val="28"/>
        </w:rPr>
        <w:t>.</w:t>
      </w:r>
      <w:r w:rsidR="001E543C" w:rsidRPr="00A81FFE">
        <w:rPr>
          <w:rFonts w:ascii="Times New Roman" w:hAnsi="Times New Roman" w:cs="Times New Roman"/>
          <w:b/>
          <w:bCs/>
          <w:color w:val="auto"/>
          <w:sz w:val="28"/>
          <w:szCs w:val="28"/>
        </w:rPr>
        <w:t xml:space="preserve"> Two</w:t>
      </w:r>
      <w:r w:rsidR="00062EDB" w:rsidRPr="00A81FFE">
        <w:rPr>
          <w:rFonts w:ascii="Times New Roman" w:hAnsi="Times New Roman" w:cs="Times New Roman"/>
          <w:b/>
          <w:bCs/>
          <w:color w:val="auto"/>
          <w:sz w:val="28"/>
          <w:szCs w:val="28"/>
        </w:rPr>
        <w:t>-</w:t>
      </w:r>
      <w:r w:rsidR="009E79F8">
        <w:rPr>
          <w:rFonts w:ascii="Times New Roman" w:hAnsi="Times New Roman" w:cs="Times New Roman"/>
          <w:b/>
          <w:bCs/>
          <w:color w:val="auto"/>
          <w:sz w:val="28"/>
          <w:szCs w:val="28"/>
        </w:rPr>
        <w:t>w</w:t>
      </w:r>
      <w:r w:rsidR="001E543C" w:rsidRPr="00A81FFE">
        <w:rPr>
          <w:rFonts w:ascii="Times New Roman" w:hAnsi="Times New Roman" w:cs="Times New Roman"/>
          <w:b/>
          <w:bCs/>
          <w:color w:val="auto"/>
          <w:sz w:val="28"/>
          <w:szCs w:val="28"/>
        </w:rPr>
        <w:t xml:space="preserve">ay </w:t>
      </w:r>
      <w:r w:rsidR="009E79F8">
        <w:rPr>
          <w:rFonts w:ascii="Times New Roman" w:hAnsi="Times New Roman" w:cs="Times New Roman"/>
          <w:b/>
          <w:bCs/>
          <w:color w:val="auto"/>
          <w:sz w:val="28"/>
          <w:szCs w:val="28"/>
        </w:rPr>
        <w:t>f</w:t>
      </w:r>
      <w:r w:rsidR="001E543C" w:rsidRPr="00A81FFE">
        <w:rPr>
          <w:rFonts w:ascii="Times New Roman" w:hAnsi="Times New Roman" w:cs="Times New Roman"/>
          <w:b/>
          <w:bCs/>
          <w:color w:val="auto"/>
          <w:sz w:val="28"/>
          <w:szCs w:val="28"/>
        </w:rPr>
        <w:t xml:space="preserve">ixed </w:t>
      </w:r>
      <w:r w:rsidR="009E79F8">
        <w:rPr>
          <w:rFonts w:ascii="Times New Roman" w:hAnsi="Times New Roman" w:cs="Times New Roman"/>
          <w:b/>
          <w:bCs/>
          <w:color w:val="auto"/>
          <w:sz w:val="28"/>
          <w:szCs w:val="28"/>
        </w:rPr>
        <w:t>e</w:t>
      </w:r>
      <w:r w:rsidR="001E543C" w:rsidRPr="00A81FFE">
        <w:rPr>
          <w:rFonts w:ascii="Times New Roman" w:hAnsi="Times New Roman" w:cs="Times New Roman"/>
          <w:b/>
          <w:bCs/>
          <w:color w:val="auto"/>
          <w:sz w:val="28"/>
          <w:szCs w:val="28"/>
        </w:rPr>
        <w:t>ffects</w:t>
      </w:r>
      <w:r w:rsidR="00A43D77" w:rsidRPr="00A81FFE">
        <w:rPr>
          <w:rFonts w:ascii="Times New Roman" w:hAnsi="Times New Roman" w:cs="Times New Roman"/>
          <w:b/>
          <w:bCs/>
          <w:color w:val="auto"/>
          <w:sz w:val="28"/>
          <w:szCs w:val="28"/>
        </w:rPr>
        <w:t>:</w:t>
      </w:r>
      <w:r w:rsidR="001E543C" w:rsidRPr="00A81FFE">
        <w:rPr>
          <w:rFonts w:ascii="Times New Roman" w:hAnsi="Times New Roman" w:cs="Times New Roman"/>
          <w:b/>
          <w:bCs/>
          <w:color w:val="auto"/>
          <w:sz w:val="28"/>
          <w:szCs w:val="28"/>
        </w:rPr>
        <w:t xml:space="preserve"> </w:t>
      </w:r>
      <w:r w:rsidR="004672CC" w:rsidRPr="00A81FFE">
        <w:rPr>
          <w:rFonts w:ascii="Times New Roman" w:hAnsi="Times New Roman" w:cs="Times New Roman"/>
          <w:b/>
          <w:bCs/>
          <w:color w:val="auto"/>
          <w:sz w:val="28"/>
          <w:szCs w:val="28"/>
        </w:rPr>
        <w:t>pre-and</w:t>
      </w:r>
      <w:r w:rsidR="001E543C" w:rsidRPr="00A81FFE">
        <w:rPr>
          <w:rFonts w:ascii="Times New Roman" w:hAnsi="Times New Roman" w:cs="Times New Roman"/>
          <w:b/>
          <w:bCs/>
          <w:color w:val="auto"/>
          <w:sz w:val="28"/>
          <w:szCs w:val="28"/>
        </w:rPr>
        <w:t xml:space="preserve"> </w:t>
      </w:r>
      <w:r w:rsidR="000264EA">
        <w:rPr>
          <w:rFonts w:ascii="Times New Roman" w:hAnsi="Times New Roman" w:cs="Times New Roman"/>
          <w:b/>
          <w:bCs/>
          <w:color w:val="auto"/>
          <w:sz w:val="28"/>
          <w:szCs w:val="28"/>
        </w:rPr>
        <w:t>p</w:t>
      </w:r>
      <w:r w:rsidR="001E543C" w:rsidRPr="00A81FFE">
        <w:rPr>
          <w:rFonts w:ascii="Times New Roman" w:hAnsi="Times New Roman" w:cs="Times New Roman"/>
          <w:b/>
          <w:bCs/>
          <w:color w:val="auto"/>
          <w:sz w:val="28"/>
          <w:szCs w:val="28"/>
        </w:rPr>
        <w:t xml:space="preserve">ost-event </w:t>
      </w:r>
      <w:r w:rsidR="000264EA">
        <w:rPr>
          <w:rFonts w:ascii="Times New Roman" w:hAnsi="Times New Roman" w:cs="Times New Roman"/>
          <w:b/>
          <w:bCs/>
          <w:color w:val="auto"/>
          <w:sz w:val="28"/>
          <w:szCs w:val="28"/>
        </w:rPr>
        <w:t>d</w:t>
      </w:r>
      <w:r w:rsidR="001E543C" w:rsidRPr="00A81FFE">
        <w:rPr>
          <w:rFonts w:ascii="Times New Roman" w:hAnsi="Times New Roman" w:cs="Times New Roman"/>
          <w:b/>
          <w:bCs/>
          <w:color w:val="auto"/>
          <w:sz w:val="28"/>
          <w:szCs w:val="28"/>
        </w:rPr>
        <w:t>ummies</w:t>
      </w:r>
      <w:bookmarkEnd w:id="17"/>
    </w:p>
    <w:p w14:paraId="77CA4D9E" w14:textId="6006340A" w:rsidR="00515D6C" w:rsidRDefault="003D0831" w:rsidP="00D5126F">
      <w:pPr>
        <w:spacing w:line="360" w:lineRule="auto"/>
        <w:jc w:val="both"/>
        <w:rPr>
          <w:rFonts w:ascii="Times New Roman" w:hAnsi="Times New Roman" w:cs="Times New Roman"/>
          <w:sz w:val="24"/>
          <w:szCs w:val="24"/>
        </w:rPr>
      </w:pPr>
      <w:r>
        <w:rPr>
          <w:rFonts w:ascii="Times New Roman" w:hAnsi="Times New Roman" w:cs="Times New Roman"/>
          <w:sz w:val="24"/>
          <w:szCs w:val="24"/>
        </w:rPr>
        <w:t>Readers</w:t>
      </w:r>
      <w:r w:rsidR="00223EDC" w:rsidRPr="00170FE5">
        <w:rPr>
          <w:rFonts w:ascii="Times New Roman" w:hAnsi="Times New Roman" w:cs="Times New Roman"/>
          <w:sz w:val="24"/>
          <w:szCs w:val="24"/>
        </w:rPr>
        <w:t xml:space="preserve"> might be concerned that radical</w:t>
      </w:r>
      <w:r w:rsidR="00A24546">
        <w:rPr>
          <w:rFonts w:ascii="Times New Roman" w:hAnsi="Times New Roman" w:cs="Times New Roman"/>
          <w:sz w:val="24"/>
          <w:szCs w:val="24"/>
        </w:rPr>
        <w:t xml:space="preserve"> right</w:t>
      </w:r>
      <w:r w:rsidR="00223EDC" w:rsidRPr="00170FE5">
        <w:rPr>
          <w:rFonts w:ascii="Times New Roman" w:hAnsi="Times New Roman" w:cs="Times New Roman"/>
          <w:sz w:val="24"/>
          <w:szCs w:val="24"/>
        </w:rPr>
        <w:t xml:space="preserve"> parties </w:t>
      </w:r>
      <w:r w:rsidR="000102A3">
        <w:rPr>
          <w:rFonts w:ascii="Times New Roman" w:hAnsi="Times New Roman" w:cs="Times New Roman"/>
          <w:sz w:val="24"/>
          <w:szCs w:val="24"/>
        </w:rPr>
        <w:t>erode</w:t>
      </w:r>
      <w:r w:rsidR="00223EDC" w:rsidRPr="00170FE5">
        <w:rPr>
          <w:rFonts w:ascii="Times New Roman" w:hAnsi="Times New Roman" w:cs="Times New Roman"/>
          <w:sz w:val="24"/>
          <w:szCs w:val="24"/>
        </w:rPr>
        <w:t xml:space="preserve"> support for redistribution prior to their entrance into the national political arena, for instance through their representation in local parliaments </w:t>
      </w:r>
      <w:r w:rsidR="00B66BB1">
        <w:rPr>
          <w:rFonts w:ascii="Times New Roman" w:hAnsi="Times New Roman" w:cs="Times New Roman"/>
          <w:sz w:val="24"/>
          <w:szCs w:val="24"/>
        </w:rPr>
        <w:t>or</w:t>
      </w:r>
      <w:r w:rsidR="00223EDC" w:rsidRPr="00170FE5">
        <w:rPr>
          <w:rFonts w:ascii="Times New Roman" w:hAnsi="Times New Roman" w:cs="Times New Roman"/>
          <w:sz w:val="24"/>
          <w:szCs w:val="24"/>
        </w:rPr>
        <w:t xml:space="preserve"> during </w:t>
      </w:r>
      <w:r w:rsidR="00F932D2">
        <w:rPr>
          <w:rFonts w:ascii="Times New Roman" w:hAnsi="Times New Roman" w:cs="Times New Roman"/>
          <w:sz w:val="24"/>
          <w:szCs w:val="24"/>
        </w:rPr>
        <w:t>campaigns</w:t>
      </w:r>
      <w:r w:rsidR="00223EDC" w:rsidRPr="00170FE5">
        <w:rPr>
          <w:rFonts w:ascii="Times New Roman" w:hAnsi="Times New Roman" w:cs="Times New Roman"/>
          <w:sz w:val="24"/>
          <w:szCs w:val="24"/>
        </w:rPr>
        <w:t xml:space="preserve">. I address this concern by </w:t>
      </w:r>
      <w:r w:rsidR="00924232">
        <w:rPr>
          <w:rFonts w:ascii="Times New Roman" w:hAnsi="Times New Roman" w:cs="Times New Roman"/>
          <w:sz w:val="24"/>
          <w:szCs w:val="24"/>
        </w:rPr>
        <w:t>adding</w:t>
      </w:r>
      <w:r w:rsidR="00223EDC" w:rsidRPr="00170FE5">
        <w:rPr>
          <w:rFonts w:ascii="Times New Roman" w:hAnsi="Times New Roman" w:cs="Times New Roman"/>
          <w:sz w:val="24"/>
          <w:szCs w:val="24"/>
        </w:rPr>
        <w:t xml:space="preserve"> a pre-treatment dummy </w:t>
      </w:r>
      <w:r w:rsidR="008E0B61" w:rsidRPr="00170FE5">
        <w:rPr>
          <w:rFonts w:ascii="Times New Roman" w:hAnsi="Times New Roman" w:cs="Times New Roman"/>
          <w:sz w:val="24"/>
          <w:szCs w:val="24"/>
        </w:rPr>
        <w:t>one term before the radical right enters parliament</w:t>
      </w:r>
      <w:r w:rsidR="00541612">
        <w:rPr>
          <w:rFonts w:ascii="Times New Roman" w:hAnsi="Times New Roman" w:cs="Times New Roman"/>
          <w:sz w:val="24"/>
          <w:szCs w:val="24"/>
        </w:rPr>
        <w:t xml:space="preserve"> to the model</w:t>
      </w:r>
      <w:r w:rsidR="00223EDC" w:rsidRPr="00170FE5">
        <w:rPr>
          <w:rFonts w:ascii="Times New Roman" w:hAnsi="Times New Roman" w:cs="Times New Roman"/>
          <w:sz w:val="24"/>
          <w:szCs w:val="24"/>
        </w:rPr>
        <w:t xml:space="preserve">. </w:t>
      </w:r>
      <w:r w:rsidR="00EA29B3">
        <w:rPr>
          <w:rFonts w:ascii="Times New Roman" w:hAnsi="Times New Roman" w:cs="Times New Roman"/>
          <w:sz w:val="24"/>
          <w:szCs w:val="24"/>
        </w:rPr>
        <w:t>F</w:t>
      </w:r>
      <w:r w:rsidR="00682D3A">
        <w:rPr>
          <w:rFonts w:ascii="Times New Roman" w:hAnsi="Times New Roman" w:cs="Times New Roman"/>
          <w:sz w:val="24"/>
          <w:szCs w:val="24"/>
        </w:rPr>
        <w:t xml:space="preserve">igure </w:t>
      </w:r>
      <w:r w:rsidR="00EA29B3">
        <w:rPr>
          <w:rFonts w:ascii="Times New Roman" w:hAnsi="Times New Roman" w:cs="Times New Roman"/>
          <w:sz w:val="24"/>
          <w:szCs w:val="24"/>
        </w:rPr>
        <w:t>F</w:t>
      </w:r>
      <w:r w:rsidR="00682D3A">
        <w:rPr>
          <w:rFonts w:ascii="Times New Roman" w:hAnsi="Times New Roman" w:cs="Times New Roman"/>
          <w:sz w:val="24"/>
          <w:szCs w:val="24"/>
        </w:rPr>
        <w:t>1 shows that t</w:t>
      </w:r>
      <w:r w:rsidR="00223EDC" w:rsidRPr="00170FE5">
        <w:rPr>
          <w:rFonts w:ascii="Times New Roman" w:hAnsi="Times New Roman" w:cs="Times New Roman"/>
          <w:sz w:val="24"/>
          <w:szCs w:val="24"/>
        </w:rPr>
        <w:t>he estimate of this leading version of the predictor</w:t>
      </w:r>
      <w:r w:rsidR="00B95CA0">
        <w:rPr>
          <w:rFonts w:ascii="Times New Roman" w:hAnsi="Times New Roman" w:cs="Times New Roman"/>
          <w:sz w:val="24"/>
          <w:szCs w:val="24"/>
        </w:rPr>
        <w:t xml:space="preserve"> variable</w:t>
      </w:r>
      <w:r w:rsidR="00223EDC" w:rsidRPr="00170FE5">
        <w:rPr>
          <w:rFonts w:ascii="Times New Roman" w:hAnsi="Times New Roman" w:cs="Times New Roman"/>
          <w:sz w:val="24"/>
          <w:szCs w:val="24"/>
        </w:rPr>
        <w:t xml:space="preserve"> is</w:t>
      </w:r>
      <w:r w:rsidR="00621976">
        <w:rPr>
          <w:rFonts w:ascii="Times New Roman" w:hAnsi="Times New Roman" w:cs="Times New Roman"/>
          <w:sz w:val="24"/>
          <w:szCs w:val="24"/>
        </w:rPr>
        <w:t xml:space="preserve"> statistically</w:t>
      </w:r>
      <w:r w:rsidR="00223EDC" w:rsidRPr="00170FE5">
        <w:rPr>
          <w:rFonts w:ascii="Times New Roman" w:hAnsi="Times New Roman" w:cs="Times New Roman"/>
          <w:sz w:val="24"/>
          <w:szCs w:val="24"/>
        </w:rPr>
        <w:t xml:space="preserve"> insignificant</w:t>
      </w:r>
      <w:r w:rsidR="00ED330D">
        <w:rPr>
          <w:rFonts w:ascii="Times New Roman" w:hAnsi="Times New Roman" w:cs="Times New Roman"/>
          <w:sz w:val="24"/>
          <w:szCs w:val="24"/>
        </w:rPr>
        <w:t xml:space="preserve"> at conventional levels</w:t>
      </w:r>
      <w:r w:rsidR="008F3192">
        <w:rPr>
          <w:rFonts w:ascii="Times New Roman" w:hAnsi="Times New Roman" w:cs="Times New Roman"/>
          <w:sz w:val="24"/>
          <w:szCs w:val="24"/>
        </w:rPr>
        <w:t>, thus, lending</w:t>
      </w:r>
      <w:r w:rsidR="00430122">
        <w:rPr>
          <w:rFonts w:ascii="Times New Roman" w:hAnsi="Times New Roman" w:cs="Times New Roman"/>
          <w:sz w:val="24"/>
          <w:szCs w:val="24"/>
        </w:rPr>
        <w:t xml:space="preserve"> empirical</w:t>
      </w:r>
      <w:r w:rsidR="00223EDC" w:rsidRPr="00170FE5">
        <w:rPr>
          <w:rFonts w:ascii="Times New Roman" w:hAnsi="Times New Roman" w:cs="Times New Roman"/>
          <w:sz w:val="24"/>
          <w:szCs w:val="24"/>
        </w:rPr>
        <w:t xml:space="preserve"> credibility to the argument that</w:t>
      </w:r>
      <w:r w:rsidR="009B4592">
        <w:rPr>
          <w:rFonts w:ascii="Times New Roman" w:hAnsi="Times New Roman" w:cs="Times New Roman"/>
          <w:sz w:val="24"/>
          <w:szCs w:val="24"/>
        </w:rPr>
        <w:t xml:space="preserve"> </w:t>
      </w:r>
      <w:r w:rsidR="00CC691C">
        <w:rPr>
          <w:rFonts w:ascii="Times New Roman" w:hAnsi="Times New Roman" w:cs="Times New Roman"/>
          <w:sz w:val="24"/>
          <w:szCs w:val="24"/>
        </w:rPr>
        <w:t>RRP</w:t>
      </w:r>
      <w:r w:rsidR="009B4592">
        <w:rPr>
          <w:rFonts w:ascii="Times New Roman" w:hAnsi="Times New Roman" w:cs="Times New Roman"/>
          <w:sz w:val="24"/>
          <w:szCs w:val="24"/>
        </w:rPr>
        <w:t>s</w:t>
      </w:r>
      <w:r w:rsidR="00F23678">
        <w:rPr>
          <w:rFonts w:ascii="Times New Roman" w:hAnsi="Times New Roman" w:cs="Times New Roman"/>
          <w:sz w:val="24"/>
          <w:szCs w:val="24"/>
        </w:rPr>
        <w:t xml:space="preserve"> negative impact</w:t>
      </w:r>
      <w:r w:rsidR="00223EDC" w:rsidRPr="00170FE5">
        <w:rPr>
          <w:rFonts w:ascii="Times New Roman" w:hAnsi="Times New Roman" w:cs="Times New Roman"/>
          <w:sz w:val="24"/>
          <w:szCs w:val="24"/>
        </w:rPr>
        <w:t xml:space="preserve"> on </w:t>
      </w:r>
      <w:r w:rsidR="009B4592">
        <w:rPr>
          <w:rFonts w:ascii="Times New Roman" w:hAnsi="Times New Roman" w:cs="Times New Roman"/>
          <w:sz w:val="24"/>
          <w:szCs w:val="24"/>
        </w:rPr>
        <w:t>public support for redistribution</w:t>
      </w:r>
      <w:r w:rsidR="00223EDC" w:rsidRPr="00170FE5">
        <w:rPr>
          <w:rFonts w:ascii="Times New Roman" w:hAnsi="Times New Roman" w:cs="Times New Roman"/>
          <w:sz w:val="24"/>
          <w:szCs w:val="24"/>
        </w:rPr>
        <w:t xml:space="preserve"> happens </w:t>
      </w:r>
      <w:r w:rsidR="00E7138D">
        <w:rPr>
          <w:rFonts w:ascii="Times New Roman" w:hAnsi="Times New Roman" w:cs="Times New Roman"/>
          <w:sz w:val="24"/>
          <w:szCs w:val="24"/>
        </w:rPr>
        <w:t xml:space="preserve">after </w:t>
      </w:r>
      <w:r w:rsidR="00204536">
        <w:rPr>
          <w:rFonts w:ascii="Times New Roman" w:hAnsi="Times New Roman" w:cs="Times New Roman"/>
          <w:sz w:val="24"/>
          <w:szCs w:val="24"/>
        </w:rPr>
        <w:t>the party’s</w:t>
      </w:r>
      <w:r w:rsidR="00223EDC" w:rsidRPr="00170FE5">
        <w:rPr>
          <w:rFonts w:ascii="Times New Roman" w:hAnsi="Times New Roman" w:cs="Times New Roman"/>
          <w:sz w:val="24"/>
          <w:szCs w:val="24"/>
        </w:rPr>
        <w:t xml:space="preserve"> election to the national parliament and not prior. </w:t>
      </w:r>
      <w:r w:rsidR="00E62604">
        <w:rPr>
          <w:rFonts w:ascii="Times New Roman" w:hAnsi="Times New Roman" w:cs="Times New Roman"/>
          <w:sz w:val="24"/>
          <w:szCs w:val="24"/>
        </w:rPr>
        <w:t>Furthermore</w:t>
      </w:r>
      <w:r w:rsidR="00223EDC" w:rsidRPr="00170FE5">
        <w:rPr>
          <w:rFonts w:ascii="Times New Roman" w:hAnsi="Times New Roman" w:cs="Times New Roman"/>
          <w:sz w:val="24"/>
          <w:szCs w:val="24"/>
        </w:rPr>
        <w:t xml:space="preserve">, </w:t>
      </w:r>
      <w:r w:rsidR="00425A6E" w:rsidRPr="00170FE5">
        <w:rPr>
          <w:rFonts w:ascii="Times New Roman" w:hAnsi="Times New Roman" w:cs="Times New Roman"/>
          <w:sz w:val="24"/>
          <w:szCs w:val="24"/>
        </w:rPr>
        <w:t>I</w:t>
      </w:r>
      <w:r w:rsidR="00223EDC" w:rsidRPr="00170FE5">
        <w:rPr>
          <w:rFonts w:ascii="Times New Roman" w:hAnsi="Times New Roman" w:cs="Times New Roman"/>
          <w:sz w:val="24"/>
          <w:szCs w:val="24"/>
        </w:rPr>
        <w:t xml:space="preserve"> </w:t>
      </w:r>
      <w:r w:rsidR="002913DC">
        <w:rPr>
          <w:rFonts w:ascii="Times New Roman" w:hAnsi="Times New Roman" w:cs="Times New Roman"/>
          <w:sz w:val="24"/>
          <w:szCs w:val="24"/>
        </w:rPr>
        <w:t>investigate</w:t>
      </w:r>
      <w:r w:rsidR="00223EDC" w:rsidRPr="00170FE5">
        <w:rPr>
          <w:rFonts w:ascii="Times New Roman" w:hAnsi="Times New Roman" w:cs="Times New Roman"/>
          <w:sz w:val="24"/>
          <w:szCs w:val="24"/>
        </w:rPr>
        <w:t xml:space="preserve"> </w:t>
      </w:r>
      <w:r w:rsidR="00A52614">
        <w:rPr>
          <w:rFonts w:ascii="Times New Roman" w:hAnsi="Times New Roman" w:cs="Times New Roman"/>
          <w:sz w:val="24"/>
          <w:szCs w:val="24"/>
        </w:rPr>
        <w:t>whether</w:t>
      </w:r>
      <w:r w:rsidR="00223EDC" w:rsidRPr="00170FE5">
        <w:rPr>
          <w:rFonts w:ascii="Times New Roman" w:hAnsi="Times New Roman" w:cs="Times New Roman"/>
          <w:sz w:val="24"/>
          <w:szCs w:val="24"/>
        </w:rPr>
        <w:t xml:space="preserve"> the </w:t>
      </w:r>
      <w:r w:rsidR="009A74B4">
        <w:rPr>
          <w:rFonts w:ascii="Times New Roman" w:hAnsi="Times New Roman" w:cs="Times New Roman"/>
          <w:sz w:val="24"/>
          <w:szCs w:val="24"/>
        </w:rPr>
        <w:t xml:space="preserve">observed </w:t>
      </w:r>
      <w:r w:rsidR="00223EDC" w:rsidRPr="00170FE5">
        <w:rPr>
          <w:rFonts w:ascii="Times New Roman" w:hAnsi="Times New Roman" w:cs="Times New Roman"/>
          <w:sz w:val="24"/>
          <w:szCs w:val="24"/>
        </w:rPr>
        <w:t>negative relationship</w:t>
      </w:r>
      <w:r w:rsidR="009A74B4">
        <w:rPr>
          <w:rFonts w:ascii="Times New Roman" w:hAnsi="Times New Roman" w:cs="Times New Roman"/>
          <w:sz w:val="24"/>
          <w:szCs w:val="24"/>
        </w:rPr>
        <w:t xml:space="preserve"> between </w:t>
      </w:r>
      <w:r w:rsidR="00067399">
        <w:rPr>
          <w:rFonts w:ascii="Times New Roman" w:hAnsi="Times New Roman" w:cs="Times New Roman"/>
          <w:sz w:val="24"/>
          <w:szCs w:val="24"/>
        </w:rPr>
        <w:t xml:space="preserve">a </w:t>
      </w:r>
      <w:r w:rsidR="00CC691C">
        <w:rPr>
          <w:rFonts w:ascii="Times New Roman" w:hAnsi="Times New Roman" w:cs="Times New Roman"/>
          <w:sz w:val="24"/>
          <w:szCs w:val="24"/>
        </w:rPr>
        <w:t>RRP</w:t>
      </w:r>
      <w:r w:rsidR="009A74B4">
        <w:rPr>
          <w:rFonts w:ascii="Times New Roman" w:hAnsi="Times New Roman" w:cs="Times New Roman"/>
          <w:sz w:val="24"/>
          <w:szCs w:val="24"/>
        </w:rPr>
        <w:t>s national representation and public support for redistribution</w:t>
      </w:r>
      <w:r w:rsidR="00223EDC" w:rsidRPr="00170FE5">
        <w:rPr>
          <w:rFonts w:ascii="Times New Roman" w:hAnsi="Times New Roman" w:cs="Times New Roman"/>
          <w:sz w:val="24"/>
          <w:szCs w:val="24"/>
        </w:rPr>
        <w:t xml:space="preserve"> </w:t>
      </w:r>
      <w:r w:rsidR="00F308F2">
        <w:rPr>
          <w:rFonts w:ascii="Times New Roman" w:hAnsi="Times New Roman" w:cs="Times New Roman"/>
          <w:sz w:val="24"/>
          <w:szCs w:val="24"/>
        </w:rPr>
        <w:t>remains in the</w:t>
      </w:r>
      <w:r w:rsidR="00223EDC" w:rsidRPr="00170FE5">
        <w:rPr>
          <w:rFonts w:ascii="Times New Roman" w:hAnsi="Times New Roman" w:cs="Times New Roman"/>
          <w:sz w:val="24"/>
          <w:szCs w:val="24"/>
        </w:rPr>
        <w:t xml:space="preserve"> long-term or wanes within the first term </w:t>
      </w:r>
      <w:r w:rsidR="00E74B09">
        <w:rPr>
          <w:rFonts w:ascii="Times New Roman" w:hAnsi="Times New Roman" w:cs="Times New Roman"/>
          <w:sz w:val="24"/>
          <w:szCs w:val="24"/>
        </w:rPr>
        <w:t>of</w:t>
      </w:r>
      <w:r w:rsidR="00223EDC" w:rsidRPr="00170FE5">
        <w:rPr>
          <w:rFonts w:ascii="Times New Roman" w:hAnsi="Times New Roman" w:cs="Times New Roman"/>
          <w:sz w:val="24"/>
          <w:szCs w:val="24"/>
        </w:rPr>
        <w:t xml:space="preserve"> the radical right</w:t>
      </w:r>
      <w:r w:rsidR="00374916">
        <w:rPr>
          <w:rFonts w:ascii="Times New Roman" w:hAnsi="Times New Roman" w:cs="Times New Roman"/>
          <w:sz w:val="24"/>
          <w:szCs w:val="24"/>
        </w:rPr>
        <w:t>’s presence in parliament</w:t>
      </w:r>
      <w:r w:rsidR="00223EDC" w:rsidRPr="00170FE5">
        <w:rPr>
          <w:rFonts w:ascii="Times New Roman" w:hAnsi="Times New Roman" w:cs="Times New Roman"/>
          <w:sz w:val="24"/>
          <w:szCs w:val="24"/>
        </w:rPr>
        <w:t xml:space="preserve">. </w:t>
      </w:r>
      <w:r w:rsidR="00EA29B3">
        <w:rPr>
          <w:rFonts w:ascii="Times New Roman" w:hAnsi="Times New Roman" w:cs="Times New Roman"/>
          <w:sz w:val="24"/>
          <w:szCs w:val="24"/>
        </w:rPr>
        <w:t>F</w:t>
      </w:r>
      <w:r w:rsidR="00223EDC" w:rsidRPr="00AA20D8">
        <w:rPr>
          <w:rFonts w:ascii="Times New Roman" w:hAnsi="Times New Roman" w:cs="Times New Roman"/>
          <w:sz w:val="24"/>
          <w:szCs w:val="24"/>
        </w:rPr>
        <w:t xml:space="preserve">igure </w:t>
      </w:r>
      <w:r w:rsidR="00AA20D8" w:rsidRPr="00AA20D8">
        <w:rPr>
          <w:rFonts w:ascii="Times New Roman" w:hAnsi="Times New Roman" w:cs="Times New Roman"/>
          <w:sz w:val="24"/>
          <w:szCs w:val="24"/>
        </w:rPr>
        <w:t>F</w:t>
      </w:r>
      <w:r w:rsidR="00EA29B3">
        <w:rPr>
          <w:rFonts w:ascii="Times New Roman" w:hAnsi="Times New Roman" w:cs="Times New Roman"/>
          <w:sz w:val="24"/>
          <w:szCs w:val="24"/>
        </w:rPr>
        <w:t>2</w:t>
      </w:r>
      <w:r w:rsidR="00223EDC" w:rsidRPr="00170FE5">
        <w:rPr>
          <w:rFonts w:ascii="Times New Roman" w:hAnsi="Times New Roman" w:cs="Times New Roman"/>
          <w:sz w:val="24"/>
          <w:szCs w:val="24"/>
        </w:rPr>
        <w:t xml:space="preserve"> suggests that the negative relationship lasts at least 3 electoral terms, which is roughly equivalent to 12 years</w:t>
      </w:r>
      <w:r w:rsidR="00856E95">
        <w:rPr>
          <w:rFonts w:ascii="Times New Roman" w:hAnsi="Times New Roman" w:cs="Times New Roman"/>
          <w:sz w:val="24"/>
          <w:szCs w:val="24"/>
        </w:rPr>
        <w:t xml:space="preserve"> in parliament</w:t>
      </w:r>
      <w:r w:rsidR="0070068B">
        <w:rPr>
          <w:rFonts w:ascii="Times New Roman" w:hAnsi="Times New Roman" w:cs="Times New Roman"/>
          <w:sz w:val="24"/>
          <w:szCs w:val="24"/>
        </w:rPr>
        <w:t>.</w:t>
      </w:r>
    </w:p>
    <w:p w14:paraId="23C1ECFB" w14:textId="3D188974" w:rsidR="00072772" w:rsidRDefault="001972CD" w:rsidP="001972C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On a technical note, </w:t>
      </w:r>
      <w:r w:rsidR="00FB05C0">
        <w:rPr>
          <w:rFonts w:ascii="Times New Roman" w:hAnsi="Times New Roman" w:cs="Times New Roman"/>
          <w:sz w:val="24"/>
          <w:szCs w:val="24"/>
        </w:rPr>
        <w:t xml:space="preserve">I </w:t>
      </w:r>
      <w:r w:rsidR="007654B1">
        <w:rPr>
          <w:rFonts w:ascii="Times New Roman" w:hAnsi="Times New Roman" w:cs="Times New Roman"/>
          <w:sz w:val="24"/>
          <w:szCs w:val="24"/>
        </w:rPr>
        <w:t>point out</w:t>
      </w:r>
      <w:r w:rsidR="00FB05C0">
        <w:rPr>
          <w:rFonts w:ascii="Times New Roman" w:hAnsi="Times New Roman" w:cs="Times New Roman"/>
          <w:sz w:val="24"/>
          <w:szCs w:val="24"/>
        </w:rPr>
        <w:t xml:space="preserve"> that the</w:t>
      </w:r>
      <w:r w:rsidR="00317C2B" w:rsidRPr="00C32509">
        <w:rPr>
          <w:rFonts w:ascii="Times New Roman" w:hAnsi="Times New Roman" w:cs="Times New Roman"/>
          <w:sz w:val="24"/>
          <w:szCs w:val="24"/>
        </w:rPr>
        <w:t xml:space="preserve"> reference period (k) </w:t>
      </w:r>
      <w:r w:rsidR="0065710D">
        <w:rPr>
          <w:rFonts w:ascii="Times New Roman" w:hAnsi="Times New Roman" w:cs="Times New Roman"/>
          <w:sz w:val="24"/>
          <w:szCs w:val="24"/>
        </w:rPr>
        <w:t>f</w:t>
      </w:r>
      <w:r w:rsidR="00A3192A" w:rsidRPr="0065710D">
        <w:rPr>
          <w:rFonts w:ascii="Times New Roman" w:hAnsi="Times New Roman" w:cs="Times New Roman"/>
          <w:sz w:val="24"/>
          <w:szCs w:val="24"/>
        </w:rPr>
        <w:t>or</w:t>
      </w:r>
      <w:r w:rsidR="00515D6C">
        <w:rPr>
          <w:rFonts w:ascii="Times New Roman" w:hAnsi="Times New Roman" w:cs="Times New Roman"/>
          <w:sz w:val="24"/>
          <w:szCs w:val="24"/>
        </w:rPr>
        <w:t xml:space="preserve"> a</w:t>
      </w:r>
      <w:r w:rsidR="00A3192A" w:rsidRPr="0065710D">
        <w:rPr>
          <w:rFonts w:ascii="Times New Roman" w:hAnsi="Times New Roman" w:cs="Times New Roman"/>
          <w:sz w:val="24"/>
          <w:szCs w:val="24"/>
        </w:rPr>
        <w:t xml:space="preserve"> model using only post-event dummies</w:t>
      </w:r>
      <w:r w:rsidR="00317C2B" w:rsidRPr="0065710D">
        <w:rPr>
          <w:rFonts w:ascii="Times New Roman" w:hAnsi="Times New Roman" w:cs="Times New Roman"/>
          <w:sz w:val="24"/>
          <w:szCs w:val="24"/>
        </w:rPr>
        <w:t xml:space="preserve"> </w:t>
      </w:r>
      <w:r w:rsidR="00A3192A" w:rsidRPr="00C32509">
        <w:rPr>
          <w:rFonts w:ascii="Times New Roman" w:hAnsi="Times New Roman" w:cs="Times New Roman"/>
          <w:sz w:val="24"/>
          <w:szCs w:val="24"/>
        </w:rPr>
        <w:t xml:space="preserve">includes the country-year observations of the never-treated countries and the pre-treatment periods of the countries where a </w:t>
      </w:r>
      <w:r w:rsidR="00CC691C">
        <w:rPr>
          <w:rFonts w:ascii="Times New Roman" w:hAnsi="Times New Roman" w:cs="Times New Roman"/>
          <w:sz w:val="24"/>
          <w:szCs w:val="24"/>
        </w:rPr>
        <w:t>RRP</w:t>
      </w:r>
      <w:r w:rsidR="00A3192A" w:rsidRPr="00C32509">
        <w:rPr>
          <w:rFonts w:ascii="Times New Roman" w:hAnsi="Times New Roman" w:cs="Times New Roman"/>
          <w:sz w:val="24"/>
          <w:szCs w:val="24"/>
        </w:rPr>
        <w:t xml:space="preserve"> is eventually elected to parliament.</w:t>
      </w:r>
      <w:r w:rsidR="00CA2475">
        <w:rPr>
          <w:rFonts w:ascii="Times New Roman" w:hAnsi="Times New Roman" w:cs="Times New Roman"/>
          <w:sz w:val="24"/>
          <w:szCs w:val="24"/>
        </w:rPr>
        <w:t xml:space="preserve"> </w:t>
      </w:r>
      <w:r w:rsidR="00CA2475" w:rsidRPr="00D74E4E">
        <w:rPr>
          <w:rFonts w:ascii="Times New Roman" w:hAnsi="Times New Roman" w:cs="Times New Roman"/>
          <w:sz w:val="24"/>
          <w:szCs w:val="24"/>
        </w:rPr>
        <w:t>However, f</w:t>
      </w:r>
      <w:r w:rsidR="005D1E31" w:rsidRPr="00D74E4E">
        <w:rPr>
          <w:rFonts w:ascii="Times New Roman" w:hAnsi="Times New Roman" w:cs="Times New Roman"/>
          <w:sz w:val="24"/>
          <w:szCs w:val="24"/>
        </w:rPr>
        <w:t>or</w:t>
      </w:r>
      <w:r w:rsidR="00CA2475" w:rsidRPr="00D74E4E">
        <w:rPr>
          <w:rFonts w:ascii="Times New Roman" w:hAnsi="Times New Roman" w:cs="Times New Roman"/>
          <w:sz w:val="24"/>
          <w:szCs w:val="24"/>
        </w:rPr>
        <w:t xml:space="preserve"> the</w:t>
      </w:r>
      <w:r w:rsidR="005D1E31" w:rsidRPr="00D74E4E">
        <w:rPr>
          <w:rFonts w:ascii="Times New Roman" w:hAnsi="Times New Roman" w:cs="Times New Roman"/>
          <w:sz w:val="24"/>
          <w:szCs w:val="24"/>
        </w:rPr>
        <w:t xml:space="preserve"> model using both pre- and post-event dummies </w:t>
      </w:r>
      <w:r w:rsidR="00E65316" w:rsidRPr="00D74E4E">
        <w:rPr>
          <w:rFonts w:ascii="Times New Roman" w:hAnsi="Times New Roman" w:cs="Times New Roman"/>
          <w:sz w:val="24"/>
          <w:szCs w:val="24"/>
        </w:rPr>
        <w:t>t</w:t>
      </w:r>
      <w:r w:rsidR="00F94EDB" w:rsidRPr="00D74E4E">
        <w:rPr>
          <w:rFonts w:ascii="Times New Roman" w:hAnsi="Times New Roman" w:cs="Times New Roman"/>
          <w:sz w:val="24"/>
          <w:szCs w:val="24"/>
        </w:rPr>
        <w:t>he reference period for the post-event dummies slightly change</w:t>
      </w:r>
      <w:r w:rsidR="00862B04">
        <w:rPr>
          <w:rFonts w:ascii="Times New Roman" w:hAnsi="Times New Roman" w:cs="Times New Roman"/>
          <w:sz w:val="24"/>
          <w:szCs w:val="24"/>
        </w:rPr>
        <w:t>s</w:t>
      </w:r>
      <w:r w:rsidR="00F94EDB" w:rsidRPr="00D74E4E">
        <w:rPr>
          <w:rFonts w:ascii="Times New Roman" w:hAnsi="Times New Roman" w:cs="Times New Roman"/>
          <w:sz w:val="24"/>
          <w:szCs w:val="24"/>
        </w:rPr>
        <w:t xml:space="preserve"> to the pretreatment period </w:t>
      </w:r>
      <m:oMath>
        <m:r>
          <m:rPr>
            <m:sty m:val="p"/>
          </m:rPr>
          <w:rPr>
            <w:rFonts w:ascii="Cambria Math" w:hAnsi="Cambria Math" w:cs="Times New Roman"/>
            <w:sz w:val="24"/>
            <w:szCs w:val="24"/>
          </w:rPr>
          <m:t>k &lt; -1</m:t>
        </m:r>
      </m:oMath>
      <w:r w:rsidR="00F94EDB" w:rsidRPr="00D74E4E">
        <w:rPr>
          <w:rFonts w:ascii="Times New Roman" w:hAnsi="Times New Roman" w:cs="Times New Roman"/>
          <w:sz w:val="24"/>
          <w:szCs w:val="24"/>
        </w:rPr>
        <w:t xml:space="preserve"> of the treated countries and the whole period of the never-treated countries.</w:t>
      </w:r>
      <w:r w:rsidR="00F94EDB" w:rsidRPr="00C32509">
        <w:rPr>
          <w:rFonts w:ascii="Times New Roman" w:hAnsi="Times New Roman" w:cs="Times New Roman"/>
          <w:sz w:val="24"/>
          <w:szCs w:val="24"/>
        </w:rPr>
        <w:t xml:space="preserve"> As a result, the post-event dummy estimates </w:t>
      </w:r>
      <w:r w:rsidR="00E12106">
        <w:rPr>
          <w:rFonts w:ascii="Times New Roman" w:hAnsi="Times New Roman" w:cs="Times New Roman"/>
          <w:sz w:val="24"/>
          <w:szCs w:val="24"/>
        </w:rPr>
        <w:t>are</w:t>
      </w:r>
      <w:r w:rsidR="00F94EDB" w:rsidRPr="00C32509">
        <w:rPr>
          <w:rFonts w:ascii="Times New Roman" w:hAnsi="Times New Roman" w:cs="Times New Roman"/>
          <w:sz w:val="24"/>
          <w:szCs w:val="24"/>
        </w:rPr>
        <w:t xml:space="preserve"> more imprecise failing to reach statistical significance at conventional</w:t>
      </w:r>
      <w:r w:rsidR="003B7A7D">
        <w:rPr>
          <w:rFonts w:ascii="Times New Roman" w:hAnsi="Times New Roman" w:cs="Times New Roman"/>
          <w:sz w:val="24"/>
          <w:szCs w:val="24"/>
        </w:rPr>
        <w:t xml:space="preserve"> levels</w:t>
      </w:r>
      <w:r w:rsidR="00F94EDB" w:rsidRPr="00C32509">
        <w:rPr>
          <w:rFonts w:ascii="Times New Roman" w:hAnsi="Times New Roman" w:cs="Times New Roman"/>
          <w:sz w:val="24"/>
          <w:szCs w:val="24"/>
        </w:rPr>
        <w:t xml:space="preserve">. Ludwig &amp; Brüderl </w:t>
      </w:r>
      <w:r w:rsidR="00F94EDB" w:rsidRPr="00C32509">
        <w:rPr>
          <w:rFonts w:ascii="Times New Roman" w:hAnsi="Times New Roman" w:cs="Times New Roman"/>
          <w:sz w:val="24"/>
          <w:szCs w:val="24"/>
        </w:rPr>
        <w:fldChar w:fldCharType="begin"/>
      </w:r>
      <w:r w:rsidR="001131A7">
        <w:rPr>
          <w:rFonts w:ascii="Times New Roman" w:hAnsi="Times New Roman" w:cs="Times New Roman"/>
          <w:sz w:val="24"/>
          <w:szCs w:val="24"/>
        </w:rPr>
        <w:instrText xml:space="preserve"> ADDIN ZOTERO_ITEM CSL_CITATION {"citationID":"bngzOgUm","properties":{"formattedCitation":"(2021, p. 465)","plainCitation":"(2021, p. 465)","noteIndex":0},"citationItems":[{"id":2215,"uris":["http://zotero.org/users/6208848/items/LBSA2IBR"],"itemData":{"id":2215,"type":"article-journal","abstract":"The estimation of impact functions – that is the time-varying causal effect of a dichotomous treatment (e.g., marriage, divorce, parenthood) on outcomes (e.g., earnings, well-being, health) – has become a standard procedure in demographic applications. The basic methodology of estimating impact functions with panel data and fixed-effects regressions is now widely known. However, many researchers may not be fully aware of the methodological subtleties of the approach, which may lead to biased estimates of the impact function. In this paper, we highlight potential pitfalls and provide guidance on how to avoid these in practice. We demonstrate these issues with exemplary analyses, using data from the German Family Panel (pairfam) study and estimating the effect of motherhood on life satisfaction.\n \n* This article belongs to a special issue on “Identification of causal mechanisms in demographic research: The contribution of panel data”.","container-title":"Comparative Population Studies","DOI":"10.12765/CPoS-2021-16","ISSN":"1869-8999","language":"en","source":"www.comparativepopulationstudies.de","title":"What You Need to Know When Estimating Impact Functions with Panel Data for Demographic Research","URL":"https://www.comparativepopulationstudies.de/index.php/CPoS/article/view/468","volume":"46","author":[{"family":"Ludwig","given":"Volker"},{"family":"Brüderl","given":"Josef"}],"accessed":{"date-parts":[["2021",11,29]]},"issued":{"date-parts":[["2021",11,24]]}},"locator":"465","suppress-author":true}],"schema":"https://github.com/citation-style-language/schema/raw/master/csl-citation.json"} </w:instrText>
      </w:r>
      <w:r w:rsidR="00F94EDB" w:rsidRPr="00C32509">
        <w:rPr>
          <w:rFonts w:ascii="Times New Roman" w:hAnsi="Times New Roman" w:cs="Times New Roman"/>
          <w:sz w:val="24"/>
          <w:szCs w:val="24"/>
        </w:rPr>
        <w:fldChar w:fldCharType="separate"/>
      </w:r>
      <w:r w:rsidR="00F94EDB" w:rsidRPr="00C32509">
        <w:rPr>
          <w:rFonts w:ascii="Times New Roman" w:hAnsi="Times New Roman" w:cs="Times New Roman"/>
          <w:sz w:val="24"/>
        </w:rPr>
        <w:t>(2021, p. 465)</w:t>
      </w:r>
      <w:r w:rsidR="00F94EDB" w:rsidRPr="00C32509">
        <w:rPr>
          <w:rFonts w:ascii="Times New Roman" w:hAnsi="Times New Roman" w:cs="Times New Roman"/>
          <w:sz w:val="24"/>
          <w:szCs w:val="24"/>
        </w:rPr>
        <w:fldChar w:fldCharType="end"/>
      </w:r>
      <w:r w:rsidR="00F94EDB" w:rsidRPr="00C32509">
        <w:rPr>
          <w:rFonts w:ascii="Times New Roman" w:hAnsi="Times New Roman" w:cs="Times New Roman"/>
          <w:sz w:val="24"/>
          <w:szCs w:val="24"/>
        </w:rPr>
        <w:t xml:space="preserve"> advice against including pre-treatment dummies in a regression model unless it is informed by a theoretical argument, as these dummies may bias the treatment effects and capture other effects that are less interpretable. </w:t>
      </w:r>
      <w:r w:rsidR="00AD40E9">
        <w:rPr>
          <w:rFonts w:ascii="Times New Roman" w:hAnsi="Times New Roman" w:cs="Times New Roman"/>
          <w:sz w:val="24"/>
          <w:szCs w:val="24"/>
        </w:rPr>
        <w:t>The</w:t>
      </w:r>
      <w:r w:rsidR="00F94EDB" w:rsidRPr="00C32509">
        <w:rPr>
          <w:rFonts w:ascii="Times New Roman" w:hAnsi="Times New Roman" w:cs="Times New Roman"/>
          <w:sz w:val="24"/>
          <w:szCs w:val="24"/>
        </w:rPr>
        <w:t xml:space="preserve"> bias</w:t>
      </w:r>
      <w:r w:rsidR="00697E79" w:rsidRPr="00C32509">
        <w:rPr>
          <w:rFonts w:ascii="Times New Roman" w:hAnsi="Times New Roman" w:cs="Times New Roman"/>
          <w:sz w:val="24"/>
          <w:szCs w:val="24"/>
        </w:rPr>
        <w:t xml:space="preserve"> </w:t>
      </w:r>
      <w:r w:rsidR="00AD40E9">
        <w:rPr>
          <w:rFonts w:ascii="Times New Roman" w:hAnsi="Times New Roman" w:cs="Times New Roman"/>
          <w:sz w:val="24"/>
          <w:szCs w:val="24"/>
        </w:rPr>
        <w:t>of</w:t>
      </w:r>
      <w:r w:rsidR="00F94EDB" w:rsidRPr="00C32509">
        <w:rPr>
          <w:rFonts w:ascii="Times New Roman" w:hAnsi="Times New Roman" w:cs="Times New Roman"/>
          <w:sz w:val="24"/>
          <w:szCs w:val="24"/>
        </w:rPr>
        <w:t xml:space="preserve"> the post-event estimates</w:t>
      </w:r>
      <w:r w:rsidR="00697E79" w:rsidRPr="00C32509">
        <w:rPr>
          <w:rFonts w:ascii="Times New Roman" w:hAnsi="Times New Roman" w:cs="Times New Roman"/>
          <w:sz w:val="24"/>
          <w:szCs w:val="24"/>
        </w:rPr>
        <w:t xml:space="preserve"> introduced</w:t>
      </w:r>
      <w:r w:rsidR="00F94EDB" w:rsidRPr="00C32509">
        <w:rPr>
          <w:rFonts w:ascii="Times New Roman" w:hAnsi="Times New Roman" w:cs="Times New Roman"/>
          <w:sz w:val="24"/>
          <w:szCs w:val="24"/>
        </w:rPr>
        <w:t xml:space="preserve"> </w:t>
      </w:r>
      <w:r w:rsidR="00697E79" w:rsidRPr="00C32509">
        <w:rPr>
          <w:rFonts w:ascii="Times New Roman" w:hAnsi="Times New Roman" w:cs="Times New Roman"/>
          <w:sz w:val="24"/>
          <w:szCs w:val="24"/>
        </w:rPr>
        <w:t xml:space="preserve">by the inclusion of a </w:t>
      </w:r>
      <w:r w:rsidR="00F94EDB" w:rsidRPr="00C32509">
        <w:rPr>
          <w:rFonts w:ascii="Times New Roman" w:hAnsi="Times New Roman" w:cs="Times New Roman"/>
          <w:sz w:val="24"/>
          <w:szCs w:val="24"/>
        </w:rPr>
        <w:t xml:space="preserve">pre-event dummy means that I regard the post-treatment estimates shown in </w:t>
      </w:r>
      <w:r w:rsidR="00E12106">
        <w:rPr>
          <w:rFonts w:ascii="Times New Roman" w:hAnsi="Times New Roman" w:cs="Times New Roman"/>
          <w:sz w:val="24"/>
          <w:szCs w:val="24"/>
        </w:rPr>
        <w:t>figure F2</w:t>
      </w:r>
      <w:r w:rsidR="00F94EDB" w:rsidRPr="00C32509">
        <w:rPr>
          <w:rFonts w:ascii="Times New Roman" w:hAnsi="Times New Roman" w:cs="Times New Roman"/>
          <w:sz w:val="24"/>
          <w:szCs w:val="24"/>
        </w:rPr>
        <w:t xml:space="preserve"> as more credible</w:t>
      </w:r>
      <w:r w:rsidR="005E6099">
        <w:rPr>
          <w:rFonts w:ascii="Times New Roman" w:hAnsi="Times New Roman" w:cs="Times New Roman"/>
          <w:sz w:val="24"/>
          <w:szCs w:val="24"/>
        </w:rPr>
        <w:t xml:space="preserve"> when estimating the</w:t>
      </w:r>
      <w:r w:rsidR="00107F12">
        <w:rPr>
          <w:rFonts w:ascii="Times New Roman" w:hAnsi="Times New Roman" w:cs="Times New Roman"/>
          <w:sz w:val="24"/>
          <w:szCs w:val="24"/>
        </w:rPr>
        <w:t xml:space="preserve"> studied relationship</w:t>
      </w:r>
      <w:r w:rsidR="00A74EC5">
        <w:rPr>
          <w:rFonts w:ascii="Times New Roman" w:hAnsi="Times New Roman" w:cs="Times New Roman"/>
          <w:sz w:val="24"/>
          <w:szCs w:val="24"/>
        </w:rPr>
        <w:t>(s)</w:t>
      </w:r>
      <w:r w:rsidR="00F94EDB" w:rsidRPr="00C32509">
        <w:rPr>
          <w:rFonts w:ascii="Times New Roman" w:hAnsi="Times New Roman" w:cs="Times New Roman"/>
          <w:sz w:val="24"/>
          <w:szCs w:val="24"/>
        </w:rPr>
        <w:t xml:space="preserve">. </w:t>
      </w:r>
    </w:p>
    <w:p w14:paraId="5963FA52" w14:textId="77777777" w:rsidR="00787220" w:rsidRDefault="00787220">
      <w:pPr>
        <w:spacing w:before="0" w:after="160"/>
        <w:rPr>
          <w:rFonts w:ascii="Times New Roman" w:eastAsiaTheme="majorEastAsia" w:hAnsi="Times New Roman" w:cs="Times New Roman"/>
          <w:b/>
          <w:bCs/>
          <w:sz w:val="24"/>
          <w:szCs w:val="24"/>
        </w:rPr>
      </w:pPr>
      <w:r>
        <w:rPr>
          <w:rFonts w:ascii="Times New Roman" w:hAnsi="Times New Roman" w:cs="Times New Roman"/>
          <w:b/>
          <w:bCs/>
        </w:rPr>
        <w:br w:type="page"/>
      </w:r>
    </w:p>
    <w:p w14:paraId="171B43B3" w14:textId="1C2BDA57" w:rsidR="00E307E0" w:rsidRPr="004672CC" w:rsidRDefault="00E307E0" w:rsidP="0007287A">
      <w:pPr>
        <w:pStyle w:val="Overskrift3"/>
        <w:spacing w:line="360" w:lineRule="auto"/>
        <w:rPr>
          <w:rFonts w:ascii="Times New Roman" w:hAnsi="Times New Roman" w:cs="Times New Roman"/>
          <w:b/>
          <w:bCs/>
          <w:color w:val="auto"/>
        </w:rPr>
      </w:pPr>
      <w:bookmarkStart w:id="18" w:name="_Toc113820359"/>
      <w:r w:rsidRPr="004672CC">
        <w:rPr>
          <w:rFonts w:ascii="Times New Roman" w:hAnsi="Times New Roman" w:cs="Times New Roman"/>
          <w:b/>
          <w:bCs/>
          <w:color w:val="auto"/>
        </w:rPr>
        <w:lastRenderedPageBreak/>
        <w:t xml:space="preserve">Figure </w:t>
      </w:r>
      <w:r w:rsidR="001F2AA6" w:rsidRPr="004672CC">
        <w:rPr>
          <w:rFonts w:ascii="Times New Roman" w:hAnsi="Times New Roman" w:cs="Times New Roman"/>
          <w:b/>
          <w:bCs/>
          <w:color w:val="auto"/>
        </w:rPr>
        <w:t>F</w:t>
      </w:r>
      <w:r w:rsidRPr="004672CC">
        <w:rPr>
          <w:rFonts w:ascii="Times New Roman" w:hAnsi="Times New Roman" w:cs="Times New Roman"/>
          <w:b/>
          <w:bCs/>
          <w:color w:val="auto"/>
        </w:rPr>
        <w:t>1: Flexible two-way FE model with pre-and post-event dummies</w:t>
      </w:r>
      <w:bookmarkEnd w:id="18"/>
    </w:p>
    <w:p w14:paraId="21FF92A8" w14:textId="59362478" w:rsidR="007506C6" w:rsidRPr="00C32509" w:rsidRDefault="00FB67BF" w:rsidP="0007287A">
      <w:pPr>
        <w:spacing w:line="360" w:lineRule="auto"/>
        <w:jc w:val="both"/>
        <w:rPr>
          <w:rFonts w:ascii="Times New Roman" w:hAnsi="Times New Roman" w:cs="Times New Roman"/>
          <w:i/>
          <w:iCs/>
          <w:sz w:val="24"/>
          <w:szCs w:val="24"/>
        </w:rPr>
      </w:pPr>
      <w:r>
        <w:rPr>
          <w:noProof/>
        </w:rPr>
        <w:drawing>
          <wp:inline distT="0" distB="0" distL="0" distR="0" wp14:anchorId="0D220024" wp14:editId="64FD025B">
            <wp:extent cx="5675851" cy="3422015"/>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971"/>
                    <a:stretch/>
                  </pic:blipFill>
                  <pic:spPr bwMode="auto">
                    <a:xfrm>
                      <a:off x="0" y="0"/>
                      <a:ext cx="5675851" cy="3422015"/>
                    </a:xfrm>
                    <a:prstGeom prst="rect">
                      <a:avLst/>
                    </a:prstGeom>
                    <a:ln>
                      <a:noFill/>
                    </a:ln>
                    <a:extLst>
                      <a:ext uri="{53640926-AAD7-44D8-BBD7-CCE9431645EC}">
                        <a14:shadowObscured xmlns:a14="http://schemas.microsoft.com/office/drawing/2010/main"/>
                      </a:ext>
                    </a:extLst>
                  </pic:spPr>
                </pic:pic>
              </a:graphicData>
            </a:graphic>
          </wp:inline>
        </w:drawing>
      </w:r>
    </w:p>
    <w:p w14:paraId="275DCA63" w14:textId="63E3D88B" w:rsidR="001F7C92" w:rsidRDefault="001F7C92" w:rsidP="0007287A">
      <w:pPr>
        <w:spacing w:line="360" w:lineRule="auto"/>
        <w:jc w:val="both"/>
        <w:rPr>
          <w:rFonts w:ascii="Times New Roman" w:hAnsi="Times New Roman" w:cs="Times New Roman"/>
          <w:i/>
          <w:iCs/>
          <w:sz w:val="24"/>
          <w:szCs w:val="24"/>
        </w:rPr>
      </w:pPr>
      <w:r w:rsidRPr="00C32509">
        <w:rPr>
          <w:rFonts w:ascii="Times New Roman" w:hAnsi="Times New Roman" w:cs="Times New Roman"/>
          <w:i/>
          <w:iCs/>
          <w:sz w:val="24"/>
          <w:szCs w:val="24"/>
        </w:rPr>
        <w:t xml:space="preserve">Note: Point estimates and associated 90 and 95% (two-tailed) confidence intervals </w:t>
      </w:r>
      <w:r w:rsidR="00572825">
        <w:rPr>
          <w:rFonts w:ascii="Times New Roman" w:hAnsi="Times New Roman" w:cs="Times New Roman"/>
          <w:i/>
          <w:iCs/>
          <w:sz w:val="24"/>
          <w:szCs w:val="24"/>
        </w:rPr>
        <w:t>is</w:t>
      </w:r>
      <w:r w:rsidRPr="00C32509">
        <w:rPr>
          <w:rFonts w:ascii="Times New Roman" w:hAnsi="Times New Roman" w:cs="Times New Roman"/>
          <w:i/>
          <w:iCs/>
          <w:sz w:val="24"/>
          <w:szCs w:val="24"/>
        </w:rPr>
        <w:t xml:space="preserve"> based on </w:t>
      </w:r>
      <w:r w:rsidR="00572825">
        <w:rPr>
          <w:rFonts w:ascii="Times New Roman" w:hAnsi="Times New Roman" w:cs="Times New Roman"/>
          <w:i/>
          <w:iCs/>
          <w:sz w:val="24"/>
          <w:szCs w:val="24"/>
        </w:rPr>
        <w:t xml:space="preserve">a </w:t>
      </w:r>
      <w:r w:rsidRPr="00C32509">
        <w:rPr>
          <w:rFonts w:ascii="Times New Roman" w:hAnsi="Times New Roman" w:cs="Times New Roman"/>
          <w:i/>
          <w:iCs/>
          <w:sz w:val="24"/>
          <w:szCs w:val="24"/>
        </w:rPr>
        <w:t xml:space="preserve">weighted linear two-way fixed effects model with cluster-robust standard errors. </w:t>
      </w:r>
      <w:r w:rsidR="00712CC5" w:rsidRPr="00C32509">
        <w:rPr>
          <w:rFonts w:ascii="Times New Roman" w:hAnsi="Times New Roman" w:cs="Times New Roman"/>
          <w:i/>
          <w:iCs/>
          <w:sz w:val="24"/>
          <w:szCs w:val="24"/>
        </w:rPr>
        <w:t xml:space="preserve">Post-event dummies </w:t>
      </w:r>
      <w:r w:rsidR="00D402EB">
        <w:rPr>
          <w:rFonts w:ascii="Times New Roman" w:hAnsi="Times New Roman" w:cs="Times New Roman"/>
          <w:i/>
          <w:iCs/>
          <w:sz w:val="24"/>
          <w:szCs w:val="24"/>
        </w:rPr>
        <w:t>after the</w:t>
      </w:r>
      <w:r w:rsidR="00156945">
        <w:rPr>
          <w:rFonts w:ascii="Times New Roman" w:hAnsi="Times New Roman" w:cs="Times New Roman"/>
          <w:i/>
          <w:iCs/>
          <w:sz w:val="24"/>
          <w:szCs w:val="24"/>
        </w:rPr>
        <w:t xml:space="preserve"> third</w:t>
      </w:r>
      <w:r w:rsidR="00712CC5" w:rsidRPr="00C32509">
        <w:rPr>
          <w:rFonts w:ascii="Times New Roman" w:hAnsi="Times New Roman" w:cs="Times New Roman"/>
          <w:i/>
          <w:iCs/>
          <w:sz w:val="24"/>
          <w:szCs w:val="24"/>
        </w:rPr>
        <w:t xml:space="preserve"> electoral term are truncated due to few observations </w:t>
      </w:r>
      <w:r w:rsidR="00712CC5" w:rsidRPr="00C32509">
        <w:rPr>
          <w:rFonts w:ascii="Times New Roman" w:hAnsi="Times New Roman" w:cs="Times New Roman"/>
          <w:i/>
          <w:iCs/>
          <w:sz w:val="24"/>
          <w:szCs w:val="24"/>
        </w:rPr>
        <w:fldChar w:fldCharType="begin"/>
      </w:r>
      <w:r w:rsidR="001131A7">
        <w:rPr>
          <w:rFonts w:ascii="Times New Roman" w:hAnsi="Times New Roman" w:cs="Times New Roman"/>
          <w:i/>
          <w:iCs/>
          <w:sz w:val="24"/>
          <w:szCs w:val="24"/>
        </w:rPr>
        <w:instrText xml:space="preserve"> ADDIN ZOTERO_ITEM CSL_CITATION {"citationID":"g4ehFQ32","properties":{"formattedCitation":"(Ludwig &amp; Br\\uc0\\u252{}derl, 2021)","plainCitation":"(Ludwig &amp; Brüderl, 2021)","noteIndex":0},"citationItems":[{"id":2215,"uris":["http://zotero.org/users/6208848/items/LBSA2IBR"],"itemData":{"id":2215,"type":"article-journal","abstract":"The estimation of impact functions – that is the time-varying causal effect of a dichotomous treatment (e.g., marriage, divorce, parenthood) on outcomes (e.g., earnings, well-being, health) – has become a standard procedure in demographic applications. The basic methodology of estimating impact functions with panel data and fixed-effects regressions is now widely known. However, many researchers may not be fully aware of the methodological subtleties of the approach, which may lead to biased estimates of the impact function. In this paper, we highlight potential pitfalls and provide guidance on how to avoid these in practice. We demonstrate these issues with exemplary analyses, using data from the German Family Panel (pairfam) study and estimating the effect of motherhood on life satisfaction.\n \n* This article belongs to a special issue on “Identification of causal mechanisms in demographic research: The contribution of panel data”.","container-title":"Comparative Population Studies","DOI":"10.12765/CPoS-2021-16","ISSN":"1869-8999","language":"en","source":"www.comparativepopulationstudies.de","title":"What You Need to Know When Estimating Impact Functions with Panel Data for Demographic Research","URL":"https://www.comparativepopulationstudies.de/index.php/CPoS/article/view/468","volume":"46","author":[{"family":"Ludwig","given":"Volker"},{"family":"Brüderl","given":"Josef"}],"accessed":{"date-parts":[["2021",11,29]]},"issued":{"date-parts":[["2021",11,24]]}}}],"schema":"https://github.com/citation-style-language/schema/raw/master/csl-citation.json"} </w:instrText>
      </w:r>
      <w:r w:rsidR="00712CC5" w:rsidRPr="00C32509">
        <w:rPr>
          <w:rFonts w:ascii="Times New Roman" w:hAnsi="Times New Roman" w:cs="Times New Roman"/>
          <w:i/>
          <w:iCs/>
          <w:sz w:val="24"/>
          <w:szCs w:val="24"/>
        </w:rPr>
        <w:fldChar w:fldCharType="separate"/>
      </w:r>
      <w:r w:rsidR="00712CC5" w:rsidRPr="00C32509">
        <w:rPr>
          <w:rFonts w:ascii="Times New Roman" w:hAnsi="Times New Roman" w:cs="Times New Roman"/>
          <w:i/>
          <w:iCs/>
          <w:sz w:val="24"/>
          <w:szCs w:val="24"/>
        </w:rPr>
        <w:t>(Ludwig &amp; Brüderl, 2021)</w:t>
      </w:r>
      <w:r w:rsidR="00712CC5" w:rsidRPr="00C32509">
        <w:rPr>
          <w:rFonts w:ascii="Times New Roman" w:hAnsi="Times New Roman" w:cs="Times New Roman"/>
          <w:i/>
          <w:iCs/>
          <w:sz w:val="24"/>
          <w:szCs w:val="24"/>
        </w:rPr>
        <w:fldChar w:fldCharType="end"/>
      </w:r>
    </w:p>
    <w:p w14:paraId="0720B07E" w14:textId="77777777" w:rsidR="009C4C42" w:rsidRDefault="009C4C42" w:rsidP="00816B9C"/>
    <w:p w14:paraId="3A3476FC" w14:textId="280002AE" w:rsidR="00284A0C" w:rsidRDefault="00284A0C">
      <w:pPr>
        <w:spacing w:before="0" w:after="160"/>
        <w:rPr>
          <w:rFonts w:ascii="Times New Roman" w:eastAsiaTheme="majorEastAsia" w:hAnsi="Times New Roman" w:cs="Times New Roman"/>
          <w:b/>
          <w:bCs/>
          <w:i/>
          <w:iCs/>
          <w:sz w:val="24"/>
          <w:szCs w:val="24"/>
        </w:rPr>
      </w:pPr>
      <w:r>
        <w:rPr>
          <w:rFonts w:ascii="Times New Roman" w:hAnsi="Times New Roman" w:cs="Times New Roman"/>
          <w:b/>
          <w:bCs/>
          <w:i/>
          <w:iCs/>
        </w:rPr>
        <w:br w:type="page"/>
      </w:r>
    </w:p>
    <w:p w14:paraId="14A5190D" w14:textId="280002AE" w:rsidR="001F2AA6" w:rsidRPr="00254024" w:rsidRDefault="001F2AA6" w:rsidP="001F2AA6">
      <w:pPr>
        <w:pStyle w:val="Overskrift3"/>
        <w:spacing w:line="360" w:lineRule="auto"/>
        <w:rPr>
          <w:rFonts w:ascii="Times New Roman" w:hAnsi="Times New Roman" w:cs="Times New Roman"/>
          <w:b/>
          <w:bCs/>
          <w:color w:val="auto"/>
        </w:rPr>
      </w:pPr>
      <w:bookmarkStart w:id="19" w:name="_Toc113820360"/>
      <w:r w:rsidRPr="00254024">
        <w:rPr>
          <w:rFonts w:ascii="Times New Roman" w:hAnsi="Times New Roman" w:cs="Times New Roman"/>
          <w:b/>
          <w:bCs/>
          <w:color w:val="auto"/>
        </w:rPr>
        <w:lastRenderedPageBreak/>
        <w:t>Figure F2: Flexible two-way FE model with post-event dummies</w:t>
      </w:r>
      <w:bookmarkEnd w:id="19"/>
    </w:p>
    <w:p w14:paraId="1CBEC83D" w14:textId="305241EE" w:rsidR="001F2AA6" w:rsidRPr="00C32509" w:rsidRDefault="00B50EC8" w:rsidP="001F2AA6">
      <w:pPr>
        <w:spacing w:line="360" w:lineRule="auto"/>
        <w:jc w:val="both"/>
        <w:rPr>
          <w:rFonts w:ascii="Times New Roman" w:hAnsi="Times New Roman" w:cs="Times New Roman"/>
          <w:i/>
          <w:iCs/>
          <w:sz w:val="24"/>
          <w:szCs w:val="24"/>
        </w:rPr>
      </w:pPr>
      <w:r>
        <w:rPr>
          <w:noProof/>
        </w:rPr>
        <w:drawing>
          <wp:inline distT="0" distB="0" distL="0" distR="0" wp14:anchorId="5EB81AB4" wp14:editId="5DF88719">
            <wp:extent cx="5731510" cy="3445510"/>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3445510"/>
                    </a:xfrm>
                    <a:prstGeom prst="rect">
                      <a:avLst/>
                    </a:prstGeom>
                  </pic:spPr>
                </pic:pic>
              </a:graphicData>
            </a:graphic>
          </wp:inline>
        </w:drawing>
      </w:r>
    </w:p>
    <w:p w14:paraId="4A475C86" w14:textId="164BB39A" w:rsidR="00E405B6" w:rsidRPr="0014423B" w:rsidRDefault="001F2AA6" w:rsidP="0014423B">
      <w:pPr>
        <w:spacing w:line="360" w:lineRule="auto"/>
        <w:jc w:val="both"/>
        <w:rPr>
          <w:rFonts w:ascii="Times New Roman" w:hAnsi="Times New Roman" w:cs="Times New Roman"/>
          <w:i/>
          <w:iCs/>
          <w:sz w:val="24"/>
          <w:szCs w:val="24"/>
        </w:rPr>
      </w:pPr>
      <w:r w:rsidRPr="00C32509">
        <w:rPr>
          <w:rFonts w:ascii="Times New Roman" w:hAnsi="Times New Roman" w:cs="Times New Roman"/>
          <w:i/>
          <w:iCs/>
          <w:sz w:val="24"/>
          <w:szCs w:val="24"/>
        </w:rPr>
        <w:t xml:space="preserve">Note: Point estimates and associated 90 and 95% (two-tailed) confidence intervals are based on weighted linear two-way fixed effects models with cluster-robust standard errors. Post-event dummies </w:t>
      </w:r>
      <w:r>
        <w:rPr>
          <w:rFonts w:ascii="Times New Roman" w:hAnsi="Times New Roman" w:cs="Times New Roman"/>
          <w:i/>
          <w:iCs/>
          <w:sz w:val="24"/>
          <w:szCs w:val="24"/>
        </w:rPr>
        <w:t xml:space="preserve">beyond </w:t>
      </w:r>
      <w:r w:rsidR="00A63147">
        <w:rPr>
          <w:rFonts w:ascii="Times New Roman" w:hAnsi="Times New Roman" w:cs="Times New Roman"/>
          <w:i/>
          <w:iCs/>
          <w:sz w:val="24"/>
          <w:szCs w:val="24"/>
        </w:rPr>
        <w:t>the</w:t>
      </w:r>
      <w:r>
        <w:rPr>
          <w:rFonts w:ascii="Times New Roman" w:hAnsi="Times New Roman" w:cs="Times New Roman"/>
          <w:i/>
          <w:iCs/>
          <w:sz w:val="24"/>
          <w:szCs w:val="24"/>
        </w:rPr>
        <w:t xml:space="preserve"> third</w:t>
      </w:r>
      <w:r w:rsidRPr="00C32509">
        <w:rPr>
          <w:rFonts w:ascii="Times New Roman" w:hAnsi="Times New Roman" w:cs="Times New Roman"/>
          <w:i/>
          <w:iCs/>
          <w:sz w:val="24"/>
          <w:szCs w:val="24"/>
        </w:rPr>
        <w:t xml:space="preserve"> electoral term are truncated due to few observations </w:t>
      </w:r>
      <w:r w:rsidRPr="00C32509">
        <w:rPr>
          <w:rFonts w:ascii="Times New Roman" w:hAnsi="Times New Roman" w:cs="Times New Roman"/>
          <w:i/>
          <w:iCs/>
          <w:sz w:val="24"/>
          <w:szCs w:val="24"/>
        </w:rPr>
        <w:fldChar w:fldCharType="begin"/>
      </w:r>
      <w:r w:rsidR="00D6116D">
        <w:rPr>
          <w:rFonts w:ascii="Times New Roman" w:hAnsi="Times New Roman" w:cs="Times New Roman"/>
          <w:i/>
          <w:iCs/>
          <w:sz w:val="24"/>
          <w:szCs w:val="24"/>
        </w:rPr>
        <w:instrText xml:space="preserve"> ADDIN ZOTERO_ITEM CSL_CITATION {"citationID":"t0r20Plo","properties":{"formattedCitation":"(Ludwig &amp; Br\\uc0\\u252{}derl, 2021)","plainCitation":"(Ludwig &amp; Brüderl, 2021)","noteIndex":0},"citationItems":[{"id":2215,"uris":["http://zotero.org/users/6208848/items/LBSA2IBR"],"itemData":{"id":2215,"type":"article-journal","abstract":"The estimation of impact functions – that is the time-varying causal effect of a dichotomous treatment (e.g., marriage, divorce, parenthood) on outcomes (e.g., earnings, well-being, health) – has become a standard procedure in demographic applications. The basic methodology of estimating impact functions with panel data and fixed-effects regressions is now widely known. However, many researchers may not be fully aware of the methodological subtleties of the approach, which may lead to biased estimates of the impact function. In this paper, we highlight potential pitfalls and provide guidance on how to avoid these in practice. We demonstrate these issues with exemplary analyses, using data from the German Family Panel (pairfam) study and estimating the effect of motherhood on life satisfaction.\n \n* This article belongs to a special issue on “Identification of causal mechanisms in demographic research: The contribution of panel data”.","container-title":"Comparative Population Studies","DOI":"10.12765/CPoS-2021-16","ISSN":"1869-8999","language":"en","source":"www.comparativepopulationstudies.de","title":"What You Need to Know When Estimating Impact Functions with Panel Data for Demographic Research","URL":"https://www.comparativepopulationstudies.de/index.php/CPoS/article/view/468","volume":"46","author":[{"family":"Ludwig","given":"Volker"},{"family":"Brüderl","given":"Josef"}],"accessed":{"date-parts":[["2021",11,29]]},"issued":{"date-parts":[["2021",11,24]]}}}],"schema":"https://github.com/citation-style-language/schema/raw/master/csl-citation.json"} </w:instrText>
      </w:r>
      <w:r w:rsidRPr="00C32509">
        <w:rPr>
          <w:rFonts w:ascii="Times New Roman" w:hAnsi="Times New Roman" w:cs="Times New Roman"/>
          <w:i/>
          <w:iCs/>
          <w:sz w:val="24"/>
          <w:szCs w:val="24"/>
        </w:rPr>
        <w:fldChar w:fldCharType="separate"/>
      </w:r>
      <w:r w:rsidRPr="00C32509">
        <w:rPr>
          <w:rFonts w:ascii="Times New Roman" w:hAnsi="Times New Roman" w:cs="Times New Roman"/>
          <w:i/>
          <w:iCs/>
          <w:sz w:val="24"/>
          <w:szCs w:val="24"/>
        </w:rPr>
        <w:t>(Ludwig &amp; Brüderl, 2021)</w:t>
      </w:r>
      <w:r w:rsidRPr="00C32509">
        <w:rPr>
          <w:rFonts w:ascii="Times New Roman" w:hAnsi="Times New Roman" w:cs="Times New Roman"/>
          <w:i/>
          <w:iCs/>
          <w:sz w:val="24"/>
          <w:szCs w:val="24"/>
        </w:rPr>
        <w:fldChar w:fldCharType="end"/>
      </w:r>
    </w:p>
    <w:p w14:paraId="6180362D" w14:textId="4B745E02" w:rsidR="00E941B3" w:rsidRPr="00FE277A" w:rsidRDefault="00E941B3" w:rsidP="0007287A">
      <w:pPr>
        <w:pStyle w:val="Overskrift2"/>
        <w:spacing w:line="360" w:lineRule="auto"/>
        <w:jc w:val="both"/>
        <w:rPr>
          <w:rFonts w:ascii="Times New Roman" w:hAnsi="Times New Roman" w:cs="Times New Roman"/>
          <w:b/>
          <w:bCs/>
          <w:color w:val="auto"/>
          <w:sz w:val="28"/>
          <w:szCs w:val="28"/>
        </w:rPr>
      </w:pPr>
      <w:bookmarkStart w:id="20" w:name="_Toc113820361"/>
      <w:r w:rsidRPr="00FE277A">
        <w:rPr>
          <w:rFonts w:ascii="Times New Roman" w:hAnsi="Times New Roman" w:cs="Times New Roman"/>
          <w:b/>
          <w:bCs/>
          <w:color w:val="auto"/>
          <w:sz w:val="28"/>
          <w:szCs w:val="28"/>
        </w:rPr>
        <w:t xml:space="preserve">Appendix </w:t>
      </w:r>
      <w:r w:rsidR="002A21D5">
        <w:rPr>
          <w:rFonts w:ascii="Times New Roman" w:hAnsi="Times New Roman" w:cs="Times New Roman"/>
          <w:b/>
          <w:bCs/>
          <w:color w:val="auto"/>
          <w:sz w:val="28"/>
          <w:szCs w:val="28"/>
        </w:rPr>
        <w:t>G</w:t>
      </w:r>
      <w:r>
        <w:rPr>
          <w:rFonts w:ascii="Times New Roman" w:hAnsi="Times New Roman" w:cs="Times New Roman"/>
          <w:b/>
          <w:bCs/>
          <w:color w:val="auto"/>
          <w:sz w:val="28"/>
          <w:szCs w:val="28"/>
        </w:rPr>
        <w:t>.</w:t>
      </w:r>
      <w:r w:rsidRPr="00FE277A">
        <w:rPr>
          <w:rFonts w:ascii="Times New Roman" w:hAnsi="Times New Roman" w:cs="Times New Roman"/>
          <w:b/>
          <w:bCs/>
          <w:color w:val="auto"/>
          <w:sz w:val="28"/>
          <w:szCs w:val="28"/>
        </w:rPr>
        <w:t xml:space="preserve"> Replication code for the regression discontinuity approach</w:t>
      </w:r>
      <w:bookmarkEnd w:id="20"/>
    </w:p>
    <w:p w14:paraId="0DDB2DDC" w14:textId="5D4F9BAB" w:rsidR="00E941B3" w:rsidRPr="00487F64" w:rsidRDefault="00E941B3" w:rsidP="0007287A">
      <w:pPr>
        <w:spacing w:line="360" w:lineRule="auto"/>
        <w:jc w:val="both"/>
        <w:rPr>
          <w:rFonts w:ascii="Times New Roman" w:hAnsi="Times New Roman" w:cs="Times New Roman"/>
          <w:sz w:val="24"/>
          <w:szCs w:val="24"/>
        </w:rPr>
      </w:pPr>
      <w:r w:rsidRPr="00C32509">
        <w:rPr>
          <w:rFonts w:ascii="Times New Roman" w:hAnsi="Times New Roman" w:cs="Times New Roman"/>
          <w:sz w:val="24"/>
          <w:szCs w:val="24"/>
        </w:rPr>
        <w:t xml:space="preserve">To </w:t>
      </w:r>
      <w:r w:rsidR="00EA235B">
        <w:rPr>
          <w:rFonts w:ascii="Times New Roman" w:hAnsi="Times New Roman" w:cs="Times New Roman"/>
          <w:sz w:val="24"/>
          <w:szCs w:val="24"/>
        </w:rPr>
        <w:t>conduct the regression discontinuity design analysis</w:t>
      </w:r>
      <w:r w:rsidRPr="00C32509">
        <w:rPr>
          <w:rFonts w:ascii="Times New Roman" w:hAnsi="Times New Roman" w:cs="Times New Roman"/>
          <w:sz w:val="24"/>
          <w:szCs w:val="24"/>
        </w:rPr>
        <w:t xml:space="preserve">, I use both a non-parametric </w:t>
      </w:r>
      <w:r w:rsidR="00056C23">
        <w:rPr>
          <w:rFonts w:ascii="Times New Roman" w:hAnsi="Times New Roman" w:cs="Times New Roman"/>
          <w:sz w:val="24"/>
          <w:szCs w:val="24"/>
        </w:rPr>
        <w:t xml:space="preserve">and a parametric </w:t>
      </w:r>
      <w:r w:rsidRPr="00C32509">
        <w:rPr>
          <w:rFonts w:ascii="Times New Roman" w:hAnsi="Times New Roman" w:cs="Times New Roman"/>
          <w:sz w:val="24"/>
          <w:szCs w:val="24"/>
        </w:rPr>
        <w:t>estimation procedure</w:t>
      </w:r>
      <w:r w:rsidR="00056C23">
        <w:rPr>
          <w:rFonts w:ascii="Times New Roman" w:hAnsi="Times New Roman" w:cs="Times New Roman"/>
          <w:sz w:val="24"/>
          <w:szCs w:val="24"/>
        </w:rPr>
        <w:t>. In the first approach, I</w:t>
      </w:r>
      <w:r w:rsidRPr="00C32509">
        <w:rPr>
          <w:rFonts w:ascii="Times New Roman" w:hAnsi="Times New Roman" w:cs="Times New Roman"/>
          <w:sz w:val="24"/>
          <w:szCs w:val="24"/>
        </w:rPr>
        <w:t xml:space="preserve"> </w:t>
      </w:r>
      <w:r w:rsidR="00056C23">
        <w:rPr>
          <w:rFonts w:ascii="Times New Roman" w:hAnsi="Times New Roman" w:cs="Times New Roman"/>
          <w:sz w:val="24"/>
          <w:szCs w:val="24"/>
        </w:rPr>
        <w:t>estimate</w:t>
      </w:r>
      <w:r w:rsidRPr="00C32509">
        <w:rPr>
          <w:rFonts w:ascii="Times New Roman" w:hAnsi="Times New Roman" w:cs="Times New Roman"/>
          <w:sz w:val="24"/>
          <w:szCs w:val="24"/>
        </w:rPr>
        <w:t xml:space="preserve"> local linear regression</w:t>
      </w:r>
      <w:r w:rsidR="00BE1A9C">
        <w:rPr>
          <w:rFonts w:ascii="Times New Roman" w:hAnsi="Times New Roman" w:cs="Times New Roman"/>
          <w:sz w:val="24"/>
          <w:szCs w:val="24"/>
        </w:rPr>
        <w:t>s</w:t>
      </w:r>
      <w:r w:rsidRPr="00C32509">
        <w:rPr>
          <w:rFonts w:ascii="Times New Roman" w:hAnsi="Times New Roman" w:cs="Times New Roman"/>
          <w:sz w:val="24"/>
          <w:szCs w:val="24"/>
        </w:rPr>
        <w:t xml:space="preserve"> for different bandwidths of the running variable</w:t>
      </w:r>
      <w:r w:rsidR="003A092C">
        <w:rPr>
          <w:rFonts w:ascii="Times New Roman" w:hAnsi="Times New Roman" w:cs="Times New Roman"/>
          <w:sz w:val="24"/>
          <w:szCs w:val="24"/>
        </w:rPr>
        <w:t>, while</w:t>
      </w:r>
      <w:r w:rsidR="00E24458">
        <w:rPr>
          <w:rFonts w:ascii="Times New Roman" w:hAnsi="Times New Roman" w:cs="Times New Roman"/>
          <w:sz w:val="24"/>
          <w:szCs w:val="24"/>
        </w:rPr>
        <w:t>, in the latter framework, I</w:t>
      </w:r>
      <w:r w:rsidR="003A092C">
        <w:rPr>
          <w:rFonts w:ascii="Times New Roman" w:hAnsi="Times New Roman" w:cs="Times New Roman"/>
          <w:sz w:val="24"/>
          <w:szCs w:val="24"/>
        </w:rPr>
        <w:t xml:space="preserve"> model the entire </w:t>
      </w:r>
      <w:r w:rsidR="00AC67FF">
        <w:rPr>
          <w:rFonts w:ascii="Times New Roman" w:hAnsi="Times New Roman" w:cs="Times New Roman"/>
          <w:sz w:val="24"/>
          <w:szCs w:val="24"/>
        </w:rPr>
        <w:t xml:space="preserve">sample </w:t>
      </w:r>
      <w:r w:rsidRPr="00C32509">
        <w:rPr>
          <w:rFonts w:ascii="Times New Roman" w:hAnsi="Times New Roman" w:cs="Times New Roman"/>
          <w:sz w:val="24"/>
          <w:szCs w:val="24"/>
        </w:rPr>
        <w:t xml:space="preserve">using second order and third-order polynomials in a linear regression framework. All models are estimated with individual- and country-year level controls and country-year clustered robust standard errors. </w:t>
      </w:r>
      <w:r w:rsidRPr="00204FE4">
        <w:rPr>
          <w:rFonts w:ascii="Times New Roman" w:hAnsi="Times New Roman" w:cs="Times New Roman"/>
          <w:sz w:val="24"/>
          <w:szCs w:val="24"/>
        </w:rPr>
        <w:t xml:space="preserve">Tables </w:t>
      </w:r>
      <w:r w:rsidR="00D44438" w:rsidRPr="00204FE4">
        <w:rPr>
          <w:rFonts w:ascii="Times New Roman" w:hAnsi="Times New Roman" w:cs="Times New Roman"/>
          <w:sz w:val="24"/>
          <w:szCs w:val="24"/>
        </w:rPr>
        <w:t>G</w:t>
      </w:r>
      <w:r w:rsidRPr="00204FE4">
        <w:rPr>
          <w:rFonts w:ascii="Times New Roman" w:hAnsi="Times New Roman" w:cs="Times New Roman"/>
          <w:sz w:val="24"/>
          <w:szCs w:val="24"/>
        </w:rPr>
        <w:t xml:space="preserve">1-2 and figure </w:t>
      </w:r>
      <w:r w:rsidR="00D44438" w:rsidRPr="00204FE4">
        <w:rPr>
          <w:rFonts w:ascii="Times New Roman" w:hAnsi="Times New Roman" w:cs="Times New Roman"/>
          <w:sz w:val="24"/>
          <w:szCs w:val="24"/>
        </w:rPr>
        <w:t>G</w:t>
      </w:r>
      <w:r w:rsidRPr="00204FE4">
        <w:rPr>
          <w:rFonts w:ascii="Times New Roman" w:hAnsi="Times New Roman" w:cs="Times New Roman"/>
          <w:sz w:val="24"/>
          <w:szCs w:val="24"/>
        </w:rPr>
        <w:t>1-</w:t>
      </w:r>
      <w:r w:rsidR="008A721F" w:rsidRPr="00204FE4">
        <w:rPr>
          <w:rFonts w:ascii="Times New Roman" w:hAnsi="Times New Roman" w:cs="Times New Roman"/>
          <w:sz w:val="24"/>
          <w:szCs w:val="24"/>
        </w:rPr>
        <w:t>2</w:t>
      </w:r>
      <w:r w:rsidRPr="00204FE4">
        <w:rPr>
          <w:rFonts w:ascii="Times New Roman" w:hAnsi="Times New Roman" w:cs="Times New Roman"/>
          <w:sz w:val="24"/>
          <w:szCs w:val="24"/>
        </w:rPr>
        <w:t xml:space="preserve"> display the results.</w:t>
      </w:r>
      <w:r w:rsidR="00204FE4">
        <w:rPr>
          <w:rFonts w:ascii="Times New Roman" w:hAnsi="Times New Roman" w:cs="Times New Roman"/>
          <w:sz w:val="24"/>
          <w:szCs w:val="24"/>
        </w:rPr>
        <w:t xml:space="preserve"> Figure G1-G2 is </w:t>
      </w:r>
      <w:r w:rsidR="007503D2">
        <w:rPr>
          <w:rFonts w:ascii="Times New Roman" w:hAnsi="Times New Roman" w:cs="Times New Roman"/>
          <w:sz w:val="24"/>
          <w:szCs w:val="24"/>
        </w:rPr>
        <w:t>identical to</w:t>
      </w:r>
      <w:r w:rsidR="00204FE4">
        <w:rPr>
          <w:rFonts w:ascii="Times New Roman" w:hAnsi="Times New Roman" w:cs="Times New Roman"/>
          <w:sz w:val="24"/>
          <w:szCs w:val="24"/>
        </w:rPr>
        <w:t xml:space="preserve"> Figure 2 in the main article.</w:t>
      </w:r>
    </w:p>
    <w:p w14:paraId="5D6FD862" w14:textId="1D96998E" w:rsidR="00A64E55" w:rsidRPr="006D1F47" w:rsidRDefault="00A64E55" w:rsidP="006D1F47">
      <w:pPr>
        <w:spacing w:before="0" w:after="160"/>
        <w:sectPr w:rsidR="00A64E55" w:rsidRPr="006D1F47">
          <w:pgSz w:w="11906" w:h="16838"/>
          <w:pgMar w:top="1440" w:right="1440" w:bottom="1440" w:left="1440" w:header="708" w:footer="708" w:gutter="0"/>
          <w:cols w:space="708"/>
          <w:docGrid w:linePitch="360"/>
        </w:sectPr>
      </w:pPr>
    </w:p>
    <w:p w14:paraId="62A01DE6" w14:textId="31D9A81C" w:rsidR="00E941B3" w:rsidRPr="008021B4" w:rsidRDefault="006D1F47" w:rsidP="0007287A">
      <w:pPr>
        <w:pStyle w:val="Overskrift3"/>
        <w:spacing w:line="360" w:lineRule="auto"/>
        <w:rPr>
          <w:rFonts w:ascii="Times New Roman" w:hAnsi="Times New Roman" w:cs="Times New Roman"/>
          <w:b/>
          <w:bCs/>
          <w:color w:val="auto"/>
        </w:rPr>
      </w:pPr>
      <w:bookmarkStart w:id="21" w:name="_Toc113820362"/>
      <w:r w:rsidRPr="006D1F47">
        <w:rPr>
          <w:noProof/>
        </w:rPr>
        <w:lastRenderedPageBreak/>
        <w:drawing>
          <wp:anchor distT="0" distB="0" distL="114300" distR="114300" simplePos="0" relativeHeight="251660288" behindDoc="1" locked="0" layoutInCell="1" allowOverlap="1" wp14:anchorId="06688437" wp14:editId="7B5942E4">
            <wp:simplePos x="0" y="0"/>
            <wp:positionH relativeFrom="column">
              <wp:posOffset>-727811</wp:posOffset>
            </wp:positionH>
            <wp:positionV relativeFrom="paragraph">
              <wp:posOffset>336550</wp:posOffset>
            </wp:positionV>
            <wp:extent cx="7092315" cy="6865620"/>
            <wp:effectExtent l="0" t="0" r="0" b="0"/>
            <wp:wrapTight wrapText="bothSides">
              <wp:wrapPolygon edited="0">
                <wp:start x="0" y="0"/>
                <wp:lineTo x="0" y="21516"/>
                <wp:lineTo x="21525" y="21516"/>
                <wp:lineTo x="21525" y="0"/>
                <wp:lineTo x="0" y="0"/>
              </wp:wrapPolygon>
            </wp:wrapTight>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092315" cy="6865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41B3" w:rsidRPr="005A3CC8">
        <w:rPr>
          <w:rFonts w:ascii="Times New Roman" w:hAnsi="Times New Roman" w:cs="Times New Roman"/>
          <w:b/>
          <w:bCs/>
          <w:color w:val="auto"/>
        </w:rPr>
        <w:t xml:space="preserve">Table </w:t>
      </w:r>
      <w:r w:rsidR="000C0758" w:rsidRPr="005A3CC8">
        <w:rPr>
          <w:rFonts w:ascii="Times New Roman" w:hAnsi="Times New Roman" w:cs="Times New Roman"/>
          <w:b/>
          <w:bCs/>
          <w:color w:val="auto"/>
        </w:rPr>
        <w:t>G</w:t>
      </w:r>
      <w:r w:rsidR="00E941B3" w:rsidRPr="005A3CC8">
        <w:rPr>
          <w:rFonts w:ascii="Times New Roman" w:hAnsi="Times New Roman" w:cs="Times New Roman"/>
          <w:b/>
          <w:bCs/>
          <w:color w:val="auto"/>
        </w:rPr>
        <w:t xml:space="preserve">1: </w:t>
      </w:r>
      <w:r w:rsidR="001F05B5" w:rsidRPr="005A3CC8">
        <w:rPr>
          <w:rFonts w:ascii="Times New Roman" w:hAnsi="Times New Roman" w:cs="Times New Roman"/>
          <w:b/>
          <w:bCs/>
          <w:color w:val="auto"/>
        </w:rPr>
        <w:t xml:space="preserve">Parametric approach to RDD: </w:t>
      </w:r>
      <w:r w:rsidR="00E941B3" w:rsidRPr="005A3CC8">
        <w:rPr>
          <w:rFonts w:ascii="Times New Roman" w:hAnsi="Times New Roman" w:cs="Times New Roman"/>
          <w:b/>
          <w:bCs/>
          <w:color w:val="auto"/>
        </w:rPr>
        <w:t>Second-order polynomial estimation</w:t>
      </w:r>
      <w:bookmarkEnd w:id="21"/>
    </w:p>
    <w:p w14:paraId="524A00F4" w14:textId="31F22747" w:rsidR="00E715CA" w:rsidRDefault="00E715CA" w:rsidP="0059512C">
      <w:pPr>
        <w:spacing w:line="360" w:lineRule="auto"/>
        <w:rPr>
          <w:rFonts w:ascii="Times New Roman" w:hAnsi="Times New Roman" w:cs="Times New Roman"/>
          <w:i/>
          <w:iCs/>
          <w:sz w:val="24"/>
          <w:szCs w:val="24"/>
        </w:rPr>
      </w:pPr>
      <w:r>
        <w:rPr>
          <w:rFonts w:ascii="Times New Roman" w:hAnsi="Times New Roman" w:cs="Times New Roman"/>
          <w:i/>
          <w:iCs/>
          <w:sz w:val="24"/>
          <w:szCs w:val="24"/>
        </w:rPr>
        <w:br w:type="page"/>
      </w:r>
    </w:p>
    <w:p w14:paraId="6AD2DD9B" w14:textId="2222D0EA" w:rsidR="00D12025" w:rsidRPr="00F66015" w:rsidRDefault="006D1F47" w:rsidP="00F66015">
      <w:pPr>
        <w:pStyle w:val="Overskrift3"/>
        <w:spacing w:line="360" w:lineRule="auto"/>
        <w:rPr>
          <w:rFonts w:ascii="Times New Roman" w:hAnsi="Times New Roman" w:cs="Times New Roman"/>
          <w:b/>
          <w:bCs/>
          <w:color w:val="auto"/>
        </w:rPr>
      </w:pPr>
      <w:bookmarkStart w:id="22" w:name="_Toc113820363"/>
      <w:r w:rsidRPr="00F66015">
        <w:rPr>
          <w:noProof/>
        </w:rPr>
        <w:lastRenderedPageBreak/>
        <w:drawing>
          <wp:anchor distT="0" distB="0" distL="114300" distR="114300" simplePos="0" relativeHeight="251662336" behindDoc="1" locked="0" layoutInCell="1" allowOverlap="1" wp14:anchorId="1E478C81" wp14:editId="72524977">
            <wp:simplePos x="0" y="0"/>
            <wp:positionH relativeFrom="column">
              <wp:posOffset>-449580</wp:posOffset>
            </wp:positionH>
            <wp:positionV relativeFrom="paragraph">
              <wp:posOffset>336550</wp:posOffset>
            </wp:positionV>
            <wp:extent cx="6785610" cy="7652385"/>
            <wp:effectExtent l="0" t="0" r="0" b="0"/>
            <wp:wrapTight wrapText="bothSides">
              <wp:wrapPolygon edited="0">
                <wp:start x="0" y="0"/>
                <wp:lineTo x="0" y="21562"/>
                <wp:lineTo x="21527" y="21562"/>
                <wp:lineTo x="21527" y="0"/>
                <wp:lineTo x="0" y="0"/>
              </wp:wrapPolygon>
            </wp:wrapTight>
            <wp:docPr id="36" name="Bille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85610" cy="7652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41B3" w:rsidRPr="00FA6B47">
        <w:rPr>
          <w:rFonts w:ascii="Times New Roman" w:hAnsi="Times New Roman" w:cs="Times New Roman"/>
          <w:b/>
          <w:bCs/>
          <w:color w:val="auto"/>
        </w:rPr>
        <w:t xml:space="preserve">Table </w:t>
      </w:r>
      <w:r w:rsidR="000C0758" w:rsidRPr="00FA6B47">
        <w:rPr>
          <w:rFonts w:ascii="Times New Roman" w:hAnsi="Times New Roman" w:cs="Times New Roman"/>
          <w:b/>
          <w:bCs/>
          <w:color w:val="auto"/>
        </w:rPr>
        <w:t>G</w:t>
      </w:r>
      <w:r w:rsidR="00E941B3" w:rsidRPr="00FA6B47">
        <w:rPr>
          <w:rFonts w:ascii="Times New Roman" w:hAnsi="Times New Roman" w:cs="Times New Roman"/>
          <w:b/>
          <w:bCs/>
          <w:color w:val="auto"/>
        </w:rPr>
        <w:t xml:space="preserve">2: </w:t>
      </w:r>
      <w:r w:rsidR="001F05B5" w:rsidRPr="00FA6B47">
        <w:rPr>
          <w:rFonts w:ascii="Times New Roman" w:hAnsi="Times New Roman" w:cs="Times New Roman"/>
          <w:b/>
          <w:bCs/>
          <w:color w:val="auto"/>
        </w:rPr>
        <w:t xml:space="preserve">Parametric approach to RDD: </w:t>
      </w:r>
      <w:r w:rsidR="00E941B3" w:rsidRPr="00FA6B47">
        <w:rPr>
          <w:rFonts w:ascii="Times New Roman" w:hAnsi="Times New Roman" w:cs="Times New Roman"/>
          <w:b/>
          <w:bCs/>
          <w:color w:val="auto"/>
        </w:rPr>
        <w:t>Third-order polynomial estimation</w:t>
      </w:r>
      <w:bookmarkEnd w:id="22"/>
    </w:p>
    <w:p w14:paraId="26CD1333" w14:textId="67C8EC6C" w:rsidR="00FA6B47" w:rsidRPr="00D12025" w:rsidRDefault="00FA6B47" w:rsidP="00A00242">
      <w:pPr>
        <w:jc w:val="center"/>
        <w:sectPr w:rsidR="00FA6B47" w:rsidRPr="00D12025" w:rsidSect="005E5734">
          <w:pgSz w:w="11906" w:h="16838"/>
          <w:pgMar w:top="1440" w:right="1440" w:bottom="1440" w:left="1440" w:header="706" w:footer="706" w:gutter="0"/>
          <w:cols w:space="708"/>
          <w:docGrid w:linePitch="360"/>
        </w:sectPr>
      </w:pPr>
    </w:p>
    <w:p w14:paraId="4E8E4270" w14:textId="2F685423" w:rsidR="00FA02CE" w:rsidRPr="00176C77" w:rsidRDefault="00FA02CE" w:rsidP="00FA02CE">
      <w:pPr>
        <w:pStyle w:val="Overskrift3"/>
        <w:spacing w:line="360" w:lineRule="auto"/>
        <w:rPr>
          <w:rFonts w:ascii="Times New Roman" w:hAnsi="Times New Roman" w:cs="Times New Roman"/>
          <w:b/>
          <w:bCs/>
          <w:color w:val="auto"/>
        </w:rPr>
      </w:pPr>
      <w:bookmarkStart w:id="23" w:name="_Toc113820364"/>
      <w:r w:rsidRPr="00176C77">
        <w:rPr>
          <w:rFonts w:ascii="Times New Roman" w:hAnsi="Times New Roman" w:cs="Times New Roman"/>
          <w:b/>
          <w:bCs/>
          <w:color w:val="auto"/>
        </w:rPr>
        <w:lastRenderedPageBreak/>
        <w:t xml:space="preserve">Figure </w:t>
      </w:r>
      <w:r>
        <w:rPr>
          <w:rFonts w:ascii="Times New Roman" w:hAnsi="Times New Roman" w:cs="Times New Roman"/>
          <w:b/>
          <w:bCs/>
          <w:color w:val="auto"/>
        </w:rPr>
        <w:t>G1</w:t>
      </w:r>
      <w:r w:rsidRPr="00176C77">
        <w:rPr>
          <w:rFonts w:ascii="Times New Roman" w:hAnsi="Times New Roman" w:cs="Times New Roman"/>
          <w:b/>
          <w:bCs/>
          <w:color w:val="auto"/>
        </w:rPr>
        <w:t xml:space="preserve">: </w:t>
      </w:r>
      <w:r>
        <w:rPr>
          <w:rFonts w:ascii="Times New Roman" w:hAnsi="Times New Roman" w:cs="Times New Roman"/>
          <w:b/>
          <w:bCs/>
          <w:color w:val="auto"/>
        </w:rPr>
        <w:t>P</w:t>
      </w:r>
      <w:r w:rsidRPr="00176C77">
        <w:rPr>
          <w:rFonts w:ascii="Times New Roman" w:hAnsi="Times New Roman" w:cs="Times New Roman"/>
          <w:b/>
          <w:bCs/>
          <w:color w:val="auto"/>
        </w:rPr>
        <w:t xml:space="preserve">arametric approach to RDD: </w:t>
      </w:r>
      <w:r>
        <w:rPr>
          <w:rFonts w:ascii="Times New Roman" w:hAnsi="Times New Roman" w:cs="Times New Roman"/>
          <w:b/>
          <w:bCs/>
          <w:color w:val="auto"/>
        </w:rPr>
        <w:t>Second- and third order polynomials</w:t>
      </w:r>
      <w:bookmarkEnd w:id="23"/>
    </w:p>
    <w:p w14:paraId="4297B421" w14:textId="7C0EF38D" w:rsidR="00FA02CE" w:rsidRPr="00C32509" w:rsidRDefault="00BB1ED9" w:rsidP="00FA02CE">
      <w:pPr>
        <w:spacing w:line="360" w:lineRule="auto"/>
        <w:jc w:val="center"/>
        <w:rPr>
          <w:highlight w:val="yellow"/>
        </w:rPr>
      </w:pPr>
      <w:r>
        <w:rPr>
          <w:noProof/>
        </w:rPr>
        <w:drawing>
          <wp:inline distT="0" distB="0" distL="0" distR="0" wp14:anchorId="64A27443" wp14:editId="4CD1AF14">
            <wp:extent cx="5731510" cy="716216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1510" cy="7162165"/>
                    </a:xfrm>
                    <a:prstGeom prst="rect">
                      <a:avLst/>
                    </a:prstGeom>
                  </pic:spPr>
                </pic:pic>
              </a:graphicData>
            </a:graphic>
          </wp:inline>
        </w:drawing>
      </w:r>
    </w:p>
    <w:p w14:paraId="50E62FFA" w14:textId="77777777" w:rsidR="00FA02CE" w:rsidRPr="00200CD6" w:rsidRDefault="00FA02CE" w:rsidP="00FA02CE">
      <w:pPr>
        <w:spacing w:line="360" w:lineRule="auto"/>
        <w:jc w:val="both"/>
        <w:rPr>
          <w:rFonts w:ascii="Times New Roman" w:hAnsi="Times New Roman" w:cs="Times New Roman"/>
          <w:i/>
          <w:iCs/>
          <w:sz w:val="24"/>
          <w:szCs w:val="24"/>
        </w:rPr>
      </w:pPr>
      <w:r w:rsidRPr="00C32509">
        <w:rPr>
          <w:rFonts w:ascii="Times New Roman" w:hAnsi="Times New Roman" w:cs="Times New Roman"/>
          <w:i/>
          <w:iCs/>
          <w:sz w:val="24"/>
          <w:szCs w:val="24"/>
        </w:rPr>
        <w:t xml:space="preserve">Note: Point estimates and associated 90 and 95% (two-tailed) confidence intervals are based on a sharp regression discontinuity design with cluster-robust standard errors. </w:t>
      </w:r>
    </w:p>
    <w:p w14:paraId="3432F97F" w14:textId="229A4EE3" w:rsidR="00FA02CE" w:rsidRDefault="00FA02CE" w:rsidP="0007287A">
      <w:pPr>
        <w:spacing w:line="360" w:lineRule="auto"/>
        <w:jc w:val="both"/>
        <w:rPr>
          <w:rFonts w:ascii="Times New Roman" w:hAnsi="Times New Roman" w:cs="Times New Roman"/>
          <w:i/>
          <w:iCs/>
          <w:sz w:val="24"/>
          <w:szCs w:val="24"/>
        </w:rPr>
      </w:pPr>
    </w:p>
    <w:p w14:paraId="14D11476" w14:textId="77777777" w:rsidR="00FA02CE" w:rsidRDefault="00FA02CE" w:rsidP="0007287A">
      <w:pPr>
        <w:spacing w:line="360" w:lineRule="auto"/>
        <w:jc w:val="both"/>
        <w:rPr>
          <w:rFonts w:ascii="Times New Roman" w:hAnsi="Times New Roman" w:cs="Times New Roman"/>
          <w:i/>
          <w:iCs/>
          <w:sz w:val="24"/>
          <w:szCs w:val="24"/>
        </w:rPr>
      </w:pPr>
    </w:p>
    <w:p w14:paraId="631041E8" w14:textId="2A99C7AD" w:rsidR="00E941B3" w:rsidRPr="00176C77" w:rsidRDefault="00E941B3" w:rsidP="0007287A">
      <w:pPr>
        <w:pStyle w:val="Overskrift3"/>
        <w:spacing w:line="360" w:lineRule="auto"/>
        <w:rPr>
          <w:rFonts w:ascii="Times New Roman" w:hAnsi="Times New Roman" w:cs="Times New Roman"/>
          <w:b/>
          <w:bCs/>
          <w:color w:val="auto"/>
        </w:rPr>
      </w:pPr>
      <w:bookmarkStart w:id="24" w:name="_Toc113820365"/>
      <w:r w:rsidRPr="00176C77">
        <w:rPr>
          <w:rFonts w:ascii="Times New Roman" w:hAnsi="Times New Roman" w:cs="Times New Roman"/>
          <w:b/>
          <w:bCs/>
          <w:color w:val="auto"/>
        </w:rPr>
        <w:lastRenderedPageBreak/>
        <w:t xml:space="preserve">Figure </w:t>
      </w:r>
      <w:r w:rsidR="001B5ABF">
        <w:rPr>
          <w:rFonts w:ascii="Times New Roman" w:hAnsi="Times New Roman" w:cs="Times New Roman"/>
          <w:b/>
          <w:bCs/>
          <w:color w:val="auto"/>
        </w:rPr>
        <w:t>G</w:t>
      </w:r>
      <w:r w:rsidRPr="00176C77">
        <w:rPr>
          <w:rFonts w:ascii="Times New Roman" w:hAnsi="Times New Roman" w:cs="Times New Roman"/>
          <w:b/>
          <w:bCs/>
          <w:color w:val="auto"/>
        </w:rPr>
        <w:t>2: Non-parametric approach to RDD: Local linear regression at different bandwidths</w:t>
      </w:r>
      <w:bookmarkEnd w:id="24"/>
    </w:p>
    <w:p w14:paraId="05699459" w14:textId="2A69D34F" w:rsidR="00E4220D" w:rsidRPr="00C32509" w:rsidRDefault="00364769" w:rsidP="000E7FDC">
      <w:pPr>
        <w:spacing w:line="360" w:lineRule="auto"/>
        <w:jc w:val="center"/>
        <w:rPr>
          <w:highlight w:val="yellow"/>
        </w:rPr>
      </w:pPr>
      <w:r>
        <w:rPr>
          <w:noProof/>
        </w:rPr>
        <w:drawing>
          <wp:inline distT="0" distB="0" distL="0" distR="0" wp14:anchorId="38DC3B97" wp14:editId="06B7ADDB">
            <wp:extent cx="5731510" cy="7174230"/>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31510" cy="7174230"/>
                    </a:xfrm>
                    <a:prstGeom prst="rect">
                      <a:avLst/>
                    </a:prstGeom>
                  </pic:spPr>
                </pic:pic>
              </a:graphicData>
            </a:graphic>
          </wp:inline>
        </w:drawing>
      </w:r>
    </w:p>
    <w:p w14:paraId="54D0F794" w14:textId="77777777" w:rsidR="00E941B3" w:rsidRPr="00200CD6" w:rsidRDefault="00E941B3" w:rsidP="0007287A">
      <w:pPr>
        <w:spacing w:line="360" w:lineRule="auto"/>
        <w:jc w:val="both"/>
        <w:rPr>
          <w:rFonts w:ascii="Times New Roman" w:hAnsi="Times New Roman" w:cs="Times New Roman"/>
          <w:i/>
          <w:iCs/>
          <w:sz w:val="24"/>
          <w:szCs w:val="24"/>
        </w:rPr>
      </w:pPr>
      <w:r w:rsidRPr="00C32509">
        <w:rPr>
          <w:rFonts w:ascii="Times New Roman" w:hAnsi="Times New Roman" w:cs="Times New Roman"/>
          <w:i/>
          <w:iCs/>
          <w:sz w:val="24"/>
          <w:szCs w:val="24"/>
        </w:rPr>
        <w:t xml:space="preserve">Note: Point estimates and associated 90 and 95% (two-tailed) confidence intervals are based on a sharp regression discontinuity design with cluster-robust standard errors. </w:t>
      </w:r>
    </w:p>
    <w:p w14:paraId="2212A550" w14:textId="77777777" w:rsidR="00E941B3" w:rsidRPr="000D1DB0" w:rsidRDefault="00E941B3" w:rsidP="0007287A">
      <w:pPr>
        <w:spacing w:line="360" w:lineRule="auto"/>
        <w:jc w:val="both"/>
        <w:rPr>
          <w:rFonts w:ascii="Times New Roman" w:hAnsi="Times New Roman" w:cs="Times New Roman"/>
          <w:i/>
          <w:iCs/>
          <w:sz w:val="24"/>
          <w:szCs w:val="24"/>
        </w:rPr>
      </w:pPr>
    </w:p>
    <w:p w14:paraId="19863A8A" w14:textId="4F955125" w:rsidR="0004359F" w:rsidRPr="00364769" w:rsidRDefault="00161A7D" w:rsidP="00364769">
      <w:pPr>
        <w:spacing w:before="0" w:after="160"/>
        <w:rPr>
          <w:rFonts w:ascii="Times New Roman" w:eastAsiaTheme="majorEastAsia" w:hAnsi="Times New Roman" w:cs="Times New Roman"/>
          <w:b/>
          <w:bCs/>
          <w:sz w:val="28"/>
          <w:szCs w:val="28"/>
        </w:rPr>
      </w:pPr>
      <w:r>
        <w:rPr>
          <w:rFonts w:ascii="Times New Roman" w:hAnsi="Times New Roman" w:cs="Times New Roman"/>
          <w:b/>
          <w:bCs/>
          <w:sz w:val="28"/>
          <w:szCs w:val="28"/>
        </w:rPr>
        <w:br w:type="page"/>
      </w:r>
      <w:r w:rsidR="0004359F" w:rsidRPr="001C1F9C">
        <w:rPr>
          <w:rFonts w:ascii="Times New Roman" w:hAnsi="Times New Roman" w:cs="Times New Roman"/>
          <w:b/>
          <w:bCs/>
          <w:sz w:val="28"/>
          <w:szCs w:val="28"/>
        </w:rPr>
        <w:lastRenderedPageBreak/>
        <w:t>Appendix</w:t>
      </w:r>
      <w:r w:rsidR="008B276C" w:rsidRPr="001C1F9C">
        <w:rPr>
          <w:rFonts w:ascii="Times New Roman" w:hAnsi="Times New Roman" w:cs="Times New Roman"/>
          <w:b/>
          <w:bCs/>
          <w:sz w:val="28"/>
          <w:szCs w:val="28"/>
        </w:rPr>
        <w:t xml:space="preserve"> H</w:t>
      </w:r>
      <w:r w:rsidR="00F71342">
        <w:rPr>
          <w:rFonts w:ascii="Times New Roman" w:hAnsi="Times New Roman" w:cs="Times New Roman"/>
          <w:b/>
          <w:bCs/>
          <w:sz w:val="28"/>
          <w:szCs w:val="28"/>
        </w:rPr>
        <w:t>.</w:t>
      </w:r>
      <w:r w:rsidR="0004359F" w:rsidRPr="001C1F9C">
        <w:rPr>
          <w:rFonts w:ascii="Times New Roman" w:hAnsi="Times New Roman" w:cs="Times New Roman"/>
          <w:b/>
          <w:bCs/>
          <w:sz w:val="28"/>
          <w:szCs w:val="28"/>
        </w:rPr>
        <w:t xml:space="preserve"> </w:t>
      </w:r>
      <w:r w:rsidR="001E543C" w:rsidRPr="001C1F9C">
        <w:rPr>
          <w:rFonts w:ascii="Times New Roman" w:hAnsi="Times New Roman" w:cs="Times New Roman"/>
          <w:b/>
          <w:bCs/>
          <w:sz w:val="28"/>
          <w:szCs w:val="28"/>
        </w:rPr>
        <w:t>RDD</w:t>
      </w:r>
      <w:r w:rsidR="00F71342">
        <w:rPr>
          <w:rFonts w:ascii="Times New Roman" w:hAnsi="Times New Roman" w:cs="Times New Roman"/>
          <w:b/>
          <w:bCs/>
          <w:sz w:val="28"/>
          <w:szCs w:val="28"/>
        </w:rPr>
        <w:t>:</w:t>
      </w:r>
      <w:r w:rsidR="00582AA4" w:rsidRPr="001C1F9C">
        <w:rPr>
          <w:rFonts w:ascii="Times New Roman" w:hAnsi="Times New Roman" w:cs="Times New Roman"/>
          <w:b/>
          <w:bCs/>
          <w:sz w:val="28"/>
          <w:szCs w:val="28"/>
        </w:rPr>
        <w:t xml:space="preserve"> </w:t>
      </w:r>
      <w:r w:rsidR="00EE4116">
        <w:rPr>
          <w:rFonts w:ascii="Times New Roman" w:hAnsi="Times New Roman" w:cs="Times New Roman"/>
          <w:b/>
          <w:bCs/>
          <w:sz w:val="28"/>
          <w:szCs w:val="28"/>
        </w:rPr>
        <w:t>Assumptions &amp; r</w:t>
      </w:r>
      <w:r w:rsidR="00CE28EB">
        <w:rPr>
          <w:rFonts w:ascii="Times New Roman" w:hAnsi="Times New Roman" w:cs="Times New Roman"/>
          <w:b/>
          <w:bCs/>
          <w:sz w:val="28"/>
          <w:szCs w:val="28"/>
        </w:rPr>
        <w:t>obustness checks</w:t>
      </w:r>
    </w:p>
    <w:p w14:paraId="02E60EF9" w14:textId="0C9A35C4" w:rsidR="005D5D15" w:rsidRDefault="0005036A" w:rsidP="0007287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681DE0">
        <w:rPr>
          <w:rFonts w:ascii="Times New Roman" w:hAnsi="Times New Roman" w:cs="Times New Roman"/>
          <w:sz w:val="24"/>
          <w:szCs w:val="24"/>
        </w:rPr>
        <w:t>figure H1</w:t>
      </w:r>
      <w:r>
        <w:rPr>
          <w:rFonts w:ascii="Times New Roman" w:hAnsi="Times New Roman" w:cs="Times New Roman"/>
          <w:sz w:val="24"/>
          <w:szCs w:val="24"/>
        </w:rPr>
        <w:t xml:space="preserve">, I show that the continuity assumption </w:t>
      </w:r>
      <w:r w:rsidR="006C3829">
        <w:rPr>
          <w:rFonts w:ascii="Times New Roman" w:hAnsi="Times New Roman" w:cs="Times New Roman"/>
          <w:sz w:val="24"/>
          <w:szCs w:val="24"/>
        </w:rPr>
        <w:t xml:space="preserve">holds for </w:t>
      </w:r>
      <w:r w:rsidR="00676672">
        <w:rPr>
          <w:rFonts w:ascii="Times New Roman" w:hAnsi="Times New Roman" w:cs="Times New Roman"/>
          <w:sz w:val="24"/>
          <w:szCs w:val="24"/>
        </w:rPr>
        <w:t>8</w:t>
      </w:r>
      <w:r w:rsidR="006C3829">
        <w:rPr>
          <w:rFonts w:ascii="Times New Roman" w:hAnsi="Times New Roman" w:cs="Times New Roman"/>
          <w:sz w:val="24"/>
          <w:szCs w:val="24"/>
        </w:rPr>
        <w:t xml:space="preserve"> out of 10 observable covariates</w:t>
      </w:r>
      <w:r w:rsidR="004026BC">
        <w:rPr>
          <w:rFonts w:ascii="Times New Roman" w:hAnsi="Times New Roman" w:cs="Times New Roman"/>
          <w:sz w:val="24"/>
          <w:szCs w:val="24"/>
        </w:rPr>
        <w:t>.</w:t>
      </w:r>
      <w:r w:rsidR="007431FB">
        <w:rPr>
          <w:rFonts w:ascii="Times New Roman" w:hAnsi="Times New Roman" w:cs="Times New Roman"/>
          <w:sz w:val="24"/>
          <w:szCs w:val="24"/>
        </w:rPr>
        <w:t xml:space="preserve"> </w:t>
      </w:r>
      <w:r w:rsidR="00BE2BAF">
        <w:rPr>
          <w:rFonts w:ascii="Times New Roman" w:hAnsi="Times New Roman" w:cs="Times New Roman"/>
          <w:sz w:val="24"/>
          <w:szCs w:val="24"/>
        </w:rPr>
        <w:t xml:space="preserve">According to my sample of countries, </w:t>
      </w:r>
      <w:r w:rsidR="00CC691C">
        <w:rPr>
          <w:rFonts w:ascii="Times New Roman" w:hAnsi="Times New Roman" w:cs="Times New Roman"/>
          <w:sz w:val="24"/>
          <w:szCs w:val="24"/>
        </w:rPr>
        <w:t>RRP</w:t>
      </w:r>
      <w:r w:rsidR="002A5C96">
        <w:rPr>
          <w:rFonts w:ascii="Times New Roman" w:hAnsi="Times New Roman" w:cs="Times New Roman"/>
          <w:sz w:val="24"/>
          <w:szCs w:val="24"/>
        </w:rPr>
        <w:t xml:space="preserve">s seem to </w:t>
      </w:r>
      <w:r w:rsidR="00780FC2">
        <w:rPr>
          <w:rFonts w:ascii="Times New Roman" w:hAnsi="Times New Roman" w:cs="Times New Roman"/>
          <w:sz w:val="24"/>
          <w:szCs w:val="24"/>
        </w:rPr>
        <w:t xml:space="preserve">systematically </w:t>
      </w:r>
      <w:r w:rsidR="002A5C96">
        <w:rPr>
          <w:rFonts w:ascii="Times New Roman" w:hAnsi="Times New Roman" w:cs="Times New Roman"/>
          <w:sz w:val="24"/>
          <w:szCs w:val="24"/>
        </w:rPr>
        <w:t>get elected in countries with a higher population density</w:t>
      </w:r>
      <w:r w:rsidR="009574F8">
        <w:rPr>
          <w:rFonts w:ascii="Times New Roman" w:hAnsi="Times New Roman" w:cs="Times New Roman"/>
          <w:sz w:val="24"/>
          <w:szCs w:val="24"/>
        </w:rPr>
        <w:t xml:space="preserve"> and lower percentage foreign born residents</w:t>
      </w:r>
      <w:r w:rsidR="002A5C96">
        <w:rPr>
          <w:rFonts w:ascii="Times New Roman" w:hAnsi="Times New Roman" w:cs="Times New Roman"/>
          <w:sz w:val="24"/>
          <w:szCs w:val="24"/>
        </w:rPr>
        <w:t xml:space="preserve">. </w:t>
      </w:r>
      <w:r w:rsidR="00F01E6E">
        <w:rPr>
          <w:rFonts w:ascii="Times New Roman" w:hAnsi="Times New Roman" w:cs="Times New Roman"/>
          <w:sz w:val="24"/>
          <w:szCs w:val="24"/>
        </w:rPr>
        <w:t>Thus</w:t>
      </w:r>
      <w:r w:rsidR="002A5C96">
        <w:rPr>
          <w:rFonts w:ascii="Times New Roman" w:hAnsi="Times New Roman" w:cs="Times New Roman"/>
          <w:sz w:val="24"/>
          <w:szCs w:val="24"/>
        </w:rPr>
        <w:t xml:space="preserve">, </w:t>
      </w:r>
      <w:r w:rsidR="00446DAE">
        <w:rPr>
          <w:rFonts w:ascii="Times New Roman" w:hAnsi="Times New Roman" w:cs="Times New Roman"/>
          <w:sz w:val="24"/>
          <w:szCs w:val="24"/>
        </w:rPr>
        <w:t xml:space="preserve">these two covariates </w:t>
      </w:r>
      <w:r w:rsidR="00421438">
        <w:rPr>
          <w:rFonts w:ascii="Times New Roman" w:hAnsi="Times New Roman" w:cs="Times New Roman"/>
          <w:sz w:val="24"/>
          <w:szCs w:val="24"/>
        </w:rPr>
        <w:t>constitute</w:t>
      </w:r>
      <w:r w:rsidR="002A5C96">
        <w:rPr>
          <w:rFonts w:ascii="Times New Roman" w:hAnsi="Times New Roman" w:cs="Times New Roman"/>
          <w:sz w:val="24"/>
          <w:szCs w:val="24"/>
        </w:rPr>
        <w:t xml:space="preserve"> </w:t>
      </w:r>
      <w:r w:rsidR="00446DAE">
        <w:rPr>
          <w:rFonts w:ascii="Times New Roman" w:hAnsi="Times New Roman" w:cs="Times New Roman"/>
          <w:sz w:val="24"/>
          <w:szCs w:val="24"/>
        </w:rPr>
        <w:t>important controls</w:t>
      </w:r>
      <w:r w:rsidR="002A5C96">
        <w:rPr>
          <w:rFonts w:ascii="Times New Roman" w:hAnsi="Times New Roman" w:cs="Times New Roman"/>
          <w:sz w:val="24"/>
          <w:szCs w:val="24"/>
        </w:rPr>
        <w:t xml:space="preserve"> in the </w:t>
      </w:r>
      <w:r w:rsidR="00A11DE4">
        <w:rPr>
          <w:rFonts w:ascii="Times New Roman" w:hAnsi="Times New Roman" w:cs="Times New Roman"/>
          <w:sz w:val="24"/>
          <w:szCs w:val="24"/>
        </w:rPr>
        <w:t>RDD</w:t>
      </w:r>
      <w:r w:rsidR="00880C4C">
        <w:rPr>
          <w:rFonts w:ascii="Times New Roman" w:hAnsi="Times New Roman" w:cs="Times New Roman"/>
          <w:sz w:val="24"/>
          <w:szCs w:val="24"/>
        </w:rPr>
        <w:t xml:space="preserve"> analysis</w:t>
      </w:r>
      <w:r w:rsidR="00A11DE4">
        <w:rPr>
          <w:rFonts w:ascii="Times New Roman" w:hAnsi="Times New Roman" w:cs="Times New Roman"/>
          <w:sz w:val="24"/>
          <w:szCs w:val="24"/>
        </w:rPr>
        <w:t>.</w:t>
      </w:r>
      <w:r w:rsidR="003A709A">
        <w:rPr>
          <w:rFonts w:ascii="Times New Roman" w:hAnsi="Times New Roman" w:cs="Times New Roman"/>
          <w:sz w:val="24"/>
          <w:szCs w:val="24"/>
        </w:rPr>
        <w:t xml:space="preserve"> Additionally</w:t>
      </w:r>
      <w:r w:rsidR="00681DE0">
        <w:rPr>
          <w:rFonts w:ascii="Times New Roman" w:hAnsi="Times New Roman" w:cs="Times New Roman"/>
          <w:sz w:val="24"/>
          <w:szCs w:val="24"/>
        </w:rPr>
        <w:t xml:space="preserve">, table </w:t>
      </w:r>
      <w:r w:rsidR="00AF4A2B">
        <w:rPr>
          <w:rFonts w:ascii="Times New Roman" w:hAnsi="Times New Roman" w:cs="Times New Roman"/>
          <w:sz w:val="24"/>
          <w:szCs w:val="24"/>
        </w:rPr>
        <w:t>H</w:t>
      </w:r>
      <w:r w:rsidR="00681DE0">
        <w:rPr>
          <w:rFonts w:ascii="Times New Roman" w:hAnsi="Times New Roman" w:cs="Times New Roman"/>
          <w:sz w:val="24"/>
          <w:szCs w:val="24"/>
        </w:rPr>
        <w:t xml:space="preserve">1 displays </w:t>
      </w:r>
      <w:r w:rsidR="00902666">
        <w:rPr>
          <w:rFonts w:ascii="Times New Roman" w:hAnsi="Times New Roman" w:cs="Times New Roman"/>
          <w:sz w:val="24"/>
          <w:szCs w:val="24"/>
        </w:rPr>
        <w:t xml:space="preserve">no within-group jumps </w:t>
      </w:r>
      <w:r w:rsidR="00B65469">
        <w:rPr>
          <w:rFonts w:ascii="Times New Roman" w:hAnsi="Times New Roman" w:cs="Times New Roman"/>
          <w:sz w:val="24"/>
          <w:szCs w:val="24"/>
        </w:rPr>
        <w:t>in the running variable</w:t>
      </w:r>
      <w:r w:rsidR="00AB1188">
        <w:rPr>
          <w:rFonts w:ascii="Times New Roman" w:hAnsi="Times New Roman" w:cs="Times New Roman"/>
          <w:sz w:val="24"/>
          <w:szCs w:val="24"/>
        </w:rPr>
        <w:t xml:space="preserve"> </w:t>
      </w:r>
      <w:r w:rsidR="00F45ADC">
        <w:rPr>
          <w:rFonts w:ascii="Times New Roman" w:hAnsi="Times New Roman" w:cs="Times New Roman"/>
          <w:sz w:val="24"/>
          <w:szCs w:val="24"/>
        </w:rPr>
        <w:t xml:space="preserve">(i.e., </w:t>
      </w:r>
      <w:r w:rsidR="00CC691C">
        <w:rPr>
          <w:rFonts w:ascii="Times New Roman" w:hAnsi="Times New Roman" w:cs="Times New Roman"/>
          <w:sz w:val="24"/>
          <w:szCs w:val="24"/>
        </w:rPr>
        <w:t>RRP</w:t>
      </w:r>
      <w:r w:rsidR="00AB1188">
        <w:rPr>
          <w:rFonts w:ascii="Times New Roman" w:hAnsi="Times New Roman" w:cs="Times New Roman"/>
          <w:sz w:val="24"/>
          <w:szCs w:val="24"/>
        </w:rPr>
        <w:t xml:space="preserve"> vote share in % relative to the</w:t>
      </w:r>
      <w:r w:rsidR="008E3E2F">
        <w:rPr>
          <w:rFonts w:ascii="Times New Roman" w:hAnsi="Times New Roman" w:cs="Times New Roman"/>
          <w:sz w:val="24"/>
          <w:szCs w:val="24"/>
        </w:rPr>
        <w:t xml:space="preserve"> defined </w:t>
      </w:r>
      <w:r w:rsidR="006E1EA0">
        <w:rPr>
          <w:rFonts w:ascii="Times New Roman" w:hAnsi="Times New Roman" w:cs="Times New Roman"/>
          <w:sz w:val="24"/>
          <w:szCs w:val="24"/>
        </w:rPr>
        <w:t xml:space="preserve">nationwide </w:t>
      </w:r>
      <w:r w:rsidR="008E3E2F">
        <w:rPr>
          <w:rFonts w:ascii="Times New Roman" w:hAnsi="Times New Roman" w:cs="Times New Roman"/>
          <w:sz w:val="24"/>
          <w:szCs w:val="24"/>
        </w:rPr>
        <w:t>electoral</w:t>
      </w:r>
      <w:r w:rsidR="00AB1188">
        <w:rPr>
          <w:rFonts w:ascii="Times New Roman" w:hAnsi="Times New Roman" w:cs="Times New Roman"/>
          <w:sz w:val="24"/>
          <w:szCs w:val="24"/>
        </w:rPr>
        <w:t xml:space="preserve"> threshold</w:t>
      </w:r>
      <w:r w:rsidR="00F45ADC">
        <w:rPr>
          <w:rFonts w:ascii="Times New Roman" w:hAnsi="Times New Roman" w:cs="Times New Roman"/>
          <w:sz w:val="24"/>
          <w:szCs w:val="24"/>
        </w:rPr>
        <w:t>)</w:t>
      </w:r>
      <w:r w:rsidR="00AB1188">
        <w:rPr>
          <w:rFonts w:ascii="Times New Roman" w:hAnsi="Times New Roman" w:cs="Times New Roman"/>
          <w:sz w:val="24"/>
          <w:szCs w:val="24"/>
        </w:rPr>
        <w:t xml:space="preserve">. </w:t>
      </w:r>
      <w:r w:rsidR="00890732">
        <w:rPr>
          <w:rFonts w:ascii="Times New Roman" w:hAnsi="Times New Roman" w:cs="Times New Roman"/>
          <w:sz w:val="24"/>
          <w:szCs w:val="24"/>
        </w:rPr>
        <w:t xml:space="preserve">Table </w:t>
      </w:r>
      <w:r w:rsidR="00EC6A18">
        <w:rPr>
          <w:rFonts w:ascii="Times New Roman" w:hAnsi="Times New Roman" w:cs="Times New Roman"/>
          <w:sz w:val="24"/>
          <w:szCs w:val="24"/>
        </w:rPr>
        <w:t>H</w:t>
      </w:r>
      <w:r w:rsidR="00CC0EFE">
        <w:rPr>
          <w:rFonts w:ascii="Times New Roman" w:hAnsi="Times New Roman" w:cs="Times New Roman"/>
          <w:sz w:val="24"/>
          <w:szCs w:val="24"/>
        </w:rPr>
        <w:t>2</w:t>
      </w:r>
      <w:r w:rsidR="00A22DBA">
        <w:rPr>
          <w:rFonts w:ascii="Times New Roman" w:hAnsi="Times New Roman" w:cs="Times New Roman"/>
          <w:sz w:val="24"/>
          <w:szCs w:val="24"/>
        </w:rPr>
        <w:t>-H3</w:t>
      </w:r>
      <w:r w:rsidR="00CC0EFE">
        <w:rPr>
          <w:rFonts w:ascii="Times New Roman" w:hAnsi="Times New Roman" w:cs="Times New Roman"/>
          <w:sz w:val="24"/>
          <w:szCs w:val="24"/>
        </w:rPr>
        <w:t xml:space="preserve"> further shows that the </w:t>
      </w:r>
      <w:r w:rsidR="002010DF">
        <w:rPr>
          <w:rFonts w:ascii="Times New Roman" w:hAnsi="Times New Roman" w:cs="Times New Roman"/>
          <w:sz w:val="24"/>
          <w:szCs w:val="24"/>
        </w:rPr>
        <w:t>association</w:t>
      </w:r>
      <w:r w:rsidR="00421438">
        <w:rPr>
          <w:rFonts w:ascii="Times New Roman" w:hAnsi="Times New Roman" w:cs="Times New Roman"/>
          <w:sz w:val="24"/>
          <w:szCs w:val="24"/>
        </w:rPr>
        <w:t xml:space="preserve"> remains</w:t>
      </w:r>
      <w:r w:rsidR="00CC0EFE">
        <w:rPr>
          <w:rFonts w:ascii="Times New Roman" w:hAnsi="Times New Roman" w:cs="Times New Roman"/>
          <w:sz w:val="24"/>
          <w:szCs w:val="24"/>
        </w:rPr>
        <w:t xml:space="preserve"> </w:t>
      </w:r>
      <w:r w:rsidR="007A111A">
        <w:rPr>
          <w:rFonts w:ascii="Times New Roman" w:hAnsi="Times New Roman" w:cs="Times New Roman"/>
          <w:sz w:val="24"/>
          <w:szCs w:val="24"/>
        </w:rPr>
        <w:t xml:space="preserve">if I remove </w:t>
      </w:r>
      <w:r w:rsidR="00A252A9">
        <w:rPr>
          <w:rFonts w:ascii="Times New Roman" w:hAnsi="Times New Roman" w:cs="Times New Roman"/>
          <w:sz w:val="24"/>
          <w:szCs w:val="24"/>
        </w:rPr>
        <w:t>countries without a threshold defined by electoral law</w:t>
      </w:r>
      <w:r w:rsidR="00BA05CA">
        <w:rPr>
          <w:rFonts w:ascii="Times New Roman" w:hAnsi="Times New Roman" w:cs="Times New Roman"/>
          <w:sz w:val="24"/>
          <w:szCs w:val="24"/>
        </w:rPr>
        <w:t xml:space="preserve"> </w:t>
      </w:r>
      <w:r w:rsidR="00FA2EA8">
        <w:rPr>
          <w:rFonts w:ascii="Times New Roman" w:hAnsi="Times New Roman" w:cs="Times New Roman"/>
          <w:sz w:val="24"/>
          <w:szCs w:val="24"/>
        </w:rPr>
        <w:t>and if I conduct a fuzzy regression discontinuity desig</w:t>
      </w:r>
      <w:r w:rsidR="00123571">
        <w:rPr>
          <w:rFonts w:ascii="Times New Roman" w:hAnsi="Times New Roman" w:cs="Times New Roman"/>
          <w:sz w:val="24"/>
          <w:szCs w:val="24"/>
        </w:rPr>
        <w:t xml:space="preserve">n, where the </w:t>
      </w:r>
      <w:r w:rsidR="00591AAD">
        <w:rPr>
          <w:rFonts w:ascii="Times New Roman" w:hAnsi="Times New Roman" w:cs="Times New Roman"/>
          <w:sz w:val="24"/>
          <w:szCs w:val="24"/>
        </w:rPr>
        <w:t>running variable (i.e., vote share relative to the threshold)</w:t>
      </w:r>
      <w:r w:rsidR="00123571">
        <w:rPr>
          <w:rFonts w:ascii="Times New Roman" w:hAnsi="Times New Roman" w:cs="Times New Roman"/>
          <w:sz w:val="24"/>
          <w:szCs w:val="24"/>
        </w:rPr>
        <w:t xml:space="preserve"> is an instrument for </w:t>
      </w:r>
      <w:r w:rsidR="00E234D8">
        <w:rPr>
          <w:rFonts w:ascii="Times New Roman" w:hAnsi="Times New Roman" w:cs="Times New Roman"/>
          <w:sz w:val="24"/>
          <w:szCs w:val="24"/>
        </w:rPr>
        <w:t xml:space="preserve">the predictor variable (i.e., </w:t>
      </w:r>
      <w:r w:rsidR="00CC691C">
        <w:rPr>
          <w:rFonts w:ascii="Times New Roman" w:hAnsi="Times New Roman" w:cs="Times New Roman"/>
          <w:sz w:val="24"/>
          <w:szCs w:val="24"/>
        </w:rPr>
        <w:t>RRP</w:t>
      </w:r>
      <w:r w:rsidR="002525D7">
        <w:rPr>
          <w:rFonts w:ascii="Times New Roman" w:hAnsi="Times New Roman" w:cs="Times New Roman"/>
          <w:sz w:val="24"/>
          <w:szCs w:val="24"/>
        </w:rPr>
        <w:t>s representation in parliament</w:t>
      </w:r>
      <w:r w:rsidR="00E234D8">
        <w:rPr>
          <w:rFonts w:ascii="Times New Roman" w:hAnsi="Times New Roman" w:cs="Times New Roman"/>
          <w:sz w:val="24"/>
          <w:szCs w:val="24"/>
        </w:rPr>
        <w:t>)</w:t>
      </w:r>
      <w:r w:rsidR="00084171">
        <w:rPr>
          <w:rFonts w:ascii="Times New Roman" w:hAnsi="Times New Roman" w:cs="Times New Roman"/>
          <w:sz w:val="24"/>
          <w:szCs w:val="24"/>
        </w:rPr>
        <w:t xml:space="preserve">. </w:t>
      </w:r>
    </w:p>
    <w:p w14:paraId="5DFB875A" w14:textId="7A7EE630" w:rsidR="004D33BE" w:rsidRPr="0032492C" w:rsidRDefault="007A5AD0" w:rsidP="0007287A">
      <w:pPr>
        <w:pStyle w:val="Overskrift3"/>
        <w:spacing w:line="360" w:lineRule="auto"/>
        <w:rPr>
          <w:rFonts w:ascii="Times New Roman" w:hAnsi="Times New Roman" w:cs="Times New Roman"/>
          <w:b/>
          <w:bCs/>
          <w:color w:val="auto"/>
        </w:rPr>
      </w:pPr>
      <w:bookmarkStart w:id="25" w:name="_Toc113820366"/>
      <w:r w:rsidRPr="0032492C">
        <w:rPr>
          <w:rFonts w:ascii="Times New Roman" w:hAnsi="Times New Roman" w:cs="Times New Roman"/>
          <w:b/>
          <w:bCs/>
          <w:color w:val="auto"/>
        </w:rPr>
        <w:lastRenderedPageBreak/>
        <w:t>Figure H1:</w:t>
      </w:r>
      <w:r w:rsidR="00E708F1" w:rsidRPr="0032492C">
        <w:rPr>
          <w:rFonts w:ascii="Times New Roman" w:hAnsi="Times New Roman" w:cs="Times New Roman"/>
          <w:b/>
          <w:bCs/>
          <w:color w:val="auto"/>
        </w:rPr>
        <w:t xml:space="preserve"> Visualization</w:t>
      </w:r>
      <w:r w:rsidRPr="0032492C">
        <w:rPr>
          <w:rFonts w:ascii="Times New Roman" w:hAnsi="Times New Roman" w:cs="Times New Roman"/>
          <w:b/>
          <w:bCs/>
          <w:color w:val="auto"/>
        </w:rPr>
        <w:t xml:space="preserve"> </w:t>
      </w:r>
      <w:r w:rsidR="00E708F1" w:rsidRPr="0032492C">
        <w:rPr>
          <w:rFonts w:ascii="Times New Roman" w:hAnsi="Times New Roman" w:cs="Times New Roman"/>
          <w:b/>
          <w:bCs/>
          <w:color w:val="auto"/>
        </w:rPr>
        <w:t xml:space="preserve">of </w:t>
      </w:r>
      <w:r w:rsidR="00C4415A" w:rsidRPr="0032492C">
        <w:rPr>
          <w:rFonts w:ascii="Times New Roman" w:hAnsi="Times New Roman" w:cs="Times New Roman"/>
          <w:b/>
          <w:bCs/>
          <w:color w:val="auto"/>
        </w:rPr>
        <w:t xml:space="preserve">test of </w:t>
      </w:r>
      <w:r w:rsidR="008F3813" w:rsidRPr="0032492C">
        <w:rPr>
          <w:rFonts w:ascii="Times New Roman" w:hAnsi="Times New Roman" w:cs="Times New Roman"/>
          <w:b/>
          <w:bCs/>
          <w:color w:val="auto"/>
        </w:rPr>
        <w:t>c</w:t>
      </w:r>
      <w:r w:rsidRPr="0032492C">
        <w:rPr>
          <w:rFonts w:ascii="Times New Roman" w:hAnsi="Times New Roman" w:cs="Times New Roman"/>
          <w:b/>
          <w:bCs/>
          <w:color w:val="auto"/>
        </w:rPr>
        <w:t>ontinuity assumption</w:t>
      </w:r>
      <w:bookmarkEnd w:id="25"/>
    </w:p>
    <w:p w14:paraId="123BB76A" w14:textId="606372C2" w:rsidR="00A73D2E" w:rsidRPr="00C32509" w:rsidRDefault="00D1333E" w:rsidP="00CE148A">
      <w:pPr>
        <w:spacing w:line="360" w:lineRule="auto"/>
        <w:jc w:val="center"/>
      </w:pPr>
      <w:r>
        <w:rPr>
          <w:noProof/>
        </w:rPr>
        <w:drawing>
          <wp:inline distT="0" distB="0" distL="0" distR="0" wp14:anchorId="62367855" wp14:editId="6014F4AD">
            <wp:extent cx="5731510" cy="7131050"/>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31510" cy="7131050"/>
                    </a:xfrm>
                    <a:prstGeom prst="rect">
                      <a:avLst/>
                    </a:prstGeom>
                  </pic:spPr>
                </pic:pic>
              </a:graphicData>
            </a:graphic>
          </wp:inline>
        </w:drawing>
      </w:r>
    </w:p>
    <w:p w14:paraId="7561950F" w14:textId="51B78228" w:rsidR="00D57E15" w:rsidRDefault="008068BD" w:rsidP="0007287A">
      <w:pPr>
        <w:spacing w:line="360" w:lineRule="auto"/>
        <w:jc w:val="both"/>
        <w:rPr>
          <w:rFonts w:ascii="Times New Roman" w:hAnsi="Times New Roman" w:cs="Times New Roman"/>
          <w:i/>
          <w:iCs/>
          <w:sz w:val="24"/>
          <w:szCs w:val="24"/>
        </w:rPr>
      </w:pPr>
      <w:r w:rsidRPr="00C32509">
        <w:rPr>
          <w:rFonts w:ascii="Times New Roman" w:hAnsi="Times New Roman" w:cs="Times New Roman"/>
          <w:i/>
          <w:iCs/>
          <w:sz w:val="24"/>
          <w:szCs w:val="24"/>
        </w:rPr>
        <w:t xml:space="preserve">Note: Point estimates and associated 90 and 95% (two-tailed) confidence intervals are based on a sharp regression discontinuity design with cluster-robust standard errors. </w:t>
      </w:r>
      <w:r w:rsidR="0093197E">
        <w:rPr>
          <w:rFonts w:ascii="Times New Roman" w:hAnsi="Times New Roman" w:cs="Times New Roman"/>
          <w:i/>
          <w:iCs/>
          <w:sz w:val="24"/>
          <w:szCs w:val="24"/>
        </w:rPr>
        <w:t>The dashed vertical line is the</w:t>
      </w:r>
      <w:r w:rsidR="00BD72AF">
        <w:rPr>
          <w:rFonts w:ascii="Times New Roman" w:hAnsi="Times New Roman" w:cs="Times New Roman"/>
          <w:i/>
          <w:iCs/>
          <w:sz w:val="24"/>
          <w:szCs w:val="24"/>
        </w:rPr>
        <w:t xml:space="preserve"> critical </w:t>
      </w:r>
      <w:r w:rsidR="00E13D88">
        <w:rPr>
          <w:rFonts w:ascii="Times New Roman" w:hAnsi="Times New Roman" w:cs="Times New Roman"/>
          <w:i/>
          <w:iCs/>
          <w:sz w:val="24"/>
          <w:szCs w:val="24"/>
        </w:rPr>
        <w:t xml:space="preserve">α </w:t>
      </w:r>
      <w:r w:rsidR="00BD72AF">
        <w:rPr>
          <w:rFonts w:ascii="Times New Roman" w:hAnsi="Times New Roman" w:cs="Times New Roman"/>
          <w:i/>
          <w:iCs/>
          <w:sz w:val="24"/>
          <w:szCs w:val="24"/>
        </w:rPr>
        <w:t xml:space="preserve">value of 0.05. </w:t>
      </w:r>
    </w:p>
    <w:p w14:paraId="77DEE5E2" w14:textId="3D76E48F" w:rsidR="007A6807" w:rsidRPr="00877F4A" w:rsidRDefault="006651D6" w:rsidP="0007287A">
      <w:pPr>
        <w:pStyle w:val="Overskrift3"/>
        <w:spacing w:line="360" w:lineRule="auto"/>
        <w:rPr>
          <w:rFonts w:ascii="Times New Roman" w:hAnsi="Times New Roman" w:cs="Times New Roman"/>
          <w:b/>
          <w:bCs/>
          <w:i/>
          <w:iCs/>
          <w:color w:val="auto"/>
        </w:rPr>
      </w:pPr>
      <w:bookmarkStart w:id="26" w:name="_Toc113820367"/>
      <w:r w:rsidRPr="00877F4A">
        <w:rPr>
          <w:rFonts w:ascii="Times New Roman" w:hAnsi="Times New Roman" w:cs="Times New Roman"/>
          <w:b/>
          <w:bCs/>
          <w:i/>
          <w:iCs/>
          <w:color w:val="auto"/>
        </w:rPr>
        <w:lastRenderedPageBreak/>
        <w:t>Table H1: RDDs of within-group jumps</w:t>
      </w:r>
      <w:bookmarkEnd w:id="26"/>
    </w:p>
    <w:p w14:paraId="0CD9C5C3" w14:textId="32AD394F" w:rsidR="00EC4BB0" w:rsidRDefault="00EB1360" w:rsidP="002D0920">
      <w:pPr>
        <w:spacing w:line="360" w:lineRule="auto"/>
        <w:jc w:val="center"/>
        <w:rPr>
          <w:rFonts w:ascii="Times New Roman" w:hAnsi="Times New Roman" w:cs="Times New Roman"/>
          <w:i/>
          <w:iCs/>
          <w:sz w:val="24"/>
          <w:szCs w:val="24"/>
        </w:rPr>
      </w:pPr>
      <w:r w:rsidRPr="00EB1360">
        <w:rPr>
          <w:noProof/>
        </w:rPr>
        <w:drawing>
          <wp:inline distT="0" distB="0" distL="0" distR="0" wp14:anchorId="09B97419" wp14:editId="48094563">
            <wp:extent cx="5731510" cy="8486775"/>
            <wp:effectExtent l="0" t="0" r="0" b="0"/>
            <wp:docPr id="33" name="Bille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8486775"/>
                    </a:xfrm>
                    <a:prstGeom prst="rect">
                      <a:avLst/>
                    </a:prstGeom>
                    <a:noFill/>
                    <a:ln>
                      <a:noFill/>
                    </a:ln>
                  </pic:spPr>
                </pic:pic>
              </a:graphicData>
            </a:graphic>
          </wp:inline>
        </w:drawing>
      </w:r>
    </w:p>
    <w:p w14:paraId="39E4766E" w14:textId="31D8D915" w:rsidR="000C6DF9" w:rsidRPr="00FC137A" w:rsidRDefault="00655820" w:rsidP="0007287A">
      <w:pPr>
        <w:pStyle w:val="Overskrift3"/>
        <w:spacing w:line="360" w:lineRule="auto"/>
        <w:rPr>
          <w:rFonts w:ascii="Times New Roman" w:hAnsi="Times New Roman" w:cs="Times New Roman"/>
          <w:b/>
          <w:bCs/>
          <w:color w:val="auto"/>
        </w:rPr>
      </w:pPr>
      <w:bookmarkStart w:id="27" w:name="_Toc113820368"/>
      <w:r w:rsidRPr="00FC137A">
        <w:rPr>
          <w:rFonts w:ascii="Times New Roman" w:hAnsi="Times New Roman" w:cs="Times New Roman"/>
          <w:b/>
          <w:bCs/>
          <w:color w:val="auto"/>
        </w:rPr>
        <w:lastRenderedPageBreak/>
        <w:t xml:space="preserve">Table H2: </w:t>
      </w:r>
      <w:r w:rsidR="00DC4EA3" w:rsidRPr="00FC137A">
        <w:rPr>
          <w:rFonts w:ascii="Times New Roman" w:hAnsi="Times New Roman" w:cs="Times New Roman"/>
          <w:b/>
          <w:bCs/>
          <w:color w:val="auto"/>
        </w:rPr>
        <w:t>RDD</w:t>
      </w:r>
      <w:r w:rsidR="00060A12" w:rsidRPr="00FC137A">
        <w:rPr>
          <w:rFonts w:ascii="Times New Roman" w:hAnsi="Times New Roman" w:cs="Times New Roman"/>
          <w:b/>
          <w:bCs/>
          <w:color w:val="auto"/>
        </w:rPr>
        <w:t xml:space="preserve"> among countries with legal </w:t>
      </w:r>
      <w:r w:rsidR="00FB29D7" w:rsidRPr="00FC137A">
        <w:rPr>
          <w:rFonts w:ascii="Times New Roman" w:hAnsi="Times New Roman" w:cs="Times New Roman"/>
          <w:b/>
          <w:bCs/>
          <w:color w:val="auto"/>
        </w:rPr>
        <w:t xml:space="preserve">electoral </w:t>
      </w:r>
      <w:r w:rsidR="00060A12" w:rsidRPr="00FC137A">
        <w:rPr>
          <w:rFonts w:ascii="Times New Roman" w:hAnsi="Times New Roman" w:cs="Times New Roman"/>
          <w:b/>
          <w:bCs/>
          <w:color w:val="auto"/>
        </w:rPr>
        <w:t>threshold</w:t>
      </w:r>
      <w:r w:rsidR="004E5ECE" w:rsidRPr="00FC137A">
        <w:rPr>
          <w:rFonts w:ascii="Times New Roman" w:hAnsi="Times New Roman" w:cs="Times New Roman"/>
          <w:b/>
          <w:bCs/>
          <w:color w:val="auto"/>
        </w:rPr>
        <w:t xml:space="preserve"> and fuzzy RDD</w:t>
      </w:r>
      <w:bookmarkEnd w:id="27"/>
    </w:p>
    <w:p w14:paraId="25E0D3D3" w14:textId="744E2AE0" w:rsidR="000C6DF9" w:rsidRPr="00030C44" w:rsidRDefault="00EB1360" w:rsidP="00EB1360">
      <w:pPr>
        <w:spacing w:line="360" w:lineRule="auto"/>
        <w:jc w:val="center"/>
        <w:rPr>
          <w:rFonts w:ascii="Times New Roman" w:hAnsi="Times New Roman" w:cs="Times New Roman"/>
        </w:rPr>
      </w:pPr>
      <w:r w:rsidRPr="00EB1360">
        <w:rPr>
          <w:noProof/>
        </w:rPr>
        <w:drawing>
          <wp:inline distT="0" distB="0" distL="0" distR="0" wp14:anchorId="2D23C7FE" wp14:editId="62780D26">
            <wp:extent cx="4364917" cy="8422105"/>
            <wp:effectExtent l="0" t="0" r="0" b="0"/>
            <wp:docPr id="32" name="Bille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80445" cy="8452066"/>
                    </a:xfrm>
                    <a:prstGeom prst="rect">
                      <a:avLst/>
                    </a:prstGeom>
                    <a:noFill/>
                    <a:ln>
                      <a:noFill/>
                    </a:ln>
                  </pic:spPr>
                </pic:pic>
              </a:graphicData>
            </a:graphic>
          </wp:inline>
        </w:drawing>
      </w:r>
    </w:p>
    <w:p w14:paraId="51DDEBF4" w14:textId="16B07268" w:rsidR="0035795B" w:rsidRPr="00F33BA8" w:rsidRDefault="00FA6B47" w:rsidP="00F33BA8">
      <w:pPr>
        <w:spacing w:before="0" w:after="160"/>
        <w:rPr>
          <w:rFonts w:ascii="Times New Roman" w:eastAsiaTheme="majorEastAsia" w:hAnsi="Times New Roman" w:cs="Times New Roman"/>
          <w:b/>
          <w:bCs/>
          <w:sz w:val="28"/>
          <w:szCs w:val="28"/>
        </w:rPr>
      </w:pPr>
      <w:r>
        <w:rPr>
          <w:rFonts w:ascii="Times New Roman" w:hAnsi="Times New Roman" w:cs="Times New Roman"/>
          <w:b/>
          <w:bCs/>
          <w:sz w:val="28"/>
          <w:szCs w:val="28"/>
        </w:rPr>
        <w:br w:type="page"/>
      </w:r>
      <w:bookmarkStart w:id="28" w:name="_Toc113820369"/>
      <w:r w:rsidR="0035795B" w:rsidRPr="00BD6D3F">
        <w:rPr>
          <w:rFonts w:ascii="Times New Roman" w:hAnsi="Times New Roman" w:cs="Times New Roman"/>
          <w:b/>
          <w:bCs/>
          <w:sz w:val="28"/>
          <w:szCs w:val="28"/>
        </w:rPr>
        <w:lastRenderedPageBreak/>
        <w:t xml:space="preserve">Appendix I. Exploratory analysis </w:t>
      </w:r>
      <w:r w:rsidR="00BD6D3F">
        <w:rPr>
          <w:rFonts w:ascii="Times New Roman" w:hAnsi="Times New Roman" w:cs="Times New Roman"/>
          <w:b/>
          <w:bCs/>
          <w:sz w:val="28"/>
          <w:szCs w:val="28"/>
        </w:rPr>
        <w:t>using</w:t>
      </w:r>
      <w:r w:rsidR="0035795B" w:rsidRPr="00BD6D3F">
        <w:rPr>
          <w:rFonts w:ascii="Times New Roman" w:hAnsi="Times New Roman" w:cs="Times New Roman"/>
          <w:b/>
          <w:bCs/>
          <w:sz w:val="28"/>
          <w:szCs w:val="28"/>
        </w:rPr>
        <w:t xml:space="preserve"> Mipex data</w:t>
      </w:r>
      <w:bookmarkEnd w:id="28"/>
    </w:p>
    <w:p w14:paraId="52F50978" w14:textId="650F05CC" w:rsidR="00C21860" w:rsidRPr="00C21860" w:rsidRDefault="00FF6D50" w:rsidP="003D04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propose </w:t>
      </w:r>
      <w:r w:rsidR="002D139C">
        <w:rPr>
          <w:rFonts w:ascii="Times New Roman" w:hAnsi="Times New Roman" w:cs="Times New Roman"/>
          <w:sz w:val="24"/>
          <w:szCs w:val="24"/>
        </w:rPr>
        <w:t>the</w:t>
      </w:r>
      <w:r>
        <w:rPr>
          <w:rFonts w:ascii="Times New Roman" w:hAnsi="Times New Roman" w:cs="Times New Roman"/>
          <w:sz w:val="24"/>
          <w:szCs w:val="24"/>
        </w:rPr>
        <w:t xml:space="preserve"> conjecture that the migrant integration policy context </w:t>
      </w:r>
      <w:r w:rsidR="007D76CD">
        <w:rPr>
          <w:rFonts w:ascii="Times New Roman" w:hAnsi="Times New Roman" w:cs="Times New Roman"/>
          <w:sz w:val="24"/>
          <w:szCs w:val="24"/>
        </w:rPr>
        <w:t xml:space="preserve">moderates </w:t>
      </w:r>
      <w:r w:rsidR="00552325">
        <w:rPr>
          <w:rFonts w:ascii="Times New Roman" w:hAnsi="Times New Roman" w:cs="Times New Roman"/>
          <w:sz w:val="24"/>
          <w:szCs w:val="24"/>
        </w:rPr>
        <w:t>nationally</w:t>
      </w:r>
      <w:r w:rsidR="00402E79">
        <w:rPr>
          <w:rFonts w:ascii="Times New Roman" w:hAnsi="Times New Roman" w:cs="Times New Roman"/>
          <w:sz w:val="24"/>
          <w:szCs w:val="24"/>
        </w:rPr>
        <w:t xml:space="preserve"> </w:t>
      </w:r>
      <w:r w:rsidR="007D76CD">
        <w:rPr>
          <w:rFonts w:ascii="Times New Roman" w:hAnsi="Times New Roman" w:cs="Times New Roman"/>
          <w:sz w:val="24"/>
          <w:szCs w:val="24"/>
        </w:rPr>
        <w:t xml:space="preserve">elected </w:t>
      </w:r>
      <w:r w:rsidR="00CC691C">
        <w:rPr>
          <w:rFonts w:ascii="Times New Roman" w:hAnsi="Times New Roman" w:cs="Times New Roman"/>
          <w:sz w:val="24"/>
          <w:szCs w:val="24"/>
        </w:rPr>
        <w:t>RRP</w:t>
      </w:r>
      <w:r w:rsidR="007D76CD">
        <w:rPr>
          <w:rFonts w:ascii="Times New Roman" w:hAnsi="Times New Roman" w:cs="Times New Roman"/>
          <w:sz w:val="24"/>
          <w:szCs w:val="24"/>
        </w:rPr>
        <w:t xml:space="preserve">s </w:t>
      </w:r>
      <w:r w:rsidR="00772957">
        <w:rPr>
          <w:rFonts w:ascii="Times New Roman" w:hAnsi="Times New Roman" w:cs="Times New Roman"/>
          <w:sz w:val="24"/>
          <w:szCs w:val="24"/>
        </w:rPr>
        <w:t>erosion</w:t>
      </w:r>
      <w:r w:rsidR="007D76CD">
        <w:rPr>
          <w:rFonts w:ascii="Times New Roman" w:hAnsi="Times New Roman" w:cs="Times New Roman"/>
          <w:sz w:val="24"/>
          <w:szCs w:val="24"/>
        </w:rPr>
        <w:t xml:space="preserve"> </w:t>
      </w:r>
      <w:r w:rsidR="00772957">
        <w:rPr>
          <w:rFonts w:ascii="Times New Roman" w:hAnsi="Times New Roman" w:cs="Times New Roman"/>
          <w:sz w:val="24"/>
          <w:szCs w:val="24"/>
        </w:rPr>
        <w:t>of</w:t>
      </w:r>
      <w:r w:rsidR="007D76CD">
        <w:rPr>
          <w:rFonts w:ascii="Times New Roman" w:hAnsi="Times New Roman" w:cs="Times New Roman"/>
          <w:sz w:val="24"/>
          <w:szCs w:val="24"/>
        </w:rPr>
        <w:t xml:space="preserve"> public support for redistribution</w:t>
      </w:r>
      <w:r>
        <w:rPr>
          <w:rFonts w:ascii="Times New Roman" w:hAnsi="Times New Roman" w:cs="Times New Roman"/>
          <w:sz w:val="24"/>
          <w:szCs w:val="24"/>
        </w:rPr>
        <w:t>. Specifically, I consider whether</w:t>
      </w:r>
      <w:r w:rsidR="00786264">
        <w:rPr>
          <w:rFonts w:ascii="Times New Roman" w:hAnsi="Times New Roman" w:cs="Times New Roman"/>
          <w:sz w:val="24"/>
          <w:szCs w:val="24"/>
        </w:rPr>
        <w:t xml:space="preserve"> nationally represented</w:t>
      </w:r>
      <w:r>
        <w:rPr>
          <w:rFonts w:ascii="Times New Roman" w:hAnsi="Times New Roman" w:cs="Times New Roman"/>
          <w:sz w:val="24"/>
          <w:szCs w:val="24"/>
        </w:rPr>
        <w:t xml:space="preserve"> </w:t>
      </w:r>
      <w:r w:rsidR="00CC691C">
        <w:rPr>
          <w:rFonts w:ascii="Times New Roman" w:hAnsi="Times New Roman" w:cs="Times New Roman"/>
          <w:sz w:val="24"/>
          <w:szCs w:val="24"/>
        </w:rPr>
        <w:t>RRP</w:t>
      </w:r>
      <w:r>
        <w:rPr>
          <w:rFonts w:ascii="Times New Roman" w:hAnsi="Times New Roman" w:cs="Times New Roman"/>
          <w:sz w:val="24"/>
          <w:szCs w:val="24"/>
        </w:rPr>
        <w:t>s impact</w:t>
      </w:r>
      <w:r w:rsidR="00312F23">
        <w:rPr>
          <w:rFonts w:ascii="Times New Roman" w:hAnsi="Times New Roman" w:cs="Times New Roman"/>
          <w:sz w:val="24"/>
          <w:szCs w:val="24"/>
        </w:rPr>
        <w:t xml:space="preserve"> on preferences for redistribution</w:t>
      </w:r>
      <w:r>
        <w:rPr>
          <w:rFonts w:ascii="Times New Roman" w:hAnsi="Times New Roman" w:cs="Times New Roman"/>
          <w:sz w:val="24"/>
          <w:szCs w:val="24"/>
        </w:rPr>
        <w:t xml:space="preserve"> is stronger in countries with weak migrant integration policies. My theoretical claim is that poorer integration conditions for immigrants provides fertile ground for radical right elites to construct immigrants as abusers that do not contribute </w:t>
      </w:r>
      <w:r w:rsidR="00A309EB">
        <w:rPr>
          <w:rFonts w:ascii="Times New Roman" w:hAnsi="Times New Roman" w:cs="Times New Roman"/>
          <w:sz w:val="24"/>
          <w:szCs w:val="24"/>
        </w:rPr>
        <w:t>to the welfare system</w:t>
      </w:r>
      <w:r>
        <w:rPr>
          <w:rFonts w:ascii="Times New Roman" w:hAnsi="Times New Roman" w:cs="Times New Roman"/>
          <w:sz w:val="24"/>
          <w:szCs w:val="24"/>
        </w:rPr>
        <w:t>. To explore this expectation further, I use data from the m</w:t>
      </w:r>
      <w:r w:rsidRPr="00D90861">
        <w:rPr>
          <w:rFonts w:ascii="Times New Roman" w:hAnsi="Times New Roman" w:cs="Times New Roman"/>
          <w:sz w:val="24"/>
          <w:szCs w:val="24"/>
        </w:rPr>
        <w:t>igrant Integration Policy Index (MIPEX)</w:t>
      </w:r>
      <w:r>
        <w:rPr>
          <w:rFonts w:ascii="Times New Roman" w:hAnsi="Times New Roman" w:cs="Times New Roman"/>
          <w:sz w:val="24"/>
          <w:szCs w:val="24"/>
        </w:rPr>
        <w:t xml:space="preserve"> (2007-2019) that assigns a score between 0 and 100 as an indicator of the quality of migrant integration policies in country </w:t>
      </w:r>
      <w:r w:rsidRPr="006A6037">
        <w:rPr>
          <w:rFonts w:ascii="Times New Roman" w:hAnsi="Times New Roman" w:cs="Times New Roman"/>
          <w:sz w:val="24"/>
          <w:szCs w:val="24"/>
        </w:rPr>
        <w:t xml:space="preserve">j </w:t>
      </w:r>
      <w:r>
        <w:rPr>
          <w:rFonts w:ascii="Times New Roman" w:hAnsi="Times New Roman" w:cs="Times New Roman"/>
          <w:sz w:val="24"/>
          <w:szCs w:val="24"/>
        </w:rPr>
        <w:t xml:space="preserve">at time </w:t>
      </w:r>
      <w:r w:rsidRPr="006A6037">
        <w:rPr>
          <w:rFonts w:ascii="Times New Roman" w:hAnsi="Times New Roman" w:cs="Times New Roman"/>
          <w:sz w:val="24"/>
          <w:szCs w:val="24"/>
        </w:rPr>
        <w:t xml:space="preserve">t. </w:t>
      </w:r>
      <w:r>
        <w:rPr>
          <w:rFonts w:ascii="Times New Roman" w:hAnsi="Times New Roman" w:cs="Times New Roman"/>
          <w:sz w:val="24"/>
          <w:szCs w:val="24"/>
        </w:rPr>
        <w:t xml:space="preserve">The overall score assigned to each country-year is the mean of six sub-indices </w:t>
      </w:r>
      <w:r w:rsidR="003C43DB">
        <w:rPr>
          <w:rFonts w:ascii="Times New Roman" w:hAnsi="Times New Roman" w:cs="Times New Roman"/>
          <w:sz w:val="24"/>
          <w:szCs w:val="24"/>
        </w:rPr>
        <w:t>measuring</w:t>
      </w:r>
      <w:r>
        <w:rPr>
          <w:rFonts w:ascii="Times New Roman" w:hAnsi="Times New Roman" w:cs="Times New Roman"/>
          <w:sz w:val="24"/>
          <w:szCs w:val="24"/>
        </w:rPr>
        <w:t xml:space="preserve"> the quality of labor market integration policies, family reunification policies, political participation, residence opportunities, citizenship rights, and anti-discrimination legislation. Because I cannot identify a country-year combination for cases in the ESS sample before 2007, I conduct the analysis on a reduced sample. Figure </w:t>
      </w:r>
      <w:r w:rsidR="00664D1E">
        <w:rPr>
          <w:rFonts w:ascii="Times New Roman" w:hAnsi="Times New Roman" w:cs="Times New Roman"/>
          <w:sz w:val="24"/>
          <w:szCs w:val="24"/>
        </w:rPr>
        <w:t>I1</w:t>
      </w:r>
      <w:r w:rsidR="006F3CFF">
        <w:rPr>
          <w:rFonts w:ascii="Times New Roman" w:hAnsi="Times New Roman" w:cs="Times New Roman"/>
          <w:sz w:val="24"/>
          <w:szCs w:val="24"/>
        </w:rPr>
        <w:t>a</w:t>
      </w:r>
      <w:r w:rsidR="00664D1E">
        <w:rPr>
          <w:rFonts w:ascii="Times New Roman" w:hAnsi="Times New Roman" w:cs="Times New Roman"/>
          <w:sz w:val="24"/>
          <w:szCs w:val="24"/>
        </w:rPr>
        <w:t>, which is identical to figure 3 in the main article,</w:t>
      </w:r>
      <w:r>
        <w:rPr>
          <w:rFonts w:ascii="Times New Roman" w:hAnsi="Times New Roman" w:cs="Times New Roman"/>
          <w:sz w:val="24"/>
          <w:szCs w:val="24"/>
        </w:rPr>
        <w:t xml:space="preserve"> supports my speculation</w:t>
      </w:r>
      <w:r w:rsidR="00835DD3">
        <w:rPr>
          <w:rFonts w:ascii="Times New Roman" w:hAnsi="Times New Roman" w:cs="Times New Roman"/>
          <w:sz w:val="24"/>
          <w:szCs w:val="24"/>
        </w:rPr>
        <w:t xml:space="preserve">. It </w:t>
      </w:r>
      <w:r>
        <w:rPr>
          <w:rFonts w:ascii="Times New Roman" w:hAnsi="Times New Roman" w:cs="Times New Roman"/>
          <w:sz w:val="24"/>
          <w:szCs w:val="24"/>
        </w:rPr>
        <w:t>show</w:t>
      </w:r>
      <w:r w:rsidR="00835DD3">
        <w:rPr>
          <w:rFonts w:ascii="Times New Roman" w:hAnsi="Times New Roman" w:cs="Times New Roman"/>
          <w:sz w:val="24"/>
          <w:szCs w:val="24"/>
        </w:rPr>
        <w:t>s</w:t>
      </w:r>
      <w:r>
        <w:rPr>
          <w:rFonts w:ascii="Times New Roman" w:hAnsi="Times New Roman" w:cs="Times New Roman"/>
          <w:sz w:val="24"/>
          <w:szCs w:val="24"/>
        </w:rPr>
        <w:t xml:space="preserve"> that countries with weaker immigrant integration policies and where a </w:t>
      </w:r>
      <w:r w:rsidR="00CC691C">
        <w:rPr>
          <w:rFonts w:ascii="Times New Roman" w:hAnsi="Times New Roman" w:cs="Times New Roman"/>
          <w:sz w:val="24"/>
          <w:szCs w:val="24"/>
        </w:rPr>
        <w:t>RRP</w:t>
      </w:r>
      <w:r>
        <w:rPr>
          <w:rFonts w:ascii="Times New Roman" w:hAnsi="Times New Roman" w:cs="Times New Roman"/>
          <w:sz w:val="24"/>
          <w:szCs w:val="24"/>
        </w:rPr>
        <w:t xml:space="preserve"> is represented in parliament have lower levels of public support for redistribution.</w:t>
      </w:r>
      <w:r w:rsidR="00C52E2D">
        <w:rPr>
          <w:rFonts w:ascii="Times New Roman" w:hAnsi="Times New Roman" w:cs="Times New Roman"/>
          <w:sz w:val="24"/>
          <w:szCs w:val="24"/>
        </w:rPr>
        <w:t xml:space="preserve"> </w:t>
      </w:r>
      <w:r w:rsidR="00EA2056">
        <w:rPr>
          <w:rFonts w:ascii="Times New Roman" w:hAnsi="Times New Roman" w:cs="Times New Roman"/>
          <w:sz w:val="24"/>
          <w:szCs w:val="24"/>
        </w:rPr>
        <w:t>The findings are substantially similar when using each of the sub-indice</w:t>
      </w:r>
      <w:r w:rsidR="00F3600C">
        <w:rPr>
          <w:rFonts w:ascii="Times New Roman" w:hAnsi="Times New Roman" w:cs="Times New Roman"/>
          <w:sz w:val="24"/>
          <w:szCs w:val="24"/>
        </w:rPr>
        <w:t>s</w:t>
      </w:r>
      <w:r w:rsidR="00AA6BA7">
        <w:rPr>
          <w:rFonts w:ascii="Times New Roman" w:hAnsi="Times New Roman" w:cs="Times New Roman"/>
          <w:sz w:val="24"/>
          <w:szCs w:val="24"/>
        </w:rPr>
        <w:t>, except in the case of the citizenship rights sub-index</w:t>
      </w:r>
      <w:r w:rsidR="00F3600C">
        <w:rPr>
          <w:rFonts w:ascii="Times New Roman" w:hAnsi="Times New Roman" w:cs="Times New Roman"/>
          <w:sz w:val="24"/>
          <w:szCs w:val="24"/>
        </w:rPr>
        <w:t>.</w:t>
      </w:r>
      <w:r>
        <w:rPr>
          <w:rFonts w:ascii="Times New Roman" w:hAnsi="Times New Roman" w:cs="Times New Roman"/>
          <w:sz w:val="24"/>
          <w:szCs w:val="24"/>
        </w:rPr>
        <w:t xml:space="preserve"> </w:t>
      </w:r>
      <w:r w:rsidR="00C21860" w:rsidRPr="00C21860">
        <w:rPr>
          <w:rFonts w:ascii="Times New Roman" w:hAnsi="Times New Roman" w:cs="Times New Roman"/>
          <w:sz w:val="24"/>
          <w:szCs w:val="24"/>
        </w:rPr>
        <w:t xml:space="preserve">The linear prediction and associated 95% (two-tailed) confidence intervals (ribbon) </w:t>
      </w:r>
      <w:r w:rsidR="0027754E">
        <w:rPr>
          <w:rFonts w:ascii="Times New Roman" w:hAnsi="Times New Roman" w:cs="Times New Roman"/>
          <w:sz w:val="24"/>
          <w:szCs w:val="24"/>
        </w:rPr>
        <w:t>are</w:t>
      </w:r>
      <w:r w:rsidR="00C21860" w:rsidRPr="00C21860">
        <w:rPr>
          <w:rFonts w:ascii="Times New Roman" w:hAnsi="Times New Roman" w:cs="Times New Roman"/>
          <w:sz w:val="24"/>
          <w:szCs w:val="24"/>
        </w:rPr>
        <w:t xml:space="preserve"> based on a weighted linear two-way fixed effects model with cluster-robust standard errors and individual- and country-year controls.</w:t>
      </w:r>
    </w:p>
    <w:p w14:paraId="4D62E2F3" w14:textId="1D791737" w:rsidR="00FF6D50" w:rsidRDefault="00FF6D50" w:rsidP="006A6037">
      <w:pPr>
        <w:spacing w:line="360" w:lineRule="auto"/>
        <w:jc w:val="both"/>
        <w:rPr>
          <w:rFonts w:ascii="Times New Roman" w:hAnsi="Times New Roman" w:cs="Times New Roman"/>
          <w:sz w:val="24"/>
          <w:szCs w:val="24"/>
        </w:rPr>
      </w:pPr>
    </w:p>
    <w:p w14:paraId="36F34994" w14:textId="77777777" w:rsidR="00626544" w:rsidRDefault="00626544" w:rsidP="006A6037">
      <w:pPr>
        <w:spacing w:line="360" w:lineRule="auto"/>
        <w:jc w:val="both"/>
        <w:rPr>
          <w:rFonts w:ascii="Times New Roman" w:hAnsi="Times New Roman" w:cs="Times New Roman"/>
          <w:sz w:val="24"/>
          <w:szCs w:val="24"/>
        </w:rPr>
      </w:pPr>
    </w:p>
    <w:p w14:paraId="435B2188" w14:textId="77777777" w:rsidR="00100C0A" w:rsidRDefault="00100C0A">
      <w:pPr>
        <w:spacing w:before="0" w:after="160"/>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br w:type="page"/>
      </w:r>
    </w:p>
    <w:p w14:paraId="02084343" w14:textId="4A76DCA1" w:rsidR="00A61AE0" w:rsidRDefault="00A61AE0" w:rsidP="00C31E0B">
      <w:pPr>
        <w:pStyle w:val="Overskrift3"/>
        <w:spacing w:line="360" w:lineRule="auto"/>
        <w:rPr>
          <w:rFonts w:ascii="Times New Roman" w:hAnsi="Times New Roman" w:cs="Times New Roman"/>
          <w:b/>
          <w:bCs/>
          <w:i/>
          <w:iCs/>
          <w:color w:val="auto"/>
        </w:rPr>
      </w:pPr>
      <w:bookmarkStart w:id="29" w:name="_Toc113820370"/>
      <w:r w:rsidRPr="002E46B4">
        <w:rPr>
          <w:rFonts w:ascii="Times New Roman" w:hAnsi="Times New Roman" w:cs="Times New Roman"/>
          <w:b/>
          <w:bCs/>
          <w:i/>
          <w:iCs/>
          <w:color w:val="auto"/>
        </w:rPr>
        <w:lastRenderedPageBreak/>
        <w:t xml:space="preserve">Figure </w:t>
      </w:r>
      <w:r w:rsidR="00EA2056" w:rsidRPr="002E46B4">
        <w:rPr>
          <w:rFonts w:ascii="Times New Roman" w:hAnsi="Times New Roman" w:cs="Times New Roman"/>
          <w:b/>
          <w:bCs/>
          <w:i/>
          <w:iCs/>
          <w:color w:val="auto"/>
        </w:rPr>
        <w:t>I1</w:t>
      </w:r>
      <w:r w:rsidR="00532486">
        <w:rPr>
          <w:rFonts w:ascii="Times New Roman" w:hAnsi="Times New Roman" w:cs="Times New Roman"/>
          <w:b/>
          <w:bCs/>
          <w:i/>
          <w:iCs/>
          <w:color w:val="auto"/>
        </w:rPr>
        <w:t>A</w:t>
      </w:r>
      <w:r w:rsidR="0070236C" w:rsidRPr="002E46B4">
        <w:rPr>
          <w:rFonts w:ascii="Times New Roman" w:hAnsi="Times New Roman" w:cs="Times New Roman"/>
          <w:b/>
          <w:bCs/>
          <w:i/>
          <w:iCs/>
          <w:color w:val="auto"/>
        </w:rPr>
        <w:t>-</w:t>
      </w:r>
      <w:r w:rsidR="00532486">
        <w:rPr>
          <w:rFonts w:ascii="Times New Roman" w:hAnsi="Times New Roman" w:cs="Times New Roman"/>
          <w:b/>
          <w:bCs/>
          <w:i/>
          <w:iCs/>
          <w:color w:val="auto"/>
        </w:rPr>
        <w:t>G</w:t>
      </w:r>
      <w:r w:rsidRPr="002E46B4">
        <w:rPr>
          <w:rFonts w:ascii="Times New Roman" w:hAnsi="Times New Roman" w:cs="Times New Roman"/>
          <w:b/>
          <w:bCs/>
          <w:i/>
          <w:iCs/>
          <w:color w:val="auto"/>
        </w:rPr>
        <w:t xml:space="preserve">: </w:t>
      </w:r>
      <w:r w:rsidR="00EA2056" w:rsidRPr="002E46B4">
        <w:rPr>
          <w:rFonts w:ascii="Times New Roman" w:hAnsi="Times New Roman" w:cs="Times New Roman"/>
          <w:b/>
          <w:bCs/>
          <w:i/>
          <w:iCs/>
          <w:color w:val="auto"/>
        </w:rPr>
        <w:t>The</w:t>
      </w:r>
      <w:r w:rsidRPr="002E46B4">
        <w:rPr>
          <w:rFonts w:ascii="Times New Roman" w:hAnsi="Times New Roman" w:cs="Times New Roman"/>
          <w:b/>
          <w:bCs/>
          <w:i/>
          <w:iCs/>
          <w:color w:val="auto"/>
        </w:rPr>
        <w:t xml:space="preserve"> migrant integration policy context</w:t>
      </w:r>
      <w:bookmarkEnd w:id="29"/>
    </w:p>
    <w:p w14:paraId="275E7218" w14:textId="324B5046" w:rsidR="00685507" w:rsidRPr="00685507" w:rsidRDefault="00652460" w:rsidP="00685507">
      <w:pPr>
        <w:rPr>
          <w:rFonts w:ascii="Times New Roman" w:hAnsi="Times New Roman" w:cs="Times New Roman"/>
          <w:sz w:val="24"/>
          <w:szCs w:val="24"/>
        </w:rPr>
      </w:pPr>
      <w:r>
        <w:rPr>
          <w:rFonts w:ascii="Times New Roman" w:hAnsi="Times New Roman" w:cs="Times New Roman"/>
          <w:sz w:val="24"/>
          <w:szCs w:val="24"/>
        </w:rPr>
        <w:t xml:space="preserve">A: </w:t>
      </w:r>
      <w:r w:rsidR="00532486">
        <w:rPr>
          <w:rFonts w:ascii="Times New Roman" w:hAnsi="Times New Roman" w:cs="Times New Roman"/>
          <w:sz w:val="24"/>
          <w:szCs w:val="24"/>
        </w:rPr>
        <w:t>O</w:t>
      </w:r>
      <w:r>
        <w:rPr>
          <w:rFonts w:ascii="Times New Roman" w:hAnsi="Times New Roman" w:cs="Times New Roman"/>
          <w:sz w:val="24"/>
          <w:szCs w:val="24"/>
        </w:rPr>
        <w:t>verall</w:t>
      </w:r>
    </w:p>
    <w:p w14:paraId="5C3475FC" w14:textId="6D3C591A" w:rsidR="00685507" w:rsidRPr="00685507" w:rsidRDefault="00685507" w:rsidP="00685507">
      <w:r>
        <w:rPr>
          <w:noProof/>
        </w:rPr>
        <w:drawing>
          <wp:inline distT="0" distB="0" distL="0" distR="0" wp14:anchorId="6EC9A156" wp14:editId="01DC0A0E">
            <wp:extent cx="5731510" cy="343916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31510" cy="3439160"/>
                    </a:xfrm>
                    <a:prstGeom prst="rect">
                      <a:avLst/>
                    </a:prstGeom>
                    <a:noFill/>
                    <a:ln>
                      <a:noFill/>
                    </a:ln>
                  </pic:spPr>
                </pic:pic>
              </a:graphicData>
            </a:graphic>
          </wp:inline>
        </w:drawing>
      </w:r>
    </w:p>
    <w:p w14:paraId="02B76896" w14:textId="4BAF5725" w:rsidR="000E5FCF" w:rsidRPr="000E5FCF" w:rsidRDefault="00532486" w:rsidP="00F005A3">
      <w:pPr>
        <w:rPr>
          <w:rFonts w:ascii="Times New Roman" w:hAnsi="Times New Roman" w:cs="Times New Roman"/>
          <w:sz w:val="24"/>
          <w:szCs w:val="24"/>
        </w:rPr>
      </w:pPr>
      <w:r>
        <w:rPr>
          <w:rFonts w:ascii="Times New Roman" w:hAnsi="Times New Roman" w:cs="Times New Roman"/>
          <w:sz w:val="24"/>
          <w:szCs w:val="24"/>
        </w:rPr>
        <w:t>B: Labor market</w:t>
      </w:r>
    </w:p>
    <w:p w14:paraId="7FE69950" w14:textId="3B88F85A" w:rsidR="00A61AE0" w:rsidRDefault="00F005A3" w:rsidP="00A61AE0">
      <w:pPr>
        <w:rPr>
          <w:rFonts w:ascii="Times New Roman" w:hAnsi="Times New Roman" w:cs="Times New Roman"/>
          <w:noProof/>
          <w:sz w:val="24"/>
          <w:szCs w:val="24"/>
        </w:rPr>
      </w:pPr>
      <w:r>
        <w:rPr>
          <w:rFonts w:ascii="Times New Roman" w:hAnsi="Times New Roman" w:cs="Times New Roman"/>
          <w:noProof/>
          <w:sz w:val="24"/>
          <w:szCs w:val="24"/>
        </w:rPr>
        <w:object w:dxaOrig="8641" w:dyaOrig="5185" w14:anchorId="2C68AEBF">
          <v:shape id="_x0000_i1027" type="#_x0000_t75" style="width:6in;height:258.8pt" o:ole="">
            <v:imagedata r:id="rId32" o:title=""/>
          </v:shape>
          <o:OLEObject Type="Embed" ProgID="AcroExch.Document.DC" ShapeID="_x0000_i1027" DrawAspect="Content" ObjectID="_1724497697" r:id="rId33"/>
        </w:object>
      </w:r>
    </w:p>
    <w:p w14:paraId="56B805E6" w14:textId="77777777" w:rsidR="00652460" w:rsidRDefault="00652460" w:rsidP="00A61AE0">
      <w:pPr>
        <w:rPr>
          <w:rFonts w:ascii="Times New Roman" w:hAnsi="Times New Roman" w:cs="Times New Roman"/>
          <w:sz w:val="24"/>
          <w:szCs w:val="24"/>
        </w:rPr>
      </w:pPr>
    </w:p>
    <w:p w14:paraId="2D48DC55" w14:textId="77777777" w:rsidR="00652460" w:rsidRDefault="00652460" w:rsidP="00A61AE0">
      <w:pPr>
        <w:rPr>
          <w:rFonts w:ascii="Times New Roman" w:hAnsi="Times New Roman" w:cs="Times New Roman"/>
          <w:sz w:val="24"/>
          <w:szCs w:val="24"/>
        </w:rPr>
      </w:pPr>
    </w:p>
    <w:p w14:paraId="3A02B96B" w14:textId="77777777" w:rsidR="00652460" w:rsidRDefault="00652460" w:rsidP="00A61AE0">
      <w:pPr>
        <w:rPr>
          <w:rFonts w:ascii="Times New Roman" w:hAnsi="Times New Roman" w:cs="Times New Roman"/>
          <w:sz w:val="24"/>
          <w:szCs w:val="24"/>
        </w:rPr>
      </w:pPr>
    </w:p>
    <w:p w14:paraId="50135F05" w14:textId="77777777" w:rsidR="00652460" w:rsidRDefault="00652460" w:rsidP="00A61AE0">
      <w:pPr>
        <w:rPr>
          <w:rFonts w:ascii="Times New Roman" w:hAnsi="Times New Roman" w:cs="Times New Roman"/>
          <w:sz w:val="24"/>
          <w:szCs w:val="24"/>
        </w:rPr>
      </w:pPr>
    </w:p>
    <w:p w14:paraId="10AC73A2" w14:textId="1B3CC98E" w:rsidR="000E5FCF" w:rsidRDefault="00532486" w:rsidP="00A61AE0">
      <w:pPr>
        <w:rPr>
          <w:rFonts w:ascii="Times New Roman" w:hAnsi="Times New Roman" w:cs="Times New Roman"/>
          <w:sz w:val="24"/>
          <w:szCs w:val="24"/>
        </w:rPr>
      </w:pPr>
      <w:r>
        <w:rPr>
          <w:rFonts w:ascii="Times New Roman" w:hAnsi="Times New Roman" w:cs="Times New Roman"/>
          <w:sz w:val="24"/>
          <w:szCs w:val="24"/>
        </w:rPr>
        <w:lastRenderedPageBreak/>
        <w:t xml:space="preserve">C: Family </w:t>
      </w:r>
      <w:r w:rsidR="006B35BB">
        <w:rPr>
          <w:rFonts w:ascii="Times New Roman" w:hAnsi="Times New Roman" w:cs="Times New Roman"/>
          <w:sz w:val="24"/>
          <w:szCs w:val="24"/>
        </w:rPr>
        <w:t>reunification</w:t>
      </w:r>
    </w:p>
    <w:p w14:paraId="14C37004" w14:textId="13DB746B" w:rsidR="000E5FCF" w:rsidRDefault="000E5FCF" w:rsidP="00A61AE0">
      <w:r>
        <w:object w:dxaOrig="8641" w:dyaOrig="5185" w14:anchorId="28ACF849">
          <v:shape id="_x0000_i1028" type="#_x0000_t75" style="width:6in;height:258.8pt" o:ole="">
            <v:imagedata r:id="rId34" o:title=""/>
          </v:shape>
          <o:OLEObject Type="Embed" ProgID="AcroExch.Document.DC" ShapeID="_x0000_i1028" DrawAspect="Content" ObjectID="_1724497698" r:id="rId35"/>
        </w:object>
      </w:r>
    </w:p>
    <w:p w14:paraId="5A445072" w14:textId="57100619" w:rsidR="000E5FCF" w:rsidRDefault="006B35BB" w:rsidP="000E5FCF">
      <w:pPr>
        <w:rPr>
          <w:rFonts w:ascii="Times New Roman" w:hAnsi="Times New Roman" w:cs="Times New Roman"/>
          <w:sz w:val="24"/>
          <w:szCs w:val="24"/>
        </w:rPr>
      </w:pPr>
      <w:r>
        <w:rPr>
          <w:rFonts w:ascii="Times New Roman" w:hAnsi="Times New Roman" w:cs="Times New Roman"/>
          <w:sz w:val="24"/>
          <w:szCs w:val="24"/>
        </w:rPr>
        <w:t>D</w:t>
      </w:r>
      <w:r w:rsidR="00BA3591">
        <w:rPr>
          <w:rFonts w:ascii="Times New Roman" w:hAnsi="Times New Roman" w:cs="Times New Roman"/>
          <w:sz w:val="24"/>
          <w:szCs w:val="24"/>
        </w:rPr>
        <w:t>: Political participation</w:t>
      </w:r>
    </w:p>
    <w:p w14:paraId="7E477797" w14:textId="72D8723F" w:rsidR="00BA3591" w:rsidRDefault="00BA3591" w:rsidP="000E5FCF">
      <w:pPr>
        <w:rPr>
          <w:rFonts w:ascii="Times New Roman" w:hAnsi="Times New Roman" w:cs="Times New Roman"/>
          <w:sz w:val="24"/>
          <w:szCs w:val="24"/>
        </w:rPr>
      </w:pPr>
      <w:r>
        <w:rPr>
          <w:rFonts w:ascii="Times New Roman" w:hAnsi="Times New Roman" w:cs="Times New Roman"/>
          <w:sz w:val="24"/>
          <w:szCs w:val="24"/>
        </w:rPr>
        <w:object w:dxaOrig="8641" w:dyaOrig="5185" w14:anchorId="74A3C7E8">
          <v:shape id="_x0000_i1029" type="#_x0000_t75" style="width:6in;height:258.8pt" o:ole="">
            <v:imagedata r:id="rId36" o:title=""/>
          </v:shape>
          <o:OLEObject Type="Embed" ProgID="AcroExch.Document.DC" ShapeID="_x0000_i1029" DrawAspect="Content" ObjectID="_1724497699" r:id="rId37"/>
        </w:object>
      </w:r>
    </w:p>
    <w:p w14:paraId="5939A7AE" w14:textId="77777777" w:rsidR="00EF3F45" w:rsidRDefault="00EF3F45" w:rsidP="000E5FCF">
      <w:pPr>
        <w:rPr>
          <w:rFonts w:ascii="Times New Roman" w:hAnsi="Times New Roman" w:cs="Times New Roman"/>
          <w:sz w:val="24"/>
          <w:szCs w:val="24"/>
        </w:rPr>
      </w:pPr>
    </w:p>
    <w:p w14:paraId="7B42AA9A" w14:textId="77777777" w:rsidR="00EF3F45" w:rsidRDefault="00EF3F45" w:rsidP="000E5FCF">
      <w:pPr>
        <w:rPr>
          <w:rFonts w:ascii="Times New Roman" w:hAnsi="Times New Roman" w:cs="Times New Roman"/>
          <w:sz w:val="24"/>
          <w:szCs w:val="24"/>
        </w:rPr>
      </w:pPr>
    </w:p>
    <w:p w14:paraId="24DFFA12" w14:textId="77777777" w:rsidR="00EF3F45" w:rsidRDefault="00EF3F45" w:rsidP="000E5FCF">
      <w:pPr>
        <w:rPr>
          <w:rFonts w:ascii="Times New Roman" w:hAnsi="Times New Roman" w:cs="Times New Roman"/>
          <w:sz w:val="24"/>
          <w:szCs w:val="24"/>
        </w:rPr>
      </w:pPr>
    </w:p>
    <w:p w14:paraId="11F9B7CE" w14:textId="77777777" w:rsidR="00EF3F45" w:rsidRDefault="00EF3F45" w:rsidP="000E5FCF">
      <w:pPr>
        <w:rPr>
          <w:rFonts w:ascii="Times New Roman" w:hAnsi="Times New Roman" w:cs="Times New Roman"/>
          <w:sz w:val="24"/>
          <w:szCs w:val="24"/>
        </w:rPr>
      </w:pPr>
    </w:p>
    <w:p w14:paraId="73C7679A" w14:textId="77777777" w:rsidR="00EF3F45" w:rsidRDefault="00EF3F45" w:rsidP="000E5FCF">
      <w:pPr>
        <w:rPr>
          <w:rFonts w:ascii="Times New Roman" w:hAnsi="Times New Roman" w:cs="Times New Roman"/>
          <w:sz w:val="24"/>
          <w:szCs w:val="24"/>
        </w:rPr>
      </w:pPr>
    </w:p>
    <w:p w14:paraId="49114E84" w14:textId="77777777" w:rsidR="00EF3F45" w:rsidRDefault="00EF3F45" w:rsidP="000E5FCF">
      <w:pPr>
        <w:rPr>
          <w:rFonts w:ascii="Times New Roman" w:hAnsi="Times New Roman" w:cs="Times New Roman"/>
          <w:sz w:val="24"/>
          <w:szCs w:val="24"/>
        </w:rPr>
      </w:pPr>
    </w:p>
    <w:p w14:paraId="09CF01BB" w14:textId="7C980801" w:rsidR="000E5FCF" w:rsidRDefault="006B35BB" w:rsidP="000E5FCF">
      <w:pPr>
        <w:rPr>
          <w:rFonts w:ascii="Times New Roman" w:hAnsi="Times New Roman" w:cs="Times New Roman"/>
          <w:sz w:val="24"/>
          <w:szCs w:val="24"/>
        </w:rPr>
      </w:pPr>
      <w:r>
        <w:rPr>
          <w:rFonts w:ascii="Times New Roman" w:hAnsi="Times New Roman" w:cs="Times New Roman"/>
          <w:sz w:val="24"/>
          <w:szCs w:val="24"/>
        </w:rPr>
        <w:lastRenderedPageBreak/>
        <w:t>E</w:t>
      </w:r>
      <w:r w:rsidR="000433EF">
        <w:rPr>
          <w:rFonts w:ascii="Times New Roman" w:hAnsi="Times New Roman" w:cs="Times New Roman"/>
          <w:sz w:val="24"/>
          <w:szCs w:val="24"/>
        </w:rPr>
        <w:t>:</w:t>
      </w:r>
      <w:r w:rsidR="00E53D4D">
        <w:rPr>
          <w:rFonts w:ascii="Times New Roman" w:hAnsi="Times New Roman" w:cs="Times New Roman"/>
          <w:sz w:val="24"/>
          <w:szCs w:val="24"/>
        </w:rPr>
        <w:t xml:space="preserve"> Residence opportunities</w:t>
      </w:r>
    </w:p>
    <w:p w14:paraId="435A81EC" w14:textId="5A61E94D" w:rsidR="00EF3F45" w:rsidRDefault="00EF3F45" w:rsidP="000E5FCF">
      <w:pPr>
        <w:rPr>
          <w:rFonts w:ascii="Times New Roman" w:hAnsi="Times New Roman" w:cs="Times New Roman"/>
          <w:sz w:val="24"/>
          <w:szCs w:val="24"/>
        </w:rPr>
      </w:pPr>
      <w:r>
        <w:rPr>
          <w:rFonts w:ascii="Times New Roman" w:hAnsi="Times New Roman" w:cs="Times New Roman"/>
          <w:sz w:val="24"/>
          <w:szCs w:val="24"/>
        </w:rPr>
        <w:object w:dxaOrig="8641" w:dyaOrig="5185" w14:anchorId="794007D6">
          <v:shape id="_x0000_i1030" type="#_x0000_t75" style="width:6in;height:258.8pt" o:ole="">
            <v:imagedata r:id="rId38" o:title=""/>
          </v:shape>
          <o:OLEObject Type="Embed" ProgID="AcroExch.Document.DC" ShapeID="_x0000_i1030" DrawAspect="Content" ObjectID="_1724497700" r:id="rId39"/>
        </w:object>
      </w:r>
    </w:p>
    <w:p w14:paraId="65820E04" w14:textId="6CA3A817" w:rsidR="000E5FCF" w:rsidRDefault="006B35BB" w:rsidP="000E5FCF">
      <w:pPr>
        <w:rPr>
          <w:rFonts w:ascii="Times New Roman" w:hAnsi="Times New Roman" w:cs="Times New Roman"/>
          <w:sz w:val="24"/>
          <w:szCs w:val="24"/>
        </w:rPr>
      </w:pPr>
      <w:r>
        <w:rPr>
          <w:rFonts w:ascii="Times New Roman" w:hAnsi="Times New Roman" w:cs="Times New Roman"/>
          <w:sz w:val="24"/>
          <w:szCs w:val="24"/>
        </w:rPr>
        <w:t>F</w:t>
      </w:r>
      <w:r w:rsidR="00AC7F17">
        <w:rPr>
          <w:rFonts w:ascii="Times New Roman" w:hAnsi="Times New Roman" w:cs="Times New Roman"/>
          <w:sz w:val="24"/>
          <w:szCs w:val="24"/>
        </w:rPr>
        <w:t>: Citizenship rights</w:t>
      </w:r>
    </w:p>
    <w:p w14:paraId="5D746248" w14:textId="00C63E24" w:rsidR="00D6269D" w:rsidRDefault="006C7972" w:rsidP="000E5FCF">
      <w:pPr>
        <w:rPr>
          <w:rFonts w:ascii="Times New Roman" w:hAnsi="Times New Roman" w:cs="Times New Roman"/>
          <w:sz w:val="24"/>
          <w:szCs w:val="24"/>
        </w:rPr>
      </w:pPr>
      <w:r>
        <w:rPr>
          <w:rFonts w:ascii="Times New Roman" w:hAnsi="Times New Roman" w:cs="Times New Roman"/>
          <w:sz w:val="24"/>
          <w:szCs w:val="24"/>
        </w:rPr>
        <w:object w:dxaOrig="8641" w:dyaOrig="5185" w14:anchorId="504AA779">
          <v:shape id="_x0000_i1031" type="#_x0000_t75" style="width:6in;height:258.8pt" o:ole="">
            <v:imagedata r:id="rId40" o:title=""/>
          </v:shape>
          <o:OLEObject Type="Embed" ProgID="AcroExch.Document.DC" ShapeID="_x0000_i1031" DrawAspect="Content" ObjectID="_1724497701" r:id="rId41"/>
        </w:object>
      </w:r>
    </w:p>
    <w:p w14:paraId="4211BBE2" w14:textId="77777777" w:rsidR="00A10FCD" w:rsidRDefault="00A10FCD" w:rsidP="000E5FCF">
      <w:pPr>
        <w:rPr>
          <w:rFonts w:ascii="Times New Roman" w:hAnsi="Times New Roman" w:cs="Times New Roman"/>
          <w:sz w:val="24"/>
          <w:szCs w:val="24"/>
        </w:rPr>
      </w:pPr>
    </w:p>
    <w:p w14:paraId="688D235B" w14:textId="77777777" w:rsidR="00A10FCD" w:rsidRDefault="00A10FCD" w:rsidP="000E5FCF">
      <w:pPr>
        <w:rPr>
          <w:rFonts w:ascii="Times New Roman" w:hAnsi="Times New Roman" w:cs="Times New Roman"/>
          <w:sz w:val="24"/>
          <w:szCs w:val="24"/>
        </w:rPr>
      </w:pPr>
    </w:p>
    <w:p w14:paraId="4BC36EDC" w14:textId="77777777" w:rsidR="00A10FCD" w:rsidRDefault="00A10FCD" w:rsidP="000E5FCF">
      <w:pPr>
        <w:rPr>
          <w:rFonts w:ascii="Times New Roman" w:hAnsi="Times New Roman" w:cs="Times New Roman"/>
          <w:sz w:val="24"/>
          <w:szCs w:val="24"/>
        </w:rPr>
      </w:pPr>
    </w:p>
    <w:p w14:paraId="200EC369" w14:textId="77777777" w:rsidR="00A10FCD" w:rsidRDefault="00A10FCD" w:rsidP="000E5FCF">
      <w:pPr>
        <w:rPr>
          <w:rFonts w:ascii="Times New Roman" w:hAnsi="Times New Roman" w:cs="Times New Roman"/>
          <w:sz w:val="24"/>
          <w:szCs w:val="24"/>
        </w:rPr>
      </w:pPr>
    </w:p>
    <w:p w14:paraId="3B3656CC" w14:textId="77777777" w:rsidR="00A10FCD" w:rsidRDefault="00A10FCD" w:rsidP="000E5FCF">
      <w:pPr>
        <w:rPr>
          <w:rFonts w:ascii="Times New Roman" w:hAnsi="Times New Roman" w:cs="Times New Roman"/>
          <w:sz w:val="24"/>
          <w:szCs w:val="24"/>
        </w:rPr>
      </w:pPr>
    </w:p>
    <w:p w14:paraId="2FBEAF6F" w14:textId="77777777" w:rsidR="00A10FCD" w:rsidRDefault="00A10FCD" w:rsidP="000E5FCF">
      <w:pPr>
        <w:rPr>
          <w:rFonts w:ascii="Times New Roman" w:hAnsi="Times New Roman" w:cs="Times New Roman"/>
          <w:sz w:val="24"/>
          <w:szCs w:val="24"/>
        </w:rPr>
      </w:pPr>
    </w:p>
    <w:p w14:paraId="49609A4D" w14:textId="2EACA18F" w:rsidR="000E5FCF" w:rsidRDefault="006B35BB" w:rsidP="000E5FCF">
      <w:pPr>
        <w:rPr>
          <w:rFonts w:ascii="Times New Roman" w:hAnsi="Times New Roman" w:cs="Times New Roman"/>
          <w:sz w:val="24"/>
          <w:szCs w:val="24"/>
        </w:rPr>
      </w:pPr>
      <w:r>
        <w:rPr>
          <w:rFonts w:ascii="Times New Roman" w:hAnsi="Times New Roman" w:cs="Times New Roman"/>
          <w:sz w:val="24"/>
          <w:szCs w:val="24"/>
        </w:rPr>
        <w:lastRenderedPageBreak/>
        <w:t>G</w:t>
      </w:r>
      <w:r w:rsidR="00AC7F17">
        <w:rPr>
          <w:rFonts w:ascii="Times New Roman" w:hAnsi="Times New Roman" w:cs="Times New Roman"/>
          <w:sz w:val="24"/>
          <w:szCs w:val="24"/>
        </w:rPr>
        <w:t>: Anti-discrimination</w:t>
      </w:r>
    </w:p>
    <w:p w14:paraId="4F99582E" w14:textId="6F63D7C3" w:rsidR="006C7972" w:rsidRDefault="002C5917" w:rsidP="000E5FCF">
      <w:pPr>
        <w:rPr>
          <w:rFonts w:ascii="Times New Roman" w:hAnsi="Times New Roman" w:cs="Times New Roman"/>
          <w:sz w:val="24"/>
          <w:szCs w:val="24"/>
        </w:rPr>
      </w:pPr>
      <w:r>
        <w:rPr>
          <w:rFonts w:ascii="Times New Roman" w:hAnsi="Times New Roman" w:cs="Times New Roman"/>
          <w:sz w:val="24"/>
          <w:szCs w:val="24"/>
        </w:rPr>
        <w:object w:dxaOrig="8641" w:dyaOrig="5185" w14:anchorId="64594FB2">
          <v:shape id="_x0000_i1032" type="#_x0000_t75" style="width:6in;height:258.8pt" o:ole="">
            <v:imagedata r:id="rId42" o:title=""/>
          </v:shape>
          <o:OLEObject Type="Embed" ProgID="AcroExch.Document.DC" ShapeID="_x0000_i1032" DrawAspect="Content" ObjectID="_1724497702" r:id="rId43"/>
        </w:object>
      </w:r>
    </w:p>
    <w:p w14:paraId="6BC31B0D" w14:textId="77777777" w:rsidR="0020718D" w:rsidRDefault="0020718D" w:rsidP="006A6037">
      <w:pPr>
        <w:spacing w:line="360" w:lineRule="auto"/>
        <w:jc w:val="both"/>
        <w:rPr>
          <w:rFonts w:ascii="Times New Roman" w:hAnsi="Times New Roman" w:cs="Times New Roman"/>
          <w:sz w:val="24"/>
          <w:szCs w:val="24"/>
        </w:rPr>
      </w:pPr>
    </w:p>
    <w:p w14:paraId="731F790D" w14:textId="77777777" w:rsidR="0020718D" w:rsidRDefault="0020718D">
      <w:pPr>
        <w:spacing w:before="0" w:after="160"/>
        <w:rPr>
          <w:rFonts w:ascii="Times New Roman" w:eastAsiaTheme="majorEastAsia" w:hAnsi="Times New Roman" w:cs="Times New Roman"/>
          <w:b/>
          <w:bCs/>
          <w:sz w:val="28"/>
          <w:szCs w:val="28"/>
          <w:highlight w:val="yellow"/>
        </w:rPr>
      </w:pPr>
      <w:r>
        <w:rPr>
          <w:rFonts w:ascii="Times New Roman" w:hAnsi="Times New Roman" w:cs="Times New Roman"/>
          <w:b/>
          <w:bCs/>
          <w:sz w:val="28"/>
          <w:szCs w:val="28"/>
          <w:highlight w:val="yellow"/>
        </w:rPr>
        <w:br w:type="page"/>
      </w:r>
    </w:p>
    <w:p w14:paraId="1AD47832" w14:textId="36F1BE54" w:rsidR="0035795B" w:rsidRPr="00D171D9" w:rsidRDefault="0035795B" w:rsidP="0007287A">
      <w:pPr>
        <w:pStyle w:val="Overskrift2"/>
        <w:spacing w:line="360" w:lineRule="auto"/>
        <w:jc w:val="both"/>
        <w:rPr>
          <w:rFonts w:ascii="Times New Roman" w:hAnsi="Times New Roman" w:cs="Times New Roman"/>
          <w:b/>
          <w:bCs/>
          <w:color w:val="auto"/>
          <w:sz w:val="28"/>
          <w:szCs w:val="28"/>
        </w:rPr>
      </w:pPr>
      <w:bookmarkStart w:id="30" w:name="_Toc113820371"/>
      <w:r w:rsidRPr="00D171D9">
        <w:rPr>
          <w:rFonts w:ascii="Times New Roman" w:hAnsi="Times New Roman" w:cs="Times New Roman"/>
          <w:b/>
          <w:bCs/>
          <w:color w:val="auto"/>
          <w:sz w:val="28"/>
          <w:szCs w:val="28"/>
        </w:rPr>
        <w:lastRenderedPageBreak/>
        <w:t>Appendix</w:t>
      </w:r>
      <w:r w:rsidR="009411B8" w:rsidRPr="00D171D9">
        <w:rPr>
          <w:rFonts w:ascii="Times New Roman" w:hAnsi="Times New Roman" w:cs="Times New Roman"/>
          <w:b/>
          <w:bCs/>
          <w:color w:val="auto"/>
          <w:sz w:val="28"/>
          <w:szCs w:val="28"/>
        </w:rPr>
        <w:t xml:space="preserve"> J</w:t>
      </w:r>
      <w:r w:rsidRPr="00D171D9">
        <w:rPr>
          <w:rFonts w:ascii="Times New Roman" w:hAnsi="Times New Roman" w:cs="Times New Roman"/>
          <w:b/>
          <w:bCs/>
          <w:color w:val="auto"/>
          <w:sz w:val="28"/>
          <w:szCs w:val="28"/>
        </w:rPr>
        <w:t xml:space="preserve">. </w:t>
      </w:r>
      <w:r w:rsidR="00B66E65" w:rsidRPr="00D171D9">
        <w:rPr>
          <w:rFonts w:ascii="Times New Roman" w:hAnsi="Times New Roman" w:cs="Times New Roman"/>
          <w:b/>
          <w:bCs/>
          <w:color w:val="auto"/>
          <w:sz w:val="28"/>
          <w:szCs w:val="28"/>
        </w:rPr>
        <w:t>Replication using ISSP data</w:t>
      </w:r>
      <w:r w:rsidRPr="00D171D9">
        <w:rPr>
          <w:rFonts w:ascii="Times New Roman" w:hAnsi="Times New Roman" w:cs="Times New Roman"/>
          <w:b/>
          <w:bCs/>
          <w:color w:val="auto"/>
          <w:sz w:val="28"/>
          <w:szCs w:val="28"/>
        </w:rPr>
        <w:t xml:space="preserve">: </w:t>
      </w:r>
      <w:r w:rsidR="00B66E65" w:rsidRPr="00D171D9">
        <w:rPr>
          <w:rFonts w:ascii="Times New Roman" w:hAnsi="Times New Roman" w:cs="Times New Roman"/>
          <w:b/>
          <w:bCs/>
          <w:color w:val="auto"/>
          <w:sz w:val="28"/>
          <w:szCs w:val="28"/>
        </w:rPr>
        <w:t>Support for Redistribution</w:t>
      </w:r>
      <w:bookmarkEnd w:id="30"/>
    </w:p>
    <w:p w14:paraId="03878E51" w14:textId="5DCFAEC3" w:rsidR="0009366A" w:rsidRDefault="00FF51E4" w:rsidP="00FF51E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strengthen the generalizability of the findings, I replicate the analysis </w:t>
      </w:r>
      <w:r w:rsidR="00E034FA">
        <w:rPr>
          <w:rFonts w:ascii="Times New Roman" w:hAnsi="Times New Roman" w:cs="Times New Roman"/>
          <w:sz w:val="24"/>
          <w:szCs w:val="24"/>
        </w:rPr>
        <w:t>of H2a (i.e., public support for redistribution)</w:t>
      </w:r>
      <w:r w:rsidR="009F7803">
        <w:rPr>
          <w:rFonts w:ascii="Times New Roman" w:hAnsi="Times New Roman" w:cs="Times New Roman"/>
          <w:sz w:val="24"/>
          <w:szCs w:val="24"/>
        </w:rPr>
        <w:t xml:space="preserve"> using survey data from the international social survey programme. </w:t>
      </w:r>
      <w:r w:rsidR="008F5CD3">
        <w:rPr>
          <w:rFonts w:ascii="Times New Roman" w:hAnsi="Times New Roman" w:cs="Times New Roman"/>
          <w:sz w:val="24"/>
          <w:szCs w:val="24"/>
        </w:rPr>
        <w:t xml:space="preserve">I </w:t>
      </w:r>
      <w:r w:rsidR="00623D82">
        <w:rPr>
          <w:rFonts w:ascii="Times New Roman" w:hAnsi="Times New Roman" w:cs="Times New Roman"/>
          <w:sz w:val="24"/>
          <w:szCs w:val="24"/>
        </w:rPr>
        <w:t xml:space="preserve">use the following question, which </w:t>
      </w:r>
      <w:r w:rsidR="00B835BB">
        <w:rPr>
          <w:rFonts w:ascii="Times New Roman" w:hAnsi="Times New Roman" w:cs="Times New Roman"/>
          <w:sz w:val="24"/>
          <w:szCs w:val="24"/>
        </w:rPr>
        <w:t xml:space="preserve">has similar wording </w:t>
      </w:r>
      <w:r w:rsidR="00702B7D">
        <w:rPr>
          <w:rFonts w:ascii="Times New Roman" w:hAnsi="Times New Roman" w:cs="Times New Roman"/>
          <w:sz w:val="24"/>
          <w:szCs w:val="24"/>
        </w:rPr>
        <w:t xml:space="preserve">as </w:t>
      </w:r>
      <w:r w:rsidR="0029559C">
        <w:rPr>
          <w:rFonts w:ascii="Times New Roman" w:hAnsi="Times New Roman" w:cs="Times New Roman"/>
          <w:sz w:val="24"/>
          <w:szCs w:val="24"/>
        </w:rPr>
        <w:t xml:space="preserve">the </w:t>
      </w:r>
      <w:r w:rsidR="00AF19F4">
        <w:rPr>
          <w:rFonts w:ascii="Times New Roman" w:hAnsi="Times New Roman" w:cs="Times New Roman"/>
          <w:sz w:val="24"/>
          <w:szCs w:val="24"/>
        </w:rPr>
        <w:t xml:space="preserve">ESS </w:t>
      </w:r>
      <w:r w:rsidR="0029559C">
        <w:rPr>
          <w:rFonts w:ascii="Times New Roman" w:hAnsi="Times New Roman" w:cs="Times New Roman"/>
          <w:sz w:val="24"/>
          <w:szCs w:val="24"/>
        </w:rPr>
        <w:t>item: “</w:t>
      </w:r>
      <w:r w:rsidR="0029559C" w:rsidRPr="001E1B22">
        <w:rPr>
          <w:rFonts w:ascii="Times New Roman" w:hAnsi="Times New Roman" w:cs="Times New Roman"/>
          <w:i/>
          <w:iCs/>
          <w:sz w:val="24"/>
          <w:szCs w:val="24"/>
        </w:rPr>
        <w:t>On the whole, do you think it should or should not be the government's responsibility to reduce the differences in income between the rich and the poor</w:t>
      </w:r>
      <w:r w:rsidR="0029559C">
        <w:rPr>
          <w:rFonts w:ascii="Times New Roman" w:hAnsi="Times New Roman" w:cs="Times New Roman"/>
          <w:sz w:val="24"/>
          <w:szCs w:val="24"/>
        </w:rPr>
        <w:t xml:space="preserve">”. However, </w:t>
      </w:r>
      <w:r w:rsidR="003728DD">
        <w:rPr>
          <w:rFonts w:ascii="Times New Roman" w:hAnsi="Times New Roman" w:cs="Times New Roman"/>
          <w:sz w:val="24"/>
          <w:szCs w:val="24"/>
        </w:rPr>
        <w:t>the question</w:t>
      </w:r>
      <w:r w:rsidR="0029559C">
        <w:rPr>
          <w:rFonts w:ascii="Times New Roman" w:hAnsi="Times New Roman" w:cs="Times New Roman"/>
          <w:sz w:val="24"/>
          <w:szCs w:val="24"/>
        </w:rPr>
        <w:t xml:space="preserve"> is </w:t>
      </w:r>
      <w:r w:rsidR="00C12DFA">
        <w:rPr>
          <w:rFonts w:ascii="Times New Roman" w:hAnsi="Times New Roman" w:cs="Times New Roman"/>
          <w:sz w:val="24"/>
          <w:szCs w:val="24"/>
        </w:rPr>
        <w:t xml:space="preserve">measured on a 4-point scale instead of </w:t>
      </w:r>
      <w:r w:rsidR="00E9570C">
        <w:rPr>
          <w:rFonts w:ascii="Times New Roman" w:hAnsi="Times New Roman" w:cs="Times New Roman"/>
          <w:sz w:val="24"/>
          <w:szCs w:val="24"/>
        </w:rPr>
        <w:t>the</w:t>
      </w:r>
      <w:r w:rsidR="00C12DFA">
        <w:rPr>
          <w:rFonts w:ascii="Times New Roman" w:hAnsi="Times New Roman" w:cs="Times New Roman"/>
          <w:sz w:val="24"/>
          <w:szCs w:val="24"/>
        </w:rPr>
        <w:t xml:space="preserve"> 5-point </w:t>
      </w:r>
      <w:r w:rsidR="00CC2A0C">
        <w:rPr>
          <w:rFonts w:ascii="Times New Roman" w:hAnsi="Times New Roman" w:cs="Times New Roman"/>
          <w:sz w:val="24"/>
          <w:szCs w:val="24"/>
        </w:rPr>
        <w:t>scale</w:t>
      </w:r>
      <w:r w:rsidR="00E9570C">
        <w:rPr>
          <w:rFonts w:ascii="Times New Roman" w:hAnsi="Times New Roman" w:cs="Times New Roman"/>
          <w:sz w:val="24"/>
          <w:szCs w:val="24"/>
        </w:rPr>
        <w:t xml:space="preserve"> in the ESS data</w:t>
      </w:r>
      <w:r w:rsidR="00CC2A0C">
        <w:rPr>
          <w:rFonts w:ascii="Times New Roman" w:hAnsi="Times New Roman" w:cs="Times New Roman"/>
          <w:sz w:val="24"/>
          <w:szCs w:val="24"/>
        </w:rPr>
        <w:t xml:space="preserve">. </w:t>
      </w:r>
      <w:r w:rsidR="00BE4E98">
        <w:rPr>
          <w:rFonts w:ascii="Times New Roman" w:hAnsi="Times New Roman" w:cs="Times New Roman"/>
          <w:sz w:val="24"/>
          <w:szCs w:val="24"/>
        </w:rPr>
        <w:t xml:space="preserve">Table J1 shows that the estimate </w:t>
      </w:r>
      <w:r w:rsidR="00AD769A">
        <w:rPr>
          <w:rFonts w:ascii="Times New Roman" w:hAnsi="Times New Roman" w:cs="Times New Roman"/>
          <w:sz w:val="24"/>
          <w:szCs w:val="24"/>
        </w:rPr>
        <w:t xml:space="preserve">has </w:t>
      </w:r>
      <w:r w:rsidR="00BE4E98">
        <w:rPr>
          <w:rFonts w:ascii="Times New Roman" w:hAnsi="Times New Roman" w:cs="Times New Roman"/>
          <w:sz w:val="24"/>
          <w:szCs w:val="24"/>
        </w:rPr>
        <w:t xml:space="preserve">similar magnitude to the </w:t>
      </w:r>
      <w:r w:rsidR="007517F3">
        <w:rPr>
          <w:rFonts w:ascii="Times New Roman" w:hAnsi="Times New Roman" w:cs="Times New Roman"/>
          <w:sz w:val="24"/>
          <w:szCs w:val="24"/>
        </w:rPr>
        <w:t xml:space="preserve">coefficient estimated using ESS data, </w:t>
      </w:r>
      <w:r w:rsidR="00BE4E98">
        <w:rPr>
          <w:rFonts w:ascii="Times New Roman" w:hAnsi="Times New Roman" w:cs="Times New Roman"/>
          <w:sz w:val="24"/>
          <w:szCs w:val="24"/>
        </w:rPr>
        <w:t xml:space="preserve">yet </w:t>
      </w:r>
      <w:r w:rsidR="001F37B7">
        <w:rPr>
          <w:rFonts w:ascii="Times New Roman" w:hAnsi="Times New Roman" w:cs="Times New Roman"/>
          <w:sz w:val="24"/>
          <w:szCs w:val="24"/>
        </w:rPr>
        <w:t>it</w:t>
      </w:r>
      <w:r w:rsidR="00BE4E98">
        <w:rPr>
          <w:rFonts w:ascii="Times New Roman" w:hAnsi="Times New Roman" w:cs="Times New Roman"/>
          <w:sz w:val="24"/>
          <w:szCs w:val="24"/>
        </w:rPr>
        <w:t xml:space="preserve"> fails to reach statistical significance at conventional levels (-12% of a SD &amp; 95% CI [</w:t>
      </w:r>
      <w:r w:rsidR="00BE4E98" w:rsidRPr="00864246">
        <w:rPr>
          <w:rFonts w:ascii="Times New Roman" w:hAnsi="Times New Roman" w:cs="Times New Roman"/>
          <w:sz w:val="24"/>
          <w:szCs w:val="24"/>
        </w:rPr>
        <w:t>-0.</w:t>
      </w:r>
      <w:r w:rsidR="00BE4E98">
        <w:rPr>
          <w:rFonts w:ascii="Times New Roman" w:hAnsi="Times New Roman" w:cs="Times New Roman"/>
          <w:sz w:val="24"/>
          <w:szCs w:val="24"/>
        </w:rPr>
        <w:t>30;</w:t>
      </w:r>
      <w:r w:rsidR="00BE4E98" w:rsidRPr="00864246">
        <w:rPr>
          <w:rFonts w:ascii="Times New Roman" w:hAnsi="Times New Roman" w:cs="Times New Roman"/>
          <w:sz w:val="24"/>
          <w:szCs w:val="24"/>
        </w:rPr>
        <w:t>0.06</w:t>
      </w:r>
      <w:r w:rsidR="00BE4E98">
        <w:rPr>
          <w:rFonts w:ascii="Times New Roman" w:hAnsi="Times New Roman" w:cs="Times New Roman"/>
          <w:sz w:val="24"/>
          <w:szCs w:val="24"/>
        </w:rPr>
        <w:t>])</w:t>
      </w:r>
      <w:r w:rsidR="001E6E1E">
        <w:rPr>
          <w:rFonts w:ascii="Times New Roman" w:hAnsi="Times New Roman" w:cs="Times New Roman"/>
          <w:sz w:val="24"/>
          <w:szCs w:val="24"/>
        </w:rPr>
        <w:t>. I note that this replication analysis has substantially lower power</w:t>
      </w:r>
      <w:r w:rsidR="00016CA9">
        <w:rPr>
          <w:rFonts w:ascii="Times New Roman" w:hAnsi="Times New Roman" w:cs="Times New Roman"/>
          <w:sz w:val="24"/>
          <w:szCs w:val="24"/>
        </w:rPr>
        <w:t xml:space="preserve"> </w:t>
      </w:r>
      <w:r w:rsidR="00D5074B">
        <w:rPr>
          <w:rFonts w:ascii="Times New Roman" w:hAnsi="Times New Roman" w:cs="Times New Roman"/>
          <w:sz w:val="24"/>
          <w:szCs w:val="24"/>
        </w:rPr>
        <w:t>due to</w:t>
      </w:r>
      <w:r w:rsidR="00016CA9">
        <w:rPr>
          <w:rFonts w:ascii="Times New Roman" w:hAnsi="Times New Roman" w:cs="Times New Roman"/>
          <w:sz w:val="24"/>
          <w:szCs w:val="24"/>
        </w:rPr>
        <w:t xml:space="preserve"> the</w:t>
      </w:r>
      <w:r w:rsidR="008A5E2B">
        <w:rPr>
          <w:rFonts w:ascii="Times New Roman" w:hAnsi="Times New Roman" w:cs="Times New Roman"/>
          <w:sz w:val="24"/>
          <w:szCs w:val="24"/>
        </w:rPr>
        <w:t xml:space="preserve"> </w:t>
      </w:r>
      <w:r w:rsidR="00016CA9">
        <w:rPr>
          <w:rFonts w:ascii="Times New Roman" w:hAnsi="Times New Roman" w:cs="Times New Roman"/>
          <w:sz w:val="24"/>
          <w:szCs w:val="24"/>
        </w:rPr>
        <w:t xml:space="preserve">smaller sample size </w:t>
      </w:r>
      <w:r w:rsidR="00D34A54">
        <w:rPr>
          <w:rFonts w:ascii="Times New Roman" w:hAnsi="Times New Roman" w:cs="Times New Roman"/>
          <w:sz w:val="24"/>
          <w:szCs w:val="24"/>
        </w:rPr>
        <w:t>(</w:t>
      </w:r>
      <w:r w:rsidR="0009366A" w:rsidRPr="00A7428D">
        <w:rPr>
          <w:rFonts w:ascii="Times New Roman" w:hAnsi="Times New Roman" w:cs="Times New Roman"/>
          <w:sz w:val="24"/>
          <w:szCs w:val="24"/>
        </w:rPr>
        <w:t>4</w:t>
      </w:r>
      <w:r w:rsidR="00A7428D">
        <w:rPr>
          <w:rFonts w:ascii="Times New Roman" w:hAnsi="Times New Roman" w:cs="Times New Roman"/>
          <w:sz w:val="24"/>
          <w:szCs w:val="24"/>
        </w:rPr>
        <w:t>3</w:t>
      </w:r>
      <w:r w:rsidR="0009366A" w:rsidRPr="00A7428D">
        <w:rPr>
          <w:rFonts w:ascii="Times New Roman" w:hAnsi="Times New Roman" w:cs="Times New Roman"/>
          <w:sz w:val="24"/>
          <w:szCs w:val="24"/>
        </w:rPr>
        <w:t xml:space="preserve">,254 individuals, </w:t>
      </w:r>
      <w:r w:rsidR="00D34A54" w:rsidRPr="00A7428D">
        <w:rPr>
          <w:rFonts w:ascii="Times New Roman" w:hAnsi="Times New Roman" w:cs="Times New Roman"/>
          <w:sz w:val="24"/>
          <w:szCs w:val="24"/>
        </w:rPr>
        <w:t>10 countries</w:t>
      </w:r>
      <w:r w:rsidR="0009366A" w:rsidRPr="00A7428D">
        <w:rPr>
          <w:rFonts w:ascii="Times New Roman" w:hAnsi="Times New Roman" w:cs="Times New Roman"/>
          <w:sz w:val="24"/>
          <w:szCs w:val="24"/>
        </w:rPr>
        <w:t>,</w:t>
      </w:r>
      <w:r w:rsidR="00D34A54" w:rsidRPr="00A7428D">
        <w:rPr>
          <w:rFonts w:ascii="Times New Roman" w:hAnsi="Times New Roman" w:cs="Times New Roman"/>
          <w:sz w:val="24"/>
          <w:szCs w:val="24"/>
        </w:rPr>
        <w:t xml:space="preserve"> and 31 country-years</w:t>
      </w:r>
      <w:r w:rsidR="00D34A54">
        <w:rPr>
          <w:rFonts w:ascii="Times New Roman" w:hAnsi="Times New Roman" w:cs="Times New Roman"/>
          <w:sz w:val="24"/>
          <w:szCs w:val="24"/>
        </w:rPr>
        <w:t>)</w:t>
      </w:r>
      <w:r w:rsidR="008A5E2B">
        <w:rPr>
          <w:rFonts w:ascii="Times New Roman" w:hAnsi="Times New Roman" w:cs="Times New Roman"/>
          <w:sz w:val="24"/>
          <w:szCs w:val="24"/>
        </w:rPr>
        <w:t>.</w:t>
      </w:r>
      <w:r w:rsidR="00BE4E98">
        <w:rPr>
          <w:rFonts w:ascii="Times New Roman" w:hAnsi="Times New Roman" w:cs="Times New Roman"/>
          <w:sz w:val="24"/>
          <w:szCs w:val="24"/>
        </w:rPr>
        <w:t xml:space="preserve">  </w:t>
      </w:r>
    </w:p>
    <w:p w14:paraId="059DFB19" w14:textId="77777777" w:rsidR="009B46D1" w:rsidRDefault="009B46D1">
      <w:pPr>
        <w:spacing w:before="0" w:after="160"/>
        <w:rPr>
          <w:rFonts w:ascii="Times New Roman" w:eastAsiaTheme="majorEastAsia" w:hAnsi="Times New Roman" w:cs="Times New Roman"/>
          <w:b/>
          <w:bCs/>
          <w:sz w:val="24"/>
          <w:szCs w:val="24"/>
        </w:rPr>
      </w:pPr>
      <w:r>
        <w:rPr>
          <w:rFonts w:ascii="Times New Roman" w:hAnsi="Times New Roman" w:cs="Times New Roman"/>
          <w:b/>
          <w:bCs/>
        </w:rPr>
        <w:br w:type="page"/>
      </w:r>
    </w:p>
    <w:p w14:paraId="40305102" w14:textId="655FC068" w:rsidR="002E46B4" w:rsidRPr="003C4C88" w:rsidRDefault="00864F4B" w:rsidP="00864F4B">
      <w:pPr>
        <w:pStyle w:val="Overskrift3"/>
        <w:spacing w:line="360" w:lineRule="auto"/>
        <w:rPr>
          <w:rFonts w:ascii="Times New Roman" w:hAnsi="Times New Roman" w:cs="Times New Roman"/>
          <w:b/>
          <w:bCs/>
          <w:color w:val="auto"/>
        </w:rPr>
      </w:pPr>
      <w:bookmarkStart w:id="31" w:name="_Toc113820372"/>
      <w:r w:rsidRPr="003C4C88">
        <w:rPr>
          <w:rFonts w:ascii="Times New Roman" w:hAnsi="Times New Roman" w:cs="Times New Roman"/>
          <w:b/>
          <w:bCs/>
          <w:color w:val="auto"/>
        </w:rPr>
        <w:lastRenderedPageBreak/>
        <w:t xml:space="preserve">Table J1: </w:t>
      </w:r>
      <w:r w:rsidR="0045344D">
        <w:rPr>
          <w:rFonts w:ascii="Times New Roman" w:hAnsi="Times New Roman" w:cs="Times New Roman"/>
          <w:b/>
          <w:bCs/>
          <w:color w:val="auto"/>
        </w:rPr>
        <w:t>International social survey programme</w:t>
      </w:r>
      <w:r w:rsidRPr="003C4C88">
        <w:rPr>
          <w:rFonts w:ascii="Times New Roman" w:hAnsi="Times New Roman" w:cs="Times New Roman"/>
          <w:b/>
          <w:bCs/>
          <w:color w:val="auto"/>
        </w:rPr>
        <w:t xml:space="preserve"> – Support for redistribution</w:t>
      </w:r>
      <w:bookmarkEnd w:id="31"/>
    </w:p>
    <w:p w14:paraId="0AB58D8A" w14:textId="0C8EADBB" w:rsidR="0020718D" w:rsidRDefault="009B46D1" w:rsidP="009B46D1">
      <w:pPr>
        <w:spacing w:line="360" w:lineRule="auto"/>
        <w:jc w:val="center"/>
        <w:rPr>
          <w:rFonts w:ascii="Times New Roman" w:eastAsiaTheme="majorEastAsia" w:hAnsi="Times New Roman" w:cs="Times New Roman"/>
          <w:b/>
          <w:bCs/>
          <w:sz w:val="28"/>
          <w:szCs w:val="28"/>
          <w:highlight w:val="yellow"/>
        </w:rPr>
      </w:pPr>
      <w:r w:rsidRPr="009B46D1">
        <w:rPr>
          <w:noProof/>
        </w:rPr>
        <w:drawing>
          <wp:inline distT="0" distB="0" distL="0" distR="0" wp14:anchorId="2FC433F3" wp14:editId="4289D312">
            <wp:extent cx="2643237" cy="8388880"/>
            <wp:effectExtent l="0" t="0" r="0" b="0"/>
            <wp:docPr id="34" name="Bille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51864" cy="8416260"/>
                    </a:xfrm>
                    <a:prstGeom prst="rect">
                      <a:avLst/>
                    </a:prstGeom>
                    <a:noFill/>
                    <a:ln>
                      <a:noFill/>
                    </a:ln>
                  </pic:spPr>
                </pic:pic>
              </a:graphicData>
            </a:graphic>
          </wp:inline>
        </w:drawing>
      </w:r>
      <w:r w:rsidR="0020718D">
        <w:rPr>
          <w:rFonts w:ascii="Times New Roman" w:hAnsi="Times New Roman" w:cs="Times New Roman"/>
          <w:b/>
          <w:bCs/>
          <w:sz w:val="28"/>
          <w:szCs w:val="28"/>
          <w:highlight w:val="yellow"/>
        </w:rPr>
        <w:br w:type="page"/>
      </w:r>
    </w:p>
    <w:p w14:paraId="63FDAA94" w14:textId="1D86A5FB" w:rsidR="0035795B" w:rsidRPr="00FC348C" w:rsidRDefault="006A098E" w:rsidP="0007287A">
      <w:pPr>
        <w:pStyle w:val="Overskrift2"/>
        <w:spacing w:line="360" w:lineRule="auto"/>
        <w:jc w:val="both"/>
        <w:rPr>
          <w:rFonts w:ascii="Times New Roman" w:hAnsi="Times New Roman" w:cs="Times New Roman"/>
          <w:b/>
          <w:bCs/>
          <w:color w:val="auto"/>
          <w:sz w:val="28"/>
          <w:szCs w:val="28"/>
        </w:rPr>
      </w:pPr>
      <w:bookmarkStart w:id="32" w:name="_Toc113820373"/>
      <w:r w:rsidRPr="00FF51E4">
        <w:rPr>
          <w:rFonts w:ascii="Times New Roman" w:hAnsi="Times New Roman" w:cs="Times New Roman"/>
          <w:b/>
          <w:bCs/>
          <w:color w:val="auto"/>
          <w:sz w:val="28"/>
          <w:szCs w:val="28"/>
        </w:rPr>
        <w:lastRenderedPageBreak/>
        <w:t xml:space="preserve">Appendix </w:t>
      </w:r>
      <w:r w:rsidR="00EA50EE" w:rsidRPr="00FF51E4">
        <w:rPr>
          <w:rFonts w:ascii="Times New Roman" w:hAnsi="Times New Roman" w:cs="Times New Roman"/>
          <w:b/>
          <w:bCs/>
          <w:color w:val="auto"/>
          <w:sz w:val="28"/>
          <w:szCs w:val="28"/>
        </w:rPr>
        <w:t>K</w:t>
      </w:r>
      <w:r w:rsidRPr="00FF51E4">
        <w:rPr>
          <w:rFonts w:ascii="Times New Roman" w:hAnsi="Times New Roman" w:cs="Times New Roman"/>
          <w:b/>
          <w:bCs/>
          <w:color w:val="auto"/>
          <w:sz w:val="28"/>
          <w:szCs w:val="28"/>
        </w:rPr>
        <w:t xml:space="preserve">. Replication using </w:t>
      </w:r>
      <w:r w:rsidR="00C36D23" w:rsidRPr="00FF51E4">
        <w:rPr>
          <w:rFonts w:ascii="Times New Roman" w:hAnsi="Times New Roman" w:cs="Times New Roman"/>
          <w:b/>
          <w:bCs/>
          <w:color w:val="auto"/>
          <w:sz w:val="28"/>
          <w:szCs w:val="28"/>
        </w:rPr>
        <w:t>Integrated values study</w:t>
      </w:r>
      <w:r w:rsidRPr="00FF51E4">
        <w:rPr>
          <w:rFonts w:ascii="Times New Roman" w:hAnsi="Times New Roman" w:cs="Times New Roman"/>
          <w:b/>
          <w:bCs/>
          <w:color w:val="auto"/>
          <w:sz w:val="28"/>
          <w:szCs w:val="28"/>
        </w:rPr>
        <w:t xml:space="preserve"> data</w:t>
      </w:r>
      <w:r w:rsidR="00A023EA" w:rsidRPr="00FF51E4">
        <w:rPr>
          <w:rFonts w:ascii="Times New Roman" w:hAnsi="Times New Roman" w:cs="Times New Roman"/>
          <w:b/>
          <w:bCs/>
          <w:color w:val="auto"/>
          <w:sz w:val="28"/>
          <w:szCs w:val="28"/>
        </w:rPr>
        <w:t xml:space="preserve">: </w:t>
      </w:r>
      <w:r w:rsidR="00FA6B7E">
        <w:rPr>
          <w:rFonts w:ascii="Times New Roman" w:hAnsi="Times New Roman" w:cs="Times New Roman"/>
          <w:b/>
          <w:bCs/>
          <w:color w:val="auto"/>
          <w:sz w:val="28"/>
          <w:szCs w:val="28"/>
        </w:rPr>
        <w:t>T</w:t>
      </w:r>
      <w:r w:rsidR="00A023EA" w:rsidRPr="00FF51E4">
        <w:rPr>
          <w:rFonts w:ascii="Times New Roman" w:hAnsi="Times New Roman" w:cs="Times New Roman"/>
          <w:b/>
          <w:bCs/>
          <w:color w:val="auto"/>
          <w:sz w:val="28"/>
          <w:szCs w:val="28"/>
        </w:rPr>
        <w:t>rust</w:t>
      </w:r>
      <w:bookmarkEnd w:id="32"/>
    </w:p>
    <w:p w14:paraId="5D92CAE1" w14:textId="2D906E58" w:rsidR="007340E8" w:rsidRDefault="00F0085E" w:rsidP="00486F05">
      <w:pPr>
        <w:spacing w:before="0"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To strengthen the generalizability of the findings, I replicate the analysis of H3 (i.e., institutional trust) and H4 (social trust) using survey data from the </w:t>
      </w:r>
      <w:r w:rsidR="004C2B4A">
        <w:rPr>
          <w:rFonts w:ascii="Times New Roman" w:hAnsi="Times New Roman" w:cs="Times New Roman"/>
          <w:sz w:val="24"/>
          <w:szCs w:val="24"/>
        </w:rPr>
        <w:t>I</w:t>
      </w:r>
      <w:r w:rsidR="009C698E">
        <w:rPr>
          <w:rFonts w:ascii="Times New Roman" w:hAnsi="Times New Roman" w:cs="Times New Roman"/>
          <w:sz w:val="24"/>
          <w:szCs w:val="24"/>
        </w:rPr>
        <w:t xml:space="preserve">ntegrated </w:t>
      </w:r>
      <w:r w:rsidR="004C2B4A">
        <w:rPr>
          <w:rFonts w:ascii="Times New Roman" w:hAnsi="Times New Roman" w:cs="Times New Roman"/>
          <w:sz w:val="24"/>
          <w:szCs w:val="24"/>
        </w:rPr>
        <w:t>V</w:t>
      </w:r>
      <w:r w:rsidR="009C698E">
        <w:rPr>
          <w:rFonts w:ascii="Times New Roman" w:hAnsi="Times New Roman" w:cs="Times New Roman"/>
          <w:sz w:val="24"/>
          <w:szCs w:val="24"/>
        </w:rPr>
        <w:t xml:space="preserve">alues </w:t>
      </w:r>
      <w:r w:rsidR="004C2B4A">
        <w:rPr>
          <w:rFonts w:ascii="Times New Roman" w:hAnsi="Times New Roman" w:cs="Times New Roman"/>
          <w:sz w:val="24"/>
          <w:szCs w:val="24"/>
        </w:rPr>
        <w:t>S</w:t>
      </w:r>
      <w:r w:rsidR="009C698E">
        <w:rPr>
          <w:rFonts w:ascii="Times New Roman" w:hAnsi="Times New Roman" w:cs="Times New Roman"/>
          <w:sz w:val="24"/>
          <w:szCs w:val="24"/>
        </w:rPr>
        <w:t xml:space="preserve">tudy, which is a merged trend file of the World Values Survey </w:t>
      </w:r>
      <w:r w:rsidR="00D6116D">
        <w:rPr>
          <w:rFonts w:ascii="Times New Roman" w:hAnsi="Times New Roman" w:cs="Times New Roman"/>
          <w:sz w:val="24"/>
          <w:szCs w:val="24"/>
        </w:rPr>
        <w:fldChar w:fldCharType="begin"/>
      </w:r>
      <w:r w:rsidR="00D6116D">
        <w:rPr>
          <w:rFonts w:ascii="Times New Roman" w:hAnsi="Times New Roman" w:cs="Times New Roman"/>
          <w:sz w:val="24"/>
          <w:szCs w:val="24"/>
        </w:rPr>
        <w:instrText xml:space="preserve"> ADDIN ZOTERO_ITEM CSL_CITATION {"citationID":"uoazeqqK","properties":{"formattedCitation":"(Haerpfer et al., 2021)","plainCitation":"(Haerpfer et al., 2021)","noteIndex":0},"citationItems":[{"id":2794,"uris":["http://zotero.org/users/6208848/items/SIBGQMV4"],"itemData":{"id":2794,"type":"document","language":"en","note":"version: 2.0\ntype: dataset\nDOI: 10.14281/18241.15","publisher":"World Values Survey Association","source":"DOI.org (Datacite)","title":"World Values Survey Time-Series (1981-2020) Cross-National Data-Set","URL":"https://www.worldvaluessurvey.org/WVSEVStrend.jsp","author":[{"family":"Haerpfer","given":"Christian"},{"family":"Inglehart","given":"Ronald"},{"family":"Moreno","given":"Alejandro"},{"family":"Welzel","given":"Christian"},{"family":"Kizilova","given":"Kseniya"},{"family":"Diez-Medrano","given":"Jaime"},{"family":"Lagos","given":"Marta"},{"family":"Norris","given":"Pippa"},{"family":"Ponarin","given":"Eduard"},{"family":"Puranen","given":"Bi"}],"accessed":{"date-parts":[["2022",7,8]]},"issued":{"date-parts":[["2021"]]}}}],"schema":"https://github.com/citation-style-language/schema/raw/master/csl-citation.json"} </w:instrText>
      </w:r>
      <w:r w:rsidR="00D6116D">
        <w:rPr>
          <w:rFonts w:ascii="Times New Roman" w:hAnsi="Times New Roman" w:cs="Times New Roman"/>
          <w:sz w:val="24"/>
          <w:szCs w:val="24"/>
        </w:rPr>
        <w:fldChar w:fldCharType="separate"/>
      </w:r>
      <w:r w:rsidR="00D6116D" w:rsidRPr="00D6116D">
        <w:rPr>
          <w:rFonts w:ascii="Times New Roman" w:hAnsi="Times New Roman" w:cs="Times New Roman"/>
          <w:sz w:val="24"/>
        </w:rPr>
        <w:t>(Haerpfer et al., 2021)</w:t>
      </w:r>
      <w:r w:rsidR="00D6116D">
        <w:rPr>
          <w:rFonts w:ascii="Times New Roman" w:hAnsi="Times New Roman" w:cs="Times New Roman"/>
          <w:sz w:val="24"/>
          <w:szCs w:val="24"/>
        </w:rPr>
        <w:fldChar w:fldCharType="end"/>
      </w:r>
      <w:r w:rsidR="009C698E">
        <w:rPr>
          <w:rFonts w:ascii="Times New Roman" w:hAnsi="Times New Roman" w:cs="Times New Roman"/>
          <w:sz w:val="24"/>
          <w:szCs w:val="24"/>
        </w:rPr>
        <w:t xml:space="preserve"> and European Values Study</w:t>
      </w:r>
      <w:r w:rsidR="00D6116D">
        <w:rPr>
          <w:rFonts w:ascii="Times New Roman" w:hAnsi="Times New Roman" w:cs="Times New Roman"/>
          <w:sz w:val="24"/>
          <w:szCs w:val="24"/>
        </w:rPr>
        <w:t xml:space="preserve"> </w:t>
      </w:r>
      <w:r w:rsidR="00D6116D">
        <w:rPr>
          <w:rFonts w:ascii="Times New Roman" w:hAnsi="Times New Roman" w:cs="Times New Roman"/>
          <w:sz w:val="24"/>
          <w:szCs w:val="24"/>
        </w:rPr>
        <w:fldChar w:fldCharType="begin"/>
      </w:r>
      <w:r w:rsidR="00D6116D">
        <w:rPr>
          <w:rFonts w:ascii="Times New Roman" w:hAnsi="Times New Roman" w:cs="Times New Roman"/>
          <w:sz w:val="24"/>
          <w:szCs w:val="24"/>
        </w:rPr>
        <w:instrText xml:space="preserve"> ADDIN ZOTERO_ITEM CSL_CITATION {"citationID":"92Ix0Wv2","properties":{"formattedCitation":"(EVS, 2021)","plainCitation":"(EVS, 2021)","noteIndex":0},"citationItems":[{"id":2796,"uris":["http://zotero.org/users/6208848/items/6DAM27KI"],"itemData":{"id":2796,"type":"document","abstract":"The European Values Study is a large-scale, cross-national and longitudinal survey research program on how Europeans think about family, work, religion, politics, and society. Repeated every nine years in an increasing number of countries, the survey provides insights into the ideas, beliefs, preferences, attitudes, values, and opinions of citizens all over Europe. The EVS Trend File 1981-2017 is constructed from the five EVS waves and covers almost 40 years. In altogether 159 surveys, more than 223.000 respondents from 48 countries/regions were interviewed. It is based on the updated data of the EVS Longitudinal Data File 1981-2008 (v.3.1.0) and the current EVS 2017 Integrated Dataset (v.4.0.0). It follows a new concept agreed with the WVS to transfer the large EVS and WVS longitudinal data files, containing almost all variables of the EVS and WVS waves, respectively, into leaner and easier to handle files. However, the pre-release data cannot yet be easily merged with the current WVS Trend File, and only basic documentation is available. The next data release is planned in cooperation between the European Value Study and the World Value Survey (WVS) for the beginning of July 2021. From these data files, it will be easy for data users to build the Integrated Values Surveys 1981-2021 data file, including the five waves of the EVS (1981-2017) and the seven waves of the WVS (1981-2021).","language":"de","note":"version: 2.0.0\ntype: dataset\nDOI: 10.4232/1.13736","publisher":"GESIS Data Archive","source":"DOI.org (Datacite)","title":"EVS Trend File 1981-2017EVS Trend File 1981-2017","URL":"https://search.gesis.org/research_data/ZA7503?doi=10.4232/1.13736","author":[{"family":"EVS","given":""}],"accessed":{"date-parts":[["2022",7,8]]},"issued":{"date-parts":[["2021"]]}}}],"schema":"https://github.com/citation-style-language/schema/raw/master/csl-citation.json"} </w:instrText>
      </w:r>
      <w:r w:rsidR="00D6116D">
        <w:rPr>
          <w:rFonts w:ascii="Times New Roman" w:hAnsi="Times New Roman" w:cs="Times New Roman"/>
          <w:sz w:val="24"/>
          <w:szCs w:val="24"/>
        </w:rPr>
        <w:fldChar w:fldCharType="separate"/>
      </w:r>
      <w:r w:rsidR="00D6116D" w:rsidRPr="00D6116D">
        <w:rPr>
          <w:rFonts w:ascii="Times New Roman" w:hAnsi="Times New Roman" w:cs="Times New Roman"/>
          <w:sz w:val="24"/>
        </w:rPr>
        <w:t>(EVS, 2021)</w:t>
      </w:r>
      <w:r w:rsidR="00D6116D">
        <w:rPr>
          <w:rFonts w:ascii="Times New Roman" w:hAnsi="Times New Roman" w:cs="Times New Roman"/>
          <w:sz w:val="24"/>
          <w:szCs w:val="24"/>
        </w:rPr>
        <w:fldChar w:fldCharType="end"/>
      </w:r>
      <w:r>
        <w:rPr>
          <w:rFonts w:ascii="Times New Roman" w:hAnsi="Times New Roman" w:cs="Times New Roman"/>
          <w:sz w:val="24"/>
          <w:szCs w:val="24"/>
        </w:rPr>
        <w:t xml:space="preserve">. </w:t>
      </w:r>
      <w:r w:rsidR="007C3E26">
        <w:rPr>
          <w:rFonts w:ascii="Times New Roman" w:hAnsi="Times New Roman" w:cs="Times New Roman"/>
          <w:sz w:val="24"/>
          <w:szCs w:val="24"/>
        </w:rPr>
        <w:t xml:space="preserve">I use a </w:t>
      </w:r>
      <w:r w:rsidR="008D6CE6">
        <w:rPr>
          <w:rFonts w:ascii="Times New Roman" w:hAnsi="Times New Roman" w:cs="Times New Roman"/>
          <w:sz w:val="24"/>
          <w:szCs w:val="24"/>
        </w:rPr>
        <w:t>single-</w:t>
      </w:r>
      <w:r w:rsidR="00B53011">
        <w:rPr>
          <w:rFonts w:ascii="Times New Roman" w:hAnsi="Times New Roman" w:cs="Times New Roman"/>
          <w:sz w:val="24"/>
          <w:szCs w:val="24"/>
        </w:rPr>
        <w:t>survey</w:t>
      </w:r>
      <w:r w:rsidR="00AC1CF8">
        <w:rPr>
          <w:rFonts w:ascii="Times New Roman" w:hAnsi="Times New Roman" w:cs="Times New Roman"/>
          <w:sz w:val="24"/>
          <w:szCs w:val="24"/>
        </w:rPr>
        <w:t xml:space="preserve"> binary</w:t>
      </w:r>
      <w:r w:rsidR="00B53011">
        <w:rPr>
          <w:rFonts w:ascii="Times New Roman" w:hAnsi="Times New Roman" w:cs="Times New Roman"/>
          <w:sz w:val="24"/>
          <w:szCs w:val="24"/>
        </w:rPr>
        <w:t xml:space="preserve"> item </w:t>
      </w:r>
      <w:r>
        <w:rPr>
          <w:rFonts w:ascii="Times New Roman" w:hAnsi="Times New Roman" w:cs="Times New Roman"/>
          <w:sz w:val="24"/>
          <w:szCs w:val="24"/>
        </w:rPr>
        <w:t xml:space="preserve">to capture </w:t>
      </w:r>
      <w:r w:rsidR="00B53011">
        <w:rPr>
          <w:rFonts w:ascii="Times New Roman" w:hAnsi="Times New Roman" w:cs="Times New Roman"/>
          <w:sz w:val="24"/>
          <w:szCs w:val="24"/>
        </w:rPr>
        <w:t xml:space="preserve">social trust </w:t>
      </w:r>
      <w:r w:rsidR="00C646EC" w:rsidRPr="00654937">
        <w:rPr>
          <w:rFonts w:ascii="Times New Roman" w:hAnsi="Times New Roman" w:cs="Times New Roman"/>
          <w:i/>
          <w:iCs/>
          <w:sz w:val="24"/>
          <w:szCs w:val="24"/>
        </w:rPr>
        <w:t>(</w:t>
      </w:r>
      <w:r w:rsidR="0097253B" w:rsidRPr="00654937">
        <w:rPr>
          <w:rFonts w:ascii="Times New Roman" w:hAnsi="Times New Roman" w:cs="Times New Roman"/>
          <w:i/>
          <w:iCs/>
          <w:sz w:val="24"/>
          <w:szCs w:val="24"/>
        </w:rPr>
        <w:t>“</w:t>
      </w:r>
      <w:r w:rsidR="004E2BCF" w:rsidRPr="00654937">
        <w:rPr>
          <w:rFonts w:ascii="Times New Roman" w:hAnsi="Times New Roman" w:cs="Times New Roman"/>
          <w:i/>
          <w:iCs/>
          <w:sz w:val="24"/>
          <w:szCs w:val="24"/>
        </w:rPr>
        <w:t>Generally speaking, would you say that most people can be trusted or that you can’t be too careful in dealing with people?</w:t>
      </w:r>
      <w:r w:rsidR="008F233D">
        <w:rPr>
          <w:rFonts w:ascii="Times New Roman" w:hAnsi="Times New Roman" w:cs="Times New Roman"/>
          <w:i/>
          <w:iCs/>
          <w:sz w:val="24"/>
          <w:szCs w:val="24"/>
        </w:rPr>
        <w:t>” [</w:t>
      </w:r>
      <w:r w:rsidR="0097253B" w:rsidRPr="00654937">
        <w:rPr>
          <w:rFonts w:ascii="Times New Roman" w:hAnsi="Times New Roman" w:cs="Times New Roman"/>
          <w:i/>
          <w:iCs/>
          <w:sz w:val="24"/>
          <w:szCs w:val="24"/>
        </w:rPr>
        <w:t xml:space="preserve"> </w:t>
      </w:r>
      <w:r w:rsidR="008D6CE6" w:rsidRPr="00654937">
        <w:rPr>
          <w:rFonts w:ascii="Times New Roman" w:hAnsi="Times New Roman" w:cs="Times New Roman"/>
          <w:i/>
          <w:iCs/>
          <w:sz w:val="24"/>
          <w:szCs w:val="24"/>
        </w:rPr>
        <w:t>0 = You can’t be too careful</w:t>
      </w:r>
      <w:r w:rsidR="008F233D">
        <w:rPr>
          <w:rFonts w:ascii="Times New Roman" w:hAnsi="Times New Roman" w:cs="Times New Roman"/>
          <w:i/>
          <w:iCs/>
          <w:sz w:val="24"/>
          <w:szCs w:val="24"/>
        </w:rPr>
        <w:t>;</w:t>
      </w:r>
      <w:r w:rsidR="00C34AD7" w:rsidRPr="00654937">
        <w:rPr>
          <w:rFonts w:ascii="Times New Roman" w:hAnsi="Times New Roman" w:cs="Times New Roman"/>
          <w:i/>
          <w:iCs/>
          <w:sz w:val="24"/>
          <w:szCs w:val="24"/>
        </w:rPr>
        <w:t xml:space="preserve"> 1= Most people can be trusted</w:t>
      </w:r>
      <w:r w:rsidR="008F233D">
        <w:rPr>
          <w:rFonts w:ascii="Times New Roman" w:hAnsi="Times New Roman" w:cs="Times New Roman"/>
          <w:i/>
          <w:iCs/>
          <w:sz w:val="24"/>
          <w:szCs w:val="24"/>
        </w:rPr>
        <w:t>]</w:t>
      </w:r>
      <w:r w:rsidR="008D6CE6" w:rsidRPr="004E2BCF">
        <w:rPr>
          <w:rFonts w:ascii="Times New Roman" w:hAnsi="Times New Roman" w:cs="Times New Roman"/>
          <w:sz w:val="24"/>
          <w:szCs w:val="24"/>
        </w:rPr>
        <w:t>)</w:t>
      </w:r>
      <w:r w:rsidR="00C34AD7" w:rsidRPr="004E2BCF">
        <w:rPr>
          <w:rFonts w:ascii="Times New Roman" w:hAnsi="Times New Roman" w:cs="Times New Roman"/>
          <w:sz w:val="24"/>
          <w:szCs w:val="24"/>
        </w:rPr>
        <w:t>.</w:t>
      </w:r>
      <w:r w:rsidR="00DF357C">
        <w:rPr>
          <w:rFonts w:ascii="Times New Roman" w:hAnsi="Times New Roman" w:cs="Times New Roman"/>
          <w:sz w:val="24"/>
          <w:szCs w:val="24"/>
        </w:rPr>
        <w:t xml:space="preserve"> </w:t>
      </w:r>
      <w:r w:rsidR="00716161">
        <w:rPr>
          <w:rFonts w:ascii="Times New Roman" w:hAnsi="Times New Roman" w:cs="Times New Roman"/>
          <w:sz w:val="24"/>
          <w:szCs w:val="24"/>
        </w:rPr>
        <w:t>To measure institutional trust, I conduct a</w:t>
      </w:r>
      <w:r w:rsidR="00DF357C">
        <w:rPr>
          <w:rFonts w:ascii="Times New Roman" w:hAnsi="Times New Roman" w:cs="Times New Roman"/>
          <w:sz w:val="24"/>
          <w:szCs w:val="24"/>
        </w:rPr>
        <w:t xml:space="preserve"> principal component analysis</w:t>
      </w:r>
      <w:r w:rsidR="003F1D64">
        <w:rPr>
          <w:rFonts w:ascii="Times New Roman" w:hAnsi="Times New Roman" w:cs="Times New Roman"/>
          <w:sz w:val="24"/>
          <w:szCs w:val="24"/>
        </w:rPr>
        <w:t xml:space="preserve"> </w:t>
      </w:r>
      <w:r w:rsidR="003F6771">
        <w:rPr>
          <w:rFonts w:ascii="Times New Roman" w:hAnsi="Times New Roman" w:cs="Times New Roman"/>
          <w:sz w:val="24"/>
          <w:szCs w:val="24"/>
        </w:rPr>
        <w:t xml:space="preserve">based on two </w:t>
      </w:r>
      <w:r w:rsidR="00C30994">
        <w:rPr>
          <w:rFonts w:ascii="Times New Roman" w:hAnsi="Times New Roman" w:cs="Times New Roman"/>
          <w:sz w:val="24"/>
          <w:szCs w:val="24"/>
        </w:rPr>
        <w:t xml:space="preserve">survey </w:t>
      </w:r>
      <w:r w:rsidR="003F6771">
        <w:rPr>
          <w:rFonts w:ascii="Times New Roman" w:hAnsi="Times New Roman" w:cs="Times New Roman"/>
          <w:sz w:val="24"/>
          <w:szCs w:val="24"/>
        </w:rPr>
        <w:t>items</w:t>
      </w:r>
      <w:r w:rsidR="008F662B">
        <w:rPr>
          <w:rFonts w:ascii="Times New Roman" w:hAnsi="Times New Roman" w:cs="Times New Roman"/>
          <w:sz w:val="24"/>
          <w:szCs w:val="24"/>
        </w:rPr>
        <w:t xml:space="preserve"> </w:t>
      </w:r>
      <w:r w:rsidR="00C30994">
        <w:rPr>
          <w:rFonts w:ascii="Times New Roman" w:hAnsi="Times New Roman" w:cs="Times New Roman"/>
          <w:sz w:val="24"/>
          <w:szCs w:val="24"/>
        </w:rPr>
        <w:t xml:space="preserve">asking </w:t>
      </w:r>
      <w:r w:rsidR="000E1BB0">
        <w:rPr>
          <w:rFonts w:ascii="Times New Roman" w:hAnsi="Times New Roman" w:cs="Times New Roman"/>
          <w:sz w:val="24"/>
          <w:szCs w:val="24"/>
        </w:rPr>
        <w:t xml:space="preserve">about </w:t>
      </w:r>
      <w:r w:rsidR="003F6771">
        <w:rPr>
          <w:rFonts w:ascii="Times New Roman" w:hAnsi="Times New Roman" w:cs="Times New Roman"/>
          <w:sz w:val="24"/>
          <w:szCs w:val="24"/>
        </w:rPr>
        <w:t>confidence in the parliament and</w:t>
      </w:r>
      <w:r w:rsidR="008F662B">
        <w:rPr>
          <w:rFonts w:ascii="Times New Roman" w:hAnsi="Times New Roman" w:cs="Times New Roman"/>
          <w:sz w:val="24"/>
          <w:szCs w:val="24"/>
        </w:rPr>
        <w:t xml:space="preserve"> confidence in</w:t>
      </w:r>
      <w:r w:rsidR="003F6771">
        <w:rPr>
          <w:rFonts w:ascii="Times New Roman" w:hAnsi="Times New Roman" w:cs="Times New Roman"/>
          <w:sz w:val="24"/>
          <w:szCs w:val="24"/>
        </w:rPr>
        <w:t xml:space="preserve"> the courts </w:t>
      </w:r>
      <w:r w:rsidR="00C30994">
        <w:rPr>
          <w:rFonts w:ascii="Times New Roman" w:hAnsi="Times New Roman" w:cs="Times New Roman"/>
          <w:sz w:val="24"/>
          <w:szCs w:val="24"/>
        </w:rPr>
        <w:t>on a 4-point scale</w:t>
      </w:r>
      <w:r w:rsidR="009C3BB0">
        <w:rPr>
          <w:rFonts w:ascii="Times New Roman" w:hAnsi="Times New Roman" w:cs="Times New Roman"/>
          <w:sz w:val="24"/>
          <w:szCs w:val="24"/>
        </w:rPr>
        <w:t xml:space="preserve">. </w:t>
      </w:r>
      <w:r w:rsidR="00486F05">
        <w:rPr>
          <w:rFonts w:ascii="Times New Roman" w:hAnsi="Times New Roman" w:cs="Times New Roman"/>
          <w:sz w:val="24"/>
          <w:szCs w:val="24"/>
        </w:rPr>
        <w:t>The sample size is</w:t>
      </w:r>
      <w:r w:rsidR="00B41CBD">
        <w:rPr>
          <w:rFonts w:ascii="Times New Roman" w:hAnsi="Times New Roman" w:cs="Times New Roman"/>
          <w:sz w:val="24"/>
          <w:szCs w:val="24"/>
        </w:rPr>
        <w:t xml:space="preserve"> close to</w:t>
      </w:r>
      <w:r w:rsidR="00486F05">
        <w:rPr>
          <w:rFonts w:ascii="Times New Roman" w:hAnsi="Times New Roman" w:cs="Times New Roman"/>
          <w:sz w:val="24"/>
          <w:szCs w:val="24"/>
        </w:rPr>
        <w:t xml:space="preserve"> the European social survey sample (</w:t>
      </w:r>
      <w:r w:rsidR="00341BA2" w:rsidRPr="00285F67">
        <w:rPr>
          <w:rFonts w:ascii="Times New Roman" w:hAnsi="Times New Roman" w:cs="Times New Roman"/>
          <w:sz w:val="24"/>
          <w:szCs w:val="24"/>
        </w:rPr>
        <w:t>106,</w:t>
      </w:r>
      <w:r w:rsidR="00E42C4F" w:rsidRPr="00285F67">
        <w:rPr>
          <w:rFonts w:ascii="Times New Roman" w:hAnsi="Times New Roman" w:cs="Times New Roman"/>
          <w:sz w:val="24"/>
          <w:szCs w:val="24"/>
        </w:rPr>
        <w:t xml:space="preserve">233, 21 countries, and </w:t>
      </w:r>
      <w:r w:rsidR="00285F67" w:rsidRPr="00285F67">
        <w:rPr>
          <w:rFonts w:ascii="Times New Roman" w:hAnsi="Times New Roman" w:cs="Times New Roman"/>
          <w:sz w:val="24"/>
          <w:szCs w:val="24"/>
        </w:rPr>
        <w:t>91</w:t>
      </w:r>
      <w:r w:rsidR="00E42C4F" w:rsidRPr="00285F67">
        <w:rPr>
          <w:rFonts w:ascii="Times New Roman" w:hAnsi="Times New Roman" w:cs="Times New Roman"/>
          <w:sz w:val="24"/>
          <w:szCs w:val="24"/>
        </w:rPr>
        <w:t xml:space="preserve"> country</w:t>
      </w:r>
      <w:r w:rsidR="00713333" w:rsidRPr="00285F67">
        <w:rPr>
          <w:rFonts w:ascii="Times New Roman" w:hAnsi="Times New Roman" w:cs="Times New Roman"/>
          <w:sz w:val="24"/>
          <w:szCs w:val="24"/>
        </w:rPr>
        <w:t>-</w:t>
      </w:r>
      <w:r w:rsidR="00E42C4F" w:rsidRPr="00285F67">
        <w:rPr>
          <w:rFonts w:ascii="Times New Roman" w:hAnsi="Times New Roman" w:cs="Times New Roman"/>
          <w:sz w:val="24"/>
          <w:szCs w:val="24"/>
        </w:rPr>
        <w:t>years</w:t>
      </w:r>
      <w:r w:rsidR="00E42C4F">
        <w:rPr>
          <w:rFonts w:ascii="Times New Roman" w:hAnsi="Times New Roman" w:cs="Times New Roman"/>
          <w:sz w:val="24"/>
          <w:szCs w:val="24"/>
        </w:rPr>
        <w:t>)</w:t>
      </w:r>
      <w:r w:rsidR="00563300">
        <w:rPr>
          <w:rFonts w:ascii="Times New Roman" w:hAnsi="Times New Roman" w:cs="Times New Roman"/>
          <w:sz w:val="24"/>
          <w:szCs w:val="24"/>
        </w:rPr>
        <w:t xml:space="preserve">. Table K1 </w:t>
      </w:r>
      <w:r w:rsidR="000B4579">
        <w:rPr>
          <w:rFonts w:ascii="Times New Roman" w:hAnsi="Times New Roman" w:cs="Times New Roman"/>
          <w:sz w:val="24"/>
          <w:szCs w:val="24"/>
        </w:rPr>
        <w:t>echoes</w:t>
      </w:r>
      <w:r w:rsidR="00563300">
        <w:rPr>
          <w:rFonts w:ascii="Times New Roman" w:hAnsi="Times New Roman" w:cs="Times New Roman"/>
          <w:sz w:val="24"/>
          <w:szCs w:val="24"/>
        </w:rPr>
        <w:t xml:space="preserve"> </w:t>
      </w:r>
      <w:r w:rsidR="0024413A">
        <w:rPr>
          <w:rFonts w:ascii="Times New Roman" w:hAnsi="Times New Roman" w:cs="Times New Roman"/>
          <w:sz w:val="24"/>
          <w:szCs w:val="24"/>
        </w:rPr>
        <w:t xml:space="preserve">the </w:t>
      </w:r>
      <w:r w:rsidR="00285F67">
        <w:rPr>
          <w:rFonts w:ascii="Times New Roman" w:hAnsi="Times New Roman" w:cs="Times New Roman"/>
          <w:sz w:val="24"/>
          <w:szCs w:val="24"/>
        </w:rPr>
        <w:t>null findings</w:t>
      </w:r>
      <w:r w:rsidR="0024413A">
        <w:rPr>
          <w:rFonts w:ascii="Times New Roman" w:hAnsi="Times New Roman" w:cs="Times New Roman"/>
          <w:sz w:val="24"/>
          <w:szCs w:val="24"/>
        </w:rPr>
        <w:t xml:space="preserve"> </w:t>
      </w:r>
      <w:r w:rsidR="00C07EAA">
        <w:rPr>
          <w:rFonts w:ascii="Times New Roman" w:hAnsi="Times New Roman" w:cs="Times New Roman"/>
          <w:sz w:val="24"/>
          <w:szCs w:val="24"/>
        </w:rPr>
        <w:t xml:space="preserve">found </w:t>
      </w:r>
      <w:r w:rsidR="00AB2057">
        <w:rPr>
          <w:rFonts w:ascii="Times New Roman" w:hAnsi="Times New Roman" w:cs="Times New Roman"/>
          <w:sz w:val="24"/>
          <w:szCs w:val="24"/>
        </w:rPr>
        <w:t>in the main analysis</w:t>
      </w:r>
      <w:r w:rsidR="00C05755">
        <w:rPr>
          <w:rFonts w:ascii="Times New Roman" w:hAnsi="Times New Roman" w:cs="Times New Roman"/>
          <w:sz w:val="24"/>
          <w:szCs w:val="24"/>
        </w:rPr>
        <w:t xml:space="preserve"> (see table C1 and figure C1)</w:t>
      </w:r>
      <w:r w:rsidR="00AB2057">
        <w:rPr>
          <w:rFonts w:ascii="Times New Roman" w:hAnsi="Times New Roman" w:cs="Times New Roman"/>
          <w:sz w:val="24"/>
          <w:szCs w:val="24"/>
        </w:rPr>
        <w:t xml:space="preserve">. </w:t>
      </w:r>
    </w:p>
    <w:p w14:paraId="767D3C43" w14:textId="77777777" w:rsidR="00C41727" w:rsidRDefault="00C41727">
      <w:pPr>
        <w:spacing w:before="0" w:after="160"/>
        <w:rPr>
          <w:rFonts w:ascii="Times New Roman" w:eastAsiaTheme="majorEastAsia" w:hAnsi="Times New Roman" w:cs="Times New Roman"/>
          <w:b/>
          <w:bCs/>
          <w:sz w:val="24"/>
          <w:szCs w:val="24"/>
        </w:rPr>
      </w:pPr>
      <w:r>
        <w:rPr>
          <w:rFonts w:ascii="Times New Roman" w:hAnsi="Times New Roman" w:cs="Times New Roman"/>
          <w:b/>
          <w:bCs/>
        </w:rPr>
        <w:br w:type="page"/>
      </w:r>
    </w:p>
    <w:p w14:paraId="205CD057" w14:textId="20C01B5A" w:rsidR="00D4079D" w:rsidRPr="00C426DA" w:rsidRDefault="00D4079D" w:rsidP="00D4079D">
      <w:pPr>
        <w:pStyle w:val="Overskrift3"/>
        <w:spacing w:line="360" w:lineRule="auto"/>
        <w:rPr>
          <w:rFonts w:ascii="Times New Roman" w:hAnsi="Times New Roman" w:cs="Times New Roman"/>
          <w:b/>
          <w:bCs/>
          <w:color w:val="auto"/>
        </w:rPr>
      </w:pPr>
      <w:bookmarkStart w:id="33" w:name="_Toc113820374"/>
      <w:r w:rsidRPr="00C426DA">
        <w:rPr>
          <w:rFonts w:ascii="Times New Roman" w:hAnsi="Times New Roman" w:cs="Times New Roman"/>
          <w:b/>
          <w:bCs/>
          <w:color w:val="auto"/>
        </w:rPr>
        <w:lastRenderedPageBreak/>
        <w:t>Table K1: I</w:t>
      </w:r>
      <w:r w:rsidR="002C696F">
        <w:rPr>
          <w:rFonts w:ascii="Times New Roman" w:hAnsi="Times New Roman" w:cs="Times New Roman"/>
          <w:b/>
          <w:bCs/>
          <w:color w:val="auto"/>
        </w:rPr>
        <w:t>ntegrated values study</w:t>
      </w:r>
      <w:r w:rsidRPr="00C426DA">
        <w:rPr>
          <w:rFonts w:ascii="Times New Roman" w:hAnsi="Times New Roman" w:cs="Times New Roman"/>
          <w:b/>
          <w:bCs/>
          <w:color w:val="auto"/>
        </w:rPr>
        <w:t xml:space="preserve"> - Trust</w:t>
      </w:r>
      <w:bookmarkEnd w:id="33"/>
    </w:p>
    <w:p w14:paraId="736A8746" w14:textId="4FBE7CE0" w:rsidR="00445A52" w:rsidRPr="0056523D" w:rsidRDefault="00C41727" w:rsidP="0056523D">
      <w:pPr>
        <w:spacing w:before="0" w:after="160" w:line="360" w:lineRule="auto"/>
        <w:jc w:val="center"/>
        <w:rPr>
          <w:rFonts w:ascii="Times New Roman" w:hAnsi="Times New Roman" w:cs="Times New Roman"/>
          <w:sz w:val="24"/>
          <w:szCs w:val="24"/>
          <w:lang w:val="en-GB"/>
        </w:rPr>
      </w:pPr>
      <w:r w:rsidRPr="00C41727">
        <w:rPr>
          <w:noProof/>
        </w:rPr>
        <w:drawing>
          <wp:inline distT="0" distB="0" distL="0" distR="0" wp14:anchorId="53BB6E5F" wp14:editId="07871F36">
            <wp:extent cx="2785745" cy="8542056"/>
            <wp:effectExtent l="0" t="0" r="0" b="0"/>
            <wp:docPr id="35" name="Bille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01467" cy="8590264"/>
                    </a:xfrm>
                    <a:prstGeom prst="rect">
                      <a:avLst/>
                    </a:prstGeom>
                    <a:noFill/>
                    <a:ln>
                      <a:noFill/>
                    </a:ln>
                  </pic:spPr>
                </pic:pic>
              </a:graphicData>
            </a:graphic>
          </wp:inline>
        </w:drawing>
      </w:r>
    </w:p>
    <w:p w14:paraId="554669E0" w14:textId="40A7803F" w:rsidR="00FF7338" w:rsidRDefault="00FF7338" w:rsidP="00FF7338">
      <w:pPr>
        <w:pStyle w:val="Overskrift2"/>
        <w:spacing w:line="360" w:lineRule="auto"/>
        <w:jc w:val="both"/>
        <w:rPr>
          <w:rFonts w:ascii="Times New Roman" w:hAnsi="Times New Roman" w:cs="Times New Roman"/>
          <w:b/>
          <w:bCs/>
          <w:color w:val="auto"/>
          <w:sz w:val="28"/>
          <w:szCs w:val="28"/>
        </w:rPr>
      </w:pPr>
      <w:bookmarkStart w:id="34" w:name="_Toc113820375"/>
      <w:r w:rsidRPr="00FF51E4">
        <w:rPr>
          <w:rFonts w:ascii="Times New Roman" w:hAnsi="Times New Roman" w:cs="Times New Roman"/>
          <w:b/>
          <w:bCs/>
          <w:color w:val="auto"/>
          <w:sz w:val="28"/>
          <w:szCs w:val="28"/>
        </w:rPr>
        <w:lastRenderedPageBreak/>
        <w:t xml:space="preserve">Appendix </w:t>
      </w:r>
      <w:r>
        <w:rPr>
          <w:rFonts w:ascii="Times New Roman" w:hAnsi="Times New Roman" w:cs="Times New Roman"/>
          <w:b/>
          <w:bCs/>
          <w:color w:val="auto"/>
          <w:sz w:val="28"/>
          <w:szCs w:val="28"/>
        </w:rPr>
        <w:t>L</w:t>
      </w:r>
      <w:r w:rsidRPr="00FF51E4">
        <w:rPr>
          <w:rFonts w:ascii="Times New Roman" w:hAnsi="Times New Roman" w:cs="Times New Roman"/>
          <w:b/>
          <w:bCs/>
          <w:color w:val="auto"/>
          <w:sz w:val="28"/>
          <w:szCs w:val="28"/>
        </w:rPr>
        <w:t xml:space="preserve">. </w:t>
      </w:r>
      <w:r w:rsidR="00E81609">
        <w:rPr>
          <w:rFonts w:ascii="Times New Roman" w:hAnsi="Times New Roman" w:cs="Times New Roman"/>
          <w:b/>
          <w:bCs/>
          <w:color w:val="auto"/>
          <w:sz w:val="28"/>
          <w:szCs w:val="28"/>
        </w:rPr>
        <w:t xml:space="preserve">Addressing </w:t>
      </w:r>
      <w:r w:rsidR="000D3941">
        <w:rPr>
          <w:rFonts w:ascii="Times New Roman" w:hAnsi="Times New Roman" w:cs="Times New Roman"/>
          <w:b/>
          <w:bCs/>
          <w:color w:val="auto"/>
          <w:sz w:val="28"/>
          <w:szCs w:val="28"/>
        </w:rPr>
        <w:t>the (null-)</w:t>
      </w:r>
      <w:r w:rsidR="00E81609">
        <w:rPr>
          <w:rFonts w:ascii="Times New Roman" w:hAnsi="Times New Roman" w:cs="Times New Roman"/>
          <w:b/>
          <w:bCs/>
          <w:color w:val="auto"/>
          <w:sz w:val="28"/>
          <w:szCs w:val="28"/>
        </w:rPr>
        <w:t>findings: Sensitivity analysi</w:t>
      </w:r>
      <w:r w:rsidR="000D3941">
        <w:rPr>
          <w:rFonts w:ascii="Times New Roman" w:hAnsi="Times New Roman" w:cs="Times New Roman"/>
          <w:b/>
          <w:bCs/>
          <w:color w:val="auto"/>
          <w:sz w:val="28"/>
          <w:szCs w:val="28"/>
        </w:rPr>
        <w:t>s</w:t>
      </w:r>
      <w:r w:rsidR="003F0E68">
        <w:rPr>
          <w:rFonts w:ascii="Times New Roman" w:hAnsi="Times New Roman" w:cs="Times New Roman"/>
          <w:b/>
          <w:bCs/>
          <w:color w:val="auto"/>
          <w:sz w:val="28"/>
          <w:szCs w:val="28"/>
        </w:rPr>
        <w:t xml:space="preserve"> and Bayes factors</w:t>
      </w:r>
      <w:bookmarkEnd w:id="34"/>
    </w:p>
    <w:p w14:paraId="34520244" w14:textId="168D6A45" w:rsidR="00FF7338" w:rsidRDefault="00053595" w:rsidP="00CD46D9">
      <w:pPr>
        <w:spacing w:before="0" w:after="160" w:line="360" w:lineRule="auto"/>
        <w:jc w:val="both"/>
        <w:rPr>
          <w:rFonts w:ascii="Times New Roman" w:hAnsi="Times New Roman" w:cs="Times New Roman"/>
          <w:sz w:val="24"/>
          <w:szCs w:val="24"/>
        </w:rPr>
      </w:pPr>
      <w:r>
        <w:rPr>
          <w:rFonts w:ascii="Times New Roman" w:hAnsi="Times New Roman" w:cs="Times New Roman"/>
          <w:sz w:val="24"/>
          <w:szCs w:val="24"/>
        </w:rPr>
        <w:t>To assess the</w:t>
      </w:r>
      <w:r w:rsidR="007F4FD4">
        <w:rPr>
          <w:rFonts w:ascii="Times New Roman" w:hAnsi="Times New Roman" w:cs="Times New Roman"/>
          <w:sz w:val="24"/>
          <w:szCs w:val="24"/>
        </w:rPr>
        <w:t xml:space="preserve"> </w:t>
      </w:r>
      <w:r w:rsidR="00775709">
        <w:rPr>
          <w:rFonts w:ascii="Times New Roman" w:hAnsi="Times New Roman" w:cs="Times New Roman"/>
          <w:sz w:val="24"/>
          <w:szCs w:val="24"/>
        </w:rPr>
        <w:t>minimum</w:t>
      </w:r>
      <w:r w:rsidR="007F4FD4">
        <w:rPr>
          <w:rFonts w:ascii="Times New Roman" w:hAnsi="Times New Roman" w:cs="Times New Roman"/>
          <w:sz w:val="24"/>
          <w:szCs w:val="24"/>
        </w:rPr>
        <w:t xml:space="preserve"> effect size the study was sensitive to, </w:t>
      </w:r>
      <w:r w:rsidR="00F353B1">
        <w:rPr>
          <w:rFonts w:ascii="Times New Roman" w:hAnsi="Times New Roman" w:cs="Times New Roman"/>
          <w:sz w:val="24"/>
          <w:szCs w:val="24"/>
        </w:rPr>
        <w:t>I conduct sensitivity analysis</w:t>
      </w:r>
      <w:r w:rsidR="00DF6DA3">
        <w:rPr>
          <w:rFonts w:ascii="Times New Roman" w:hAnsi="Times New Roman" w:cs="Times New Roman"/>
          <w:sz w:val="24"/>
          <w:szCs w:val="24"/>
        </w:rPr>
        <w:t xml:space="preserve"> for both the two-way FE and RDD approach.</w:t>
      </w:r>
      <w:r w:rsidR="00F353B1">
        <w:rPr>
          <w:rFonts w:ascii="Times New Roman" w:hAnsi="Times New Roman" w:cs="Times New Roman"/>
          <w:sz w:val="24"/>
          <w:szCs w:val="24"/>
        </w:rPr>
        <w:t xml:space="preserve"> I hold the sample size</w:t>
      </w:r>
      <w:r w:rsidR="00DF6DA3">
        <w:rPr>
          <w:rFonts w:ascii="Times New Roman" w:hAnsi="Times New Roman" w:cs="Times New Roman"/>
          <w:sz w:val="24"/>
          <w:szCs w:val="24"/>
        </w:rPr>
        <w:t>, alpha level, and power fixed</w:t>
      </w:r>
      <w:r w:rsidR="00B509D8">
        <w:rPr>
          <w:rFonts w:ascii="Times New Roman" w:hAnsi="Times New Roman" w:cs="Times New Roman"/>
          <w:sz w:val="24"/>
          <w:szCs w:val="24"/>
        </w:rPr>
        <w:t xml:space="preserve"> and vary the effect size </w:t>
      </w:r>
      <w:r w:rsidR="00353A1A">
        <w:rPr>
          <w:rFonts w:ascii="Times New Roman" w:hAnsi="Times New Roman" w:cs="Times New Roman"/>
          <w:sz w:val="24"/>
          <w:szCs w:val="24"/>
        </w:rPr>
        <w:t>(</w:t>
      </w:r>
      <w:r w:rsidR="00072062">
        <w:rPr>
          <w:rFonts w:ascii="Times New Roman" w:hAnsi="Times New Roman" w:cs="Times New Roman"/>
          <w:sz w:val="24"/>
          <w:szCs w:val="24"/>
        </w:rPr>
        <w:t>Cohen’s D</w:t>
      </w:r>
      <w:r w:rsidR="00353A1A">
        <w:rPr>
          <w:rFonts w:ascii="Times New Roman" w:hAnsi="Times New Roman" w:cs="Times New Roman"/>
          <w:sz w:val="24"/>
          <w:szCs w:val="24"/>
        </w:rPr>
        <w:t>)</w:t>
      </w:r>
      <w:r w:rsidR="00072062">
        <w:rPr>
          <w:rFonts w:ascii="Times New Roman" w:hAnsi="Times New Roman" w:cs="Times New Roman"/>
          <w:sz w:val="24"/>
          <w:szCs w:val="24"/>
        </w:rPr>
        <w:t xml:space="preserve">. </w:t>
      </w:r>
      <w:r w:rsidR="00195B77">
        <w:rPr>
          <w:rFonts w:ascii="Times New Roman" w:hAnsi="Times New Roman" w:cs="Times New Roman"/>
          <w:sz w:val="24"/>
          <w:szCs w:val="24"/>
        </w:rPr>
        <w:t>L1-L</w:t>
      </w:r>
      <w:r w:rsidR="00ED2E7B">
        <w:rPr>
          <w:rFonts w:ascii="Times New Roman" w:hAnsi="Times New Roman" w:cs="Times New Roman"/>
          <w:sz w:val="24"/>
          <w:szCs w:val="24"/>
        </w:rPr>
        <w:t>2</w:t>
      </w:r>
      <w:r w:rsidR="00CD46D9" w:rsidRPr="004607E2">
        <w:rPr>
          <w:rFonts w:ascii="Times New Roman" w:hAnsi="Times New Roman" w:cs="Times New Roman"/>
          <w:sz w:val="24"/>
          <w:szCs w:val="24"/>
        </w:rPr>
        <w:t xml:space="preserve"> show that </w:t>
      </w:r>
      <w:r w:rsidR="00AD0752" w:rsidRPr="004607E2">
        <w:rPr>
          <w:rFonts w:ascii="Times New Roman" w:hAnsi="Times New Roman" w:cs="Times New Roman"/>
          <w:sz w:val="24"/>
          <w:szCs w:val="24"/>
        </w:rPr>
        <w:t>both the two-way fixed effects</w:t>
      </w:r>
      <w:r w:rsidR="00ED2E7B">
        <w:rPr>
          <w:rFonts w:ascii="Times New Roman" w:hAnsi="Times New Roman" w:cs="Times New Roman"/>
          <w:sz w:val="24"/>
          <w:szCs w:val="24"/>
        </w:rPr>
        <w:t xml:space="preserve"> model</w:t>
      </w:r>
      <w:r w:rsidR="00AD0752" w:rsidRPr="004607E2">
        <w:rPr>
          <w:rFonts w:ascii="Times New Roman" w:hAnsi="Times New Roman" w:cs="Times New Roman"/>
          <w:sz w:val="24"/>
          <w:szCs w:val="24"/>
        </w:rPr>
        <w:t xml:space="preserve"> and regression discontinuity design</w:t>
      </w:r>
      <w:r w:rsidR="00B662EA">
        <w:rPr>
          <w:rFonts w:ascii="Times New Roman" w:hAnsi="Times New Roman" w:cs="Times New Roman"/>
          <w:sz w:val="24"/>
          <w:szCs w:val="24"/>
        </w:rPr>
        <w:t>s</w:t>
      </w:r>
      <w:r w:rsidR="00040DF8">
        <w:rPr>
          <w:rFonts w:ascii="Times New Roman" w:hAnsi="Times New Roman" w:cs="Times New Roman"/>
          <w:sz w:val="24"/>
          <w:szCs w:val="24"/>
        </w:rPr>
        <w:t xml:space="preserve"> </w:t>
      </w:r>
      <w:r w:rsidR="007D65DF" w:rsidRPr="004607E2">
        <w:rPr>
          <w:rFonts w:ascii="Times New Roman" w:hAnsi="Times New Roman" w:cs="Times New Roman"/>
          <w:sz w:val="24"/>
          <w:szCs w:val="24"/>
        </w:rPr>
        <w:t xml:space="preserve">are </w:t>
      </w:r>
      <w:r w:rsidR="00885F9C" w:rsidRPr="004607E2">
        <w:rPr>
          <w:rFonts w:ascii="Times New Roman" w:hAnsi="Times New Roman" w:cs="Times New Roman"/>
          <w:sz w:val="24"/>
          <w:szCs w:val="24"/>
        </w:rPr>
        <w:t>underpowered to identify a small true effect size</w:t>
      </w:r>
      <w:r w:rsidR="00235C7F" w:rsidRPr="004607E2">
        <w:rPr>
          <w:rFonts w:ascii="Times New Roman" w:hAnsi="Times New Roman" w:cs="Times New Roman"/>
          <w:sz w:val="24"/>
          <w:szCs w:val="24"/>
        </w:rPr>
        <w:t xml:space="preserve"> (Cohen’s </w:t>
      </w:r>
      <w:r w:rsidR="002063AD">
        <w:rPr>
          <w:rFonts w:ascii="Times New Roman" w:hAnsi="Times New Roman" w:cs="Times New Roman"/>
          <w:sz w:val="24"/>
          <w:szCs w:val="24"/>
        </w:rPr>
        <w:t>D</w:t>
      </w:r>
      <w:r w:rsidR="00211FA9" w:rsidRPr="004607E2">
        <w:rPr>
          <w:rFonts w:ascii="Times New Roman" w:hAnsi="Times New Roman" w:cs="Times New Roman"/>
          <w:sz w:val="24"/>
          <w:szCs w:val="24"/>
          <w:vertAlign w:val="superscript"/>
        </w:rPr>
        <w:t xml:space="preserve"> </w:t>
      </w:r>
      <w:r w:rsidR="00456A1C">
        <w:rPr>
          <w:rFonts w:ascii="Times New Roman" w:hAnsi="Times New Roman" w:cs="Times New Roman"/>
          <w:sz w:val="24"/>
          <w:szCs w:val="24"/>
        </w:rPr>
        <w:t>=</w:t>
      </w:r>
      <w:r w:rsidR="009234E3" w:rsidRPr="004607E2">
        <w:rPr>
          <w:rFonts w:ascii="Times New Roman" w:hAnsi="Times New Roman" w:cs="Times New Roman"/>
          <w:sz w:val="24"/>
          <w:szCs w:val="24"/>
        </w:rPr>
        <w:t xml:space="preserve"> </w:t>
      </w:r>
      <w:r w:rsidR="00235C7F" w:rsidRPr="004607E2">
        <w:rPr>
          <w:rFonts w:ascii="Times New Roman" w:hAnsi="Times New Roman" w:cs="Times New Roman"/>
          <w:sz w:val="24"/>
          <w:szCs w:val="24"/>
        </w:rPr>
        <w:t>0.</w:t>
      </w:r>
      <w:r w:rsidR="009234E3" w:rsidRPr="004607E2">
        <w:rPr>
          <w:rFonts w:ascii="Times New Roman" w:hAnsi="Times New Roman" w:cs="Times New Roman"/>
          <w:sz w:val="24"/>
          <w:szCs w:val="24"/>
        </w:rPr>
        <w:t>2)</w:t>
      </w:r>
      <w:r w:rsidR="00574223" w:rsidRPr="004607E2">
        <w:rPr>
          <w:rFonts w:ascii="Times New Roman" w:hAnsi="Times New Roman" w:cs="Times New Roman"/>
          <w:sz w:val="24"/>
          <w:szCs w:val="24"/>
        </w:rPr>
        <w:t xml:space="preserve"> but has enough power to identify a medium-sized true effect (Cohen’s </w:t>
      </w:r>
      <w:r w:rsidR="008166B7">
        <w:rPr>
          <w:rFonts w:ascii="Times New Roman" w:hAnsi="Times New Roman" w:cs="Times New Roman"/>
          <w:sz w:val="24"/>
          <w:szCs w:val="24"/>
        </w:rPr>
        <w:t>D</w:t>
      </w:r>
      <w:r w:rsidR="009308AC" w:rsidRPr="004607E2">
        <w:rPr>
          <w:rFonts w:ascii="Times New Roman" w:hAnsi="Times New Roman" w:cs="Times New Roman"/>
          <w:sz w:val="24"/>
          <w:szCs w:val="24"/>
          <w:vertAlign w:val="superscript"/>
        </w:rPr>
        <w:t xml:space="preserve"> </w:t>
      </w:r>
      <w:r w:rsidR="00456A1C">
        <w:rPr>
          <w:rFonts w:ascii="Times New Roman" w:hAnsi="Times New Roman" w:cs="Times New Roman"/>
          <w:sz w:val="24"/>
          <w:szCs w:val="24"/>
        </w:rPr>
        <w:t>=</w:t>
      </w:r>
      <w:r w:rsidR="00574223" w:rsidRPr="004607E2">
        <w:rPr>
          <w:rFonts w:ascii="Times New Roman" w:hAnsi="Times New Roman" w:cs="Times New Roman"/>
          <w:sz w:val="24"/>
          <w:szCs w:val="24"/>
        </w:rPr>
        <w:t xml:space="preserve"> 0.</w:t>
      </w:r>
      <w:r w:rsidR="008166B7">
        <w:rPr>
          <w:rFonts w:ascii="Times New Roman" w:hAnsi="Times New Roman" w:cs="Times New Roman"/>
          <w:sz w:val="24"/>
          <w:szCs w:val="24"/>
        </w:rPr>
        <w:t>5</w:t>
      </w:r>
      <w:r w:rsidR="00574223" w:rsidRPr="004607E2">
        <w:rPr>
          <w:rFonts w:ascii="Times New Roman" w:hAnsi="Times New Roman" w:cs="Times New Roman"/>
          <w:sz w:val="24"/>
          <w:szCs w:val="24"/>
        </w:rPr>
        <w:t>)</w:t>
      </w:r>
      <w:r w:rsidR="000E2D23" w:rsidRPr="004607E2">
        <w:rPr>
          <w:rFonts w:ascii="Times New Roman" w:hAnsi="Times New Roman" w:cs="Times New Roman"/>
          <w:sz w:val="24"/>
          <w:szCs w:val="24"/>
        </w:rPr>
        <w:t>.</w:t>
      </w:r>
      <w:r w:rsidR="00132C86">
        <w:rPr>
          <w:rFonts w:ascii="Times New Roman" w:hAnsi="Times New Roman" w:cs="Times New Roman"/>
          <w:sz w:val="24"/>
          <w:szCs w:val="24"/>
        </w:rPr>
        <w:t xml:space="preserve"> </w:t>
      </w:r>
      <w:r w:rsidR="00B04751" w:rsidRPr="002B0E3A">
        <w:rPr>
          <w:rFonts w:ascii="Times New Roman" w:hAnsi="Times New Roman" w:cs="Times New Roman"/>
          <w:sz w:val="24"/>
          <w:szCs w:val="24"/>
        </w:rPr>
        <w:t xml:space="preserve">I note that the </w:t>
      </w:r>
      <w:r w:rsidR="00614437" w:rsidRPr="002B0E3A">
        <w:rPr>
          <w:rFonts w:ascii="Times New Roman" w:hAnsi="Times New Roman" w:cs="Times New Roman"/>
          <w:sz w:val="24"/>
          <w:szCs w:val="24"/>
        </w:rPr>
        <w:t xml:space="preserve">statistical </w:t>
      </w:r>
      <w:r w:rsidR="00B04751" w:rsidRPr="002B0E3A">
        <w:rPr>
          <w:rFonts w:ascii="Times New Roman" w:hAnsi="Times New Roman" w:cs="Times New Roman"/>
          <w:sz w:val="24"/>
          <w:szCs w:val="24"/>
        </w:rPr>
        <w:t xml:space="preserve">power is even lower </w:t>
      </w:r>
      <w:r w:rsidR="005D4D67">
        <w:rPr>
          <w:rFonts w:ascii="Times New Roman" w:hAnsi="Times New Roman" w:cs="Times New Roman"/>
          <w:sz w:val="24"/>
          <w:szCs w:val="24"/>
        </w:rPr>
        <w:t xml:space="preserve">when decreasing the bandwidth </w:t>
      </w:r>
      <w:r w:rsidR="00B04751" w:rsidRPr="002B0E3A">
        <w:rPr>
          <w:rFonts w:ascii="Times New Roman" w:hAnsi="Times New Roman" w:cs="Times New Roman"/>
          <w:sz w:val="24"/>
          <w:szCs w:val="24"/>
        </w:rPr>
        <w:t>in the non-parametric</w:t>
      </w:r>
      <w:r w:rsidR="00204BDB" w:rsidRPr="002B0E3A">
        <w:rPr>
          <w:rFonts w:ascii="Times New Roman" w:hAnsi="Times New Roman" w:cs="Times New Roman"/>
          <w:sz w:val="24"/>
          <w:szCs w:val="24"/>
        </w:rPr>
        <w:t xml:space="preserve"> regression discontinuity design</w:t>
      </w:r>
      <w:r w:rsidR="005101DA" w:rsidRPr="002B0E3A">
        <w:rPr>
          <w:rFonts w:ascii="Times New Roman" w:hAnsi="Times New Roman" w:cs="Times New Roman"/>
          <w:sz w:val="24"/>
          <w:szCs w:val="24"/>
        </w:rPr>
        <w:t xml:space="preserve"> approach and when adding </w:t>
      </w:r>
      <w:r w:rsidR="00050B9C" w:rsidRPr="002B0E3A">
        <w:rPr>
          <w:rFonts w:ascii="Times New Roman" w:hAnsi="Times New Roman" w:cs="Times New Roman"/>
          <w:sz w:val="24"/>
          <w:szCs w:val="24"/>
        </w:rPr>
        <w:t>polynomials</w:t>
      </w:r>
      <w:r w:rsidR="00D06365" w:rsidRPr="002B0E3A">
        <w:rPr>
          <w:rFonts w:ascii="Times New Roman" w:hAnsi="Times New Roman" w:cs="Times New Roman"/>
          <w:sz w:val="24"/>
          <w:szCs w:val="24"/>
        </w:rPr>
        <w:t xml:space="preserve"> </w:t>
      </w:r>
      <w:r w:rsidR="00050B9C" w:rsidRPr="002B0E3A">
        <w:rPr>
          <w:rFonts w:ascii="Times New Roman" w:hAnsi="Times New Roman" w:cs="Times New Roman"/>
          <w:sz w:val="24"/>
          <w:szCs w:val="24"/>
        </w:rPr>
        <w:t>in the parametric approach.</w:t>
      </w:r>
      <w:r w:rsidR="00CC3A06">
        <w:rPr>
          <w:rFonts w:ascii="Times New Roman" w:hAnsi="Times New Roman" w:cs="Times New Roman"/>
          <w:sz w:val="24"/>
          <w:szCs w:val="24"/>
        </w:rPr>
        <w:t xml:space="preserve"> </w:t>
      </w:r>
    </w:p>
    <w:p w14:paraId="18EB7D98" w14:textId="3AA2721D" w:rsidR="007579F2" w:rsidRDefault="007579F2" w:rsidP="00CD46D9">
      <w:pPr>
        <w:spacing w:before="0" w:after="160"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ab/>
      </w:r>
      <w:r w:rsidR="00303C5E">
        <w:rPr>
          <w:rFonts w:ascii="Times New Roman" w:hAnsi="Times New Roman" w:cs="Times New Roman"/>
          <w:sz w:val="24"/>
          <w:szCs w:val="24"/>
        </w:rPr>
        <w:t>As a supplement to the p-value, t</w:t>
      </w:r>
      <w:r w:rsidR="00B116A1">
        <w:rPr>
          <w:rFonts w:ascii="Times New Roman" w:hAnsi="Times New Roman" w:cs="Times New Roman"/>
          <w:sz w:val="24"/>
          <w:szCs w:val="24"/>
        </w:rPr>
        <w:t xml:space="preserve">able L1 </w:t>
      </w:r>
      <w:r w:rsidR="00E953BE">
        <w:rPr>
          <w:rFonts w:ascii="Times New Roman" w:hAnsi="Times New Roman" w:cs="Times New Roman"/>
          <w:sz w:val="24"/>
          <w:szCs w:val="24"/>
        </w:rPr>
        <w:t>reports Bayes factors approximated using the Bayesian information criterion</w:t>
      </w:r>
      <w:r w:rsidR="00570759">
        <w:rPr>
          <w:rFonts w:ascii="Times New Roman" w:hAnsi="Times New Roman" w:cs="Times New Roman"/>
          <w:sz w:val="24"/>
          <w:szCs w:val="24"/>
        </w:rPr>
        <w:t xml:space="preserve"> (BIC), which is </w:t>
      </w:r>
      <w:r w:rsidR="00C30749">
        <w:rPr>
          <w:rFonts w:ascii="Times New Roman" w:hAnsi="Times New Roman" w:cs="Times New Roman"/>
          <w:sz w:val="24"/>
          <w:szCs w:val="24"/>
        </w:rPr>
        <w:t>given by the formula</w:t>
      </w:r>
      <w:r w:rsidR="00734C02">
        <w:rPr>
          <w:rFonts w:ascii="Times New Roman" w:hAnsi="Times New Roman" w:cs="Times New Roman"/>
          <w:sz w:val="24"/>
          <w:szCs w:val="24"/>
        </w:rPr>
        <w:t xml:space="preserve">: </w:t>
      </w:r>
      <m:oMath>
        <m:r>
          <w:rPr>
            <w:rFonts w:ascii="Cambria Math" w:hAnsi="Cambria Math" w:cs="Times New Roman"/>
            <w:sz w:val="24"/>
            <w:szCs w:val="24"/>
          </w:rPr>
          <m:t>BIC = -2 * loglikelihood + d * log(N)</m:t>
        </m:r>
      </m:oMath>
      <w:r w:rsidR="00597258">
        <w:rPr>
          <w:rFonts w:ascii="Times New Roman" w:eastAsiaTheme="minorEastAsia" w:hAnsi="Times New Roman" w:cs="Times New Roman"/>
          <w:sz w:val="24"/>
          <w:szCs w:val="24"/>
        </w:rPr>
        <w:t xml:space="preserve">. </w:t>
      </w:r>
      <w:r w:rsidR="00ED5C65">
        <w:rPr>
          <w:rFonts w:ascii="Times New Roman" w:eastAsiaTheme="minorEastAsia" w:hAnsi="Times New Roman" w:cs="Times New Roman"/>
          <w:sz w:val="24"/>
          <w:szCs w:val="24"/>
        </w:rPr>
        <w:t>A Bayes factor above 1 indicates that a non-association is more probable, while a Bayes factor below 1 favors the alternative hypothesis.</w:t>
      </w:r>
    </w:p>
    <w:p w14:paraId="328D8E40" w14:textId="77777777" w:rsidR="00AC1220" w:rsidRDefault="00AC1220">
      <w:pPr>
        <w:spacing w:before="0" w:after="160"/>
        <w:rPr>
          <w:rFonts w:ascii="Times New Roman" w:hAnsi="Times New Roman" w:cs="Times New Roman"/>
          <w:b/>
          <w:bCs/>
          <w:sz w:val="24"/>
          <w:szCs w:val="24"/>
        </w:rPr>
      </w:pPr>
      <w:r>
        <w:rPr>
          <w:rFonts w:ascii="Times New Roman" w:hAnsi="Times New Roman" w:cs="Times New Roman"/>
          <w:b/>
          <w:bCs/>
          <w:sz w:val="24"/>
          <w:szCs w:val="24"/>
        </w:rPr>
        <w:br w:type="page"/>
      </w:r>
    </w:p>
    <w:p w14:paraId="2029143F" w14:textId="10AF5CF3" w:rsidR="007D65DF" w:rsidRDefault="007D65DF" w:rsidP="00683DB7">
      <w:pPr>
        <w:spacing w:before="0" w:after="160"/>
        <w:rPr>
          <w:rFonts w:ascii="Times New Roman" w:hAnsi="Times New Roman" w:cs="Times New Roman"/>
          <w:b/>
          <w:bCs/>
          <w:sz w:val="24"/>
          <w:szCs w:val="24"/>
        </w:rPr>
      </w:pPr>
      <w:r w:rsidRPr="007078C4">
        <w:rPr>
          <w:rFonts w:ascii="Times New Roman" w:hAnsi="Times New Roman" w:cs="Times New Roman"/>
          <w:b/>
          <w:bCs/>
          <w:sz w:val="24"/>
          <w:szCs w:val="24"/>
        </w:rPr>
        <w:lastRenderedPageBreak/>
        <w:t xml:space="preserve">Figure L1: Sensitivity analysis of </w:t>
      </w:r>
      <w:r w:rsidR="00FA28E4" w:rsidRPr="007078C4">
        <w:rPr>
          <w:rFonts w:ascii="Times New Roman" w:hAnsi="Times New Roman" w:cs="Times New Roman"/>
          <w:b/>
          <w:bCs/>
          <w:sz w:val="24"/>
          <w:szCs w:val="24"/>
        </w:rPr>
        <w:t>the two-way fixed effects models</w:t>
      </w:r>
    </w:p>
    <w:p w14:paraId="14C18F43" w14:textId="7F5CF869" w:rsidR="00C74AA5" w:rsidRPr="007078C4" w:rsidRDefault="00C74AA5" w:rsidP="00C74AA5">
      <w:pPr>
        <w:spacing w:before="0" w:after="160" w:line="360" w:lineRule="auto"/>
        <w:jc w:val="center"/>
        <w:rPr>
          <w:rFonts w:ascii="Times New Roman" w:hAnsi="Times New Roman" w:cs="Times New Roman"/>
          <w:b/>
          <w:bCs/>
          <w:sz w:val="24"/>
          <w:szCs w:val="24"/>
        </w:rPr>
      </w:pPr>
      <w:r>
        <w:rPr>
          <w:noProof/>
        </w:rPr>
        <w:drawing>
          <wp:inline distT="0" distB="0" distL="0" distR="0" wp14:anchorId="2CB2D0D4" wp14:editId="63021215">
            <wp:extent cx="4572000" cy="2739390"/>
            <wp:effectExtent l="0" t="0" r="0" b="3810"/>
            <wp:docPr id="1" name="Diagram 1">
              <a:extLst xmlns:a="http://schemas.openxmlformats.org/drawingml/2006/main">
                <a:ext uri="{FF2B5EF4-FFF2-40B4-BE49-F238E27FC236}">
                  <a16:creationId xmlns:a16="http://schemas.microsoft.com/office/drawing/2014/main" id="{A29B5A66-E6B7-2E78-5644-8972B03EF9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06A7BBD8" w14:textId="00896D4D" w:rsidR="00FA28E4" w:rsidRPr="007078C4" w:rsidRDefault="004B35E3" w:rsidP="00FA28E4">
      <w:pPr>
        <w:spacing w:before="0" w:after="160" w:line="360" w:lineRule="auto"/>
        <w:jc w:val="both"/>
        <w:rPr>
          <w:rFonts w:ascii="Times New Roman" w:hAnsi="Times New Roman" w:cs="Times New Roman"/>
          <w:b/>
          <w:bCs/>
          <w:sz w:val="24"/>
          <w:szCs w:val="24"/>
        </w:rPr>
      </w:pPr>
      <w:r>
        <w:rPr>
          <w:rFonts w:ascii="Times New Roman" w:hAnsi="Times New Roman" w:cs="Times New Roman"/>
          <w:b/>
          <w:bCs/>
          <w:sz w:val="24"/>
          <w:szCs w:val="24"/>
        </w:rPr>
        <w:t>s</w:t>
      </w:r>
      <w:r w:rsidR="00FA28E4" w:rsidRPr="007078C4">
        <w:rPr>
          <w:rFonts w:ascii="Times New Roman" w:hAnsi="Times New Roman" w:cs="Times New Roman"/>
          <w:b/>
          <w:bCs/>
          <w:sz w:val="24"/>
          <w:szCs w:val="24"/>
        </w:rPr>
        <w:t>Figure L</w:t>
      </w:r>
      <w:r w:rsidR="00195339">
        <w:rPr>
          <w:rFonts w:ascii="Times New Roman" w:hAnsi="Times New Roman" w:cs="Times New Roman"/>
          <w:b/>
          <w:bCs/>
          <w:sz w:val="24"/>
          <w:szCs w:val="24"/>
        </w:rPr>
        <w:t>2</w:t>
      </w:r>
      <w:r w:rsidR="00FA28E4" w:rsidRPr="007078C4">
        <w:rPr>
          <w:rFonts w:ascii="Times New Roman" w:hAnsi="Times New Roman" w:cs="Times New Roman"/>
          <w:b/>
          <w:bCs/>
          <w:sz w:val="24"/>
          <w:szCs w:val="24"/>
        </w:rPr>
        <w:t>: Sensitivity analysis of the regression discontinuity design</w:t>
      </w:r>
    </w:p>
    <w:p w14:paraId="18F9F261" w14:textId="50EBB367" w:rsidR="00F17B4F" w:rsidRDefault="00455826" w:rsidP="000E679B">
      <w:pPr>
        <w:spacing w:before="0" w:after="160"/>
        <w:jc w:val="center"/>
        <w:rPr>
          <w:rFonts w:ascii="Times New Roman" w:eastAsiaTheme="majorEastAsia" w:hAnsi="Times New Roman" w:cs="Times New Roman"/>
          <w:b/>
          <w:bCs/>
          <w:sz w:val="32"/>
          <w:szCs w:val="32"/>
        </w:rPr>
      </w:pPr>
      <w:r>
        <w:rPr>
          <w:noProof/>
        </w:rPr>
        <w:drawing>
          <wp:inline distT="0" distB="0" distL="0" distR="0" wp14:anchorId="2B7C54BF" wp14:editId="5BCBDC68">
            <wp:extent cx="4572000" cy="2745105"/>
            <wp:effectExtent l="0" t="0" r="0" b="17145"/>
            <wp:docPr id="2" name="Diagram 2">
              <a:extLst xmlns:a="http://schemas.openxmlformats.org/drawingml/2006/main">
                <a:ext uri="{FF2B5EF4-FFF2-40B4-BE49-F238E27FC236}">
                  <a16:creationId xmlns:a16="http://schemas.microsoft.com/office/drawing/2014/main" id="{5D0C385C-D2D2-E25E-EBC6-0E026B9101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7D4E5905" w14:textId="1283ED41" w:rsidR="00683DB7" w:rsidRPr="00AC6758" w:rsidRDefault="00AC6758" w:rsidP="00AC6758">
      <w:pPr>
        <w:spacing w:before="0" w:after="160" w:line="360" w:lineRule="auto"/>
        <w:jc w:val="both"/>
        <w:rPr>
          <w:rFonts w:ascii="Times New Roman" w:hAnsi="Times New Roman" w:cs="Times New Roman"/>
          <w:b/>
          <w:bCs/>
          <w:sz w:val="24"/>
          <w:szCs w:val="24"/>
        </w:rPr>
      </w:pPr>
      <w:r>
        <w:rPr>
          <w:rFonts w:ascii="Times New Roman" w:hAnsi="Times New Roman" w:cs="Times New Roman"/>
          <w:b/>
          <w:bCs/>
          <w:sz w:val="24"/>
          <w:szCs w:val="24"/>
        </w:rPr>
        <w:t>Table L1. Bayes factors and p-values</w:t>
      </w:r>
    </w:p>
    <w:tbl>
      <w:tblPr>
        <w:tblW w:w="9030" w:type="dxa"/>
        <w:jc w:val="center"/>
        <w:tblLook w:val="04A0" w:firstRow="1" w:lastRow="0" w:firstColumn="1" w:lastColumn="0" w:noHBand="0" w:noVBand="1"/>
      </w:tblPr>
      <w:tblGrid>
        <w:gridCol w:w="1515"/>
        <w:gridCol w:w="1375"/>
        <w:gridCol w:w="1765"/>
        <w:gridCol w:w="1629"/>
        <w:gridCol w:w="1501"/>
        <w:gridCol w:w="1457"/>
      </w:tblGrid>
      <w:tr w:rsidR="009C0941" w:rsidRPr="009C0941" w14:paraId="6284DC37" w14:textId="77777777" w:rsidTr="00CD0743">
        <w:trPr>
          <w:trHeight w:val="738"/>
          <w:jc w:val="center"/>
        </w:trPr>
        <w:tc>
          <w:tcPr>
            <w:tcW w:w="1532" w:type="dxa"/>
            <w:tcBorders>
              <w:top w:val="single" w:sz="4" w:space="0" w:color="auto"/>
              <w:left w:val="nil"/>
              <w:bottom w:val="single" w:sz="8" w:space="0" w:color="auto"/>
              <w:right w:val="nil"/>
            </w:tcBorders>
            <w:shd w:val="clear" w:color="000000" w:fill="FFFFFF"/>
            <w:noWrap/>
            <w:vAlign w:val="bottom"/>
            <w:hideMark/>
          </w:tcPr>
          <w:p w14:paraId="36CA1261" w14:textId="77777777" w:rsidR="009C0941" w:rsidRPr="009C0941" w:rsidRDefault="009C0941" w:rsidP="009C0941">
            <w:pPr>
              <w:spacing w:before="0" w:after="0" w:line="240" w:lineRule="auto"/>
              <w:rPr>
                <w:rFonts w:ascii="Times New Roman" w:eastAsia="Times New Roman" w:hAnsi="Times New Roman" w:cs="Times New Roman"/>
                <w:color w:val="000000"/>
                <w:sz w:val="24"/>
                <w:szCs w:val="24"/>
              </w:rPr>
            </w:pPr>
            <w:r w:rsidRPr="009C0941">
              <w:rPr>
                <w:rFonts w:ascii="Times New Roman" w:eastAsia="Times New Roman" w:hAnsi="Times New Roman" w:cs="Times New Roman"/>
                <w:color w:val="000000"/>
                <w:sz w:val="24"/>
                <w:szCs w:val="24"/>
              </w:rPr>
              <w:t> </w:t>
            </w:r>
          </w:p>
        </w:tc>
        <w:tc>
          <w:tcPr>
            <w:tcW w:w="1076" w:type="dxa"/>
            <w:tcBorders>
              <w:top w:val="single" w:sz="4" w:space="0" w:color="auto"/>
              <w:left w:val="nil"/>
              <w:bottom w:val="single" w:sz="8" w:space="0" w:color="auto"/>
              <w:right w:val="nil"/>
            </w:tcBorders>
            <w:shd w:val="clear" w:color="000000" w:fill="FFFFFF"/>
            <w:vAlign w:val="bottom"/>
            <w:hideMark/>
          </w:tcPr>
          <w:p w14:paraId="21D1B49A" w14:textId="39F91AC0" w:rsidR="009C0941" w:rsidRDefault="009C0941" w:rsidP="009C0941">
            <w:pPr>
              <w:spacing w:before="0" w:after="0" w:line="240" w:lineRule="auto"/>
              <w:jc w:val="center"/>
              <w:rPr>
                <w:rFonts w:ascii="Times New Roman" w:eastAsia="Times New Roman" w:hAnsi="Times New Roman" w:cs="Times New Roman"/>
                <w:color w:val="000000"/>
                <w:sz w:val="24"/>
                <w:szCs w:val="24"/>
              </w:rPr>
            </w:pPr>
            <w:r w:rsidRPr="009C0941">
              <w:rPr>
                <w:rFonts w:ascii="Times New Roman" w:eastAsia="Times New Roman" w:hAnsi="Times New Roman" w:cs="Times New Roman"/>
                <w:color w:val="000000"/>
                <w:sz w:val="24"/>
                <w:szCs w:val="24"/>
              </w:rPr>
              <w:t>H1a:</w:t>
            </w:r>
          </w:p>
          <w:p w14:paraId="012FE31E" w14:textId="7917D19F" w:rsidR="009C0941" w:rsidRPr="009C0941" w:rsidRDefault="009C0941" w:rsidP="009C0941">
            <w:pPr>
              <w:spacing w:before="0" w:after="0" w:line="240" w:lineRule="auto"/>
              <w:jc w:val="center"/>
              <w:rPr>
                <w:rFonts w:ascii="Times New Roman" w:eastAsia="Times New Roman" w:hAnsi="Times New Roman" w:cs="Times New Roman"/>
                <w:color w:val="000000"/>
                <w:sz w:val="24"/>
                <w:szCs w:val="24"/>
              </w:rPr>
            </w:pPr>
            <w:r w:rsidRPr="009C0941">
              <w:rPr>
                <w:rFonts w:ascii="Times New Roman" w:eastAsia="Times New Roman" w:hAnsi="Times New Roman" w:cs="Times New Roman"/>
                <w:color w:val="000000"/>
                <w:sz w:val="24"/>
                <w:szCs w:val="24"/>
              </w:rPr>
              <w:t>Xenophobia</w:t>
            </w:r>
          </w:p>
        </w:tc>
        <w:tc>
          <w:tcPr>
            <w:tcW w:w="1785" w:type="dxa"/>
            <w:tcBorders>
              <w:top w:val="single" w:sz="4" w:space="0" w:color="auto"/>
              <w:left w:val="nil"/>
              <w:bottom w:val="single" w:sz="8" w:space="0" w:color="auto"/>
              <w:right w:val="nil"/>
            </w:tcBorders>
            <w:shd w:val="clear" w:color="000000" w:fill="FFFFFF"/>
            <w:vAlign w:val="bottom"/>
            <w:hideMark/>
          </w:tcPr>
          <w:p w14:paraId="39E3F416" w14:textId="248409F3" w:rsidR="009C0941" w:rsidRDefault="009C0941" w:rsidP="009C0941">
            <w:pPr>
              <w:spacing w:before="0" w:after="0" w:line="240" w:lineRule="auto"/>
              <w:jc w:val="center"/>
              <w:rPr>
                <w:rFonts w:ascii="Times New Roman" w:eastAsia="Times New Roman" w:hAnsi="Times New Roman" w:cs="Times New Roman"/>
                <w:color w:val="000000"/>
                <w:sz w:val="24"/>
                <w:szCs w:val="24"/>
              </w:rPr>
            </w:pPr>
            <w:r w:rsidRPr="009C0941">
              <w:rPr>
                <w:rFonts w:ascii="Times New Roman" w:eastAsia="Times New Roman" w:hAnsi="Times New Roman" w:cs="Times New Roman"/>
                <w:color w:val="000000"/>
                <w:sz w:val="24"/>
                <w:szCs w:val="24"/>
              </w:rPr>
              <w:t>H1b:</w:t>
            </w:r>
          </w:p>
          <w:p w14:paraId="25289B24" w14:textId="75C8F821" w:rsidR="009C0941" w:rsidRPr="009C0941" w:rsidRDefault="009C0941" w:rsidP="009C0941">
            <w:pPr>
              <w:spacing w:before="0" w:after="0" w:line="240" w:lineRule="auto"/>
              <w:jc w:val="center"/>
              <w:rPr>
                <w:rFonts w:ascii="Times New Roman" w:eastAsia="Times New Roman" w:hAnsi="Times New Roman" w:cs="Times New Roman"/>
                <w:color w:val="000000"/>
                <w:sz w:val="24"/>
                <w:szCs w:val="24"/>
              </w:rPr>
            </w:pPr>
            <w:r w:rsidRPr="009C0941">
              <w:rPr>
                <w:rFonts w:ascii="Times New Roman" w:eastAsia="Times New Roman" w:hAnsi="Times New Roman" w:cs="Times New Roman"/>
                <w:color w:val="000000"/>
                <w:sz w:val="24"/>
                <w:szCs w:val="24"/>
              </w:rPr>
              <w:t>Pol. xenophobia</w:t>
            </w:r>
          </w:p>
        </w:tc>
        <w:tc>
          <w:tcPr>
            <w:tcW w:w="1647" w:type="dxa"/>
            <w:tcBorders>
              <w:top w:val="single" w:sz="4" w:space="0" w:color="auto"/>
              <w:left w:val="nil"/>
              <w:bottom w:val="single" w:sz="8" w:space="0" w:color="auto"/>
              <w:right w:val="nil"/>
            </w:tcBorders>
            <w:shd w:val="clear" w:color="000000" w:fill="FFFFFF"/>
            <w:vAlign w:val="bottom"/>
            <w:hideMark/>
          </w:tcPr>
          <w:p w14:paraId="20A1AF26" w14:textId="787E6CB7" w:rsidR="009C0941" w:rsidRDefault="009C0941" w:rsidP="009C0941">
            <w:pPr>
              <w:spacing w:before="0" w:after="0" w:line="240" w:lineRule="auto"/>
              <w:jc w:val="center"/>
              <w:rPr>
                <w:rFonts w:ascii="Times New Roman" w:eastAsia="Times New Roman" w:hAnsi="Times New Roman" w:cs="Times New Roman"/>
                <w:color w:val="000000"/>
                <w:sz w:val="24"/>
                <w:szCs w:val="24"/>
              </w:rPr>
            </w:pPr>
            <w:r w:rsidRPr="009C0941">
              <w:rPr>
                <w:rFonts w:ascii="Times New Roman" w:eastAsia="Times New Roman" w:hAnsi="Times New Roman" w:cs="Times New Roman"/>
                <w:color w:val="000000"/>
                <w:sz w:val="24"/>
                <w:szCs w:val="24"/>
              </w:rPr>
              <w:t>H2a:</w:t>
            </w:r>
          </w:p>
          <w:p w14:paraId="21D4721F" w14:textId="49AA2D89" w:rsidR="009C0941" w:rsidRPr="009C0941" w:rsidRDefault="009C0941" w:rsidP="009C0941">
            <w:pPr>
              <w:spacing w:before="0" w:after="0" w:line="240" w:lineRule="auto"/>
              <w:jc w:val="center"/>
              <w:rPr>
                <w:rFonts w:ascii="Times New Roman" w:eastAsia="Times New Roman" w:hAnsi="Times New Roman" w:cs="Times New Roman"/>
                <w:color w:val="000000"/>
                <w:sz w:val="24"/>
                <w:szCs w:val="24"/>
              </w:rPr>
            </w:pPr>
            <w:r w:rsidRPr="009C0941">
              <w:rPr>
                <w:rFonts w:ascii="Times New Roman" w:eastAsia="Times New Roman" w:hAnsi="Times New Roman" w:cs="Times New Roman"/>
                <w:color w:val="000000"/>
                <w:sz w:val="24"/>
                <w:szCs w:val="24"/>
              </w:rPr>
              <w:t>Redistribution</w:t>
            </w:r>
          </w:p>
        </w:tc>
        <w:tc>
          <w:tcPr>
            <w:tcW w:w="1517" w:type="dxa"/>
            <w:tcBorders>
              <w:top w:val="single" w:sz="4" w:space="0" w:color="auto"/>
              <w:left w:val="nil"/>
              <w:bottom w:val="single" w:sz="8" w:space="0" w:color="auto"/>
              <w:right w:val="nil"/>
            </w:tcBorders>
            <w:shd w:val="clear" w:color="000000" w:fill="FFFFFF"/>
            <w:vAlign w:val="bottom"/>
            <w:hideMark/>
          </w:tcPr>
          <w:p w14:paraId="280E5A47" w14:textId="251DA696" w:rsidR="009C0941" w:rsidRDefault="009C0941" w:rsidP="009C0941">
            <w:pPr>
              <w:spacing w:before="0" w:after="0" w:line="240" w:lineRule="auto"/>
              <w:jc w:val="center"/>
              <w:rPr>
                <w:rFonts w:ascii="Times New Roman" w:eastAsia="Times New Roman" w:hAnsi="Times New Roman" w:cs="Times New Roman"/>
                <w:color w:val="000000"/>
                <w:sz w:val="24"/>
                <w:szCs w:val="24"/>
              </w:rPr>
            </w:pPr>
            <w:r w:rsidRPr="009C0941">
              <w:rPr>
                <w:rFonts w:ascii="Times New Roman" w:eastAsia="Times New Roman" w:hAnsi="Times New Roman" w:cs="Times New Roman"/>
                <w:color w:val="000000"/>
                <w:sz w:val="24"/>
                <w:szCs w:val="24"/>
              </w:rPr>
              <w:t>H3:</w:t>
            </w:r>
          </w:p>
          <w:p w14:paraId="6E2ADD86" w14:textId="1105D6CE" w:rsidR="009C0941" w:rsidRPr="009C0941" w:rsidRDefault="009C0941" w:rsidP="009C0941">
            <w:pPr>
              <w:spacing w:before="0" w:after="0" w:line="240" w:lineRule="auto"/>
              <w:jc w:val="center"/>
              <w:rPr>
                <w:rFonts w:ascii="Times New Roman" w:eastAsia="Times New Roman" w:hAnsi="Times New Roman" w:cs="Times New Roman"/>
                <w:color w:val="000000"/>
                <w:sz w:val="24"/>
                <w:szCs w:val="24"/>
              </w:rPr>
            </w:pPr>
            <w:r w:rsidRPr="009C0941">
              <w:rPr>
                <w:rFonts w:ascii="Times New Roman" w:eastAsia="Times New Roman" w:hAnsi="Times New Roman" w:cs="Times New Roman"/>
                <w:color w:val="000000"/>
                <w:sz w:val="24"/>
                <w:szCs w:val="24"/>
              </w:rPr>
              <w:t>Institutional trust</w:t>
            </w:r>
          </w:p>
        </w:tc>
        <w:tc>
          <w:tcPr>
            <w:tcW w:w="1473" w:type="dxa"/>
            <w:tcBorders>
              <w:top w:val="single" w:sz="4" w:space="0" w:color="auto"/>
              <w:left w:val="nil"/>
              <w:bottom w:val="single" w:sz="8" w:space="0" w:color="auto"/>
              <w:right w:val="nil"/>
            </w:tcBorders>
            <w:shd w:val="clear" w:color="000000" w:fill="FFFFFF"/>
            <w:vAlign w:val="bottom"/>
            <w:hideMark/>
          </w:tcPr>
          <w:p w14:paraId="76E7E996" w14:textId="7D8C96F0" w:rsidR="009C0941" w:rsidRDefault="009C0941" w:rsidP="009C0941">
            <w:pPr>
              <w:spacing w:before="0" w:after="0" w:line="240" w:lineRule="auto"/>
              <w:jc w:val="center"/>
              <w:rPr>
                <w:rFonts w:ascii="Times New Roman" w:eastAsia="Times New Roman" w:hAnsi="Times New Roman" w:cs="Times New Roman"/>
                <w:color w:val="000000"/>
                <w:sz w:val="24"/>
                <w:szCs w:val="24"/>
              </w:rPr>
            </w:pPr>
            <w:r w:rsidRPr="009C0941">
              <w:rPr>
                <w:rFonts w:ascii="Times New Roman" w:eastAsia="Times New Roman" w:hAnsi="Times New Roman" w:cs="Times New Roman"/>
                <w:color w:val="000000"/>
                <w:sz w:val="24"/>
                <w:szCs w:val="24"/>
              </w:rPr>
              <w:t>H4:</w:t>
            </w:r>
          </w:p>
          <w:p w14:paraId="7D814018" w14:textId="050A4AE5" w:rsidR="009C0941" w:rsidRPr="009C0941" w:rsidRDefault="009C0941" w:rsidP="009C0941">
            <w:pPr>
              <w:spacing w:before="0" w:after="0" w:line="240" w:lineRule="auto"/>
              <w:jc w:val="center"/>
              <w:rPr>
                <w:rFonts w:ascii="Times New Roman" w:eastAsia="Times New Roman" w:hAnsi="Times New Roman" w:cs="Times New Roman"/>
                <w:color w:val="000000"/>
                <w:sz w:val="24"/>
                <w:szCs w:val="24"/>
              </w:rPr>
            </w:pPr>
            <w:r w:rsidRPr="009C0941">
              <w:rPr>
                <w:rFonts w:ascii="Times New Roman" w:eastAsia="Times New Roman" w:hAnsi="Times New Roman" w:cs="Times New Roman"/>
                <w:color w:val="000000"/>
                <w:sz w:val="24"/>
                <w:szCs w:val="24"/>
              </w:rPr>
              <w:t>Social trust</w:t>
            </w:r>
          </w:p>
        </w:tc>
      </w:tr>
      <w:tr w:rsidR="009C0941" w:rsidRPr="009C0941" w14:paraId="118D45B0" w14:textId="77777777" w:rsidTr="002817EB">
        <w:trPr>
          <w:trHeight w:val="361"/>
          <w:jc w:val="center"/>
        </w:trPr>
        <w:tc>
          <w:tcPr>
            <w:tcW w:w="1532" w:type="dxa"/>
            <w:tcBorders>
              <w:top w:val="nil"/>
              <w:left w:val="nil"/>
              <w:right w:val="nil"/>
            </w:tcBorders>
            <w:shd w:val="clear" w:color="000000" w:fill="FFFFFF"/>
            <w:noWrap/>
            <w:vAlign w:val="bottom"/>
            <w:hideMark/>
          </w:tcPr>
          <w:p w14:paraId="1E0121CB" w14:textId="4C3919BD" w:rsidR="00804D6B" w:rsidRPr="009C0941" w:rsidRDefault="009C0941" w:rsidP="009C0941">
            <w:pPr>
              <w:spacing w:before="0" w:after="0" w:line="240" w:lineRule="auto"/>
              <w:rPr>
                <w:rFonts w:ascii="Times New Roman" w:eastAsia="Times New Roman" w:hAnsi="Times New Roman" w:cs="Times New Roman"/>
                <w:color w:val="000000"/>
                <w:sz w:val="24"/>
                <w:szCs w:val="24"/>
              </w:rPr>
            </w:pPr>
            <w:r w:rsidRPr="009C0941">
              <w:rPr>
                <w:rFonts w:ascii="Times New Roman" w:eastAsia="Times New Roman" w:hAnsi="Times New Roman" w:cs="Times New Roman"/>
                <w:color w:val="000000"/>
                <w:sz w:val="24"/>
                <w:szCs w:val="24"/>
              </w:rPr>
              <w:t>P-value</w:t>
            </w:r>
          </w:p>
        </w:tc>
        <w:tc>
          <w:tcPr>
            <w:tcW w:w="1076" w:type="dxa"/>
            <w:tcBorders>
              <w:top w:val="nil"/>
              <w:left w:val="nil"/>
              <w:right w:val="nil"/>
            </w:tcBorders>
            <w:shd w:val="clear" w:color="000000" w:fill="FFFFFF"/>
            <w:vAlign w:val="center"/>
            <w:hideMark/>
          </w:tcPr>
          <w:p w14:paraId="2C7A2D3B" w14:textId="033505CA" w:rsidR="009C0941" w:rsidRPr="009C0941" w:rsidRDefault="009C0941" w:rsidP="009C0941">
            <w:pPr>
              <w:spacing w:before="0" w:after="0" w:line="240" w:lineRule="auto"/>
              <w:jc w:val="center"/>
              <w:rPr>
                <w:rFonts w:ascii="Times New Roman" w:eastAsia="Times New Roman" w:hAnsi="Times New Roman" w:cs="Times New Roman"/>
                <w:color w:val="000000"/>
                <w:sz w:val="24"/>
                <w:szCs w:val="24"/>
              </w:rPr>
            </w:pPr>
            <w:r w:rsidRPr="009C0941">
              <w:rPr>
                <w:rFonts w:ascii="Times New Roman" w:eastAsia="Times New Roman" w:hAnsi="Times New Roman" w:cs="Times New Roman"/>
                <w:color w:val="000000"/>
                <w:sz w:val="24"/>
                <w:szCs w:val="24"/>
              </w:rPr>
              <w:t>0.</w:t>
            </w:r>
            <w:r w:rsidR="00B62989">
              <w:rPr>
                <w:rFonts w:ascii="Times New Roman" w:eastAsia="Times New Roman" w:hAnsi="Times New Roman" w:cs="Times New Roman"/>
                <w:color w:val="000000"/>
                <w:sz w:val="24"/>
                <w:szCs w:val="24"/>
              </w:rPr>
              <w:t>8802</w:t>
            </w:r>
          </w:p>
        </w:tc>
        <w:tc>
          <w:tcPr>
            <w:tcW w:w="1785" w:type="dxa"/>
            <w:tcBorders>
              <w:top w:val="nil"/>
              <w:left w:val="nil"/>
              <w:right w:val="nil"/>
            </w:tcBorders>
            <w:shd w:val="clear" w:color="000000" w:fill="FFFFFF"/>
            <w:vAlign w:val="center"/>
            <w:hideMark/>
          </w:tcPr>
          <w:p w14:paraId="66260B05" w14:textId="041B82AD" w:rsidR="009C0941" w:rsidRPr="009C0941" w:rsidRDefault="009C0941" w:rsidP="009C0941">
            <w:pPr>
              <w:spacing w:before="0" w:after="0" w:line="240" w:lineRule="auto"/>
              <w:jc w:val="center"/>
              <w:rPr>
                <w:rFonts w:ascii="Times New Roman" w:eastAsia="Times New Roman" w:hAnsi="Times New Roman" w:cs="Times New Roman"/>
                <w:color w:val="000000"/>
                <w:sz w:val="24"/>
                <w:szCs w:val="24"/>
              </w:rPr>
            </w:pPr>
            <w:r w:rsidRPr="009C0941">
              <w:rPr>
                <w:rFonts w:ascii="Times New Roman" w:eastAsia="Times New Roman" w:hAnsi="Times New Roman" w:cs="Times New Roman"/>
                <w:color w:val="000000"/>
                <w:sz w:val="24"/>
                <w:szCs w:val="24"/>
              </w:rPr>
              <w:t>0.7</w:t>
            </w:r>
            <w:r w:rsidR="00300ED7">
              <w:rPr>
                <w:rFonts w:ascii="Times New Roman" w:eastAsia="Times New Roman" w:hAnsi="Times New Roman" w:cs="Times New Roman"/>
                <w:color w:val="000000"/>
                <w:sz w:val="24"/>
                <w:szCs w:val="24"/>
              </w:rPr>
              <w:t>327</w:t>
            </w:r>
          </w:p>
        </w:tc>
        <w:tc>
          <w:tcPr>
            <w:tcW w:w="1647" w:type="dxa"/>
            <w:tcBorders>
              <w:top w:val="nil"/>
              <w:left w:val="nil"/>
              <w:right w:val="nil"/>
            </w:tcBorders>
            <w:shd w:val="clear" w:color="000000" w:fill="FFFFFF"/>
            <w:vAlign w:val="center"/>
            <w:hideMark/>
          </w:tcPr>
          <w:p w14:paraId="5C81AFCF" w14:textId="39E16568" w:rsidR="009C0941" w:rsidRPr="009C0941" w:rsidRDefault="009C0941" w:rsidP="009C0941">
            <w:pPr>
              <w:spacing w:before="0" w:after="0" w:line="240" w:lineRule="auto"/>
              <w:jc w:val="center"/>
              <w:rPr>
                <w:rFonts w:ascii="Times New Roman" w:eastAsia="Times New Roman" w:hAnsi="Times New Roman" w:cs="Times New Roman"/>
                <w:color w:val="000000"/>
                <w:sz w:val="24"/>
                <w:szCs w:val="24"/>
              </w:rPr>
            </w:pPr>
            <w:r w:rsidRPr="009C0941">
              <w:rPr>
                <w:rFonts w:ascii="Times New Roman" w:eastAsia="Times New Roman" w:hAnsi="Times New Roman" w:cs="Times New Roman"/>
                <w:color w:val="000000"/>
                <w:sz w:val="24"/>
                <w:szCs w:val="24"/>
              </w:rPr>
              <w:t>0.01</w:t>
            </w:r>
            <w:r w:rsidR="00300ED7">
              <w:rPr>
                <w:rFonts w:ascii="Times New Roman" w:eastAsia="Times New Roman" w:hAnsi="Times New Roman" w:cs="Times New Roman"/>
                <w:color w:val="000000"/>
                <w:sz w:val="24"/>
                <w:szCs w:val="24"/>
              </w:rPr>
              <w:t>68</w:t>
            </w:r>
          </w:p>
        </w:tc>
        <w:tc>
          <w:tcPr>
            <w:tcW w:w="1517" w:type="dxa"/>
            <w:tcBorders>
              <w:top w:val="nil"/>
              <w:left w:val="nil"/>
              <w:right w:val="nil"/>
            </w:tcBorders>
            <w:shd w:val="clear" w:color="000000" w:fill="FFFFFF"/>
            <w:vAlign w:val="center"/>
            <w:hideMark/>
          </w:tcPr>
          <w:p w14:paraId="76426EBD" w14:textId="146137DE" w:rsidR="009C0941" w:rsidRPr="009C0941" w:rsidRDefault="009C0941" w:rsidP="009C0941">
            <w:pPr>
              <w:spacing w:before="0" w:after="0" w:line="240" w:lineRule="auto"/>
              <w:jc w:val="center"/>
              <w:rPr>
                <w:rFonts w:ascii="Times New Roman" w:eastAsia="Times New Roman" w:hAnsi="Times New Roman" w:cs="Times New Roman"/>
                <w:color w:val="000000"/>
                <w:sz w:val="24"/>
                <w:szCs w:val="24"/>
              </w:rPr>
            </w:pPr>
            <w:r w:rsidRPr="009C0941">
              <w:rPr>
                <w:rFonts w:ascii="Times New Roman" w:eastAsia="Times New Roman" w:hAnsi="Times New Roman" w:cs="Times New Roman"/>
                <w:color w:val="000000"/>
                <w:sz w:val="24"/>
                <w:szCs w:val="24"/>
              </w:rPr>
              <w:t>0.</w:t>
            </w:r>
            <w:r w:rsidR="005C01CF">
              <w:rPr>
                <w:rFonts w:ascii="Times New Roman" w:eastAsia="Times New Roman" w:hAnsi="Times New Roman" w:cs="Times New Roman"/>
                <w:color w:val="000000"/>
                <w:sz w:val="24"/>
                <w:szCs w:val="24"/>
              </w:rPr>
              <w:t>3872</w:t>
            </w:r>
          </w:p>
        </w:tc>
        <w:tc>
          <w:tcPr>
            <w:tcW w:w="1473" w:type="dxa"/>
            <w:tcBorders>
              <w:top w:val="nil"/>
              <w:left w:val="nil"/>
              <w:right w:val="nil"/>
            </w:tcBorders>
            <w:shd w:val="clear" w:color="000000" w:fill="FFFFFF"/>
            <w:vAlign w:val="center"/>
            <w:hideMark/>
          </w:tcPr>
          <w:p w14:paraId="6D9F40FE" w14:textId="607379C6" w:rsidR="009C0941" w:rsidRPr="009C0941" w:rsidRDefault="009C0941" w:rsidP="009C0941">
            <w:pPr>
              <w:spacing w:before="0" w:after="0" w:line="240" w:lineRule="auto"/>
              <w:jc w:val="center"/>
              <w:rPr>
                <w:rFonts w:ascii="Times New Roman" w:eastAsia="Times New Roman" w:hAnsi="Times New Roman" w:cs="Times New Roman"/>
                <w:color w:val="000000"/>
                <w:sz w:val="24"/>
                <w:szCs w:val="24"/>
              </w:rPr>
            </w:pPr>
            <w:r w:rsidRPr="009C0941">
              <w:rPr>
                <w:rFonts w:ascii="Times New Roman" w:eastAsia="Times New Roman" w:hAnsi="Times New Roman" w:cs="Times New Roman"/>
                <w:color w:val="000000"/>
                <w:sz w:val="24"/>
                <w:szCs w:val="24"/>
              </w:rPr>
              <w:t>0.8</w:t>
            </w:r>
            <w:r w:rsidR="005D483E">
              <w:rPr>
                <w:rFonts w:ascii="Times New Roman" w:eastAsia="Times New Roman" w:hAnsi="Times New Roman" w:cs="Times New Roman"/>
                <w:color w:val="000000"/>
                <w:sz w:val="24"/>
                <w:szCs w:val="24"/>
              </w:rPr>
              <w:t>301</w:t>
            </w:r>
          </w:p>
        </w:tc>
      </w:tr>
      <w:tr w:rsidR="009C0941" w:rsidRPr="009C0941" w14:paraId="7CE29760" w14:textId="77777777" w:rsidTr="002817EB">
        <w:trPr>
          <w:trHeight w:val="375"/>
          <w:jc w:val="center"/>
        </w:trPr>
        <w:tc>
          <w:tcPr>
            <w:tcW w:w="1532" w:type="dxa"/>
            <w:tcBorders>
              <w:left w:val="nil"/>
              <w:bottom w:val="double" w:sz="6" w:space="0" w:color="auto"/>
              <w:right w:val="nil"/>
            </w:tcBorders>
            <w:shd w:val="clear" w:color="000000" w:fill="FFFFFF"/>
            <w:noWrap/>
            <w:vAlign w:val="bottom"/>
            <w:hideMark/>
          </w:tcPr>
          <w:p w14:paraId="1A586E08" w14:textId="77777777" w:rsidR="00D11954" w:rsidRDefault="009C0941" w:rsidP="009C0941">
            <w:pPr>
              <w:spacing w:before="0" w:after="0" w:line="240" w:lineRule="auto"/>
              <w:rPr>
                <w:rFonts w:ascii="Times New Roman" w:eastAsia="Times New Roman" w:hAnsi="Times New Roman" w:cs="Times New Roman"/>
                <w:color w:val="000000"/>
                <w:sz w:val="24"/>
                <w:szCs w:val="24"/>
              </w:rPr>
            </w:pPr>
            <w:r w:rsidRPr="009C0941">
              <w:rPr>
                <w:rFonts w:ascii="Times New Roman" w:eastAsia="Times New Roman" w:hAnsi="Times New Roman" w:cs="Times New Roman"/>
                <w:color w:val="000000"/>
                <w:sz w:val="24"/>
                <w:szCs w:val="24"/>
              </w:rPr>
              <w:t>Bayes factor</w:t>
            </w:r>
          </w:p>
          <w:p w14:paraId="73B73CB0" w14:textId="0D7CC469" w:rsidR="009C0941" w:rsidRPr="009C0941" w:rsidRDefault="00D11954" w:rsidP="009C0941">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C0941" w:rsidRPr="009C0941">
              <w:rPr>
                <w:rFonts w:ascii="Times New Roman" w:eastAsia="Times New Roman" w:hAnsi="Times New Roman" w:cs="Times New Roman"/>
                <w:color w:val="000000"/>
                <w:sz w:val="24"/>
                <w:szCs w:val="24"/>
              </w:rPr>
              <w:t>H0 over H1</w:t>
            </w:r>
            <w:r>
              <w:rPr>
                <w:rFonts w:ascii="Times New Roman" w:eastAsia="Times New Roman" w:hAnsi="Times New Roman" w:cs="Times New Roman"/>
                <w:color w:val="000000"/>
                <w:sz w:val="24"/>
                <w:szCs w:val="24"/>
              </w:rPr>
              <w:t>)</w:t>
            </w:r>
          </w:p>
        </w:tc>
        <w:tc>
          <w:tcPr>
            <w:tcW w:w="1076" w:type="dxa"/>
            <w:tcBorders>
              <w:left w:val="nil"/>
              <w:bottom w:val="double" w:sz="6" w:space="0" w:color="auto"/>
              <w:right w:val="nil"/>
            </w:tcBorders>
            <w:shd w:val="clear" w:color="000000" w:fill="FFFFFF"/>
            <w:noWrap/>
            <w:vAlign w:val="center"/>
            <w:hideMark/>
          </w:tcPr>
          <w:p w14:paraId="57A01E47" w14:textId="7C8E4CC7" w:rsidR="009C0941" w:rsidRPr="009C0941" w:rsidRDefault="00DC3D93" w:rsidP="009C0941">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373</w:t>
            </w:r>
          </w:p>
        </w:tc>
        <w:tc>
          <w:tcPr>
            <w:tcW w:w="1785" w:type="dxa"/>
            <w:tcBorders>
              <w:left w:val="nil"/>
              <w:bottom w:val="double" w:sz="6" w:space="0" w:color="auto"/>
              <w:right w:val="nil"/>
            </w:tcBorders>
            <w:shd w:val="clear" w:color="000000" w:fill="FFFFFF"/>
            <w:noWrap/>
            <w:vAlign w:val="center"/>
            <w:hideMark/>
          </w:tcPr>
          <w:p w14:paraId="34B66AD3" w14:textId="44D296E1" w:rsidR="009C0941" w:rsidRPr="009C0941" w:rsidRDefault="00DC3D93" w:rsidP="009C0941">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207</w:t>
            </w:r>
          </w:p>
        </w:tc>
        <w:tc>
          <w:tcPr>
            <w:tcW w:w="1647" w:type="dxa"/>
            <w:tcBorders>
              <w:left w:val="nil"/>
              <w:bottom w:val="double" w:sz="6" w:space="0" w:color="auto"/>
              <w:right w:val="nil"/>
            </w:tcBorders>
            <w:shd w:val="clear" w:color="000000" w:fill="FFFFFF"/>
            <w:noWrap/>
            <w:vAlign w:val="center"/>
            <w:hideMark/>
          </w:tcPr>
          <w:p w14:paraId="552D031B" w14:textId="77777777" w:rsidR="009C0941" w:rsidRPr="009C0941" w:rsidRDefault="009C0941" w:rsidP="009C0941">
            <w:pPr>
              <w:spacing w:before="0" w:after="0" w:line="240" w:lineRule="auto"/>
              <w:jc w:val="center"/>
              <w:rPr>
                <w:rFonts w:ascii="Times New Roman" w:eastAsia="Times New Roman" w:hAnsi="Times New Roman" w:cs="Times New Roman"/>
                <w:color w:val="000000"/>
                <w:sz w:val="24"/>
                <w:szCs w:val="24"/>
              </w:rPr>
            </w:pPr>
            <w:r w:rsidRPr="009C0941">
              <w:rPr>
                <w:rFonts w:ascii="Times New Roman" w:eastAsia="Times New Roman" w:hAnsi="Times New Roman" w:cs="Times New Roman"/>
                <w:color w:val="000000"/>
                <w:sz w:val="24"/>
                <w:szCs w:val="24"/>
              </w:rPr>
              <w:t>&gt; 0.01</w:t>
            </w:r>
          </w:p>
        </w:tc>
        <w:tc>
          <w:tcPr>
            <w:tcW w:w="1517" w:type="dxa"/>
            <w:tcBorders>
              <w:left w:val="nil"/>
              <w:bottom w:val="double" w:sz="6" w:space="0" w:color="auto"/>
              <w:right w:val="nil"/>
            </w:tcBorders>
            <w:shd w:val="clear" w:color="000000" w:fill="FFFFFF"/>
            <w:noWrap/>
            <w:vAlign w:val="center"/>
            <w:hideMark/>
          </w:tcPr>
          <w:p w14:paraId="3ADD1693" w14:textId="522B43FA" w:rsidR="009C0941" w:rsidRPr="009C0941" w:rsidRDefault="00DC3D93" w:rsidP="009C0941">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c>
          <w:tcPr>
            <w:tcW w:w="1473" w:type="dxa"/>
            <w:tcBorders>
              <w:left w:val="nil"/>
              <w:bottom w:val="double" w:sz="6" w:space="0" w:color="auto"/>
              <w:right w:val="nil"/>
            </w:tcBorders>
            <w:shd w:val="clear" w:color="000000" w:fill="FFFFFF"/>
            <w:noWrap/>
            <w:vAlign w:val="center"/>
            <w:hideMark/>
          </w:tcPr>
          <w:p w14:paraId="4EB7D13B" w14:textId="6EE9B748" w:rsidR="009C0941" w:rsidRPr="009C0941" w:rsidRDefault="00AC762A" w:rsidP="009C0941">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362</w:t>
            </w:r>
          </w:p>
        </w:tc>
      </w:tr>
    </w:tbl>
    <w:p w14:paraId="1AFEAFFB" w14:textId="77777777" w:rsidR="00683DB7" w:rsidRDefault="00683DB7" w:rsidP="000E679B">
      <w:pPr>
        <w:spacing w:before="0" w:after="160"/>
        <w:jc w:val="center"/>
        <w:rPr>
          <w:rFonts w:ascii="Times New Roman" w:eastAsiaTheme="majorEastAsia" w:hAnsi="Times New Roman" w:cs="Times New Roman"/>
          <w:b/>
          <w:bCs/>
          <w:sz w:val="32"/>
          <w:szCs w:val="32"/>
        </w:rPr>
      </w:pPr>
    </w:p>
    <w:p w14:paraId="2BEEF5E1" w14:textId="70A8DB82" w:rsidR="009B2E7E" w:rsidRPr="00C32509" w:rsidRDefault="00825DC8" w:rsidP="0007287A">
      <w:pPr>
        <w:pStyle w:val="Overskrift1"/>
        <w:spacing w:line="360" w:lineRule="auto"/>
        <w:jc w:val="both"/>
        <w:rPr>
          <w:rFonts w:ascii="Times New Roman" w:hAnsi="Times New Roman" w:cs="Times New Roman"/>
          <w:b/>
          <w:bCs/>
          <w:color w:val="auto"/>
        </w:rPr>
      </w:pPr>
      <w:bookmarkStart w:id="35" w:name="_Toc113820376"/>
      <w:r w:rsidRPr="00C32509">
        <w:rPr>
          <w:rFonts w:ascii="Times New Roman" w:hAnsi="Times New Roman" w:cs="Times New Roman"/>
          <w:b/>
          <w:bCs/>
          <w:color w:val="auto"/>
        </w:rPr>
        <w:lastRenderedPageBreak/>
        <w:t>References</w:t>
      </w:r>
      <w:bookmarkEnd w:id="35"/>
    </w:p>
    <w:p w14:paraId="70B590A4" w14:textId="77777777" w:rsidR="00D6116D" w:rsidRPr="00D6116D" w:rsidRDefault="002E2943" w:rsidP="00D6116D">
      <w:pPr>
        <w:pStyle w:val="Bibliografi"/>
        <w:rPr>
          <w:rFonts w:ascii="Times New Roman" w:hAnsi="Times New Roman" w:cs="Times New Roman"/>
        </w:rPr>
      </w:pPr>
      <w:r w:rsidRPr="00C32509">
        <w:fldChar w:fldCharType="begin"/>
      </w:r>
      <w:r w:rsidRPr="00C32509">
        <w:instrText xml:space="preserve"> ADDIN ZOTERO_BIBL {"uncited":[],"omitted":[],"custom":[]} CSL_BIBLIOGRAPHY </w:instrText>
      </w:r>
      <w:r w:rsidRPr="00C32509">
        <w:fldChar w:fldCharType="separate"/>
      </w:r>
      <w:r w:rsidR="00D6116D" w:rsidRPr="00D6116D">
        <w:rPr>
          <w:rFonts w:ascii="Times New Roman" w:hAnsi="Times New Roman" w:cs="Times New Roman"/>
        </w:rPr>
        <w:t xml:space="preserve">Abou-Chadi, T., &amp; Finnigan, R. (2019). Rights for Same-Sex Couples and Public Attitudes Toward Gays and Lesbians in Europe. </w:t>
      </w:r>
      <w:r w:rsidR="00D6116D" w:rsidRPr="00D6116D">
        <w:rPr>
          <w:rFonts w:ascii="Times New Roman" w:hAnsi="Times New Roman" w:cs="Times New Roman"/>
          <w:i/>
          <w:iCs/>
        </w:rPr>
        <w:t>Comparative Political Studies</w:t>
      </w:r>
      <w:r w:rsidR="00D6116D" w:rsidRPr="00D6116D">
        <w:rPr>
          <w:rFonts w:ascii="Times New Roman" w:hAnsi="Times New Roman" w:cs="Times New Roman"/>
        </w:rPr>
        <w:t xml:space="preserve">, </w:t>
      </w:r>
      <w:r w:rsidR="00D6116D" w:rsidRPr="00D6116D">
        <w:rPr>
          <w:rFonts w:ascii="Times New Roman" w:hAnsi="Times New Roman" w:cs="Times New Roman"/>
          <w:i/>
          <w:iCs/>
        </w:rPr>
        <w:t>52</w:t>
      </w:r>
      <w:r w:rsidR="00D6116D" w:rsidRPr="00D6116D">
        <w:rPr>
          <w:rFonts w:ascii="Times New Roman" w:hAnsi="Times New Roman" w:cs="Times New Roman"/>
        </w:rPr>
        <w:t>(6), 868–895. https://doi.org/10.1177/0010414018797947</w:t>
      </w:r>
    </w:p>
    <w:p w14:paraId="007ADE51" w14:textId="77777777" w:rsidR="00D6116D" w:rsidRPr="00D6116D" w:rsidRDefault="00D6116D" w:rsidP="00D6116D">
      <w:pPr>
        <w:pStyle w:val="Bibliografi"/>
        <w:rPr>
          <w:rFonts w:ascii="Times New Roman" w:hAnsi="Times New Roman" w:cs="Times New Roman"/>
        </w:rPr>
      </w:pPr>
      <w:r w:rsidRPr="00D6116D">
        <w:rPr>
          <w:rFonts w:ascii="Times New Roman" w:hAnsi="Times New Roman" w:cs="Times New Roman"/>
        </w:rPr>
        <w:t xml:space="preserve">Abou-Chadi, T., &amp; Krause, W. (2020). The Causal Effect of Radical Right Success on Mainstream Parties’ Policy Positions: A Regression Discontinuity Approach. </w:t>
      </w:r>
      <w:r w:rsidRPr="00D6116D">
        <w:rPr>
          <w:rFonts w:ascii="Times New Roman" w:hAnsi="Times New Roman" w:cs="Times New Roman"/>
          <w:i/>
          <w:iCs/>
        </w:rPr>
        <w:t>British Journal of Political Science</w:t>
      </w:r>
      <w:r w:rsidRPr="00D6116D">
        <w:rPr>
          <w:rFonts w:ascii="Times New Roman" w:hAnsi="Times New Roman" w:cs="Times New Roman"/>
        </w:rPr>
        <w:t xml:space="preserve">, </w:t>
      </w:r>
      <w:r w:rsidRPr="00D6116D">
        <w:rPr>
          <w:rFonts w:ascii="Times New Roman" w:hAnsi="Times New Roman" w:cs="Times New Roman"/>
          <w:i/>
          <w:iCs/>
        </w:rPr>
        <w:t>50</w:t>
      </w:r>
      <w:r w:rsidRPr="00D6116D">
        <w:rPr>
          <w:rFonts w:ascii="Times New Roman" w:hAnsi="Times New Roman" w:cs="Times New Roman"/>
        </w:rPr>
        <w:t>(3), 829–847. https://doi.org/10.1017/S0007123418000029</w:t>
      </w:r>
    </w:p>
    <w:p w14:paraId="04AF6AEC" w14:textId="77777777" w:rsidR="00D6116D" w:rsidRPr="00D6116D" w:rsidRDefault="00D6116D" w:rsidP="00D6116D">
      <w:pPr>
        <w:pStyle w:val="Bibliografi"/>
        <w:rPr>
          <w:rFonts w:ascii="Times New Roman" w:hAnsi="Times New Roman" w:cs="Times New Roman"/>
        </w:rPr>
      </w:pPr>
      <w:r w:rsidRPr="00D6116D">
        <w:rPr>
          <w:rFonts w:ascii="Times New Roman" w:hAnsi="Times New Roman" w:cs="Times New Roman"/>
        </w:rPr>
        <w:t xml:space="preserve">Bischof, D., &amp; Wagner, M. (2019). Do Voters Polarize When Radical Parties Enter Parliament? </w:t>
      </w:r>
      <w:r w:rsidRPr="00D6116D">
        <w:rPr>
          <w:rFonts w:ascii="Times New Roman" w:hAnsi="Times New Roman" w:cs="Times New Roman"/>
          <w:i/>
          <w:iCs/>
        </w:rPr>
        <w:t>American Journal of Political Science</w:t>
      </w:r>
      <w:r w:rsidRPr="00D6116D">
        <w:rPr>
          <w:rFonts w:ascii="Times New Roman" w:hAnsi="Times New Roman" w:cs="Times New Roman"/>
        </w:rPr>
        <w:t xml:space="preserve">, </w:t>
      </w:r>
      <w:r w:rsidRPr="00D6116D">
        <w:rPr>
          <w:rFonts w:ascii="Times New Roman" w:hAnsi="Times New Roman" w:cs="Times New Roman"/>
          <w:i/>
          <w:iCs/>
        </w:rPr>
        <w:t>63</w:t>
      </w:r>
      <w:r w:rsidRPr="00D6116D">
        <w:rPr>
          <w:rFonts w:ascii="Times New Roman" w:hAnsi="Times New Roman" w:cs="Times New Roman"/>
        </w:rPr>
        <w:t>(4), 888–904. https://doi.org/10.1111/ajps.12449</w:t>
      </w:r>
    </w:p>
    <w:p w14:paraId="58A59AA1" w14:textId="77777777" w:rsidR="00D6116D" w:rsidRPr="00D6116D" w:rsidRDefault="00D6116D" w:rsidP="00D6116D">
      <w:pPr>
        <w:pStyle w:val="Bibliografi"/>
        <w:rPr>
          <w:rFonts w:ascii="Times New Roman" w:hAnsi="Times New Roman" w:cs="Times New Roman"/>
        </w:rPr>
      </w:pPr>
      <w:r w:rsidRPr="00D6116D">
        <w:rPr>
          <w:rFonts w:ascii="Times New Roman" w:hAnsi="Times New Roman" w:cs="Times New Roman"/>
        </w:rPr>
        <w:t xml:space="preserve">Bohman, A., &amp; Hjerm, M. (2016). In the wake of radical right electoral success: A cross-country comparative study of anti-immigration attitudes over time. </w:t>
      </w:r>
      <w:r w:rsidRPr="00D6116D">
        <w:rPr>
          <w:rFonts w:ascii="Times New Roman" w:hAnsi="Times New Roman" w:cs="Times New Roman"/>
          <w:i/>
          <w:iCs/>
        </w:rPr>
        <w:t>Journal of Ethnic and Migration Studies</w:t>
      </w:r>
      <w:r w:rsidRPr="00D6116D">
        <w:rPr>
          <w:rFonts w:ascii="Times New Roman" w:hAnsi="Times New Roman" w:cs="Times New Roman"/>
        </w:rPr>
        <w:t xml:space="preserve">, </w:t>
      </w:r>
      <w:r w:rsidRPr="00D6116D">
        <w:rPr>
          <w:rFonts w:ascii="Times New Roman" w:hAnsi="Times New Roman" w:cs="Times New Roman"/>
          <w:i/>
          <w:iCs/>
        </w:rPr>
        <w:t>42</w:t>
      </w:r>
      <w:r w:rsidRPr="00D6116D">
        <w:rPr>
          <w:rFonts w:ascii="Times New Roman" w:hAnsi="Times New Roman" w:cs="Times New Roman"/>
        </w:rPr>
        <w:t>(11), 1729–1747. https://doi.org/10.1080/1369183X.2015.1131607</w:t>
      </w:r>
    </w:p>
    <w:p w14:paraId="6429EEFB" w14:textId="77777777" w:rsidR="00D6116D" w:rsidRPr="00D6116D" w:rsidRDefault="00D6116D" w:rsidP="00D6116D">
      <w:pPr>
        <w:pStyle w:val="Bibliografi"/>
        <w:rPr>
          <w:rFonts w:ascii="Times New Roman" w:hAnsi="Times New Roman" w:cs="Times New Roman"/>
        </w:rPr>
      </w:pPr>
      <w:r w:rsidRPr="00D6116D">
        <w:rPr>
          <w:rFonts w:ascii="Times New Roman" w:hAnsi="Times New Roman" w:cs="Times New Roman"/>
        </w:rPr>
        <w:t xml:space="preserve">Castanho Silva, B. (2017). Populist radical right parties and mass polarization in the Netherlands. </w:t>
      </w:r>
      <w:r w:rsidRPr="00D6116D">
        <w:rPr>
          <w:rFonts w:ascii="Times New Roman" w:hAnsi="Times New Roman" w:cs="Times New Roman"/>
          <w:i/>
          <w:iCs/>
        </w:rPr>
        <w:t>European Political Science Review</w:t>
      </w:r>
      <w:r w:rsidRPr="00D6116D">
        <w:rPr>
          <w:rFonts w:ascii="Times New Roman" w:hAnsi="Times New Roman" w:cs="Times New Roman"/>
        </w:rPr>
        <w:t xml:space="preserve">, </w:t>
      </w:r>
      <w:r w:rsidRPr="00D6116D">
        <w:rPr>
          <w:rFonts w:ascii="Times New Roman" w:hAnsi="Times New Roman" w:cs="Times New Roman"/>
          <w:i/>
          <w:iCs/>
        </w:rPr>
        <w:t>10</w:t>
      </w:r>
      <w:r w:rsidRPr="00D6116D">
        <w:rPr>
          <w:rFonts w:ascii="Times New Roman" w:hAnsi="Times New Roman" w:cs="Times New Roman"/>
        </w:rPr>
        <w:t>, 1–26. https://doi.org/10.1017/S1755773917000066</w:t>
      </w:r>
    </w:p>
    <w:p w14:paraId="37C201A1" w14:textId="77777777" w:rsidR="00D6116D" w:rsidRPr="00D6116D" w:rsidRDefault="00D6116D" w:rsidP="00D6116D">
      <w:pPr>
        <w:pStyle w:val="Bibliografi"/>
        <w:rPr>
          <w:rFonts w:ascii="Times New Roman" w:hAnsi="Times New Roman" w:cs="Times New Roman"/>
        </w:rPr>
      </w:pPr>
      <w:r w:rsidRPr="00D6116D">
        <w:rPr>
          <w:rFonts w:ascii="Times New Roman" w:hAnsi="Times New Roman" w:cs="Times New Roman"/>
        </w:rPr>
        <w:t xml:space="preserve">de la Cuesta, B., &amp; Imai, K. (2016). Misunderstandings About the Regression Discontinuity Design in the Study of Close Elections. </w:t>
      </w:r>
      <w:r w:rsidRPr="00D6116D">
        <w:rPr>
          <w:rFonts w:ascii="Times New Roman" w:hAnsi="Times New Roman" w:cs="Times New Roman"/>
          <w:i/>
          <w:iCs/>
        </w:rPr>
        <w:t>Annual Review of Political Science</w:t>
      </w:r>
      <w:r w:rsidRPr="00D6116D">
        <w:rPr>
          <w:rFonts w:ascii="Times New Roman" w:hAnsi="Times New Roman" w:cs="Times New Roman"/>
        </w:rPr>
        <w:t xml:space="preserve">, </w:t>
      </w:r>
      <w:r w:rsidRPr="00D6116D">
        <w:rPr>
          <w:rFonts w:ascii="Times New Roman" w:hAnsi="Times New Roman" w:cs="Times New Roman"/>
          <w:i/>
          <w:iCs/>
        </w:rPr>
        <w:t>19</w:t>
      </w:r>
      <w:r w:rsidRPr="00D6116D">
        <w:rPr>
          <w:rFonts w:ascii="Times New Roman" w:hAnsi="Times New Roman" w:cs="Times New Roman"/>
        </w:rPr>
        <w:t>(1), 375–396. https://doi.org/10.1146/annurev-polisci-032015-010115</w:t>
      </w:r>
    </w:p>
    <w:p w14:paraId="28C54D4A" w14:textId="77777777" w:rsidR="00D6116D" w:rsidRPr="00D6116D" w:rsidRDefault="00D6116D" w:rsidP="00D6116D">
      <w:pPr>
        <w:pStyle w:val="Bibliografi"/>
        <w:rPr>
          <w:rFonts w:ascii="Times New Roman" w:hAnsi="Times New Roman" w:cs="Times New Roman"/>
        </w:rPr>
      </w:pPr>
      <w:r w:rsidRPr="00D6116D">
        <w:rPr>
          <w:rFonts w:ascii="Times New Roman" w:hAnsi="Times New Roman" w:cs="Times New Roman"/>
          <w:lang w:val="da-DK"/>
        </w:rPr>
        <w:t xml:space="preserve">Dinesen, P. T., &amp; Sønderskov, K. M. (2015). </w:t>
      </w:r>
      <w:r w:rsidRPr="00D6116D">
        <w:rPr>
          <w:rFonts w:ascii="Times New Roman" w:hAnsi="Times New Roman" w:cs="Times New Roman"/>
        </w:rPr>
        <w:t xml:space="preserve">Ethnic Diversity and Social Trust: Evidence from the Micro-Context. </w:t>
      </w:r>
      <w:r w:rsidRPr="00D6116D">
        <w:rPr>
          <w:rFonts w:ascii="Times New Roman" w:hAnsi="Times New Roman" w:cs="Times New Roman"/>
          <w:i/>
          <w:iCs/>
        </w:rPr>
        <w:t>American Sociological Review</w:t>
      </w:r>
      <w:r w:rsidRPr="00D6116D">
        <w:rPr>
          <w:rFonts w:ascii="Times New Roman" w:hAnsi="Times New Roman" w:cs="Times New Roman"/>
        </w:rPr>
        <w:t xml:space="preserve">, </w:t>
      </w:r>
      <w:r w:rsidRPr="00D6116D">
        <w:rPr>
          <w:rFonts w:ascii="Times New Roman" w:hAnsi="Times New Roman" w:cs="Times New Roman"/>
          <w:i/>
          <w:iCs/>
        </w:rPr>
        <w:t>80</w:t>
      </w:r>
      <w:r w:rsidRPr="00D6116D">
        <w:rPr>
          <w:rFonts w:ascii="Times New Roman" w:hAnsi="Times New Roman" w:cs="Times New Roman"/>
        </w:rPr>
        <w:t>(3), 550–573. https://doi.org/10.1177/0003122415577989</w:t>
      </w:r>
    </w:p>
    <w:p w14:paraId="3432D485" w14:textId="77777777" w:rsidR="00D6116D" w:rsidRPr="00D6116D" w:rsidRDefault="00D6116D" w:rsidP="00D6116D">
      <w:pPr>
        <w:pStyle w:val="Bibliografi"/>
        <w:rPr>
          <w:rFonts w:ascii="Times New Roman" w:hAnsi="Times New Roman" w:cs="Times New Roman"/>
        </w:rPr>
      </w:pPr>
      <w:r w:rsidRPr="00D6116D">
        <w:rPr>
          <w:rFonts w:ascii="Times New Roman" w:hAnsi="Times New Roman" w:cs="Times New Roman"/>
        </w:rPr>
        <w:t xml:space="preserve">Elff, M., Heisig, J. P., Schaeffer, M., &amp; Shikano, S. (2021). Multilevel Analysis with Few Clusters: Improving Likelihood-Based Methods to Provide Unbiased Estimates and Accurate Inference. </w:t>
      </w:r>
      <w:r w:rsidRPr="00D6116D">
        <w:rPr>
          <w:rFonts w:ascii="Times New Roman" w:hAnsi="Times New Roman" w:cs="Times New Roman"/>
          <w:i/>
          <w:iCs/>
        </w:rPr>
        <w:t>British Journal of Political Science</w:t>
      </w:r>
      <w:r w:rsidRPr="00D6116D">
        <w:rPr>
          <w:rFonts w:ascii="Times New Roman" w:hAnsi="Times New Roman" w:cs="Times New Roman"/>
        </w:rPr>
        <w:t xml:space="preserve">, </w:t>
      </w:r>
      <w:r w:rsidRPr="00D6116D">
        <w:rPr>
          <w:rFonts w:ascii="Times New Roman" w:hAnsi="Times New Roman" w:cs="Times New Roman"/>
          <w:i/>
          <w:iCs/>
        </w:rPr>
        <w:t>51</w:t>
      </w:r>
      <w:r w:rsidRPr="00D6116D">
        <w:rPr>
          <w:rFonts w:ascii="Times New Roman" w:hAnsi="Times New Roman" w:cs="Times New Roman"/>
        </w:rPr>
        <w:t>(1), 412–426. https://doi.org/10.1017/S0007123419000097</w:t>
      </w:r>
    </w:p>
    <w:p w14:paraId="1D0FB47B" w14:textId="77777777" w:rsidR="00D6116D" w:rsidRPr="00D6116D" w:rsidRDefault="00D6116D" w:rsidP="00D6116D">
      <w:pPr>
        <w:pStyle w:val="Bibliografi"/>
        <w:rPr>
          <w:rFonts w:ascii="Times New Roman" w:hAnsi="Times New Roman" w:cs="Times New Roman"/>
        </w:rPr>
      </w:pPr>
      <w:r w:rsidRPr="00D6116D">
        <w:rPr>
          <w:rFonts w:ascii="Times New Roman" w:hAnsi="Times New Roman" w:cs="Times New Roman"/>
        </w:rPr>
        <w:lastRenderedPageBreak/>
        <w:t xml:space="preserve">EVS. (2021). </w:t>
      </w:r>
      <w:r w:rsidRPr="00D6116D">
        <w:rPr>
          <w:rFonts w:ascii="Times New Roman" w:hAnsi="Times New Roman" w:cs="Times New Roman"/>
          <w:i/>
          <w:iCs/>
        </w:rPr>
        <w:t>EVS Trend File 1981-2017EVS Trend File 1981-2017</w:t>
      </w:r>
      <w:r w:rsidRPr="00D6116D">
        <w:rPr>
          <w:rFonts w:ascii="Times New Roman" w:hAnsi="Times New Roman" w:cs="Times New Roman"/>
        </w:rPr>
        <w:t xml:space="preserve"> (2.0.0) [Data set]. GESIS Data Archive. https://doi.org/10.4232/1.13736</w:t>
      </w:r>
    </w:p>
    <w:p w14:paraId="7E8B9511" w14:textId="77777777" w:rsidR="00D6116D" w:rsidRPr="00D6116D" w:rsidRDefault="00D6116D" w:rsidP="00D6116D">
      <w:pPr>
        <w:pStyle w:val="Bibliografi"/>
        <w:rPr>
          <w:rFonts w:ascii="Times New Roman" w:hAnsi="Times New Roman" w:cs="Times New Roman"/>
        </w:rPr>
      </w:pPr>
      <w:r w:rsidRPr="00D6116D">
        <w:rPr>
          <w:rFonts w:ascii="Times New Roman" w:hAnsi="Times New Roman" w:cs="Times New Roman"/>
        </w:rPr>
        <w:t xml:space="preserve">Haerpfer, C., Inglehart, R., Moreno, A., Welzel, C., Kizilova, K., Diez-Medrano, J., Lagos, M., Norris, P., Ponarin, E., &amp; Puranen, B. (2021). </w:t>
      </w:r>
      <w:r w:rsidRPr="00D6116D">
        <w:rPr>
          <w:rFonts w:ascii="Times New Roman" w:hAnsi="Times New Roman" w:cs="Times New Roman"/>
          <w:i/>
          <w:iCs/>
        </w:rPr>
        <w:t>World Values Survey Time-Series (1981-2020) Cross-National Data-Set</w:t>
      </w:r>
      <w:r w:rsidRPr="00D6116D">
        <w:rPr>
          <w:rFonts w:ascii="Times New Roman" w:hAnsi="Times New Roman" w:cs="Times New Roman"/>
        </w:rPr>
        <w:t xml:space="preserve"> (2.0) [Data set]. World Values Survey Association. https://doi.org/10.14281/18241.15</w:t>
      </w:r>
    </w:p>
    <w:p w14:paraId="4BE2AAD5" w14:textId="77777777" w:rsidR="00D6116D" w:rsidRPr="00D6116D" w:rsidRDefault="00D6116D" w:rsidP="00D6116D">
      <w:pPr>
        <w:pStyle w:val="Bibliografi"/>
        <w:rPr>
          <w:rFonts w:ascii="Times New Roman" w:hAnsi="Times New Roman" w:cs="Times New Roman"/>
        </w:rPr>
      </w:pPr>
      <w:r w:rsidRPr="00D6116D">
        <w:rPr>
          <w:rFonts w:ascii="Times New Roman" w:hAnsi="Times New Roman" w:cs="Times New Roman"/>
        </w:rPr>
        <w:t xml:space="preserve">Jæger, M. M. (2006). What Makes People Support Public Responsibility for Welfare Provision: Self-interest or Political Ideology?: A Longitudinal Approach. </w:t>
      </w:r>
      <w:r w:rsidRPr="00D6116D">
        <w:rPr>
          <w:rFonts w:ascii="Times New Roman" w:hAnsi="Times New Roman" w:cs="Times New Roman"/>
          <w:i/>
          <w:iCs/>
        </w:rPr>
        <w:t>Acta Sociologica</w:t>
      </w:r>
      <w:r w:rsidRPr="00D6116D">
        <w:rPr>
          <w:rFonts w:ascii="Times New Roman" w:hAnsi="Times New Roman" w:cs="Times New Roman"/>
        </w:rPr>
        <w:t xml:space="preserve">, </w:t>
      </w:r>
      <w:r w:rsidRPr="00D6116D">
        <w:rPr>
          <w:rFonts w:ascii="Times New Roman" w:hAnsi="Times New Roman" w:cs="Times New Roman"/>
          <w:i/>
          <w:iCs/>
        </w:rPr>
        <w:t>49</w:t>
      </w:r>
      <w:r w:rsidRPr="00D6116D">
        <w:rPr>
          <w:rFonts w:ascii="Times New Roman" w:hAnsi="Times New Roman" w:cs="Times New Roman"/>
        </w:rPr>
        <w:t>(3), 321–338. https://doi.org/10.1177/0001699306067718</w:t>
      </w:r>
    </w:p>
    <w:p w14:paraId="51C07862" w14:textId="77777777" w:rsidR="00D6116D" w:rsidRPr="00D6116D" w:rsidRDefault="00D6116D" w:rsidP="00D6116D">
      <w:pPr>
        <w:pStyle w:val="Bibliografi"/>
        <w:rPr>
          <w:rFonts w:ascii="Times New Roman" w:hAnsi="Times New Roman" w:cs="Times New Roman"/>
        </w:rPr>
      </w:pPr>
      <w:r w:rsidRPr="00D6116D">
        <w:rPr>
          <w:rFonts w:ascii="Times New Roman" w:hAnsi="Times New Roman" w:cs="Times New Roman"/>
        </w:rPr>
        <w:t xml:space="preserve">Ludwig, V., &amp; Brüderl, J. (2021). What You Need to Know When Estimating Impact Functions with Panel Data for Demographic Research. </w:t>
      </w:r>
      <w:r w:rsidRPr="00D6116D">
        <w:rPr>
          <w:rFonts w:ascii="Times New Roman" w:hAnsi="Times New Roman" w:cs="Times New Roman"/>
          <w:i/>
          <w:iCs/>
        </w:rPr>
        <w:t>Comparative Population Studies</w:t>
      </w:r>
      <w:r w:rsidRPr="00D6116D">
        <w:rPr>
          <w:rFonts w:ascii="Times New Roman" w:hAnsi="Times New Roman" w:cs="Times New Roman"/>
        </w:rPr>
        <w:t xml:space="preserve">, </w:t>
      </w:r>
      <w:r w:rsidRPr="00D6116D">
        <w:rPr>
          <w:rFonts w:ascii="Times New Roman" w:hAnsi="Times New Roman" w:cs="Times New Roman"/>
          <w:i/>
          <w:iCs/>
        </w:rPr>
        <w:t>46</w:t>
      </w:r>
      <w:r w:rsidRPr="00D6116D">
        <w:rPr>
          <w:rFonts w:ascii="Times New Roman" w:hAnsi="Times New Roman" w:cs="Times New Roman"/>
        </w:rPr>
        <w:t>. https://doi.org/10.12765/CPoS-2021-16</w:t>
      </w:r>
    </w:p>
    <w:p w14:paraId="5FD71A9F" w14:textId="77777777" w:rsidR="00D6116D" w:rsidRPr="00D6116D" w:rsidRDefault="00D6116D" w:rsidP="00D6116D">
      <w:pPr>
        <w:pStyle w:val="Bibliografi"/>
        <w:rPr>
          <w:rFonts w:ascii="Times New Roman" w:hAnsi="Times New Roman" w:cs="Times New Roman"/>
        </w:rPr>
      </w:pPr>
      <w:r w:rsidRPr="00D6116D">
        <w:rPr>
          <w:rFonts w:ascii="Times New Roman" w:hAnsi="Times New Roman" w:cs="Times New Roman"/>
        </w:rPr>
        <w:t xml:space="preserve">Mewes, J., &amp; Mau, S. (2013). Globalization, socio-economic status and welfare chauvinism: European perspectives on attitudes toward the exclusion of immigrants. </w:t>
      </w:r>
      <w:r w:rsidRPr="00D6116D">
        <w:rPr>
          <w:rFonts w:ascii="Times New Roman" w:hAnsi="Times New Roman" w:cs="Times New Roman"/>
          <w:i/>
          <w:iCs/>
        </w:rPr>
        <w:t>International Journal of Comparative Sociology</w:t>
      </w:r>
      <w:r w:rsidRPr="00D6116D">
        <w:rPr>
          <w:rFonts w:ascii="Times New Roman" w:hAnsi="Times New Roman" w:cs="Times New Roman"/>
        </w:rPr>
        <w:t xml:space="preserve">, </w:t>
      </w:r>
      <w:r w:rsidRPr="00D6116D">
        <w:rPr>
          <w:rFonts w:ascii="Times New Roman" w:hAnsi="Times New Roman" w:cs="Times New Roman"/>
          <w:i/>
          <w:iCs/>
        </w:rPr>
        <w:t>54</w:t>
      </w:r>
      <w:r w:rsidRPr="00D6116D">
        <w:rPr>
          <w:rFonts w:ascii="Times New Roman" w:hAnsi="Times New Roman" w:cs="Times New Roman"/>
        </w:rPr>
        <w:t>(3), 228–245. https://doi.org/10.1177/0020715213494395</w:t>
      </w:r>
    </w:p>
    <w:p w14:paraId="5A25297D" w14:textId="77777777" w:rsidR="00D6116D" w:rsidRPr="00D6116D" w:rsidRDefault="00D6116D" w:rsidP="00D6116D">
      <w:pPr>
        <w:pStyle w:val="Bibliografi"/>
        <w:rPr>
          <w:rFonts w:ascii="Times New Roman" w:hAnsi="Times New Roman" w:cs="Times New Roman"/>
        </w:rPr>
      </w:pPr>
      <w:r w:rsidRPr="00D6116D">
        <w:rPr>
          <w:rFonts w:ascii="Times New Roman" w:hAnsi="Times New Roman" w:cs="Times New Roman"/>
        </w:rPr>
        <w:t xml:space="preserve">Mudde, C. (2007). </w:t>
      </w:r>
      <w:r w:rsidRPr="00D6116D">
        <w:rPr>
          <w:rFonts w:ascii="Times New Roman" w:hAnsi="Times New Roman" w:cs="Times New Roman"/>
          <w:i/>
          <w:iCs/>
        </w:rPr>
        <w:t>Populist Radical Right Parties in Europe</w:t>
      </w:r>
      <w:r w:rsidRPr="00D6116D">
        <w:rPr>
          <w:rFonts w:ascii="Times New Roman" w:hAnsi="Times New Roman" w:cs="Times New Roman"/>
        </w:rPr>
        <w:t>. Cambridge University Press. https://doi.org/10.1017/CBO9780511492037</w:t>
      </w:r>
    </w:p>
    <w:p w14:paraId="5EB5978B" w14:textId="77777777" w:rsidR="00D6116D" w:rsidRPr="00D6116D" w:rsidRDefault="00D6116D" w:rsidP="00D6116D">
      <w:pPr>
        <w:pStyle w:val="Bibliografi"/>
        <w:rPr>
          <w:rFonts w:ascii="Times New Roman" w:hAnsi="Times New Roman" w:cs="Times New Roman"/>
        </w:rPr>
      </w:pPr>
      <w:r w:rsidRPr="00D6116D">
        <w:rPr>
          <w:rFonts w:ascii="Times New Roman" w:hAnsi="Times New Roman" w:cs="Times New Roman"/>
        </w:rPr>
        <w:t xml:space="preserve">Reeskens, T., &amp; Hooghe, M. (2008). Cross-cultural measurement equivalence of generalized trust. Evidence from the European Social Survey (2002 and 2004). </w:t>
      </w:r>
      <w:r w:rsidRPr="00D6116D">
        <w:rPr>
          <w:rFonts w:ascii="Times New Roman" w:hAnsi="Times New Roman" w:cs="Times New Roman"/>
          <w:i/>
          <w:iCs/>
        </w:rPr>
        <w:t>Social Indicators Research</w:t>
      </w:r>
      <w:r w:rsidRPr="00D6116D">
        <w:rPr>
          <w:rFonts w:ascii="Times New Roman" w:hAnsi="Times New Roman" w:cs="Times New Roman"/>
        </w:rPr>
        <w:t xml:space="preserve">, </w:t>
      </w:r>
      <w:r w:rsidRPr="00D6116D">
        <w:rPr>
          <w:rFonts w:ascii="Times New Roman" w:hAnsi="Times New Roman" w:cs="Times New Roman"/>
          <w:i/>
          <w:iCs/>
        </w:rPr>
        <w:t>85</w:t>
      </w:r>
      <w:r w:rsidRPr="00D6116D">
        <w:rPr>
          <w:rFonts w:ascii="Times New Roman" w:hAnsi="Times New Roman" w:cs="Times New Roman"/>
        </w:rPr>
        <w:t>, 515–532. https://doi.org/10.1007/s11205-007-9100-z</w:t>
      </w:r>
    </w:p>
    <w:p w14:paraId="7783A85A" w14:textId="77777777" w:rsidR="00D6116D" w:rsidRPr="00D6116D" w:rsidRDefault="00D6116D" w:rsidP="00D6116D">
      <w:pPr>
        <w:pStyle w:val="Bibliografi"/>
        <w:rPr>
          <w:rFonts w:ascii="Times New Roman" w:hAnsi="Times New Roman" w:cs="Times New Roman"/>
        </w:rPr>
      </w:pPr>
      <w:r w:rsidRPr="00D6116D">
        <w:rPr>
          <w:rFonts w:ascii="Times New Roman" w:hAnsi="Times New Roman" w:cs="Times New Roman"/>
          <w:lang w:val="da-DK"/>
        </w:rPr>
        <w:t xml:space="preserve">Reeskens, T., &amp; van Oorschot, W. (2012). </w:t>
      </w:r>
      <w:r w:rsidRPr="00D6116D">
        <w:rPr>
          <w:rFonts w:ascii="Times New Roman" w:hAnsi="Times New Roman" w:cs="Times New Roman"/>
        </w:rPr>
        <w:t xml:space="preserve">Disentangling the ‘New Liberal Dilemma’: On the relation between general welfare redistribution preferences and welfare chauvinism. </w:t>
      </w:r>
      <w:r w:rsidRPr="00D6116D">
        <w:rPr>
          <w:rFonts w:ascii="Times New Roman" w:hAnsi="Times New Roman" w:cs="Times New Roman"/>
          <w:i/>
          <w:iCs/>
        </w:rPr>
        <w:t>International Journal of Comparative Sociology</w:t>
      </w:r>
      <w:r w:rsidRPr="00D6116D">
        <w:rPr>
          <w:rFonts w:ascii="Times New Roman" w:hAnsi="Times New Roman" w:cs="Times New Roman"/>
        </w:rPr>
        <w:t xml:space="preserve">, </w:t>
      </w:r>
      <w:r w:rsidRPr="00D6116D">
        <w:rPr>
          <w:rFonts w:ascii="Times New Roman" w:hAnsi="Times New Roman" w:cs="Times New Roman"/>
          <w:i/>
          <w:iCs/>
        </w:rPr>
        <w:t>53</w:t>
      </w:r>
      <w:r w:rsidRPr="00D6116D">
        <w:rPr>
          <w:rFonts w:ascii="Times New Roman" w:hAnsi="Times New Roman" w:cs="Times New Roman"/>
        </w:rPr>
        <w:t>(2), 120–139. https://doi.org/10.1177/0020715212451987</w:t>
      </w:r>
    </w:p>
    <w:p w14:paraId="10DE8460" w14:textId="77777777" w:rsidR="00D6116D" w:rsidRPr="00D6116D" w:rsidRDefault="00D6116D" w:rsidP="00D6116D">
      <w:pPr>
        <w:pStyle w:val="Bibliografi"/>
        <w:rPr>
          <w:rFonts w:ascii="Times New Roman" w:hAnsi="Times New Roman" w:cs="Times New Roman"/>
        </w:rPr>
      </w:pPr>
      <w:r w:rsidRPr="00D6116D">
        <w:rPr>
          <w:rFonts w:ascii="Times New Roman" w:hAnsi="Times New Roman" w:cs="Times New Roman"/>
        </w:rPr>
        <w:lastRenderedPageBreak/>
        <w:t xml:space="preserve">Rooduijn, M., van Kessel, S., Froio, C., Pirro, A., De Lange, S., Halikiopoulou, D., Lewis, P., Mudde, C., &amp; Taggart, P. (2019). </w:t>
      </w:r>
      <w:r w:rsidRPr="00D6116D">
        <w:rPr>
          <w:rFonts w:ascii="Times New Roman" w:hAnsi="Times New Roman" w:cs="Times New Roman"/>
          <w:i/>
          <w:iCs/>
        </w:rPr>
        <w:t>The PopuList: An Overview of Populist, Far Right, Far Left and Eurosceptic Parties in Europe.</w:t>
      </w:r>
      <w:r w:rsidRPr="00D6116D">
        <w:rPr>
          <w:rFonts w:ascii="Times New Roman" w:hAnsi="Times New Roman" w:cs="Times New Roman"/>
        </w:rPr>
        <w:t xml:space="preserve"> https://popu-list.org/</w:t>
      </w:r>
    </w:p>
    <w:p w14:paraId="43891E22" w14:textId="77777777" w:rsidR="00D6116D" w:rsidRPr="00D6116D" w:rsidRDefault="00D6116D" w:rsidP="00D6116D">
      <w:pPr>
        <w:pStyle w:val="Bibliografi"/>
        <w:rPr>
          <w:rFonts w:ascii="Times New Roman" w:hAnsi="Times New Roman" w:cs="Times New Roman"/>
        </w:rPr>
      </w:pPr>
      <w:r w:rsidRPr="00D6116D">
        <w:rPr>
          <w:rFonts w:ascii="Times New Roman" w:hAnsi="Times New Roman" w:cs="Times New Roman"/>
        </w:rPr>
        <w:t xml:space="preserve">Taagepera, R. (1998). </w:t>
      </w:r>
      <w:r w:rsidRPr="00D6116D">
        <w:rPr>
          <w:rFonts w:ascii="Times New Roman" w:hAnsi="Times New Roman" w:cs="Times New Roman"/>
          <w:i/>
          <w:iCs/>
        </w:rPr>
        <w:t>Effective Magnitude and Effective Threshold</w:t>
      </w:r>
      <w:r w:rsidRPr="00D6116D">
        <w:rPr>
          <w:rFonts w:ascii="Times New Roman" w:hAnsi="Times New Roman" w:cs="Times New Roman"/>
        </w:rPr>
        <w:t xml:space="preserve">. </w:t>
      </w:r>
      <w:r w:rsidRPr="00D6116D">
        <w:rPr>
          <w:rFonts w:ascii="Times New Roman" w:hAnsi="Times New Roman" w:cs="Times New Roman"/>
          <w:i/>
          <w:iCs/>
        </w:rPr>
        <w:t>Vol. 17</w:t>
      </w:r>
      <w:r w:rsidRPr="00D6116D">
        <w:rPr>
          <w:rFonts w:ascii="Times New Roman" w:hAnsi="Times New Roman" w:cs="Times New Roman"/>
        </w:rPr>
        <w:t>(4), 12.</w:t>
      </w:r>
    </w:p>
    <w:p w14:paraId="7E55CE39" w14:textId="77777777" w:rsidR="00D6116D" w:rsidRPr="00D6116D" w:rsidRDefault="00D6116D" w:rsidP="00D6116D">
      <w:pPr>
        <w:pStyle w:val="Bibliografi"/>
        <w:rPr>
          <w:rFonts w:ascii="Times New Roman" w:hAnsi="Times New Roman" w:cs="Times New Roman"/>
        </w:rPr>
      </w:pPr>
      <w:r w:rsidRPr="00D6116D">
        <w:rPr>
          <w:rFonts w:ascii="Times New Roman" w:hAnsi="Times New Roman" w:cs="Times New Roman"/>
        </w:rPr>
        <w:t xml:space="preserve">Taagepera, R. (2002). Nationwide threshold of representation. </w:t>
      </w:r>
      <w:r w:rsidRPr="00D6116D">
        <w:rPr>
          <w:rFonts w:ascii="Times New Roman" w:hAnsi="Times New Roman" w:cs="Times New Roman"/>
          <w:i/>
          <w:iCs/>
        </w:rPr>
        <w:t>Electoral Studies</w:t>
      </w:r>
      <w:r w:rsidRPr="00D6116D">
        <w:rPr>
          <w:rFonts w:ascii="Times New Roman" w:hAnsi="Times New Roman" w:cs="Times New Roman"/>
        </w:rPr>
        <w:t xml:space="preserve">, </w:t>
      </w:r>
      <w:r w:rsidRPr="00D6116D">
        <w:rPr>
          <w:rFonts w:ascii="Times New Roman" w:hAnsi="Times New Roman" w:cs="Times New Roman"/>
          <w:i/>
          <w:iCs/>
        </w:rPr>
        <w:t>21</w:t>
      </w:r>
      <w:r w:rsidRPr="00D6116D">
        <w:rPr>
          <w:rFonts w:ascii="Times New Roman" w:hAnsi="Times New Roman" w:cs="Times New Roman"/>
        </w:rPr>
        <w:t>(3), 383–401. https://doi.org/10.1016/S0261-3794(00)00045-7</w:t>
      </w:r>
    </w:p>
    <w:p w14:paraId="3CD552AC" w14:textId="77777777" w:rsidR="00D6116D" w:rsidRPr="00D6116D" w:rsidRDefault="00D6116D" w:rsidP="00D6116D">
      <w:pPr>
        <w:pStyle w:val="Bibliografi"/>
        <w:rPr>
          <w:rFonts w:ascii="Times New Roman" w:hAnsi="Times New Roman" w:cs="Times New Roman"/>
        </w:rPr>
      </w:pPr>
      <w:r w:rsidRPr="00D6116D">
        <w:rPr>
          <w:rFonts w:ascii="Times New Roman" w:hAnsi="Times New Roman" w:cs="Times New Roman"/>
        </w:rPr>
        <w:t xml:space="preserve">Van Der Eijk, C. (2001). Measuring Agreement in Ordered Rating Scales. </w:t>
      </w:r>
      <w:r w:rsidRPr="00D6116D">
        <w:rPr>
          <w:rFonts w:ascii="Times New Roman" w:hAnsi="Times New Roman" w:cs="Times New Roman"/>
          <w:i/>
          <w:iCs/>
        </w:rPr>
        <w:t>Quality &amp; Quantity: International Journal of Methodology</w:t>
      </w:r>
      <w:r w:rsidRPr="00D6116D">
        <w:rPr>
          <w:rFonts w:ascii="Times New Roman" w:hAnsi="Times New Roman" w:cs="Times New Roman"/>
        </w:rPr>
        <w:t xml:space="preserve">, </w:t>
      </w:r>
      <w:r w:rsidRPr="00D6116D">
        <w:rPr>
          <w:rFonts w:ascii="Times New Roman" w:hAnsi="Times New Roman" w:cs="Times New Roman"/>
          <w:i/>
          <w:iCs/>
        </w:rPr>
        <w:t>35</w:t>
      </w:r>
      <w:r w:rsidRPr="00D6116D">
        <w:rPr>
          <w:rFonts w:ascii="Times New Roman" w:hAnsi="Times New Roman" w:cs="Times New Roman"/>
        </w:rPr>
        <w:t>(3), 325–341.</w:t>
      </w:r>
    </w:p>
    <w:p w14:paraId="5ED174F6" w14:textId="77777777" w:rsidR="00D6116D" w:rsidRPr="00D6116D" w:rsidRDefault="00D6116D" w:rsidP="00D6116D">
      <w:pPr>
        <w:pStyle w:val="Bibliografi"/>
        <w:rPr>
          <w:rFonts w:ascii="Times New Roman" w:hAnsi="Times New Roman" w:cs="Times New Roman"/>
        </w:rPr>
      </w:pPr>
      <w:r w:rsidRPr="00D6116D">
        <w:rPr>
          <w:rFonts w:ascii="Times New Roman" w:hAnsi="Times New Roman" w:cs="Times New Roman"/>
        </w:rPr>
        <w:t xml:space="preserve">Van Der Waal, J., De Koster, W., &amp; Van Oorschot, W. (2013). Three Worlds of Welfare Chauvinism? How Welfare Regimes Affect Support for Distributing Welfare to Immigrants in Europe. </w:t>
      </w:r>
      <w:r w:rsidRPr="00D6116D">
        <w:rPr>
          <w:rFonts w:ascii="Times New Roman" w:hAnsi="Times New Roman" w:cs="Times New Roman"/>
          <w:i/>
          <w:iCs/>
        </w:rPr>
        <w:t>Journal of Comparative Policy Analysis: Research and Practice</w:t>
      </w:r>
      <w:r w:rsidRPr="00D6116D">
        <w:rPr>
          <w:rFonts w:ascii="Times New Roman" w:hAnsi="Times New Roman" w:cs="Times New Roman"/>
        </w:rPr>
        <w:t xml:space="preserve">, </w:t>
      </w:r>
      <w:r w:rsidRPr="00D6116D">
        <w:rPr>
          <w:rFonts w:ascii="Times New Roman" w:hAnsi="Times New Roman" w:cs="Times New Roman"/>
          <w:i/>
          <w:iCs/>
        </w:rPr>
        <w:t>15</w:t>
      </w:r>
      <w:r w:rsidRPr="00D6116D">
        <w:rPr>
          <w:rFonts w:ascii="Times New Roman" w:hAnsi="Times New Roman" w:cs="Times New Roman"/>
        </w:rPr>
        <w:t>(2), 164–181. https://doi.org/10.1080/13876988.2013.785147</w:t>
      </w:r>
    </w:p>
    <w:p w14:paraId="2480F176" w14:textId="77777777" w:rsidR="00D6116D" w:rsidRPr="00D6116D" w:rsidRDefault="00D6116D" w:rsidP="00D6116D">
      <w:pPr>
        <w:pStyle w:val="Bibliografi"/>
        <w:rPr>
          <w:rFonts w:ascii="Times New Roman" w:hAnsi="Times New Roman" w:cs="Times New Roman"/>
        </w:rPr>
      </w:pPr>
      <w:r w:rsidRPr="00D6116D">
        <w:rPr>
          <w:rFonts w:ascii="Times New Roman" w:hAnsi="Times New Roman" w:cs="Times New Roman"/>
        </w:rPr>
        <w:t xml:space="preserve">Wickham, H., &amp; Grolemund, G. (2016a). Chapter 8 Workflow: Projects. In </w:t>
      </w:r>
      <w:r w:rsidRPr="00D6116D">
        <w:rPr>
          <w:rFonts w:ascii="Times New Roman" w:hAnsi="Times New Roman" w:cs="Times New Roman"/>
          <w:i/>
          <w:iCs/>
        </w:rPr>
        <w:t>R for data science: Import, tidy, transform, visualize, and model data</w:t>
      </w:r>
      <w:r w:rsidRPr="00D6116D">
        <w:rPr>
          <w:rFonts w:ascii="Times New Roman" w:hAnsi="Times New Roman" w:cs="Times New Roman"/>
        </w:rPr>
        <w:t xml:space="preserve"> (First edition). O’Reilly. https://r4ds.had.co.nz/workflow-projects.html</w:t>
      </w:r>
    </w:p>
    <w:p w14:paraId="01BC0B85" w14:textId="77777777" w:rsidR="00D6116D" w:rsidRPr="00D6116D" w:rsidRDefault="00D6116D" w:rsidP="00D6116D">
      <w:pPr>
        <w:pStyle w:val="Bibliografi"/>
        <w:rPr>
          <w:rFonts w:ascii="Times New Roman" w:hAnsi="Times New Roman" w:cs="Times New Roman"/>
        </w:rPr>
      </w:pPr>
      <w:r w:rsidRPr="00D6116D">
        <w:rPr>
          <w:rFonts w:ascii="Times New Roman" w:hAnsi="Times New Roman" w:cs="Times New Roman"/>
        </w:rPr>
        <w:t xml:space="preserve">Wickham, H., &amp; Grolemund, G. (2016b). Chapter 27: Rmarkdown. In </w:t>
      </w:r>
      <w:r w:rsidRPr="00D6116D">
        <w:rPr>
          <w:rFonts w:ascii="Times New Roman" w:hAnsi="Times New Roman" w:cs="Times New Roman"/>
          <w:i/>
          <w:iCs/>
        </w:rPr>
        <w:t>R for data science: Import, tidy, transform, visualize, and model data</w:t>
      </w:r>
      <w:r w:rsidRPr="00D6116D">
        <w:rPr>
          <w:rFonts w:ascii="Times New Roman" w:hAnsi="Times New Roman" w:cs="Times New Roman"/>
        </w:rPr>
        <w:t xml:space="preserve"> (First edition). O’Reilly. https://r4ds.had.co.nz/r-markdown.html</w:t>
      </w:r>
    </w:p>
    <w:p w14:paraId="2612A404" w14:textId="77777777" w:rsidR="00D6116D" w:rsidRPr="00D6116D" w:rsidRDefault="00D6116D" w:rsidP="00D6116D">
      <w:pPr>
        <w:pStyle w:val="Bibliografi"/>
        <w:rPr>
          <w:rFonts w:ascii="Times New Roman" w:hAnsi="Times New Roman" w:cs="Times New Roman"/>
        </w:rPr>
      </w:pPr>
      <w:r w:rsidRPr="00D6116D">
        <w:rPr>
          <w:rFonts w:ascii="Times New Roman" w:hAnsi="Times New Roman" w:cs="Times New Roman"/>
        </w:rPr>
        <w:t xml:space="preserve">Zmerli, S., &amp; Newton, K. (2008). Social Trust and Attitudes Toward Democracy. </w:t>
      </w:r>
      <w:r w:rsidRPr="00D6116D">
        <w:rPr>
          <w:rFonts w:ascii="Times New Roman" w:hAnsi="Times New Roman" w:cs="Times New Roman"/>
          <w:i/>
          <w:iCs/>
        </w:rPr>
        <w:t>Public Opinion Quarterly</w:t>
      </w:r>
      <w:r w:rsidRPr="00D6116D">
        <w:rPr>
          <w:rFonts w:ascii="Times New Roman" w:hAnsi="Times New Roman" w:cs="Times New Roman"/>
        </w:rPr>
        <w:t xml:space="preserve">, </w:t>
      </w:r>
      <w:r w:rsidRPr="00D6116D">
        <w:rPr>
          <w:rFonts w:ascii="Times New Roman" w:hAnsi="Times New Roman" w:cs="Times New Roman"/>
          <w:i/>
          <w:iCs/>
        </w:rPr>
        <w:t>72</w:t>
      </w:r>
      <w:r w:rsidRPr="00D6116D">
        <w:rPr>
          <w:rFonts w:ascii="Times New Roman" w:hAnsi="Times New Roman" w:cs="Times New Roman"/>
        </w:rPr>
        <w:t>(4), 706–724. https://doi.org/10.1093/poq/nfn054</w:t>
      </w:r>
    </w:p>
    <w:p w14:paraId="6D438793" w14:textId="6F738B8F" w:rsidR="00825DC8" w:rsidRPr="00C32509" w:rsidRDefault="002E2943" w:rsidP="0007287A">
      <w:pPr>
        <w:spacing w:line="360" w:lineRule="auto"/>
        <w:jc w:val="both"/>
        <w:rPr>
          <w:rFonts w:ascii="Times New Roman" w:hAnsi="Times New Roman" w:cs="Times New Roman"/>
        </w:rPr>
      </w:pPr>
      <w:r w:rsidRPr="00C32509">
        <w:rPr>
          <w:rFonts w:ascii="Times New Roman" w:hAnsi="Times New Roman" w:cs="Times New Roman"/>
        </w:rPr>
        <w:fldChar w:fldCharType="end"/>
      </w:r>
    </w:p>
    <w:sectPr w:rsidR="00825DC8" w:rsidRPr="00C325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B2997" w14:textId="77777777" w:rsidR="00103567" w:rsidRDefault="00103567" w:rsidP="00B165A6">
      <w:pPr>
        <w:spacing w:before="0" w:after="0" w:line="240" w:lineRule="auto"/>
      </w:pPr>
      <w:r>
        <w:separator/>
      </w:r>
    </w:p>
  </w:endnote>
  <w:endnote w:type="continuationSeparator" w:id="0">
    <w:p w14:paraId="7FFBC631" w14:textId="77777777" w:rsidR="00103567" w:rsidRDefault="00103567" w:rsidP="00B165A6">
      <w:pPr>
        <w:spacing w:before="0" w:after="0" w:line="240" w:lineRule="auto"/>
      </w:pPr>
      <w:r>
        <w:continuationSeparator/>
      </w:r>
    </w:p>
  </w:endnote>
  <w:endnote w:type="continuationNotice" w:id="1">
    <w:p w14:paraId="0C15E04B" w14:textId="77777777" w:rsidR="00103567" w:rsidRDefault="0010356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A7082" w14:textId="77777777" w:rsidR="00103567" w:rsidRDefault="00103567" w:rsidP="00B165A6">
      <w:pPr>
        <w:spacing w:before="0" w:after="0" w:line="240" w:lineRule="auto"/>
      </w:pPr>
      <w:r>
        <w:separator/>
      </w:r>
    </w:p>
  </w:footnote>
  <w:footnote w:type="continuationSeparator" w:id="0">
    <w:p w14:paraId="62BB63C8" w14:textId="77777777" w:rsidR="00103567" w:rsidRDefault="00103567" w:rsidP="00B165A6">
      <w:pPr>
        <w:spacing w:before="0" w:after="0" w:line="240" w:lineRule="auto"/>
      </w:pPr>
      <w:r>
        <w:continuationSeparator/>
      </w:r>
    </w:p>
  </w:footnote>
  <w:footnote w:type="continuationNotice" w:id="1">
    <w:p w14:paraId="1050F075" w14:textId="77777777" w:rsidR="00103567" w:rsidRDefault="0010356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420CD3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4FB44CB"/>
    <w:multiLevelType w:val="hybridMultilevel"/>
    <w:tmpl w:val="B97A3570"/>
    <w:lvl w:ilvl="0" w:tplc="5CB4B934">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207A8"/>
    <w:multiLevelType w:val="hybridMultilevel"/>
    <w:tmpl w:val="9FD09BD4"/>
    <w:lvl w:ilvl="0" w:tplc="6AE0793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B2244"/>
    <w:multiLevelType w:val="hybridMultilevel"/>
    <w:tmpl w:val="C9B6BEEE"/>
    <w:lvl w:ilvl="0" w:tplc="C59C9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FD17CF"/>
    <w:multiLevelType w:val="hybridMultilevel"/>
    <w:tmpl w:val="EAF8C6C8"/>
    <w:lvl w:ilvl="0" w:tplc="F438B5A4">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9466A8"/>
    <w:multiLevelType w:val="hybridMultilevel"/>
    <w:tmpl w:val="68444E20"/>
    <w:lvl w:ilvl="0" w:tplc="0778FD6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9902D5"/>
    <w:multiLevelType w:val="hybridMultilevel"/>
    <w:tmpl w:val="C046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6592908">
    <w:abstractNumId w:val="3"/>
  </w:num>
  <w:num w:numId="2" w16cid:durableId="1172062476">
    <w:abstractNumId w:val="4"/>
  </w:num>
  <w:num w:numId="3" w16cid:durableId="918754786">
    <w:abstractNumId w:val="1"/>
  </w:num>
  <w:num w:numId="4" w16cid:durableId="968825645">
    <w:abstractNumId w:val="5"/>
  </w:num>
  <w:num w:numId="5" w16cid:durableId="1095322225">
    <w:abstractNumId w:val="2"/>
  </w:num>
  <w:num w:numId="6" w16cid:durableId="1818186639">
    <w:abstractNumId w:val="0"/>
  </w:num>
  <w:num w:numId="7" w16cid:durableId="6670971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36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03141"/>
    <w:rsid w:val="00000920"/>
    <w:rsid w:val="00005915"/>
    <w:rsid w:val="00005C8A"/>
    <w:rsid w:val="000068F5"/>
    <w:rsid w:val="000102A3"/>
    <w:rsid w:val="0001326E"/>
    <w:rsid w:val="0001361E"/>
    <w:rsid w:val="00013A8C"/>
    <w:rsid w:val="00016CA9"/>
    <w:rsid w:val="00016FFE"/>
    <w:rsid w:val="00020CED"/>
    <w:rsid w:val="000214AE"/>
    <w:rsid w:val="00022CE2"/>
    <w:rsid w:val="000264EA"/>
    <w:rsid w:val="00026C57"/>
    <w:rsid w:val="0003017A"/>
    <w:rsid w:val="00030739"/>
    <w:rsid w:val="00030C44"/>
    <w:rsid w:val="00030E0C"/>
    <w:rsid w:val="000314FB"/>
    <w:rsid w:val="000403D1"/>
    <w:rsid w:val="00040DF8"/>
    <w:rsid w:val="00041E36"/>
    <w:rsid w:val="0004301F"/>
    <w:rsid w:val="000433EF"/>
    <w:rsid w:val="0004359F"/>
    <w:rsid w:val="000439C3"/>
    <w:rsid w:val="00043BA1"/>
    <w:rsid w:val="00046623"/>
    <w:rsid w:val="00046E9E"/>
    <w:rsid w:val="00047E1E"/>
    <w:rsid w:val="0005036A"/>
    <w:rsid w:val="000506A2"/>
    <w:rsid w:val="00050B9C"/>
    <w:rsid w:val="00051001"/>
    <w:rsid w:val="00051466"/>
    <w:rsid w:val="000516F8"/>
    <w:rsid w:val="00053595"/>
    <w:rsid w:val="00053E35"/>
    <w:rsid w:val="00054D3E"/>
    <w:rsid w:val="000552DD"/>
    <w:rsid w:val="000559D3"/>
    <w:rsid w:val="000564B0"/>
    <w:rsid w:val="00056C23"/>
    <w:rsid w:val="00060A12"/>
    <w:rsid w:val="00061002"/>
    <w:rsid w:val="0006170E"/>
    <w:rsid w:val="00062EDB"/>
    <w:rsid w:val="00063AFD"/>
    <w:rsid w:val="00066C44"/>
    <w:rsid w:val="00067340"/>
    <w:rsid w:val="00067399"/>
    <w:rsid w:val="0007090C"/>
    <w:rsid w:val="00070B96"/>
    <w:rsid w:val="00070BD5"/>
    <w:rsid w:val="00070E16"/>
    <w:rsid w:val="00071241"/>
    <w:rsid w:val="00071C98"/>
    <w:rsid w:val="00072062"/>
    <w:rsid w:val="00072772"/>
    <w:rsid w:val="0007287A"/>
    <w:rsid w:val="000728FD"/>
    <w:rsid w:val="00072F56"/>
    <w:rsid w:val="00074687"/>
    <w:rsid w:val="000769FE"/>
    <w:rsid w:val="00082193"/>
    <w:rsid w:val="00084171"/>
    <w:rsid w:val="00085C4A"/>
    <w:rsid w:val="00085FC1"/>
    <w:rsid w:val="00087D3B"/>
    <w:rsid w:val="0009366A"/>
    <w:rsid w:val="00096665"/>
    <w:rsid w:val="000A0884"/>
    <w:rsid w:val="000A1069"/>
    <w:rsid w:val="000A1A46"/>
    <w:rsid w:val="000A347E"/>
    <w:rsid w:val="000A73F2"/>
    <w:rsid w:val="000B2391"/>
    <w:rsid w:val="000B388E"/>
    <w:rsid w:val="000B3E4C"/>
    <w:rsid w:val="000B3ED9"/>
    <w:rsid w:val="000B4579"/>
    <w:rsid w:val="000B4C4D"/>
    <w:rsid w:val="000B5ABB"/>
    <w:rsid w:val="000B6B3A"/>
    <w:rsid w:val="000C0758"/>
    <w:rsid w:val="000C2BEE"/>
    <w:rsid w:val="000C6DF9"/>
    <w:rsid w:val="000C7135"/>
    <w:rsid w:val="000D1DB0"/>
    <w:rsid w:val="000D3941"/>
    <w:rsid w:val="000D53AD"/>
    <w:rsid w:val="000D6AA2"/>
    <w:rsid w:val="000D7952"/>
    <w:rsid w:val="000D7BA2"/>
    <w:rsid w:val="000E1BB0"/>
    <w:rsid w:val="000E2963"/>
    <w:rsid w:val="000E2D23"/>
    <w:rsid w:val="000E5FCF"/>
    <w:rsid w:val="000E679B"/>
    <w:rsid w:val="000E680E"/>
    <w:rsid w:val="000E747F"/>
    <w:rsid w:val="000E7FDC"/>
    <w:rsid w:val="000F2F64"/>
    <w:rsid w:val="000F516C"/>
    <w:rsid w:val="000F5C28"/>
    <w:rsid w:val="000F60C6"/>
    <w:rsid w:val="000F6E4E"/>
    <w:rsid w:val="00100C0A"/>
    <w:rsid w:val="001016F2"/>
    <w:rsid w:val="00103567"/>
    <w:rsid w:val="001042AC"/>
    <w:rsid w:val="00104D4D"/>
    <w:rsid w:val="00104F6D"/>
    <w:rsid w:val="00105483"/>
    <w:rsid w:val="001063CF"/>
    <w:rsid w:val="00106D05"/>
    <w:rsid w:val="00107C1E"/>
    <w:rsid w:val="00107F12"/>
    <w:rsid w:val="0011075E"/>
    <w:rsid w:val="00111DF9"/>
    <w:rsid w:val="001131A7"/>
    <w:rsid w:val="00113C0F"/>
    <w:rsid w:val="00116CBC"/>
    <w:rsid w:val="00117F5C"/>
    <w:rsid w:val="0012026A"/>
    <w:rsid w:val="00123571"/>
    <w:rsid w:val="0012513A"/>
    <w:rsid w:val="00127B8C"/>
    <w:rsid w:val="001302CD"/>
    <w:rsid w:val="0013088A"/>
    <w:rsid w:val="0013154E"/>
    <w:rsid w:val="00132C86"/>
    <w:rsid w:val="001333F5"/>
    <w:rsid w:val="00134C65"/>
    <w:rsid w:val="00134EF7"/>
    <w:rsid w:val="0014352E"/>
    <w:rsid w:val="0014423B"/>
    <w:rsid w:val="00150576"/>
    <w:rsid w:val="00151584"/>
    <w:rsid w:val="00154736"/>
    <w:rsid w:val="001551B7"/>
    <w:rsid w:val="00156945"/>
    <w:rsid w:val="001609FA"/>
    <w:rsid w:val="00161A7D"/>
    <w:rsid w:val="00161C6A"/>
    <w:rsid w:val="00162B2D"/>
    <w:rsid w:val="001649F0"/>
    <w:rsid w:val="00170A2D"/>
    <w:rsid w:val="00170FE5"/>
    <w:rsid w:val="001719C9"/>
    <w:rsid w:val="00171FBB"/>
    <w:rsid w:val="00174DA1"/>
    <w:rsid w:val="00175542"/>
    <w:rsid w:val="00175FC9"/>
    <w:rsid w:val="00176C77"/>
    <w:rsid w:val="0017716C"/>
    <w:rsid w:val="0018234D"/>
    <w:rsid w:val="00183E94"/>
    <w:rsid w:val="001860BF"/>
    <w:rsid w:val="001865CB"/>
    <w:rsid w:val="00187D35"/>
    <w:rsid w:val="0019460A"/>
    <w:rsid w:val="00195339"/>
    <w:rsid w:val="00195A5B"/>
    <w:rsid w:val="00195B77"/>
    <w:rsid w:val="00196466"/>
    <w:rsid w:val="001972CD"/>
    <w:rsid w:val="00197731"/>
    <w:rsid w:val="001A17E5"/>
    <w:rsid w:val="001A4007"/>
    <w:rsid w:val="001A5638"/>
    <w:rsid w:val="001A6061"/>
    <w:rsid w:val="001A7A5F"/>
    <w:rsid w:val="001A7C0F"/>
    <w:rsid w:val="001B1357"/>
    <w:rsid w:val="001B1BE9"/>
    <w:rsid w:val="001B1DAA"/>
    <w:rsid w:val="001B4E8C"/>
    <w:rsid w:val="001B5ABF"/>
    <w:rsid w:val="001B5BD3"/>
    <w:rsid w:val="001B77BF"/>
    <w:rsid w:val="001C0643"/>
    <w:rsid w:val="001C112D"/>
    <w:rsid w:val="001C137E"/>
    <w:rsid w:val="001C19E6"/>
    <w:rsid w:val="001C1F9C"/>
    <w:rsid w:val="001C4D7C"/>
    <w:rsid w:val="001C6253"/>
    <w:rsid w:val="001C6FA7"/>
    <w:rsid w:val="001D0DC1"/>
    <w:rsid w:val="001D24A4"/>
    <w:rsid w:val="001D2D81"/>
    <w:rsid w:val="001D3C3C"/>
    <w:rsid w:val="001D4B1E"/>
    <w:rsid w:val="001D5BDD"/>
    <w:rsid w:val="001D63DE"/>
    <w:rsid w:val="001D76FE"/>
    <w:rsid w:val="001D77BB"/>
    <w:rsid w:val="001E0C58"/>
    <w:rsid w:val="001E1172"/>
    <w:rsid w:val="001E162C"/>
    <w:rsid w:val="001E1B22"/>
    <w:rsid w:val="001E39B1"/>
    <w:rsid w:val="001E3A53"/>
    <w:rsid w:val="001E543C"/>
    <w:rsid w:val="001E5504"/>
    <w:rsid w:val="001E5E15"/>
    <w:rsid w:val="001E5EE5"/>
    <w:rsid w:val="001E6E1E"/>
    <w:rsid w:val="001E6F7E"/>
    <w:rsid w:val="001E703D"/>
    <w:rsid w:val="001F05B5"/>
    <w:rsid w:val="001F0A66"/>
    <w:rsid w:val="001F0AEB"/>
    <w:rsid w:val="001F1FA5"/>
    <w:rsid w:val="001F23E5"/>
    <w:rsid w:val="001F2AA6"/>
    <w:rsid w:val="001F2B99"/>
    <w:rsid w:val="001F37B7"/>
    <w:rsid w:val="001F544F"/>
    <w:rsid w:val="001F7C92"/>
    <w:rsid w:val="00200CD6"/>
    <w:rsid w:val="002010DF"/>
    <w:rsid w:val="00201F57"/>
    <w:rsid w:val="00203BAB"/>
    <w:rsid w:val="00204536"/>
    <w:rsid w:val="00204BDB"/>
    <w:rsid w:val="00204FE4"/>
    <w:rsid w:val="00205CDA"/>
    <w:rsid w:val="00205E7C"/>
    <w:rsid w:val="002063AD"/>
    <w:rsid w:val="0020718D"/>
    <w:rsid w:val="00211156"/>
    <w:rsid w:val="00211FA9"/>
    <w:rsid w:val="00214178"/>
    <w:rsid w:val="00217071"/>
    <w:rsid w:val="0022160C"/>
    <w:rsid w:val="00221974"/>
    <w:rsid w:val="00222374"/>
    <w:rsid w:val="00223EDC"/>
    <w:rsid w:val="002308AF"/>
    <w:rsid w:val="00233247"/>
    <w:rsid w:val="002348A0"/>
    <w:rsid w:val="00235C7F"/>
    <w:rsid w:val="002363E9"/>
    <w:rsid w:val="002368F2"/>
    <w:rsid w:val="00241BBF"/>
    <w:rsid w:val="002425CD"/>
    <w:rsid w:val="002429A9"/>
    <w:rsid w:val="0024413A"/>
    <w:rsid w:val="00245782"/>
    <w:rsid w:val="00245C2C"/>
    <w:rsid w:val="00246542"/>
    <w:rsid w:val="00247C67"/>
    <w:rsid w:val="00250D00"/>
    <w:rsid w:val="00251327"/>
    <w:rsid w:val="0025185D"/>
    <w:rsid w:val="002525D7"/>
    <w:rsid w:val="00252AB8"/>
    <w:rsid w:val="002531E0"/>
    <w:rsid w:val="002533FD"/>
    <w:rsid w:val="00254024"/>
    <w:rsid w:val="00257C77"/>
    <w:rsid w:val="00260533"/>
    <w:rsid w:val="0026299D"/>
    <w:rsid w:val="002650A5"/>
    <w:rsid w:val="00266E56"/>
    <w:rsid w:val="0026754C"/>
    <w:rsid w:val="0027082F"/>
    <w:rsid w:val="002711A9"/>
    <w:rsid w:val="00272398"/>
    <w:rsid w:val="00272FD1"/>
    <w:rsid w:val="00274292"/>
    <w:rsid w:val="0027754E"/>
    <w:rsid w:val="0027766E"/>
    <w:rsid w:val="002808AD"/>
    <w:rsid w:val="00280930"/>
    <w:rsid w:val="00280ACE"/>
    <w:rsid w:val="00280B7B"/>
    <w:rsid w:val="00281218"/>
    <w:rsid w:val="002817EB"/>
    <w:rsid w:val="00282E5B"/>
    <w:rsid w:val="00284897"/>
    <w:rsid w:val="00284A0C"/>
    <w:rsid w:val="00284D5C"/>
    <w:rsid w:val="002854D1"/>
    <w:rsid w:val="00285F67"/>
    <w:rsid w:val="0029076A"/>
    <w:rsid w:val="002913DC"/>
    <w:rsid w:val="0029266C"/>
    <w:rsid w:val="00293941"/>
    <w:rsid w:val="0029559C"/>
    <w:rsid w:val="002957EE"/>
    <w:rsid w:val="0029584C"/>
    <w:rsid w:val="0029722E"/>
    <w:rsid w:val="0029731C"/>
    <w:rsid w:val="002A1D25"/>
    <w:rsid w:val="002A21D5"/>
    <w:rsid w:val="002A3394"/>
    <w:rsid w:val="002A4E90"/>
    <w:rsid w:val="002A59E0"/>
    <w:rsid w:val="002A5C0A"/>
    <w:rsid w:val="002A5C96"/>
    <w:rsid w:val="002A67FD"/>
    <w:rsid w:val="002A777D"/>
    <w:rsid w:val="002B0E3A"/>
    <w:rsid w:val="002B21F3"/>
    <w:rsid w:val="002B633E"/>
    <w:rsid w:val="002C3CAC"/>
    <w:rsid w:val="002C4CC8"/>
    <w:rsid w:val="002C5917"/>
    <w:rsid w:val="002C696F"/>
    <w:rsid w:val="002C6E2E"/>
    <w:rsid w:val="002C7C7D"/>
    <w:rsid w:val="002C7DD8"/>
    <w:rsid w:val="002D0364"/>
    <w:rsid w:val="002D0920"/>
    <w:rsid w:val="002D139C"/>
    <w:rsid w:val="002D2F39"/>
    <w:rsid w:val="002D32EA"/>
    <w:rsid w:val="002D40DB"/>
    <w:rsid w:val="002D4FF8"/>
    <w:rsid w:val="002D6FB6"/>
    <w:rsid w:val="002D70A1"/>
    <w:rsid w:val="002D7877"/>
    <w:rsid w:val="002E1035"/>
    <w:rsid w:val="002E108D"/>
    <w:rsid w:val="002E1973"/>
    <w:rsid w:val="002E2943"/>
    <w:rsid w:val="002E3873"/>
    <w:rsid w:val="002E46B4"/>
    <w:rsid w:val="002E55B7"/>
    <w:rsid w:val="002E6769"/>
    <w:rsid w:val="002F0672"/>
    <w:rsid w:val="002F233D"/>
    <w:rsid w:val="002F6DC8"/>
    <w:rsid w:val="00300ED7"/>
    <w:rsid w:val="00302D58"/>
    <w:rsid w:val="00302EC3"/>
    <w:rsid w:val="003031D1"/>
    <w:rsid w:val="00303C5E"/>
    <w:rsid w:val="00305796"/>
    <w:rsid w:val="003078A1"/>
    <w:rsid w:val="00307C18"/>
    <w:rsid w:val="003103E4"/>
    <w:rsid w:val="003107B3"/>
    <w:rsid w:val="00311197"/>
    <w:rsid w:val="0031177A"/>
    <w:rsid w:val="003120C3"/>
    <w:rsid w:val="00312794"/>
    <w:rsid w:val="00312F23"/>
    <w:rsid w:val="0031492E"/>
    <w:rsid w:val="00314A61"/>
    <w:rsid w:val="00314ECA"/>
    <w:rsid w:val="00316124"/>
    <w:rsid w:val="00317C2B"/>
    <w:rsid w:val="00320875"/>
    <w:rsid w:val="00321C33"/>
    <w:rsid w:val="00322303"/>
    <w:rsid w:val="00323F14"/>
    <w:rsid w:val="0032492C"/>
    <w:rsid w:val="00325C06"/>
    <w:rsid w:val="00325E20"/>
    <w:rsid w:val="00325F93"/>
    <w:rsid w:val="00327246"/>
    <w:rsid w:val="003273F1"/>
    <w:rsid w:val="00330671"/>
    <w:rsid w:val="00330C93"/>
    <w:rsid w:val="00332A91"/>
    <w:rsid w:val="0033302D"/>
    <w:rsid w:val="00334B11"/>
    <w:rsid w:val="0033635E"/>
    <w:rsid w:val="00337C47"/>
    <w:rsid w:val="00341338"/>
    <w:rsid w:val="00341BA2"/>
    <w:rsid w:val="003426A6"/>
    <w:rsid w:val="00344CDC"/>
    <w:rsid w:val="0035153B"/>
    <w:rsid w:val="00352123"/>
    <w:rsid w:val="003521BC"/>
    <w:rsid w:val="003523D0"/>
    <w:rsid w:val="0035389F"/>
    <w:rsid w:val="00353A1A"/>
    <w:rsid w:val="00355AEE"/>
    <w:rsid w:val="003564AB"/>
    <w:rsid w:val="003577BD"/>
    <w:rsid w:val="0035795B"/>
    <w:rsid w:val="00357DD6"/>
    <w:rsid w:val="00362F2A"/>
    <w:rsid w:val="0036363C"/>
    <w:rsid w:val="00364551"/>
    <w:rsid w:val="00364769"/>
    <w:rsid w:val="00365CBF"/>
    <w:rsid w:val="003661A4"/>
    <w:rsid w:val="00367D48"/>
    <w:rsid w:val="003713E8"/>
    <w:rsid w:val="003728DD"/>
    <w:rsid w:val="0037351F"/>
    <w:rsid w:val="003737CE"/>
    <w:rsid w:val="00374916"/>
    <w:rsid w:val="00374AC3"/>
    <w:rsid w:val="00377038"/>
    <w:rsid w:val="00380077"/>
    <w:rsid w:val="00383084"/>
    <w:rsid w:val="003831CC"/>
    <w:rsid w:val="00383FBC"/>
    <w:rsid w:val="0038433E"/>
    <w:rsid w:val="0038618B"/>
    <w:rsid w:val="003862FB"/>
    <w:rsid w:val="003864AD"/>
    <w:rsid w:val="00386B61"/>
    <w:rsid w:val="00391021"/>
    <w:rsid w:val="00394F69"/>
    <w:rsid w:val="00395DA2"/>
    <w:rsid w:val="00395F25"/>
    <w:rsid w:val="00396298"/>
    <w:rsid w:val="003971F0"/>
    <w:rsid w:val="003974D4"/>
    <w:rsid w:val="003975AE"/>
    <w:rsid w:val="003A092C"/>
    <w:rsid w:val="003A3115"/>
    <w:rsid w:val="003A40C1"/>
    <w:rsid w:val="003A5865"/>
    <w:rsid w:val="003A5D46"/>
    <w:rsid w:val="003A709A"/>
    <w:rsid w:val="003B0EAA"/>
    <w:rsid w:val="003B1595"/>
    <w:rsid w:val="003B20A5"/>
    <w:rsid w:val="003B296D"/>
    <w:rsid w:val="003B445E"/>
    <w:rsid w:val="003B7A7D"/>
    <w:rsid w:val="003B7C13"/>
    <w:rsid w:val="003C0DC8"/>
    <w:rsid w:val="003C318D"/>
    <w:rsid w:val="003C4161"/>
    <w:rsid w:val="003C41EB"/>
    <w:rsid w:val="003C43DB"/>
    <w:rsid w:val="003C4A09"/>
    <w:rsid w:val="003C4A86"/>
    <w:rsid w:val="003C4C88"/>
    <w:rsid w:val="003C5B1D"/>
    <w:rsid w:val="003C6EBE"/>
    <w:rsid w:val="003C7D3B"/>
    <w:rsid w:val="003D0336"/>
    <w:rsid w:val="003D046D"/>
    <w:rsid w:val="003D0542"/>
    <w:rsid w:val="003D0831"/>
    <w:rsid w:val="003D0DF9"/>
    <w:rsid w:val="003D2EBA"/>
    <w:rsid w:val="003D3C1B"/>
    <w:rsid w:val="003D7961"/>
    <w:rsid w:val="003E2A9B"/>
    <w:rsid w:val="003E304A"/>
    <w:rsid w:val="003E52AD"/>
    <w:rsid w:val="003E5C16"/>
    <w:rsid w:val="003E671C"/>
    <w:rsid w:val="003E7611"/>
    <w:rsid w:val="003E790C"/>
    <w:rsid w:val="003F0E68"/>
    <w:rsid w:val="003F1281"/>
    <w:rsid w:val="003F1BC0"/>
    <w:rsid w:val="003F1D64"/>
    <w:rsid w:val="003F1EF6"/>
    <w:rsid w:val="003F2FC1"/>
    <w:rsid w:val="003F3319"/>
    <w:rsid w:val="003F34F3"/>
    <w:rsid w:val="003F393D"/>
    <w:rsid w:val="003F5D95"/>
    <w:rsid w:val="003F6689"/>
    <w:rsid w:val="003F6771"/>
    <w:rsid w:val="003F68B8"/>
    <w:rsid w:val="003F70DF"/>
    <w:rsid w:val="003F74A2"/>
    <w:rsid w:val="00400996"/>
    <w:rsid w:val="00400A1C"/>
    <w:rsid w:val="004026BC"/>
    <w:rsid w:val="00402786"/>
    <w:rsid w:val="00402E79"/>
    <w:rsid w:val="00402FF1"/>
    <w:rsid w:val="00403141"/>
    <w:rsid w:val="00404CF7"/>
    <w:rsid w:val="00404ED1"/>
    <w:rsid w:val="00410D09"/>
    <w:rsid w:val="004114F4"/>
    <w:rsid w:val="0041278D"/>
    <w:rsid w:val="00412C67"/>
    <w:rsid w:val="00416F30"/>
    <w:rsid w:val="00417598"/>
    <w:rsid w:val="00417AC9"/>
    <w:rsid w:val="00417EBE"/>
    <w:rsid w:val="00421438"/>
    <w:rsid w:val="0042498C"/>
    <w:rsid w:val="004258C5"/>
    <w:rsid w:val="00425A6E"/>
    <w:rsid w:val="00426F3D"/>
    <w:rsid w:val="00427B54"/>
    <w:rsid w:val="00430122"/>
    <w:rsid w:val="004303C3"/>
    <w:rsid w:val="004304E7"/>
    <w:rsid w:val="00431B7E"/>
    <w:rsid w:val="00434719"/>
    <w:rsid w:val="004364EE"/>
    <w:rsid w:val="004365F8"/>
    <w:rsid w:val="00440DF3"/>
    <w:rsid w:val="004419DC"/>
    <w:rsid w:val="00441E58"/>
    <w:rsid w:val="004429A7"/>
    <w:rsid w:val="00443485"/>
    <w:rsid w:val="00443C2E"/>
    <w:rsid w:val="00443D95"/>
    <w:rsid w:val="00445A52"/>
    <w:rsid w:val="00446067"/>
    <w:rsid w:val="00446DAE"/>
    <w:rsid w:val="00447DBE"/>
    <w:rsid w:val="00452204"/>
    <w:rsid w:val="004532AF"/>
    <w:rsid w:val="0045344D"/>
    <w:rsid w:val="00454CC5"/>
    <w:rsid w:val="00454E60"/>
    <w:rsid w:val="00455826"/>
    <w:rsid w:val="00456891"/>
    <w:rsid w:val="00456A1C"/>
    <w:rsid w:val="00456F81"/>
    <w:rsid w:val="004607E2"/>
    <w:rsid w:val="004610DC"/>
    <w:rsid w:val="00461ED4"/>
    <w:rsid w:val="00463645"/>
    <w:rsid w:val="00465647"/>
    <w:rsid w:val="004671A2"/>
    <w:rsid w:val="004672CC"/>
    <w:rsid w:val="00471706"/>
    <w:rsid w:val="00472B81"/>
    <w:rsid w:val="00472DF8"/>
    <w:rsid w:val="004736E8"/>
    <w:rsid w:val="0047657E"/>
    <w:rsid w:val="004765AA"/>
    <w:rsid w:val="004765C6"/>
    <w:rsid w:val="00476853"/>
    <w:rsid w:val="00476923"/>
    <w:rsid w:val="00480347"/>
    <w:rsid w:val="00480B35"/>
    <w:rsid w:val="004820D3"/>
    <w:rsid w:val="00482138"/>
    <w:rsid w:val="004866BD"/>
    <w:rsid w:val="00486F05"/>
    <w:rsid w:val="00487F64"/>
    <w:rsid w:val="004901F7"/>
    <w:rsid w:val="004910C4"/>
    <w:rsid w:val="004925CD"/>
    <w:rsid w:val="004950DB"/>
    <w:rsid w:val="00495B37"/>
    <w:rsid w:val="0049656C"/>
    <w:rsid w:val="0049671E"/>
    <w:rsid w:val="004A1405"/>
    <w:rsid w:val="004A292A"/>
    <w:rsid w:val="004A31AF"/>
    <w:rsid w:val="004A499B"/>
    <w:rsid w:val="004A6030"/>
    <w:rsid w:val="004A7A30"/>
    <w:rsid w:val="004A7C94"/>
    <w:rsid w:val="004A7FEE"/>
    <w:rsid w:val="004B35E3"/>
    <w:rsid w:val="004B3ADD"/>
    <w:rsid w:val="004B47D1"/>
    <w:rsid w:val="004B5856"/>
    <w:rsid w:val="004B67F3"/>
    <w:rsid w:val="004B69C5"/>
    <w:rsid w:val="004B73E7"/>
    <w:rsid w:val="004C0265"/>
    <w:rsid w:val="004C226B"/>
    <w:rsid w:val="004C2B4A"/>
    <w:rsid w:val="004C2DBE"/>
    <w:rsid w:val="004C4C73"/>
    <w:rsid w:val="004C5239"/>
    <w:rsid w:val="004C5A19"/>
    <w:rsid w:val="004C7828"/>
    <w:rsid w:val="004D2AA0"/>
    <w:rsid w:val="004D33BE"/>
    <w:rsid w:val="004D384C"/>
    <w:rsid w:val="004D4DDA"/>
    <w:rsid w:val="004E0F5B"/>
    <w:rsid w:val="004E1CD3"/>
    <w:rsid w:val="004E1D0D"/>
    <w:rsid w:val="004E2068"/>
    <w:rsid w:val="004E29F5"/>
    <w:rsid w:val="004E2BCF"/>
    <w:rsid w:val="004E3FCC"/>
    <w:rsid w:val="004E5ECE"/>
    <w:rsid w:val="004E7E64"/>
    <w:rsid w:val="004F0E53"/>
    <w:rsid w:val="004F487B"/>
    <w:rsid w:val="004F4C62"/>
    <w:rsid w:val="004F51D3"/>
    <w:rsid w:val="004F6128"/>
    <w:rsid w:val="004F613E"/>
    <w:rsid w:val="0050144D"/>
    <w:rsid w:val="00501779"/>
    <w:rsid w:val="00501D62"/>
    <w:rsid w:val="00502A5D"/>
    <w:rsid w:val="00502AE9"/>
    <w:rsid w:val="00503AEA"/>
    <w:rsid w:val="00503F03"/>
    <w:rsid w:val="005050F5"/>
    <w:rsid w:val="005064BB"/>
    <w:rsid w:val="005101DA"/>
    <w:rsid w:val="00514F01"/>
    <w:rsid w:val="00515D6C"/>
    <w:rsid w:val="0051629A"/>
    <w:rsid w:val="00517F91"/>
    <w:rsid w:val="0052003E"/>
    <w:rsid w:val="00520B87"/>
    <w:rsid w:val="00522559"/>
    <w:rsid w:val="00523AC0"/>
    <w:rsid w:val="00524A7C"/>
    <w:rsid w:val="00525C69"/>
    <w:rsid w:val="00527FD7"/>
    <w:rsid w:val="00532486"/>
    <w:rsid w:val="00532FA0"/>
    <w:rsid w:val="00533112"/>
    <w:rsid w:val="00533BCC"/>
    <w:rsid w:val="00533E51"/>
    <w:rsid w:val="00534542"/>
    <w:rsid w:val="00534795"/>
    <w:rsid w:val="005364A4"/>
    <w:rsid w:val="0053784E"/>
    <w:rsid w:val="00540872"/>
    <w:rsid w:val="00541612"/>
    <w:rsid w:val="00542952"/>
    <w:rsid w:val="00542B6A"/>
    <w:rsid w:val="00544499"/>
    <w:rsid w:val="00546F6A"/>
    <w:rsid w:val="00547A26"/>
    <w:rsid w:val="00547E8D"/>
    <w:rsid w:val="00552325"/>
    <w:rsid w:val="0055293A"/>
    <w:rsid w:val="00555462"/>
    <w:rsid w:val="00555BA6"/>
    <w:rsid w:val="00560D01"/>
    <w:rsid w:val="005611E4"/>
    <w:rsid w:val="005628AD"/>
    <w:rsid w:val="00562B9B"/>
    <w:rsid w:val="00563300"/>
    <w:rsid w:val="00564029"/>
    <w:rsid w:val="0056523D"/>
    <w:rsid w:val="0056541D"/>
    <w:rsid w:val="005704A6"/>
    <w:rsid w:val="00570759"/>
    <w:rsid w:val="005724D0"/>
    <w:rsid w:val="00572825"/>
    <w:rsid w:val="00572A25"/>
    <w:rsid w:val="00572FD4"/>
    <w:rsid w:val="0057351A"/>
    <w:rsid w:val="005740EE"/>
    <w:rsid w:val="005741C7"/>
    <w:rsid w:val="00574223"/>
    <w:rsid w:val="00575646"/>
    <w:rsid w:val="005756FF"/>
    <w:rsid w:val="00576ABC"/>
    <w:rsid w:val="00576BFE"/>
    <w:rsid w:val="005772C8"/>
    <w:rsid w:val="00577554"/>
    <w:rsid w:val="0058001A"/>
    <w:rsid w:val="00580632"/>
    <w:rsid w:val="00582904"/>
    <w:rsid w:val="00582AA4"/>
    <w:rsid w:val="00583AC5"/>
    <w:rsid w:val="00586606"/>
    <w:rsid w:val="0059064A"/>
    <w:rsid w:val="00591AAD"/>
    <w:rsid w:val="0059512C"/>
    <w:rsid w:val="00596031"/>
    <w:rsid w:val="00597258"/>
    <w:rsid w:val="00597EB0"/>
    <w:rsid w:val="005A02F9"/>
    <w:rsid w:val="005A0DEC"/>
    <w:rsid w:val="005A0F32"/>
    <w:rsid w:val="005A3CC8"/>
    <w:rsid w:val="005A45E5"/>
    <w:rsid w:val="005A5956"/>
    <w:rsid w:val="005A67F3"/>
    <w:rsid w:val="005B0798"/>
    <w:rsid w:val="005B120C"/>
    <w:rsid w:val="005B1FD8"/>
    <w:rsid w:val="005C01CF"/>
    <w:rsid w:val="005C14C8"/>
    <w:rsid w:val="005C2B2A"/>
    <w:rsid w:val="005C60F1"/>
    <w:rsid w:val="005C6B5D"/>
    <w:rsid w:val="005D0E7F"/>
    <w:rsid w:val="005D1E31"/>
    <w:rsid w:val="005D44FD"/>
    <w:rsid w:val="005D483E"/>
    <w:rsid w:val="005D4D67"/>
    <w:rsid w:val="005D4DE8"/>
    <w:rsid w:val="005D5D15"/>
    <w:rsid w:val="005D724F"/>
    <w:rsid w:val="005E0DF6"/>
    <w:rsid w:val="005E2BA0"/>
    <w:rsid w:val="005E5734"/>
    <w:rsid w:val="005E6099"/>
    <w:rsid w:val="005E6BAE"/>
    <w:rsid w:val="005F2E81"/>
    <w:rsid w:val="005F6E72"/>
    <w:rsid w:val="006013B1"/>
    <w:rsid w:val="00602261"/>
    <w:rsid w:val="0060235D"/>
    <w:rsid w:val="00603898"/>
    <w:rsid w:val="0061030D"/>
    <w:rsid w:val="00611057"/>
    <w:rsid w:val="006122F4"/>
    <w:rsid w:val="006125ED"/>
    <w:rsid w:val="00612DFC"/>
    <w:rsid w:val="00613768"/>
    <w:rsid w:val="00614437"/>
    <w:rsid w:val="0061486A"/>
    <w:rsid w:val="00614B2F"/>
    <w:rsid w:val="006153DD"/>
    <w:rsid w:val="006158DD"/>
    <w:rsid w:val="00615D15"/>
    <w:rsid w:val="00616B18"/>
    <w:rsid w:val="00621976"/>
    <w:rsid w:val="00622311"/>
    <w:rsid w:val="00622F71"/>
    <w:rsid w:val="00622FC8"/>
    <w:rsid w:val="00623D82"/>
    <w:rsid w:val="00626301"/>
    <w:rsid w:val="00626544"/>
    <w:rsid w:val="006268B8"/>
    <w:rsid w:val="00627AD8"/>
    <w:rsid w:val="006314D4"/>
    <w:rsid w:val="00632276"/>
    <w:rsid w:val="006323FA"/>
    <w:rsid w:val="0063303A"/>
    <w:rsid w:val="00634C0A"/>
    <w:rsid w:val="00635FC1"/>
    <w:rsid w:val="00640B5B"/>
    <w:rsid w:val="00640C21"/>
    <w:rsid w:val="00642ED2"/>
    <w:rsid w:val="0064531F"/>
    <w:rsid w:val="00650653"/>
    <w:rsid w:val="00650792"/>
    <w:rsid w:val="0065244F"/>
    <w:rsid w:val="00652460"/>
    <w:rsid w:val="00652DC3"/>
    <w:rsid w:val="00652F0C"/>
    <w:rsid w:val="006532FB"/>
    <w:rsid w:val="00653AE9"/>
    <w:rsid w:val="00654343"/>
    <w:rsid w:val="00654937"/>
    <w:rsid w:val="00655820"/>
    <w:rsid w:val="00656221"/>
    <w:rsid w:val="006569D0"/>
    <w:rsid w:val="0065710D"/>
    <w:rsid w:val="00661E67"/>
    <w:rsid w:val="00663B57"/>
    <w:rsid w:val="006641FC"/>
    <w:rsid w:val="006644D3"/>
    <w:rsid w:val="00664819"/>
    <w:rsid w:val="00664D1E"/>
    <w:rsid w:val="006651D6"/>
    <w:rsid w:val="00665E62"/>
    <w:rsid w:val="00666D63"/>
    <w:rsid w:val="0067163D"/>
    <w:rsid w:val="00673C1B"/>
    <w:rsid w:val="00674A58"/>
    <w:rsid w:val="00676672"/>
    <w:rsid w:val="006776BE"/>
    <w:rsid w:val="00681DE0"/>
    <w:rsid w:val="0068200B"/>
    <w:rsid w:val="00682D3A"/>
    <w:rsid w:val="006835D3"/>
    <w:rsid w:val="00683DB7"/>
    <w:rsid w:val="00683EE6"/>
    <w:rsid w:val="0068403C"/>
    <w:rsid w:val="00685507"/>
    <w:rsid w:val="00686E83"/>
    <w:rsid w:val="00686F29"/>
    <w:rsid w:val="00692BD6"/>
    <w:rsid w:val="006934BF"/>
    <w:rsid w:val="006934F9"/>
    <w:rsid w:val="00693573"/>
    <w:rsid w:val="006959A6"/>
    <w:rsid w:val="00696360"/>
    <w:rsid w:val="006968AB"/>
    <w:rsid w:val="00696978"/>
    <w:rsid w:val="00697E79"/>
    <w:rsid w:val="006A027D"/>
    <w:rsid w:val="006A098E"/>
    <w:rsid w:val="006A149A"/>
    <w:rsid w:val="006A1C8E"/>
    <w:rsid w:val="006A22FF"/>
    <w:rsid w:val="006A5C78"/>
    <w:rsid w:val="006A6037"/>
    <w:rsid w:val="006A6DB2"/>
    <w:rsid w:val="006A7294"/>
    <w:rsid w:val="006A79A3"/>
    <w:rsid w:val="006B0541"/>
    <w:rsid w:val="006B0AEE"/>
    <w:rsid w:val="006B20E5"/>
    <w:rsid w:val="006B2C9F"/>
    <w:rsid w:val="006B2F2D"/>
    <w:rsid w:val="006B35BB"/>
    <w:rsid w:val="006B3FE9"/>
    <w:rsid w:val="006B5207"/>
    <w:rsid w:val="006B6889"/>
    <w:rsid w:val="006B70C0"/>
    <w:rsid w:val="006C1142"/>
    <w:rsid w:val="006C23B4"/>
    <w:rsid w:val="006C2E46"/>
    <w:rsid w:val="006C3829"/>
    <w:rsid w:val="006C499F"/>
    <w:rsid w:val="006C49FB"/>
    <w:rsid w:val="006C5D76"/>
    <w:rsid w:val="006C5E97"/>
    <w:rsid w:val="006C7972"/>
    <w:rsid w:val="006D0CD4"/>
    <w:rsid w:val="006D1F47"/>
    <w:rsid w:val="006D2380"/>
    <w:rsid w:val="006D61CD"/>
    <w:rsid w:val="006D6216"/>
    <w:rsid w:val="006D6B0B"/>
    <w:rsid w:val="006D70A5"/>
    <w:rsid w:val="006E0537"/>
    <w:rsid w:val="006E0F50"/>
    <w:rsid w:val="006E1EA0"/>
    <w:rsid w:val="006E5A14"/>
    <w:rsid w:val="006E611A"/>
    <w:rsid w:val="006E6D03"/>
    <w:rsid w:val="006E7697"/>
    <w:rsid w:val="006F0FC4"/>
    <w:rsid w:val="006F35D7"/>
    <w:rsid w:val="006F3CD2"/>
    <w:rsid w:val="006F3CFF"/>
    <w:rsid w:val="006F3DB3"/>
    <w:rsid w:val="006F3E46"/>
    <w:rsid w:val="006F49DB"/>
    <w:rsid w:val="006F4E4E"/>
    <w:rsid w:val="006F5801"/>
    <w:rsid w:val="0070068B"/>
    <w:rsid w:val="00700ED0"/>
    <w:rsid w:val="00701384"/>
    <w:rsid w:val="0070236C"/>
    <w:rsid w:val="007023BB"/>
    <w:rsid w:val="00702B7D"/>
    <w:rsid w:val="00702E19"/>
    <w:rsid w:val="00703655"/>
    <w:rsid w:val="00703BA1"/>
    <w:rsid w:val="0070476A"/>
    <w:rsid w:val="00706E49"/>
    <w:rsid w:val="007078C4"/>
    <w:rsid w:val="00707CDB"/>
    <w:rsid w:val="0071038B"/>
    <w:rsid w:val="00712125"/>
    <w:rsid w:val="00712CC5"/>
    <w:rsid w:val="00713333"/>
    <w:rsid w:val="0071415C"/>
    <w:rsid w:val="00714901"/>
    <w:rsid w:val="00715BED"/>
    <w:rsid w:val="00715E1E"/>
    <w:rsid w:val="00716161"/>
    <w:rsid w:val="0071714D"/>
    <w:rsid w:val="00720E98"/>
    <w:rsid w:val="00721E60"/>
    <w:rsid w:val="0072287A"/>
    <w:rsid w:val="00732A6C"/>
    <w:rsid w:val="00732D6E"/>
    <w:rsid w:val="007340E8"/>
    <w:rsid w:val="00734385"/>
    <w:rsid w:val="00734C02"/>
    <w:rsid w:val="00734FED"/>
    <w:rsid w:val="00735BD2"/>
    <w:rsid w:val="00735D3D"/>
    <w:rsid w:val="00742EFC"/>
    <w:rsid w:val="007431FB"/>
    <w:rsid w:val="007441BA"/>
    <w:rsid w:val="0074571E"/>
    <w:rsid w:val="00745E96"/>
    <w:rsid w:val="00745EB4"/>
    <w:rsid w:val="007503D2"/>
    <w:rsid w:val="007506C6"/>
    <w:rsid w:val="007517F3"/>
    <w:rsid w:val="00751E9E"/>
    <w:rsid w:val="00753CF5"/>
    <w:rsid w:val="007545A8"/>
    <w:rsid w:val="00755771"/>
    <w:rsid w:val="00755C28"/>
    <w:rsid w:val="00756E15"/>
    <w:rsid w:val="007579F2"/>
    <w:rsid w:val="00760CDD"/>
    <w:rsid w:val="007626BE"/>
    <w:rsid w:val="007654B1"/>
    <w:rsid w:val="00765ED1"/>
    <w:rsid w:val="00771458"/>
    <w:rsid w:val="0077163C"/>
    <w:rsid w:val="00772957"/>
    <w:rsid w:val="007736B9"/>
    <w:rsid w:val="00775709"/>
    <w:rsid w:val="00775E1F"/>
    <w:rsid w:val="007761A2"/>
    <w:rsid w:val="007800DF"/>
    <w:rsid w:val="007804D8"/>
    <w:rsid w:val="00780BB4"/>
    <w:rsid w:val="00780FC2"/>
    <w:rsid w:val="007823ED"/>
    <w:rsid w:val="00786264"/>
    <w:rsid w:val="00786AB4"/>
    <w:rsid w:val="00787220"/>
    <w:rsid w:val="00787D3A"/>
    <w:rsid w:val="00787D4E"/>
    <w:rsid w:val="00790892"/>
    <w:rsid w:val="00790AB4"/>
    <w:rsid w:val="0079150B"/>
    <w:rsid w:val="00793175"/>
    <w:rsid w:val="00793687"/>
    <w:rsid w:val="00794D2B"/>
    <w:rsid w:val="00794F9B"/>
    <w:rsid w:val="00794FE4"/>
    <w:rsid w:val="007A111A"/>
    <w:rsid w:val="007A12F9"/>
    <w:rsid w:val="007A1E16"/>
    <w:rsid w:val="007A5AD0"/>
    <w:rsid w:val="007A6807"/>
    <w:rsid w:val="007A6F75"/>
    <w:rsid w:val="007A7ED6"/>
    <w:rsid w:val="007B208A"/>
    <w:rsid w:val="007B3132"/>
    <w:rsid w:val="007B42CB"/>
    <w:rsid w:val="007B4D97"/>
    <w:rsid w:val="007B5009"/>
    <w:rsid w:val="007B5949"/>
    <w:rsid w:val="007C2A6C"/>
    <w:rsid w:val="007C2BD8"/>
    <w:rsid w:val="007C2C70"/>
    <w:rsid w:val="007C3145"/>
    <w:rsid w:val="007C3E26"/>
    <w:rsid w:val="007C44EF"/>
    <w:rsid w:val="007C4E27"/>
    <w:rsid w:val="007C553F"/>
    <w:rsid w:val="007C59B5"/>
    <w:rsid w:val="007C5FE1"/>
    <w:rsid w:val="007C7387"/>
    <w:rsid w:val="007C79CD"/>
    <w:rsid w:val="007C7F24"/>
    <w:rsid w:val="007D0980"/>
    <w:rsid w:val="007D47B7"/>
    <w:rsid w:val="007D4CED"/>
    <w:rsid w:val="007D5CF9"/>
    <w:rsid w:val="007D65DF"/>
    <w:rsid w:val="007D76CD"/>
    <w:rsid w:val="007E5A3F"/>
    <w:rsid w:val="007E62BB"/>
    <w:rsid w:val="007E6BDD"/>
    <w:rsid w:val="007E6F53"/>
    <w:rsid w:val="007E7664"/>
    <w:rsid w:val="007E7FA2"/>
    <w:rsid w:val="007F09C6"/>
    <w:rsid w:val="007F12AB"/>
    <w:rsid w:val="007F1A2F"/>
    <w:rsid w:val="007F3D42"/>
    <w:rsid w:val="007F4FD4"/>
    <w:rsid w:val="007F6661"/>
    <w:rsid w:val="007F6FB6"/>
    <w:rsid w:val="00800843"/>
    <w:rsid w:val="008021B4"/>
    <w:rsid w:val="0080296B"/>
    <w:rsid w:val="008043BA"/>
    <w:rsid w:val="00804D6B"/>
    <w:rsid w:val="00805551"/>
    <w:rsid w:val="008068BD"/>
    <w:rsid w:val="0081099F"/>
    <w:rsid w:val="00810D52"/>
    <w:rsid w:val="00814546"/>
    <w:rsid w:val="008160FB"/>
    <w:rsid w:val="008166B7"/>
    <w:rsid w:val="00816B9C"/>
    <w:rsid w:val="00820A13"/>
    <w:rsid w:val="0082120E"/>
    <w:rsid w:val="00821A6E"/>
    <w:rsid w:val="00821BA8"/>
    <w:rsid w:val="0082350C"/>
    <w:rsid w:val="00823836"/>
    <w:rsid w:val="008240B4"/>
    <w:rsid w:val="0082453B"/>
    <w:rsid w:val="00825DC8"/>
    <w:rsid w:val="00827F63"/>
    <w:rsid w:val="00830C60"/>
    <w:rsid w:val="00830FD4"/>
    <w:rsid w:val="00830FF6"/>
    <w:rsid w:val="00831073"/>
    <w:rsid w:val="008325E7"/>
    <w:rsid w:val="00833643"/>
    <w:rsid w:val="00835DD3"/>
    <w:rsid w:val="00836379"/>
    <w:rsid w:val="00836F79"/>
    <w:rsid w:val="00837BB1"/>
    <w:rsid w:val="0084318B"/>
    <w:rsid w:val="008439DC"/>
    <w:rsid w:val="00843F4F"/>
    <w:rsid w:val="0085003F"/>
    <w:rsid w:val="00850D95"/>
    <w:rsid w:val="00851345"/>
    <w:rsid w:val="008519CA"/>
    <w:rsid w:val="00851BAC"/>
    <w:rsid w:val="00852970"/>
    <w:rsid w:val="008529EE"/>
    <w:rsid w:val="00852B3F"/>
    <w:rsid w:val="008530AE"/>
    <w:rsid w:val="00853AF6"/>
    <w:rsid w:val="00854F4A"/>
    <w:rsid w:val="008551A5"/>
    <w:rsid w:val="00855EC5"/>
    <w:rsid w:val="00856D6E"/>
    <w:rsid w:val="00856DD3"/>
    <w:rsid w:val="00856E95"/>
    <w:rsid w:val="00857283"/>
    <w:rsid w:val="008601B5"/>
    <w:rsid w:val="00861CE4"/>
    <w:rsid w:val="00862B04"/>
    <w:rsid w:val="008640A4"/>
    <w:rsid w:val="00864DE1"/>
    <w:rsid w:val="00864F4B"/>
    <w:rsid w:val="00866701"/>
    <w:rsid w:val="00866F6D"/>
    <w:rsid w:val="00867DAB"/>
    <w:rsid w:val="00870A87"/>
    <w:rsid w:val="00871854"/>
    <w:rsid w:val="00872B4A"/>
    <w:rsid w:val="00872DD7"/>
    <w:rsid w:val="00875A6A"/>
    <w:rsid w:val="00876931"/>
    <w:rsid w:val="00877BCD"/>
    <w:rsid w:val="00877F4A"/>
    <w:rsid w:val="00877FB5"/>
    <w:rsid w:val="00880AF3"/>
    <w:rsid w:val="00880C4C"/>
    <w:rsid w:val="00882F7A"/>
    <w:rsid w:val="00883C15"/>
    <w:rsid w:val="00885F9C"/>
    <w:rsid w:val="00886248"/>
    <w:rsid w:val="00890732"/>
    <w:rsid w:val="00891103"/>
    <w:rsid w:val="00891DB9"/>
    <w:rsid w:val="0089257A"/>
    <w:rsid w:val="00892A13"/>
    <w:rsid w:val="008946B2"/>
    <w:rsid w:val="0089471A"/>
    <w:rsid w:val="0089529B"/>
    <w:rsid w:val="00895F36"/>
    <w:rsid w:val="00896C1A"/>
    <w:rsid w:val="00896F34"/>
    <w:rsid w:val="00897417"/>
    <w:rsid w:val="008A0106"/>
    <w:rsid w:val="008A5E2B"/>
    <w:rsid w:val="008A721F"/>
    <w:rsid w:val="008B003C"/>
    <w:rsid w:val="008B0D0B"/>
    <w:rsid w:val="008B1F3B"/>
    <w:rsid w:val="008B276C"/>
    <w:rsid w:val="008B2A9F"/>
    <w:rsid w:val="008B2BFC"/>
    <w:rsid w:val="008B2DB1"/>
    <w:rsid w:val="008B68F7"/>
    <w:rsid w:val="008C095F"/>
    <w:rsid w:val="008C14BA"/>
    <w:rsid w:val="008C495B"/>
    <w:rsid w:val="008C5A54"/>
    <w:rsid w:val="008C5BED"/>
    <w:rsid w:val="008C615A"/>
    <w:rsid w:val="008D261C"/>
    <w:rsid w:val="008D2FB4"/>
    <w:rsid w:val="008D33FA"/>
    <w:rsid w:val="008D3F06"/>
    <w:rsid w:val="008D60B5"/>
    <w:rsid w:val="008D65B4"/>
    <w:rsid w:val="008D6AB9"/>
    <w:rsid w:val="008D6CE6"/>
    <w:rsid w:val="008D71CE"/>
    <w:rsid w:val="008E0B61"/>
    <w:rsid w:val="008E1552"/>
    <w:rsid w:val="008E294F"/>
    <w:rsid w:val="008E36F5"/>
    <w:rsid w:val="008E395E"/>
    <w:rsid w:val="008E3E2F"/>
    <w:rsid w:val="008E504D"/>
    <w:rsid w:val="008E596B"/>
    <w:rsid w:val="008E607C"/>
    <w:rsid w:val="008E7D3E"/>
    <w:rsid w:val="008E7E42"/>
    <w:rsid w:val="008F1341"/>
    <w:rsid w:val="008F233D"/>
    <w:rsid w:val="008F3192"/>
    <w:rsid w:val="008F3813"/>
    <w:rsid w:val="008F3A76"/>
    <w:rsid w:val="008F5679"/>
    <w:rsid w:val="008F5CD3"/>
    <w:rsid w:val="008F6047"/>
    <w:rsid w:val="008F60B6"/>
    <w:rsid w:val="008F662B"/>
    <w:rsid w:val="008F6D03"/>
    <w:rsid w:val="008F71C7"/>
    <w:rsid w:val="00902666"/>
    <w:rsid w:val="00906D2D"/>
    <w:rsid w:val="00911F08"/>
    <w:rsid w:val="009122DF"/>
    <w:rsid w:val="00912AA3"/>
    <w:rsid w:val="009136C1"/>
    <w:rsid w:val="00914799"/>
    <w:rsid w:val="00916669"/>
    <w:rsid w:val="009226E2"/>
    <w:rsid w:val="009234E3"/>
    <w:rsid w:val="00923C1B"/>
    <w:rsid w:val="00924003"/>
    <w:rsid w:val="00924232"/>
    <w:rsid w:val="00924237"/>
    <w:rsid w:val="0092460F"/>
    <w:rsid w:val="00925919"/>
    <w:rsid w:val="00925A2F"/>
    <w:rsid w:val="00930647"/>
    <w:rsid w:val="009308AC"/>
    <w:rsid w:val="00930BD1"/>
    <w:rsid w:val="0093192C"/>
    <w:rsid w:val="0093197E"/>
    <w:rsid w:val="00932650"/>
    <w:rsid w:val="009326D9"/>
    <w:rsid w:val="00933D2F"/>
    <w:rsid w:val="009345D2"/>
    <w:rsid w:val="009362D8"/>
    <w:rsid w:val="00937F3D"/>
    <w:rsid w:val="0094057A"/>
    <w:rsid w:val="009411B8"/>
    <w:rsid w:val="009424BA"/>
    <w:rsid w:val="00943A0D"/>
    <w:rsid w:val="009465C1"/>
    <w:rsid w:val="0094666B"/>
    <w:rsid w:val="0095054B"/>
    <w:rsid w:val="00950960"/>
    <w:rsid w:val="009515CF"/>
    <w:rsid w:val="00952275"/>
    <w:rsid w:val="0095276D"/>
    <w:rsid w:val="00954C67"/>
    <w:rsid w:val="009574F8"/>
    <w:rsid w:val="00957A60"/>
    <w:rsid w:val="00963353"/>
    <w:rsid w:val="00964816"/>
    <w:rsid w:val="00965EF7"/>
    <w:rsid w:val="00966254"/>
    <w:rsid w:val="00970EBA"/>
    <w:rsid w:val="00971883"/>
    <w:rsid w:val="00971E33"/>
    <w:rsid w:val="00971E9E"/>
    <w:rsid w:val="0097253A"/>
    <w:rsid w:val="0097253B"/>
    <w:rsid w:val="009726E4"/>
    <w:rsid w:val="00974737"/>
    <w:rsid w:val="009764F2"/>
    <w:rsid w:val="00977389"/>
    <w:rsid w:val="009779D0"/>
    <w:rsid w:val="00977C62"/>
    <w:rsid w:val="009867BA"/>
    <w:rsid w:val="009879E8"/>
    <w:rsid w:val="009930C2"/>
    <w:rsid w:val="00993BE9"/>
    <w:rsid w:val="00995FA3"/>
    <w:rsid w:val="009A0982"/>
    <w:rsid w:val="009A1109"/>
    <w:rsid w:val="009A14F7"/>
    <w:rsid w:val="009A375B"/>
    <w:rsid w:val="009A427C"/>
    <w:rsid w:val="009A4499"/>
    <w:rsid w:val="009A4B3E"/>
    <w:rsid w:val="009A60BE"/>
    <w:rsid w:val="009A6458"/>
    <w:rsid w:val="009A74B4"/>
    <w:rsid w:val="009B073D"/>
    <w:rsid w:val="009B1928"/>
    <w:rsid w:val="009B1FCE"/>
    <w:rsid w:val="009B2E7E"/>
    <w:rsid w:val="009B4592"/>
    <w:rsid w:val="009B45F0"/>
    <w:rsid w:val="009B46D1"/>
    <w:rsid w:val="009B52E6"/>
    <w:rsid w:val="009B5325"/>
    <w:rsid w:val="009B5DB0"/>
    <w:rsid w:val="009B6437"/>
    <w:rsid w:val="009B64FA"/>
    <w:rsid w:val="009B73E4"/>
    <w:rsid w:val="009B79EE"/>
    <w:rsid w:val="009C0490"/>
    <w:rsid w:val="009C0941"/>
    <w:rsid w:val="009C12D5"/>
    <w:rsid w:val="009C268C"/>
    <w:rsid w:val="009C33D2"/>
    <w:rsid w:val="009C3BB0"/>
    <w:rsid w:val="009C3C58"/>
    <w:rsid w:val="009C4C42"/>
    <w:rsid w:val="009C6701"/>
    <w:rsid w:val="009C698E"/>
    <w:rsid w:val="009D0A6F"/>
    <w:rsid w:val="009D131C"/>
    <w:rsid w:val="009D19E6"/>
    <w:rsid w:val="009D2C98"/>
    <w:rsid w:val="009E14E3"/>
    <w:rsid w:val="009E2403"/>
    <w:rsid w:val="009E79F8"/>
    <w:rsid w:val="009F09C0"/>
    <w:rsid w:val="009F3113"/>
    <w:rsid w:val="009F3487"/>
    <w:rsid w:val="009F4674"/>
    <w:rsid w:val="009F7803"/>
    <w:rsid w:val="00A00242"/>
    <w:rsid w:val="00A01C9D"/>
    <w:rsid w:val="00A023EA"/>
    <w:rsid w:val="00A02F1E"/>
    <w:rsid w:val="00A036BB"/>
    <w:rsid w:val="00A036CE"/>
    <w:rsid w:val="00A0664D"/>
    <w:rsid w:val="00A06A47"/>
    <w:rsid w:val="00A07F5A"/>
    <w:rsid w:val="00A10C0A"/>
    <w:rsid w:val="00A10FCD"/>
    <w:rsid w:val="00A11DE4"/>
    <w:rsid w:val="00A148EA"/>
    <w:rsid w:val="00A1493F"/>
    <w:rsid w:val="00A15380"/>
    <w:rsid w:val="00A169B8"/>
    <w:rsid w:val="00A179BC"/>
    <w:rsid w:val="00A211FF"/>
    <w:rsid w:val="00A21391"/>
    <w:rsid w:val="00A21780"/>
    <w:rsid w:val="00A22DBA"/>
    <w:rsid w:val="00A23134"/>
    <w:rsid w:val="00A23E63"/>
    <w:rsid w:val="00A24379"/>
    <w:rsid w:val="00A24546"/>
    <w:rsid w:val="00A24915"/>
    <w:rsid w:val="00A252A9"/>
    <w:rsid w:val="00A309EB"/>
    <w:rsid w:val="00A30A5C"/>
    <w:rsid w:val="00A31704"/>
    <w:rsid w:val="00A3192A"/>
    <w:rsid w:val="00A32E35"/>
    <w:rsid w:val="00A35577"/>
    <w:rsid w:val="00A3643E"/>
    <w:rsid w:val="00A3756E"/>
    <w:rsid w:val="00A40500"/>
    <w:rsid w:val="00A41965"/>
    <w:rsid w:val="00A41B64"/>
    <w:rsid w:val="00A43D77"/>
    <w:rsid w:val="00A45A2E"/>
    <w:rsid w:val="00A461F5"/>
    <w:rsid w:val="00A468FF"/>
    <w:rsid w:val="00A46E6D"/>
    <w:rsid w:val="00A47703"/>
    <w:rsid w:val="00A47A2F"/>
    <w:rsid w:val="00A514C2"/>
    <w:rsid w:val="00A52614"/>
    <w:rsid w:val="00A5618E"/>
    <w:rsid w:val="00A56F76"/>
    <w:rsid w:val="00A57339"/>
    <w:rsid w:val="00A5740A"/>
    <w:rsid w:val="00A6012D"/>
    <w:rsid w:val="00A61AE0"/>
    <w:rsid w:val="00A63147"/>
    <w:rsid w:val="00A64E55"/>
    <w:rsid w:val="00A650ED"/>
    <w:rsid w:val="00A66F05"/>
    <w:rsid w:val="00A6708D"/>
    <w:rsid w:val="00A6787D"/>
    <w:rsid w:val="00A73D2E"/>
    <w:rsid w:val="00A7428D"/>
    <w:rsid w:val="00A7471B"/>
    <w:rsid w:val="00A74E32"/>
    <w:rsid w:val="00A74EC5"/>
    <w:rsid w:val="00A7523F"/>
    <w:rsid w:val="00A75846"/>
    <w:rsid w:val="00A75B4B"/>
    <w:rsid w:val="00A763DD"/>
    <w:rsid w:val="00A81187"/>
    <w:rsid w:val="00A81FFE"/>
    <w:rsid w:val="00A823E3"/>
    <w:rsid w:val="00A84606"/>
    <w:rsid w:val="00A8528A"/>
    <w:rsid w:val="00A862AF"/>
    <w:rsid w:val="00A86CF1"/>
    <w:rsid w:val="00A86FF4"/>
    <w:rsid w:val="00A87A38"/>
    <w:rsid w:val="00A9002C"/>
    <w:rsid w:val="00A90FDF"/>
    <w:rsid w:val="00A91DE9"/>
    <w:rsid w:val="00A924E3"/>
    <w:rsid w:val="00A93FC4"/>
    <w:rsid w:val="00A96FE5"/>
    <w:rsid w:val="00A97E30"/>
    <w:rsid w:val="00AA20D8"/>
    <w:rsid w:val="00AA2118"/>
    <w:rsid w:val="00AA3590"/>
    <w:rsid w:val="00AA4CEC"/>
    <w:rsid w:val="00AA6BA7"/>
    <w:rsid w:val="00AB1188"/>
    <w:rsid w:val="00AB135A"/>
    <w:rsid w:val="00AB2057"/>
    <w:rsid w:val="00AB30FE"/>
    <w:rsid w:val="00AB3A49"/>
    <w:rsid w:val="00AB550A"/>
    <w:rsid w:val="00AB5C93"/>
    <w:rsid w:val="00AB611A"/>
    <w:rsid w:val="00AB7837"/>
    <w:rsid w:val="00AC02A0"/>
    <w:rsid w:val="00AC0CF4"/>
    <w:rsid w:val="00AC1043"/>
    <w:rsid w:val="00AC1052"/>
    <w:rsid w:val="00AC1220"/>
    <w:rsid w:val="00AC13D2"/>
    <w:rsid w:val="00AC1CF8"/>
    <w:rsid w:val="00AC37AC"/>
    <w:rsid w:val="00AC48A8"/>
    <w:rsid w:val="00AC4B07"/>
    <w:rsid w:val="00AC5F31"/>
    <w:rsid w:val="00AC6758"/>
    <w:rsid w:val="00AC67FF"/>
    <w:rsid w:val="00AC6A04"/>
    <w:rsid w:val="00AC7156"/>
    <w:rsid w:val="00AC762A"/>
    <w:rsid w:val="00AC7F17"/>
    <w:rsid w:val="00AD0752"/>
    <w:rsid w:val="00AD0C6C"/>
    <w:rsid w:val="00AD127D"/>
    <w:rsid w:val="00AD1FA7"/>
    <w:rsid w:val="00AD40E9"/>
    <w:rsid w:val="00AD769A"/>
    <w:rsid w:val="00AE0318"/>
    <w:rsid w:val="00AE33C7"/>
    <w:rsid w:val="00AE5867"/>
    <w:rsid w:val="00AE604D"/>
    <w:rsid w:val="00AE6E12"/>
    <w:rsid w:val="00AF15B0"/>
    <w:rsid w:val="00AF19F4"/>
    <w:rsid w:val="00AF4A2B"/>
    <w:rsid w:val="00AF674F"/>
    <w:rsid w:val="00AF6766"/>
    <w:rsid w:val="00AF74E2"/>
    <w:rsid w:val="00B0027E"/>
    <w:rsid w:val="00B01065"/>
    <w:rsid w:val="00B01290"/>
    <w:rsid w:val="00B02429"/>
    <w:rsid w:val="00B04751"/>
    <w:rsid w:val="00B05F24"/>
    <w:rsid w:val="00B10E2F"/>
    <w:rsid w:val="00B116A1"/>
    <w:rsid w:val="00B11F1A"/>
    <w:rsid w:val="00B134A2"/>
    <w:rsid w:val="00B134B8"/>
    <w:rsid w:val="00B144AF"/>
    <w:rsid w:val="00B1463A"/>
    <w:rsid w:val="00B165A6"/>
    <w:rsid w:val="00B23902"/>
    <w:rsid w:val="00B25042"/>
    <w:rsid w:val="00B258A9"/>
    <w:rsid w:val="00B268B5"/>
    <w:rsid w:val="00B26D34"/>
    <w:rsid w:val="00B27521"/>
    <w:rsid w:val="00B277E0"/>
    <w:rsid w:val="00B30D5F"/>
    <w:rsid w:val="00B30FA3"/>
    <w:rsid w:val="00B315CD"/>
    <w:rsid w:val="00B31F68"/>
    <w:rsid w:val="00B34507"/>
    <w:rsid w:val="00B359E7"/>
    <w:rsid w:val="00B375EB"/>
    <w:rsid w:val="00B37C94"/>
    <w:rsid w:val="00B4196A"/>
    <w:rsid w:val="00B41CBD"/>
    <w:rsid w:val="00B43EB1"/>
    <w:rsid w:val="00B44C89"/>
    <w:rsid w:val="00B4542B"/>
    <w:rsid w:val="00B46AE1"/>
    <w:rsid w:val="00B46CBD"/>
    <w:rsid w:val="00B46D6D"/>
    <w:rsid w:val="00B46E6A"/>
    <w:rsid w:val="00B509D8"/>
    <w:rsid w:val="00B50B7F"/>
    <w:rsid w:val="00B50EC8"/>
    <w:rsid w:val="00B51099"/>
    <w:rsid w:val="00B517E5"/>
    <w:rsid w:val="00B53011"/>
    <w:rsid w:val="00B53E26"/>
    <w:rsid w:val="00B62989"/>
    <w:rsid w:val="00B63B77"/>
    <w:rsid w:val="00B64BBE"/>
    <w:rsid w:val="00B64F27"/>
    <w:rsid w:val="00B65469"/>
    <w:rsid w:val="00B660FC"/>
    <w:rsid w:val="00B66131"/>
    <w:rsid w:val="00B662EA"/>
    <w:rsid w:val="00B66BB1"/>
    <w:rsid w:val="00B66E38"/>
    <w:rsid w:val="00B66E65"/>
    <w:rsid w:val="00B671CF"/>
    <w:rsid w:val="00B70582"/>
    <w:rsid w:val="00B71B74"/>
    <w:rsid w:val="00B72D58"/>
    <w:rsid w:val="00B74B03"/>
    <w:rsid w:val="00B75A2E"/>
    <w:rsid w:val="00B75A70"/>
    <w:rsid w:val="00B77173"/>
    <w:rsid w:val="00B771F6"/>
    <w:rsid w:val="00B77285"/>
    <w:rsid w:val="00B774C4"/>
    <w:rsid w:val="00B835BB"/>
    <w:rsid w:val="00B84892"/>
    <w:rsid w:val="00B86D11"/>
    <w:rsid w:val="00B92ED5"/>
    <w:rsid w:val="00B93DBA"/>
    <w:rsid w:val="00B94DF4"/>
    <w:rsid w:val="00B95CA0"/>
    <w:rsid w:val="00BA05CA"/>
    <w:rsid w:val="00BA1E3E"/>
    <w:rsid w:val="00BA2506"/>
    <w:rsid w:val="00BA3591"/>
    <w:rsid w:val="00BA362A"/>
    <w:rsid w:val="00BA41DD"/>
    <w:rsid w:val="00BA448F"/>
    <w:rsid w:val="00BA605A"/>
    <w:rsid w:val="00BA6EE5"/>
    <w:rsid w:val="00BB081A"/>
    <w:rsid w:val="00BB0A9D"/>
    <w:rsid w:val="00BB1440"/>
    <w:rsid w:val="00BB1D27"/>
    <w:rsid w:val="00BB1ED9"/>
    <w:rsid w:val="00BB33EA"/>
    <w:rsid w:val="00BB37A2"/>
    <w:rsid w:val="00BB404E"/>
    <w:rsid w:val="00BB6C7A"/>
    <w:rsid w:val="00BB7DE0"/>
    <w:rsid w:val="00BC072B"/>
    <w:rsid w:val="00BC3658"/>
    <w:rsid w:val="00BC3761"/>
    <w:rsid w:val="00BC3FF4"/>
    <w:rsid w:val="00BC473D"/>
    <w:rsid w:val="00BC4E56"/>
    <w:rsid w:val="00BC673A"/>
    <w:rsid w:val="00BC6B5F"/>
    <w:rsid w:val="00BD066D"/>
    <w:rsid w:val="00BD0859"/>
    <w:rsid w:val="00BD235C"/>
    <w:rsid w:val="00BD3B88"/>
    <w:rsid w:val="00BD4099"/>
    <w:rsid w:val="00BD6D3F"/>
    <w:rsid w:val="00BD72AF"/>
    <w:rsid w:val="00BE0869"/>
    <w:rsid w:val="00BE1A9C"/>
    <w:rsid w:val="00BE25E3"/>
    <w:rsid w:val="00BE2BAF"/>
    <w:rsid w:val="00BE4E98"/>
    <w:rsid w:val="00BF2317"/>
    <w:rsid w:val="00BF381D"/>
    <w:rsid w:val="00BF3A4B"/>
    <w:rsid w:val="00BF5314"/>
    <w:rsid w:val="00BF67CF"/>
    <w:rsid w:val="00BF6EAF"/>
    <w:rsid w:val="00BF74A1"/>
    <w:rsid w:val="00C020D5"/>
    <w:rsid w:val="00C05580"/>
    <w:rsid w:val="00C05755"/>
    <w:rsid w:val="00C058CA"/>
    <w:rsid w:val="00C06AD6"/>
    <w:rsid w:val="00C076F8"/>
    <w:rsid w:val="00C07EAA"/>
    <w:rsid w:val="00C11F5E"/>
    <w:rsid w:val="00C12DFA"/>
    <w:rsid w:val="00C12ED1"/>
    <w:rsid w:val="00C1318F"/>
    <w:rsid w:val="00C151D6"/>
    <w:rsid w:val="00C1717C"/>
    <w:rsid w:val="00C2183A"/>
    <w:rsid w:val="00C21860"/>
    <w:rsid w:val="00C21B81"/>
    <w:rsid w:val="00C22C60"/>
    <w:rsid w:val="00C23778"/>
    <w:rsid w:val="00C2435B"/>
    <w:rsid w:val="00C24BE9"/>
    <w:rsid w:val="00C258C3"/>
    <w:rsid w:val="00C2606F"/>
    <w:rsid w:val="00C26183"/>
    <w:rsid w:val="00C27267"/>
    <w:rsid w:val="00C301BE"/>
    <w:rsid w:val="00C30749"/>
    <w:rsid w:val="00C30994"/>
    <w:rsid w:val="00C31E0B"/>
    <w:rsid w:val="00C32509"/>
    <w:rsid w:val="00C34AD7"/>
    <w:rsid w:val="00C362ED"/>
    <w:rsid w:val="00C363B2"/>
    <w:rsid w:val="00C36697"/>
    <w:rsid w:val="00C36D23"/>
    <w:rsid w:val="00C3749D"/>
    <w:rsid w:val="00C40960"/>
    <w:rsid w:val="00C410FE"/>
    <w:rsid w:val="00C4156F"/>
    <w:rsid w:val="00C41727"/>
    <w:rsid w:val="00C426DA"/>
    <w:rsid w:val="00C4415A"/>
    <w:rsid w:val="00C44277"/>
    <w:rsid w:val="00C452DB"/>
    <w:rsid w:val="00C46181"/>
    <w:rsid w:val="00C51715"/>
    <w:rsid w:val="00C523D8"/>
    <w:rsid w:val="00C52E2D"/>
    <w:rsid w:val="00C55E59"/>
    <w:rsid w:val="00C56975"/>
    <w:rsid w:val="00C61332"/>
    <w:rsid w:val="00C61655"/>
    <w:rsid w:val="00C62317"/>
    <w:rsid w:val="00C6330C"/>
    <w:rsid w:val="00C633FA"/>
    <w:rsid w:val="00C646EC"/>
    <w:rsid w:val="00C647A4"/>
    <w:rsid w:val="00C64805"/>
    <w:rsid w:val="00C650D9"/>
    <w:rsid w:val="00C67DB2"/>
    <w:rsid w:val="00C70EDC"/>
    <w:rsid w:val="00C71C45"/>
    <w:rsid w:val="00C727D3"/>
    <w:rsid w:val="00C74AA5"/>
    <w:rsid w:val="00C764CB"/>
    <w:rsid w:val="00C81ADE"/>
    <w:rsid w:val="00C81F2B"/>
    <w:rsid w:val="00C82982"/>
    <w:rsid w:val="00C847E2"/>
    <w:rsid w:val="00C85170"/>
    <w:rsid w:val="00C85EBB"/>
    <w:rsid w:val="00C87A6D"/>
    <w:rsid w:val="00C90FC7"/>
    <w:rsid w:val="00C9159D"/>
    <w:rsid w:val="00C94CEA"/>
    <w:rsid w:val="00C94E46"/>
    <w:rsid w:val="00C96291"/>
    <w:rsid w:val="00C97B16"/>
    <w:rsid w:val="00C97DF7"/>
    <w:rsid w:val="00CA0FB7"/>
    <w:rsid w:val="00CA11D7"/>
    <w:rsid w:val="00CA1DED"/>
    <w:rsid w:val="00CA235B"/>
    <w:rsid w:val="00CA2475"/>
    <w:rsid w:val="00CA3F9E"/>
    <w:rsid w:val="00CA7149"/>
    <w:rsid w:val="00CB2406"/>
    <w:rsid w:val="00CB2424"/>
    <w:rsid w:val="00CB28E7"/>
    <w:rsid w:val="00CB3087"/>
    <w:rsid w:val="00CB426B"/>
    <w:rsid w:val="00CB5AE8"/>
    <w:rsid w:val="00CB7259"/>
    <w:rsid w:val="00CB7442"/>
    <w:rsid w:val="00CC018F"/>
    <w:rsid w:val="00CC0197"/>
    <w:rsid w:val="00CC01A7"/>
    <w:rsid w:val="00CC0EFE"/>
    <w:rsid w:val="00CC2A0C"/>
    <w:rsid w:val="00CC3A06"/>
    <w:rsid w:val="00CC4EBC"/>
    <w:rsid w:val="00CC52E2"/>
    <w:rsid w:val="00CC5771"/>
    <w:rsid w:val="00CC5EB3"/>
    <w:rsid w:val="00CC691C"/>
    <w:rsid w:val="00CC6B11"/>
    <w:rsid w:val="00CD0743"/>
    <w:rsid w:val="00CD083B"/>
    <w:rsid w:val="00CD0ABF"/>
    <w:rsid w:val="00CD1571"/>
    <w:rsid w:val="00CD1E8C"/>
    <w:rsid w:val="00CD1F98"/>
    <w:rsid w:val="00CD361A"/>
    <w:rsid w:val="00CD46D9"/>
    <w:rsid w:val="00CD4793"/>
    <w:rsid w:val="00CD6366"/>
    <w:rsid w:val="00CD7378"/>
    <w:rsid w:val="00CD74CE"/>
    <w:rsid w:val="00CD7DC8"/>
    <w:rsid w:val="00CE148A"/>
    <w:rsid w:val="00CE28EB"/>
    <w:rsid w:val="00CE2E28"/>
    <w:rsid w:val="00CF0C5B"/>
    <w:rsid w:val="00CF37CA"/>
    <w:rsid w:val="00CF5675"/>
    <w:rsid w:val="00CF6D16"/>
    <w:rsid w:val="00CF7721"/>
    <w:rsid w:val="00D0434A"/>
    <w:rsid w:val="00D046D4"/>
    <w:rsid w:val="00D06365"/>
    <w:rsid w:val="00D07B46"/>
    <w:rsid w:val="00D1010C"/>
    <w:rsid w:val="00D10540"/>
    <w:rsid w:val="00D10FA5"/>
    <w:rsid w:val="00D11954"/>
    <w:rsid w:val="00D12025"/>
    <w:rsid w:val="00D12DE3"/>
    <w:rsid w:val="00D1333E"/>
    <w:rsid w:val="00D1377B"/>
    <w:rsid w:val="00D13A05"/>
    <w:rsid w:val="00D163E9"/>
    <w:rsid w:val="00D171D9"/>
    <w:rsid w:val="00D17BAE"/>
    <w:rsid w:val="00D20708"/>
    <w:rsid w:val="00D20F96"/>
    <w:rsid w:val="00D2119F"/>
    <w:rsid w:val="00D211FB"/>
    <w:rsid w:val="00D214B8"/>
    <w:rsid w:val="00D21941"/>
    <w:rsid w:val="00D22285"/>
    <w:rsid w:val="00D27AFF"/>
    <w:rsid w:val="00D302C7"/>
    <w:rsid w:val="00D31A61"/>
    <w:rsid w:val="00D33220"/>
    <w:rsid w:val="00D34A54"/>
    <w:rsid w:val="00D402EB"/>
    <w:rsid w:val="00D4079D"/>
    <w:rsid w:val="00D413AE"/>
    <w:rsid w:val="00D436BA"/>
    <w:rsid w:val="00D44438"/>
    <w:rsid w:val="00D47EA7"/>
    <w:rsid w:val="00D5074B"/>
    <w:rsid w:val="00D50CA4"/>
    <w:rsid w:val="00D5126F"/>
    <w:rsid w:val="00D53DC7"/>
    <w:rsid w:val="00D5414F"/>
    <w:rsid w:val="00D54E32"/>
    <w:rsid w:val="00D565FA"/>
    <w:rsid w:val="00D57A06"/>
    <w:rsid w:val="00D57E15"/>
    <w:rsid w:val="00D6116D"/>
    <w:rsid w:val="00D6269D"/>
    <w:rsid w:val="00D62ACF"/>
    <w:rsid w:val="00D6331C"/>
    <w:rsid w:val="00D657BC"/>
    <w:rsid w:val="00D65B05"/>
    <w:rsid w:val="00D7152F"/>
    <w:rsid w:val="00D73280"/>
    <w:rsid w:val="00D73D30"/>
    <w:rsid w:val="00D74E4E"/>
    <w:rsid w:val="00D75F21"/>
    <w:rsid w:val="00D762D7"/>
    <w:rsid w:val="00D76B69"/>
    <w:rsid w:val="00D775EE"/>
    <w:rsid w:val="00D77FD6"/>
    <w:rsid w:val="00D81C64"/>
    <w:rsid w:val="00D845B4"/>
    <w:rsid w:val="00D85A92"/>
    <w:rsid w:val="00D85B8E"/>
    <w:rsid w:val="00D90A26"/>
    <w:rsid w:val="00D90CEC"/>
    <w:rsid w:val="00D94000"/>
    <w:rsid w:val="00D94910"/>
    <w:rsid w:val="00D95348"/>
    <w:rsid w:val="00D95CAA"/>
    <w:rsid w:val="00D9728D"/>
    <w:rsid w:val="00DA04D5"/>
    <w:rsid w:val="00DA0CC9"/>
    <w:rsid w:val="00DA11C4"/>
    <w:rsid w:val="00DA3C35"/>
    <w:rsid w:val="00DA66ED"/>
    <w:rsid w:val="00DA6967"/>
    <w:rsid w:val="00DA7D10"/>
    <w:rsid w:val="00DA7E64"/>
    <w:rsid w:val="00DB269A"/>
    <w:rsid w:val="00DB3CBE"/>
    <w:rsid w:val="00DB5E8B"/>
    <w:rsid w:val="00DB6979"/>
    <w:rsid w:val="00DB7AF4"/>
    <w:rsid w:val="00DB7C4B"/>
    <w:rsid w:val="00DC0957"/>
    <w:rsid w:val="00DC3D93"/>
    <w:rsid w:val="00DC4EA3"/>
    <w:rsid w:val="00DC7950"/>
    <w:rsid w:val="00DD0BB9"/>
    <w:rsid w:val="00DD31DA"/>
    <w:rsid w:val="00DD3442"/>
    <w:rsid w:val="00DD66B7"/>
    <w:rsid w:val="00DE00FD"/>
    <w:rsid w:val="00DE19C8"/>
    <w:rsid w:val="00DE1A79"/>
    <w:rsid w:val="00DE1B99"/>
    <w:rsid w:val="00DE436C"/>
    <w:rsid w:val="00DE521C"/>
    <w:rsid w:val="00DE5458"/>
    <w:rsid w:val="00DE58AB"/>
    <w:rsid w:val="00DF072E"/>
    <w:rsid w:val="00DF0BC6"/>
    <w:rsid w:val="00DF1FBF"/>
    <w:rsid w:val="00DF2C89"/>
    <w:rsid w:val="00DF357C"/>
    <w:rsid w:val="00DF3854"/>
    <w:rsid w:val="00DF5230"/>
    <w:rsid w:val="00DF6DA3"/>
    <w:rsid w:val="00E00F03"/>
    <w:rsid w:val="00E022FB"/>
    <w:rsid w:val="00E026FB"/>
    <w:rsid w:val="00E034FA"/>
    <w:rsid w:val="00E03A9E"/>
    <w:rsid w:val="00E0578D"/>
    <w:rsid w:val="00E069CC"/>
    <w:rsid w:val="00E07765"/>
    <w:rsid w:val="00E07EF1"/>
    <w:rsid w:val="00E1080C"/>
    <w:rsid w:val="00E11D39"/>
    <w:rsid w:val="00E12106"/>
    <w:rsid w:val="00E12F4D"/>
    <w:rsid w:val="00E13D88"/>
    <w:rsid w:val="00E1427E"/>
    <w:rsid w:val="00E14873"/>
    <w:rsid w:val="00E15A09"/>
    <w:rsid w:val="00E16C2F"/>
    <w:rsid w:val="00E178A5"/>
    <w:rsid w:val="00E21110"/>
    <w:rsid w:val="00E220A3"/>
    <w:rsid w:val="00E234D8"/>
    <w:rsid w:val="00E23EE2"/>
    <w:rsid w:val="00E24458"/>
    <w:rsid w:val="00E257CB"/>
    <w:rsid w:val="00E26ABC"/>
    <w:rsid w:val="00E27183"/>
    <w:rsid w:val="00E307E0"/>
    <w:rsid w:val="00E3099F"/>
    <w:rsid w:val="00E311A5"/>
    <w:rsid w:val="00E31624"/>
    <w:rsid w:val="00E31A0B"/>
    <w:rsid w:val="00E3392E"/>
    <w:rsid w:val="00E3478A"/>
    <w:rsid w:val="00E35DFE"/>
    <w:rsid w:val="00E36F7B"/>
    <w:rsid w:val="00E37343"/>
    <w:rsid w:val="00E375E3"/>
    <w:rsid w:val="00E405B6"/>
    <w:rsid w:val="00E41914"/>
    <w:rsid w:val="00E4220D"/>
    <w:rsid w:val="00E428D0"/>
    <w:rsid w:val="00E42C4F"/>
    <w:rsid w:val="00E441E2"/>
    <w:rsid w:val="00E45C1A"/>
    <w:rsid w:val="00E47290"/>
    <w:rsid w:val="00E506B8"/>
    <w:rsid w:val="00E53956"/>
    <w:rsid w:val="00E53BF6"/>
    <w:rsid w:val="00E53D4D"/>
    <w:rsid w:val="00E54AC7"/>
    <w:rsid w:val="00E54EA2"/>
    <w:rsid w:val="00E56844"/>
    <w:rsid w:val="00E57F05"/>
    <w:rsid w:val="00E60D90"/>
    <w:rsid w:val="00E610E4"/>
    <w:rsid w:val="00E62604"/>
    <w:rsid w:val="00E63A7B"/>
    <w:rsid w:val="00E65316"/>
    <w:rsid w:val="00E66FAF"/>
    <w:rsid w:val="00E67170"/>
    <w:rsid w:val="00E676D9"/>
    <w:rsid w:val="00E67C13"/>
    <w:rsid w:val="00E708F1"/>
    <w:rsid w:val="00E70C1C"/>
    <w:rsid w:val="00E7138D"/>
    <w:rsid w:val="00E715CA"/>
    <w:rsid w:val="00E72D04"/>
    <w:rsid w:val="00E74B09"/>
    <w:rsid w:val="00E74EBF"/>
    <w:rsid w:val="00E75CBF"/>
    <w:rsid w:val="00E7601E"/>
    <w:rsid w:val="00E7668B"/>
    <w:rsid w:val="00E80250"/>
    <w:rsid w:val="00E8054F"/>
    <w:rsid w:val="00E8111A"/>
    <w:rsid w:val="00E811AB"/>
    <w:rsid w:val="00E81483"/>
    <w:rsid w:val="00E81609"/>
    <w:rsid w:val="00E831AF"/>
    <w:rsid w:val="00E8323C"/>
    <w:rsid w:val="00E8331F"/>
    <w:rsid w:val="00E844E0"/>
    <w:rsid w:val="00E8541F"/>
    <w:rsid w:val="00E856E7"/>
    <w:rsid w:val="00E8730E"/>
    <w:rsid w:val="00E87634"/>
    <w:rsid w:val="00E87A6C"/>
    <w:rsid w:val="00E9336F"/>
    <w:rsid w:val="00E941B3"/>
    <w:rsid w:val="00E951FD"/>
    <w:rsid w:val="00E953BE"/>
    <w:rsid w:val="00E9570C"/>
    <w:rsid w:val="00E95EE5"/>
    <w:rsid w:val="00EA1EF0"/>
    <w:rsid w:val="00EA2056"/>
    <w:rsid w:val="00EA235B"/>
    <w:rsid w:val="00EA2513"/>
    <w:rsid w:val="00EA29B3"/>
    <w:rsid w:val="00EA2FD1"/>
    <w:rsid w:val="00EA50C0"/>
    <w:rsid w:val="00EA50EE"/>
    <w:rsid w:val="00EA7324"/>
    <w:rsid w:val="00EA788A"/>
    <w:rsid w:val="00EA7E0F"/>
    <w:rsid w:val="00EB1360"/>
    <w:rsid w:val="00EB2E72"/>
    <w:rsid w:val="00EB4754"/>
    <w:rsid w:val="00EB58F7"/>
    <w:rsid w:val="00EB6936"/>
    <w:rsid w:val="00EB6B6D"/>
    <w:rsid w:val="00EC06A8"/>
    <w:rsid w:val="00EC1449"/>
    <w:rsid w:val="00EC14CB"/>
    <w:rsid w:val="00EC1F7B"/>
    <w:rsid w:val="00EC2A10"/>
    <w:rsid w:val="00EC352E"/>
    <w:rsid w:val="00EC4385"/>
    <w:rsid w:val="00EC4BB0"/>
    <w:rsid w:val="00EC50B1"/>
    <w:rsid w:val="00EC59B3"/>
    <w:rsid w:val="00EC6A18"/>
    <w:rsid w:val="00EC7FBA"/>
    <w:rsid w:val="00ED0D9A"/>
    <w:rsid w:val="00ED27F6"/>
    <w:rsid w:val="00ED2DCB"/>
    <w:rsid w:val="00ED2E7B"/>
    <w:rsid w:val="00ED3231"/>
    <w:rsid w:val="00ED330D"/>
    <w:rsid w:val="00ED4C9D"/>
    <w:rsid w:val="00ED5C65"/>
    <w:rsid w:val="00ED608E"/>
    <w:rsid w:val="00ED6D82"/>
    <w:rsid w:val="00EE053B"/>
    <w:rsid w:val="00EE27DF"/>
    <w:rsid w:val="00EE390B"/>
    <w:rsid w:val="00EE3A0E"/>
    <w:rsid w:val="00EE4116"/>
    <w:rsid w:val="00EE590A"/>
    <w:rsid w:val="00EE5FCD"/>
    <w:rsid w:val="00EE7940"/>
    <w:rsid w:val="00EF01DE"/>
    <w:rsid w:val="00EF1718"/>
    <w:rsid w:val="00EF1AAB"/>
    <w:rsid w:val="00EF1EB9"/>
    <w:rsid w:val="00EF2B59"/>
    <w:rsid w:val="00EF38A5"/>
    <w:rsid w:val="00EF3F45"/>
    <w:rsid w:val="00EF485E"/>
    <w:rsid w:val="00F00568"/>
    <w:rsid w:val="00F005A3"/>
    <w:rsid w:val="00F0085E"/>
    <w:rsid w:val="00F0105B"/>
    <w:rsid w:val="00F01E6E"/>
    <w:rsid w:val="00F0245D"/>
    <w:rsid w:val="00F0285B"/>
    <w:rsid w:val="00F03332"/>
    <w:rsid w:val="00F04E9E"/>
    <w:rsid w:val="00F06A42"/>
    <w:rsid w:val="00F075D4"/>
    <w:rsid w:val="00F079C7"/>
    <w:rsid w:val="00F07E27"/>
    <w:rsid w:val="00F102D1"/>
    <w:rsid w:val="00F102F7"/>
    <w:rsid w:val="00F14F12"/>
    <w:rsid w:val="00F15B63"/>
    <w:rsid w:val="00F17B4F"/>
    <w:rsid w:val="00F17D32"/>
    <w:rsid w:val="00F20A11"/>
    <w:rsid w:val="00F228D0"/>
    <w:rsid w:val="00F23678"/>
    <w:rsid w:val="00F308F2"/>
    <w:rsid w:val="00F33BA8"/>
    <w:rsid w:val="00F33C66"/>
    <w:rsid w:val="00F350A9"/>
    <w:rsid w:val="00F353B1"/>
    <w:rsid w:val="00F3600C"/>
    <w:rsid w:val="00F41385"/>
    <w:rsid w:val="00F42CC3"/>
    <w:rsid w:val="00F42CEF"/>
    <w:rsid w:val="00F45ADC"/>
    <w:rsid w:val="00F52771"/>
    <w:rsid w:val="00F52E38"/>
    <w:rsid w:val="00F52EAB"/>
    <w:rsid w:val="00F53E66"/>
    <w:rsid w:val="00F5726B"/>
    <w:rsid w:val="00F619FC"/>
    <w:rsid w:val="00F624B7"/>
    <w:rsid w:val="00F65D21"/>
    <w:rsid w:val="00F66015"/>
    <w:rsid w:val="00F66FC3"/>
    <w:rsid w:val="00F7019A"/>
    <w:rsid w:val="00F71342"/>
    <w:rsid w:val="00F71C50"/>
    <w:rsid w:val="00F73761"/>
    <w:rsid w:val="00F7378F"/>
    <w:rsid w:val="00F74975"/>
    <w:rsid w:val="00F75761"/>
    <w:rsid w:val="00F770A2"/>
    <w:rsid w:val="00F7734F"/>
    <w:rsid w:val="00F80535"/>
    <w:rsid w:val="00F80BF8"/>
    <w:rsid w:val="00F82281"/>
    <w:rsid w:val="00F82E36"/>
    <w:rsid w:val="00F83C08"/>
    <w:rsid w:val="00F8590C"/>
    <w:rsid w:val="00F86E65"/>
    <w:rsid w:val="00F8702A"/>
    <w:rsid w:val="00F91E7D"/>
    <w:rsid w:val="00F92A17"/>
    <w:rsid w:val="00F932D2"/>
    <w:rsid w:val="00F934E3"/>
    <w:rsid w:val="00F941F3"/>
    <w:rsid w:val="00F94712"/>
    <w:rsid w:val="00F94EDB"/>
    <w:rsid w:val="00F95089"/>
    <w:rsid w:val="00F95462"/>
    <w:rsid w:val="00FA02CE"/>
    <w:rsid w:val="00FA28E4"/>
    <w:rsid w:val="00FA2EA8"/>
    <w:rsid w:val="00FA3748"/>
    <w:rsid w:val="00FA5D1E"/>
    <w:rsid w:val="00FA6B47"/>
    <w:rsid w:val="00FA6B7E"/>
    <w:rsid w:val="00FA6D81"/>
    <w:rsid w:val="00FA781C"/>
    <w:rsid w:val="00FA7ED7"/>
    <w:rsid w:val="00FA7F83"/>
    <w:rsid w:val="00FB05C0"/>
    <w:rsid w:val="00FB1E73"/>
    <w:rsid w:val="00FB29D7"/>
    <w:rsid w:val="00FB4CF0"/>
    <w:rsid w:val="00FB67BF"/>
    <w:rsid w:val="00FB705B"/>
    <w:rsid w:val="00FB7661"/>
    <w:rsid w:val="00FC137A"/>
    <w:rsid w:val="00FC14CD"/>
    <w:rsid w:val="00FC348C"/>
    <w:rsid w:val="00FC39BF"/>
    <w:rsid w:val="00FC562D"/>
    <w:rsid w:val="00FC6163"/>
    <w:rsid w:val="00FC674E"/>
    <w:rsid w:val="00FC7981"/>
    <w:rsid w:val="00FD0FA7"/>
    <w:rsid w:val="00FD1195"/>
    <w:rsid w:val="00FD2015"/>
    <w:rsid w:val="00FD4C79"/>
    <w:rsid w:val="00FD5DEE"/>
    <w:rsid w:val="00FE2757"/>
    <w:rsid w:val="00FE277A"/>
    <w:rsid w:val="00FE2A17"/>
    <w:rsid w:val="00FE3B7F"/>
    <w:rsid w:val="00FE5175"/>
    <w:rsid w:val="00FF008F"/>
    <w:rsid w:val="00FF0B59"/>
    <w:rsid w:val="00FF1504"/>
    <w:rsid w:val="00FF4C04"/>
    <w:rsid w:val="00FF51E4"/>
    <w:rsid w:val="00FF52D5"/>
    <w:rsid w:val="00FF589A"/>
    <w:rsid w:val="00FF5EA2"/>
    <w:rsid w:val="00FF6D50"/>
    <w:rsid w:val="00FF7338"/>
    <w:rsid w:val="00FF7B69"/>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0219947"/>
  <w15:docId w15:val="{9C331CB3-E41F-4C0B-B0A9-FA5CA2AC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A6"/>
    <w:pPr>
      <w:spacing w:before="120" w:after="120"/>
    </w:pPr>
  </w:style>
  <w:style w:type="paragraph" w:styleId="Overskrift1">
    <w:name w:val="heading 1"/>
    <w:basedOn w:val="Normal"/>
    <w:next w:val="Normal"/>
    <w:link w:val="Overskrift1Tegn"/>
    <w:uiPriority w:val="9"/>
    <w:qFormat/>
    <w:rsid w:val="003031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031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B239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lutnotetekst">
    <w:name w:val="endnote text"/>
    <w:basedOn w:val="Normal"/>
    <w:link w:val="SlutnotetekstTegn"/>
    <w:uiPriority w:val="99"/>
    <w:unhideWhenUsed/>
    <w:rsid w:val="00B165A6"/>
    <w:pPr>
      <w:spacing w:after="0" w:line="240" w:lineRule="auto"/>
    </w:pPr>
    <w:rPr>
      <w:sz w:val="20"/>
      <w:szCs w:val="20"/>
    </w:rPr>
  </w:style>
  <w:style w:type="character" w:customStyle="1" w:styleId="SlutnotetekstTegn">
    <w:name w:val="Slutnotetekst Tegn"/>
    <w:basedOn w:val="Standardskrifttypeiafsnit"/>
    <w:link w:val="Slutnotetekst"/>
    <w:uiPriority w:val="99"/>
    <w:rsid w:val="00B165A6"/>
    <w:rPr>
      <w:sz w:val="20"/>
      <w:szCs w:val="20"/>
    </w:rPr>
  </w:style>
  <w:style w:type="character" w:styleId="Slutnotehenvisning">
    <w:name w:val="endnote reference"/>
    <w:basedOn w:val="Standardskrifttypeiafsnit"/>
    <w:uiPriority w:val="99"/>
    <w:semiHidden/>
    <w:unhideWhenUsed/>
    <w:rsid w:val="00B165A6"/>
    <w:rPr>
      <w:vertAlign w:val="superscript"/>
    </w:rPr>
  </w:style>
  <w:style w:type="paragraph" w:styleId="Titel">
    <w:name w:val="Title"/>
    <w:basedOn w:val="Normal"/>
    <w:next w:val="Normal"/>
    <w:link w:val="TitelTegn"/>
    <w:uiPriority w:val="10"/>
    <w:qFormat/>
    <w:rsid w:val="00E74EBF"/>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E74EBF"/>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3031D1"/>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3031D1"/>
    <w:rPr>
      <w:rFonts w:asciiTheme="majorHAnsi" w:eastAsiaTheme="majorEastAsia" w:hAnsiTheme="majorHAnsi" w:cstheme="majorBidi"/>
      <w:color w:val="2E74B5" w:themeColor="accent1" w:themeShade="BF"/>
      <w:sz w:val="26"/>
      <w:szCs w:val="26"/>
    </w:rPr>
  </w:style>
  <w:style w:type="character" w:styleId="Kommentarhenvisning">
    <w:name w:val="annotation reference"/>
    <w:basedOn w:val="Standardskrifttypeiafsnit"/>
    <w:uiPriority w:val="99"/>
    <w:semiHidden/>
    <w:unhideWhenUsed/>
    <w:rsid w:val="002D32EA"/>
    <w:rPr>
      <w:sz w:val="16"/>
      <w:szCs w:val="16"/>
    </w:rPr>
  </w:style>
  <w:style w:type="paragraph" w:styleId="Kommentartekst">
    <w:name w:val="annotation text"/>
    <w:basedOn w:val="Normal"/>
    <w:link w:val="KommentartekstTegn"/>
    <w:uiPriority w:val="99"/>
    <w:unhideWhenUsed/>
    <w:rsid w:val="002D32EA"/>
    <w:pPr>
      <w:spacing w:line="240" w:lineRule="auto"/>
    </w:pPr>
    <w:rPr>
      <w:sz w:val="20"/>
      <w:szCs w:val="20"/>
    </w:rPr>
  </w:style>
  <w:style w:type="character" w:customStyle="1" w:styleId="KommentartekstTegn">
    <w:name w:val="Kommentartekst Tegn"/>
    <w:basedOn w:val="Standardskrifttypeiafsnit"/>
    <w:link w:val="Kommentartekst"/>
    <w:uiPriority w:val="99"/>
    <w:rsid w:val="002D32EA"/>
    <w:rPr>
      <w:sz w:val="20"/>
      <w:szCs w:val="20"/>
    </w:rPr>
  </w:style>
  <w:style w:type="paragraph" w:styleId="Kommentaremne">
    <w:name w:val="annotation subject"/>
    <w:basedOn w:val="Kommentartekst"/>
    <w:next w:val="Kommentartekst"/>
    <w:link w:val="KommentaremneTegn"/>
    <w:uiPriority w:val="99"/>
    <w:semiHidden/>
    <w:unhideWhenUsed/>
    <w:rsid w:val="002D32EA"/>
    <w:rPr>
      <w:b/>
      <w:bCs/>
    </w:rPr>
  </w:style>
  <w:style w:type="character" w:customStyle="1" w:styleId="KommentaremneTegn">
    <w:name w:val="Kommentaremne Tegn"/>
    <w:basedOn w:val="KommentartekstTegn"/>
    <w:link w:val="Kommentaremne"/>
    <w:uiPriority w:val="99"/>
    <w:semiHidden/>
    <w:rsid w:val="002D32EA"/>
    <w:rPr>
      <w:b/>
      <w:bCs/>
      <w:sz w:val="20"/>
      <w:szCs w:val="20"/>
    </w:rPr>
  </w:style>
  <w:style w:type="paragraph" w:styleId="Markeringsbobletekst">
    <w:name w:val="Balloon Text"/>
    <w:basedOn w:val="Normal"/>
    <w:link w:val="MarkeringsbobletekstTegn"/>
    <w:uiPriority w:val="99"/>
    <w:semiHidden/>
    <w:unhideWhenUsed/>
    <w:rsid w:val="008D71CE"/>
    <w:pPr>
      <w:spacing w:before="0"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D71CE"/>
    <w:rPr>
      <w:rFonts w:ascii="Segoe UI" w:hAnsi="Segoe UI" w:cs="Segoe UI"/>
      <w:sz w:val="18"/>
      <w:szCs w:val="18"/>
    </w:rPr>
  </w:style>
  <w:style w:type="paragraph" w:styleId="Listeafsnit">
    <w:name w:val="List Paragraph"/>
    <w:basedOn w:val="Normal"/>
    <w:uiPriority w:val="34"/>
    <w:qFormat/>
    <w:rsid w:val="00EF2B59"/>
    <w:pPr>
      <w:ind w:left="720"/>
      <w:contextualSpacing/>
    </w:pPr>
  </w:style>
  <w:style w:type="paragraph" w:styleId="Opstilling-punkttegn">
    <w:name w:val="List Bullet"/>
    <w:basedOn w:val="Normal"/>
    <w:uiPriority w:val="99"/>
    <w:unhideWhenUsed/>
    <w:rsid w:val="001B1357"/>
    <w:pPr>
      <w:numPr>
        <w:numId w:val="6"/>
      </w:numPr>
      <w:contextualSpacing/>
    </w:pPr>
  </w:style>
  <w:style w:type="character" w:customStyle="1" w:styleId="Overskrift3Tegn">
    <w:name w:val="Overskrift 3 Tegn"/>
    <w:basedOn w:val="Standardskrifttypeiafsnit"/>
    <w:link w:val="Overskrift3"/>
    <w:uiPriority w:val="9"/>
    <w:rsid w:val="00B23902"/>
    <w:rPr>
      <w:rFonts w:asciiTheme="majorHAnsi" w:eastAsiaTheme="majorEastAsia" w:hAnsiTheme="majorHAnsi" w:cstheme="majorBidi"/>
      <w:color w:val="1F4D78" w:themeColor="accent1" w:themeShade="7F"/>
      <w:sz w:val="24"/>
      <w:szCs w:val="24"/>
    </w:rPr>
  </w:style>
  <w:style w:type="character" w:styleId="Hyperlink">
    <w:name w:val="Hyperlink"/>
    <w:basedOn w:val="Standardskrifttypeiafsnit"/>
    <w:uiPriority w:val="99"/>
    <w:unhideWhenUsed/>
    <w:rsid w:val="007E7664"/>
    <w:rPr>
      <w:color w:val="0563C1" w:themeColor="hyperlink"/>
      <w:u w:val="single"/>
    </w:rPr>
  </w:style>
  <w:style w:type="paragraph" w:styleId="Bibliografi">
    <w:name w:val="Bibliography"/>
    <w:basedOn w:val="Normal"/>
    <w:next w:val="Normal"/>
    <w:uiPriority w:val="37"/>
    <w:unhideWhenUsed/>
    <w:rsid w:val="002E2943"/>
    <w:pPr>
      <w:spacing w:after="0" w:line="480" w:lineRule="auto"/>
      <w:ind w:left="720" w:hanging="720"/>
    </w:pPr>
  </w:style>
  <w:style w:type="character" w:styleId="BesgtLink">
    <w:name w:val="FollowedHyperlink"/>
    <w:basedOn w:val="Standardskrifttypeiafsnit"/>
    <w:uiPriority w:val="99"/>
    <w:semiHidden/>
    <w:unhideWhenUsed/>
    <w:rsid w:val="00A036CE"/>
    <w:rPr>
      <w:color w:val="954F72" w:themeColor="followedHyperlink"/>
      <w:u w:val="single"/>
    </w:rPr>
  </w:style>
  <w:style w:type="character" w:customStyle="1" w:styleId="cf01">
    <w:name w:val="cf01"/>
    <w:basedOn w:val="Standardskrifttypeiafsnit"/>
    <w:rsid w:val="00071241"/>
    <w:rPr>
      <w:rFonts w:ascii="Segoe UI" w:hAnsi="Segoe UI" w:cs="Segoe UI" w:hint="default"/>
      <w:sz w:val="18"/>
      <w:szCs w:val="18"/>
    </w:rPr>
  </w:style>
  <w:style w:type="paragraph" w:styleId="Sidehoved">
    <w:name w:val="header"/>
    <w:basedOn w:val="Normal"/>
    <w:link w:val="SidehovedTegn"/>
    <w:uiPriority w:val="99"/>
    <w:unhideWhenUsed/>
    <w:rsid w:val="006F3E46"/>
    <w:pPr>
      <w:tabs>
        <w:tab w:val="center" w:pos="4513"/>
        <w:tab w:val="right" w:pos="9026"/>
      </w:tabs>
      <w:spacing w:before="0" w:after="0" w:line="240" w:lineRule="auto"/>
    </w:pPr>
  </w:style>
  <w:style w:type="character" w:customStyle="1" w:styleId="SidehovedTegn">
    <w:name w:val="Sidehoved Tegn"/>
    <w:basedOn w:val="Standardskrifttypeiafsnit"/>
    <w:link w:val="Sidehoved"/>
    <w:uiPriority w:val="99"/>
    <w:rsid w:val="006F3E46"/>
  </w:style>
  <w:style w:type="paragraph" w:styleId="Sidefod">
    <w:name w:val="footer"/>
    <w:basedOn w:val="Normal"/>
    <w:link w:val="SidefodTegn"/>
    <w:uiPriority w:val="99"/>
    <w:unhideWhenUsed/>
    <w:rsid w:val="006F3E46"/>
    <w:pPr>
      <w:tabs>
        <w:tab w:val="center" w:pos="4513"/>
        <w:tab w:val="right" w:pos="9026"/>
      </w:tabs>
      <w:spacing w:before="0" w:after="0" w:line="240" w:lineRule="auto"/>
    </w:pPr>
  </w:style>
  <w:style w:type="character" w:customStyle="1" w:styleId="SidefodTegn">
    <w:name w:val="Sidefod Tegn"/>
    <w:basedOn w:val="Standardskrifttypeiafsnit"/>
    <w:link w:val="Sidefod"/>
    <w:uiPriority w:val="99"/>
    <w:rsid w:val="006F3E46"/>
  </w:style>
  <w:style w:type="paragraph" w:styleId="FormateretHTML">
    <w:name w:val="HTML Preformatted"/>
    <w:basedOn w:val="Normal"/>
    <w:link w:val="FormateretHTMLTegn"/>
    <w:uiPriority w:val="99"/>
    <w:unhideWhenUsed/>
    <w:rsid w:val="00E85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FormateretHTMLTegn">
    <w:name w:val="Formateret HTML Tegn"/>
    <w:basedOn w:val="Standardskrifttypeiafsnit"/>
    <w:link w:val="FormateretHTML"/>
    <w:uiPriority w:val="99"/>
    <w:rsid w:val="00E8541F"/>
    <w:rPr>
      <w:rFonts w:ascii="Courier New" w:eastAsia="Times New Roman" w:hAnsi="Courier New" w:cs="Courier New"/>
      <w:sz w:val="20"/>
      <w:szCs w:val="20"/>
    </w:rPr>
  </w:style>
  <w:style w:type="character" w:styleId="HTML-kode">
    <w:name w:val="HTML Code"/>
    <w:basedOn w:val="Standardskrifttypeiafsnit"/>
    <w:uiPriority w:val="99"/>
    <w:semiHidden/>
    <w:unhideWhenUsed/>
    <w:rsid w:val="00E8541F"/>
    <w:rPr>
      <w:rFonts w:ascii="Courier New" w:eastAsia="Times New Roman" w:hAnsi="Courier New" w:cs="Courier New"/>
      <w:sz w:val="20"/>
      <w:szCs w:val="20"/>
    </w:rPr>
  </w:style>
  <w:style w:type="character" w:customStyle="1" w:styleId="hljs-comment">
    <w:name w:val="hljs-comment"/>
    <w:basedOn w:val="Standardskrifttypeiafsnit"/>
    <w:rsid w:val="00E8541F"/>
  </w:style>
  <w:style w:type="character" w:customStyle="1" w:styleId="hljs-keyword">
    <w:name w:val="hljs-keyword"/>
    <w:basedOn w:val="Standardskrifttypeiafsnit"/>
    <w:rsid w:val="00E8541F"/>
  </w:style>
  <w:style w:type="character" w:customStyle="1" w:styleId="hljs-string">
    <w:name w:val="hljs-string"/>
    <w:basedOn w:val="Standardskrifttypeiafsnit"/>
    <w:rsid w:val="00626301"/>
  </w:style>
  <w:style w:type="character" w:customStyle="1" w:styleId="hljs-literal">
    <w:name w:val="hljs-literal"/>
    <w:basedOn w:val="Standardskrifttypeiafsnit"/>
    <w:rsid w:val="00626301"/>
  </w:style>
  <w:style w:type="paragraph" w:customStyle="1" w:styleId="msonormal0">
    <w:name w:val="msonormal"/>
    <w:basedOn w:val="Normal"/>
    <w:rsid w:val="005225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js-number">
    <w:name w:val="hljs-number"/>
    <w:basedOn w:val="Standardskrifttypeiafsnit"/>
    <w:rsid w:val="00522559"/>
  </w:style>
  <w:style w:type="paragraph" w:styleId="Overskrift">
    <w:name w:val="TOC Heading"/>
    <w:basedOn w:val="Overskrift1"/>
    <w:next w:val="Normal"/>
    <w:uiPriority w:val="39"/>
    <w:unhideWhenUsed/>
    <w:qFormat/>
    <w:rsid w:val="0055293A"/>
    <w:pPr>
      <w:outlineLvl w:val="9"/>
    </w:pPr>
  </w:style>
  <w:style w:type="paragraph" w:styleId="Indholdsfortegnelse1">
    <w:name w:val="toc 1"/>
    <w:basedOn w:val="Normal"/>
    <w:next w:val="Normal"/>
    <w:autoRedefine/>
    <w:uiPriority w:val="39"/>
    <w:unhideWhenUsed/>
    <w:rsid w:val="0055293A"/>
    <w:pPr>
      <w:spacing w:after="100"/>
    </w:pPr>
  </w:style>
  <w:style w:type="paragraph" w:styleId="Indholdsfortegnelse2">
    <w:name w:val="toc 2"/>
    <w:basedOn w:val="Normal"/>
    <w:next w:val="Normal"/>
    <w:autoRedefine/>
    <w:uiPriority w:val="39"/>
    <w:unhideWhenUsed/>
    <w:rsid w:val="0055293A"/>
    <w:pPr>
      <w:spacing w:after="100"/>
      <w:ind w:left="220"/>
    </w:pPr>
  </w:style>
  <w:style w:type="paragraph" w:styleId="Indholdsfortegnelse3">
    <w:name w:val="toc 3"/>
    <w:basedOn w:val="Normal"/>
    <w:next w:val="Normal"/>
    <w:autoRedefine/>
    <w:uiPriority w:val="39"/>
    <w:unhideWhenUsed/>
    <w:rsid w:val="0055293A"/>
    <w:pPr>
      <w:spacing w:after="100"/>
      <w:ind w:left="440"/>
    </w:pPr>
  </w:style>
  <w:style w:type="character" w:customStyle="1" w:styleId="Ulstomtale1">
    <w:name w:val="Uløst omtale1"/>
    <w:basedOn w:val="Standardskrifttypeiafsnit"/>
    <w:uiPriority w:val="99"/>
    <w:semiHidden/>
    <w:unhideWhenUsed/>
    <w:rsid w:val="00897417"/>
    <w:rPr>
      <w:color w:val="605E5C"/>
      <w:shd w:val="clear" w:color="auto" w:fill="E1DFDD"/>
    </w:rPr>
  </w:style>
  <w:style w:type="character" w:styleId="Pladsholdertekst">
    <w:name w:val="Placeholder Text"/>
    <w:basedOn w:val="Standardskrifttypeiafsnit"/>
    <w:uiPriority w:val="99"/>
    <w:semiHidden/>
    <w:rsid w:val="006013B1"/>
    <w:rPr>
      <w:color w:val="808080"/>
    </w:rPr>
  </w:style>
  <w:style w:type="character" w:styleId="Ulstomtale">
    <w:name w:val="Unresolved Mention"/>
    <w:basedOn w:val="Standardskrifttypeiafsnit"/>
    <w:uiPriority w:val="99"/>
    <w:semiHidden/>
    <w:unhideWhenUsed/>
    <w:rsid w:val="00F7019A"/>
    <w:rPr>
      <w:color w:val="605E5C"/>
      <w:shd w:val="clear" w:color="auto" w:fill="E1DFDD"/>
    </w:rPr>
  </w:style>
  <w:style w:type="paragraph" w:styleId="Korrektur">
    <w:name w:val="Revision"/>
    <w:hidden/>
    <w:uiPriority w:val="99"/>
    <w:semiHidden/>
    <w:rsid w:val="005640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9621">
      <w:bodyDiv w:val="1"/>
      <w:marLeft w:val="0"/>
      <w:marRight w:val="0"/>
      <w:marTop w:val="0"/>
      <w:marBottom w:val="0"/>
      <w:divBdr>
        <w:top w:val="none" w:sz="0" w:space="0" w:color="auto"/>
        <w:left w:val="none" w:sz="0" w:space="0" w:color="auto"/>
        <w:bottom w:val="none" w:sz="0" w:space="0" w:color="auto"/>
        <w:right w:val="none" w:sz="0" w:space="0" w:color="auto"/>
      </w:divBdr>
    </w:div>
    <w:div w:id="39523788">
      <w:bodyDiv w:val="1"/>
      <w:marLeft w:val="0"/>
      <w:marRight w:val="0"/>
      <w:marTop w:val="0"/>
      <w:marBottom w:val="0"/>
      <w:divBdr>
        <w:top w:val="none" w:sz="0" w:space="0" w:color="auto"/>
        <w:left w:val="none" w:sz="0" w:space="0" w:color="auto"/>
        <w:bottom w:val="none" w:sz="0" w:space="0" w:color="auto"/>
        <w:right w:val="none" w:sz="0" w:space="0" w:color="auto"/>
      </w:divBdr>
    </w:div>
    <w:div w:id="216598503">
      <w:bodyDiv w:val="1"/>
      <w:marLeft w:val="0"/>
      <w:marRight w:val="0"/>
      <w:marTop w:val="0"/>
      <w:marBottom w:val="0"/>
      <w:divBdr>
        <w:top w:val="none" w:sz="0" w:space="0" w:color="auto"/>
        <w:left w:val="none" w:sz="0" w:space="0" w:color="auto"/>
        <w:bottom w:val="none" w:sz="0" w:space="0" w:color="auto"/>
        <w:right w:val="none" w:sz="0" w:space="0" w:color="auto"/>
      </w:divBdr>
    </w:div>
    <w:div w:id="257954880">
      <w:bodyDiv w:val="1"/>
      <w:marLeft w:val="0"/>
      <w:marRight w:val="0"/>
      <w:marTop w:val="0"/>
      <w:marBottom w:val="0"/>
      <w:divBdr>
        <w:top w:val="none" w:sz="0" w:space="0" w:color="auto"/>
        <w:left w:val="none" w:sz="0" w:space="0" w:color="auto"/>
        <w:bottom w:val="none" w:sz="0" w:space="0" w:color="auto"/>
        <w:right w:val="none" w:sz="0" w:space="0" w:color="auto"/>
      </w:divBdr>
    </w:div>
    <w:div w:id="324629621">
      <w:bodyDiv w:val="1"/>
      <w:marLeft w:val="0"/>
      <w:marRight w:val="0"/>
      <w:marTop w:val="0"/>
      <w:marBottom w:val="0"/>
      <w:divBdr>
        <w:top w:val="none" w:sz="0" w:space="0" w:color="auto"/>
        <w:left w:val="none" w:sz="0" w:space="0" w:color="auto"/>
        <w:bottom w:val="none" w:sz="0" w:space="0" w:color="auto"/>
        <w:right w:val="none" w:sz="0" w:space="0" w:color="auto"/>
      </w:divBdr>
    </w:div>
    <w:div w:id="330989390">
      <w:bodyDiv w:val="1"/>
      <w:marLeft w:val="0"/>
      <w:marRight w:val="0"/>
      <w:marTop w:val="0"/>
      <w:marBottom w:val="0"/>
      <w:divBdr>
        <w:top w:val="none" w:sz="0" w:space="0" w:color="auto"/>
        <w:left w:val="none" w:sz="0" w:space="0" w:color="auto"/>
        <w:bottom w:val="none" w:sz="0" w:space="0" w:color="auto"/>
        <w:right w:val="none" w:sz="0" w:space="0" w:color="auto"/>
      </w:divBdr>
    </w:div>
    <w:div w:id="426197478">
      <w:bodyDiv w:val="1"/>
      <w:marLeft w:val="0"/>
      <w:marRight w:val="0"/>
      <w:marTop w:val="0"/>
      <w:marBottom w:val="0"/>
      <w:divBdr>
        <w:top w:val="none" w:sz="0" w:space="0" w:color="auto"/>
        <w:left w:val="none" w:sz="0" w:space="0" w:color="auto"/>
        <w:bottom w:val="none" w:sz="0" w:space="0" w:color="auto"/>
        <w:right w:val="none" w:sz="0" w:space="0" w:color="auto"/>
      </w:divBdr>
    </w:div>
    <w:div w:id="544605234">
      <w:bodyDiv w:val="1"/>
      <w:marLeft w:val="0"/>
      <w:marRight w:val="0"/>
      <w:marTop w:val="0"/>
      <w:marBottom w:val="0"/>
      <w:divBdr>
        <w:top w:val="none" w:sz="0" w:space="0" w:color="auto"/>
        <w:left w:val="none" w:sz="0" w:space="0" w:color="auto"/>
        <w:bottom w:val="none" w:sz="0" w:space="0" w:color="auto"/>
        <w:right w:val="none" w:sz="0" w:space="0" w:color="auto"/>
      </w:divBdr>
    </w:div>
    <w:div w:id="628367160">
      <w:bodyDiv w:val="1"/>
      <w:marLeft w:val="0"/>
      <w:marRight w:val="0"/>
      <w:marTop w:val="0"/>
      <w:marBottom w:val="0"/>
      <w:divBdr>
        <w:top w:val="none" w:sz="0" w:space="0" w:color="auto"/>
        <w:left w:val="none" w:sz="0" w:space="0" w:color="auto"/>
        <w:bottom w:val="none" w:sz="0" w:space="0" w:color="auto"/>
        <w:right w:val="none" w:sz="0" w:space="0" w:color="auto"/>
      </w:divBdr>
    </w:div>
    <w:div w:id="658580310">
      <w:bodyDiv w:val="1"/>
      <w:marLeft w:val="0"/>
      <w:marRight w:val="0"/>
      <w:marTop w:val="0"/>
      <w:marBottom w:val="0"/>
      <w:divBdr>
        <w:top w:val="none" w:sz="0" w:space="0" w:color="auto"/>
        <w:left w:val="none" w:sz="0" w:space="0" w:color="auto"/>
        <w:bottom w:val="none" w:sz="0" w:space="0" w:color="auto"/>
        <w:right w:val="none" w:sz="0" w:space="0" w:color="auto"/>
      </w:divBdr>
    </w:div>
    <w:div w:id="676805345">
      <w:bodyDiv w:val="1"/>
      <w:marLeft w:val="0"/>
      <w:marRight w:val="0"/>
      <w:marTop w:val="0"/>
      <w:marBottom w:val="0"/>
      <w:divBdr>
        <w:top w:val="none" w:sz="0" w:space="0" w:color="auto"/>
        <w:left w:val="none" w:sz="0" w:space="0" w:color="auto"/>
        <w:bottom w:val="none" w:sz="0" w:space="0" w:color="auto"/>
        <w:right w:val="none" w:sz="0" w:space="0" w:color="auto"/>
      </w:divBdr>
    </w:div>
    <w:div w:id="703677559">
      <w:bodyDiv w:val="1"/>
      <w:marLeft w:val="0"/>
      <w:marRight w:val="0"/>
      <w:marTop w:val="0"/>
      <w:marBottom w:val="0"/>
      <w:divBdr>
        <w:top w:val="none" w:sz="0" w:space="0" w:color="auto"/>
        <w:left w:val="none" w:sz="0" w:space="0" w:color="auto"/>
        <w:bottom w:val="none" w:sz="0" w:space="0" w:color="auto"/>
        <w:right w:val="none" w:sz="0" w:space="0" w:color="auto"/>
      </w:divBdr>
    </w:div>
    <w:div w:id="711732355">
      <w:bodyDiv w:val="1"/>
      <w:marLeft w:val="0"/>
      <w:marRight w:val="0"/>
      <w:marTop w:val="0"/>
      <w:marBottom w:val="0"/>
      <w:divBdr>
        <w:top w:val="none" w:sz="0" w:space="0" w:color="auto"/>
        <w:left w:val="none" w:sz="0" w:space="0" w:color="auto"/>
        <w:bottom w:val="none" w:sz="0" w:space="0" w:color="auto"/>
        <w:right w:val="none" w:sz="0" w:space="0" w:color="auto"/>
      </w:divBdr>
    </w:div>
    <w:div w:id="717510937">
      <w:bodyDiv w:val="1"/>
      <w:marLeft w:val="0"/>
      <w:marRight w:val="0"/>
      <w:marTop w:val="0"/>
      <w:marBottom w:val="0"/>
      <w:divBdr>
        <w:top w:val="none" w:sz="0" w:space="0" w:color="auto"/>
        <w:left w:val="none" w:sz="0" w:space="0" w:color="auto"/>
        <w:bottom w:val="none" w:sz="0" w:space="0" w:color="auto"/>
        <w:right w:val="none" w:sz="0" w:space="0" w:color="auto"/>
      </w:divBdr>
    </w:div>
    <w:div w:id="727729153">
      <w:bodyDiv w:val="1"/>
      <w:marLeft w:val="0"/>
      <w:marRight w:val="0"/>
      <w:marTop w:val="0"/>
      <w:marBottom w:val="0"/>
      <w:divBdr>
        <w:top w:val="none" w:sz="0" w:space="0" w:color="auto"/>
        <w:left w:val="none" w:sz="0" w:space="0" w:color="auto"/>
        <w:bottom w:val="none" w:sz="0" w:space="0" w:color="auto"/>
        <w:right w:val="none" w:sz="0" w:space="0" w:color="auto"/>
      </w:divBdr>
    </w:div>
    <w:div w:id="742878515">
      <w:bodyDiv w:val="1"/>
      <w:marLeft w:val="0"/>
      <w:marRight w:val="0"/>
      <w:marTop w:val="0"/>
      <w:marBottom w:val="0"/>
      <w:divBdr>
        <w:top w:val="none" w:sz="0" w:space="0" w:color="auto"/>
        <w:left w:val="none" w:sz="0" w:space="0" w:color="auto"/>
        <w:bottom w:val="none" w:sz="0" w:space="0" w:color="auto"/>
        <w:right w:val="none" w:sz="0" w:space="0" w:color="auto"/>
      </w:divBdr>
    </w:div>
    <w:div w:id="766653344">
      <w:bodyDiv w:val="1"/>
      <w:marLeft w:val="0"/>
      <w:marRight w:val="0"/>
      <w:marTop w:val="0"/>
      <w:marBottom w:val="0"/>
      <w:divBdr>
        <w:top w:val="none" w:sz="0" w:space="0" w:color="auto"/>
        <w:left w:val="none" w:sz="0" w:space="0" w:color="auto"/>
        <w:bottom w:val="none" w:sz="0" w:space="0" w:color="auto"/>
        <w:right w:val="none" w:sz="0" w:space="0" w:color="auto"/>
      </w:divBdr>
    </w:div>
    <w:div w:id="772363260">
      <w:bodyDiv w:val="1"/>
      <w:marLeft w:val="0"/>
      <w:marRight w:val="0"/>
      <w:marTop w:val="0"/>
      <w:marBottom w:val="0"/>
      <w:divBdr>
        <w:top w:val="none" w:sz="0" w:space="0" w:color="auto"/>
        <w:left w:val="none" w:sz="0" w:space="0" w:color="auto"/>
        <w:bottom w:val="none" w:sz="0" w:space="0" w:color="auto"/>
        <w:right w:val="none" w:sz="0" w:space="0" w:color="auto"/>
      </w:divBdr>
    </w:div>
    <w:div w:id="782923481">
      <w:bodyDiv w:val="1"/>
      <w:marLeft w:val="0"/>
      <w:marRight w:val="0"/>
      <w:marTop w:val="0"/>
      <w:marBottom w:val="0"/>
      <w:divBdr>
        <w:top w:val="none" w:sz="0" w:space="0" w:color="auto"/>
        <w:left w:val="none" w:sz="0" w:space="0" w:color="auto"/>
        <w:bottom w:val="none" w:sz="0" w:space="0" w:color="auto"/>
        <w:right w:val="none" w:sz="0" w:space="0" w:color="auto"/>
      </w:divBdr>
    </w:div>
    <w:div w:id="832256582">
      <w:bodyDiv w:val="1"/>
      <w:marLeft w:val="0"/>
      <w:marRight w:val="0"/>
      <w:marTop w:val="0"/>
      <w:marBottom w:val="0"/>
      <w:divBdr>
        <w:top w:val="none" w:sz="0" w:space="0" w:color="auto"/>
        <w:left w:val="none" w:sz="0" w:space="0" w:color="auto"/>
        <w:bottom w:val="none" w:sz="0" w:space="0" w:color="auto"/>
        <w:right w:val="none" w:sz="0" w:space="0" w:color="auto"/>
      </w:divBdr>
    </w:div>
    <w:div w:id="847671090">
      <w:bodyDiv w:val="1"/>
      <w:marLeft w:val="0"/>
      <w:marRight w:val="0"/>
      <w:marTop w:val="0"/>
      <w:marBottom w:val="0"/>
      <w:divBdr>
        <w:top w:val="none" w:sz="0" w:space="0" w:color="auto"/>
        <w:left w:val="none" w:sz="0" w:space="0" w:color="auto"/>
        <w:bottom w:val="none" w:sz="0" w:space="0" w:color="auto"/>
        <w:right w:val="none" w:sz="0" w:space="0" w:color="auto"/>
      </w:divBdr>
    </w:div>
    <w:div w:id="901673024">
      <w:bodyDiv w:val="1"/>
      <w:marLeft w:val="0"/>
      <w:marRight w:val="0"/>
      <w:marTop w:val="0"/>
      <w:marBottom w:val="0"/>
      <w:divBdr>
        <w:top w:val="none" w:sz="0" w:space="0" w:color="auto"/>
        <w:left w:val="none" w:sz="0" w:space="0" w:color="auto"/>
        <w:bottom w:val="none" w:sz="0" w:space="0" w:color="auto"/>
        <w:right w:val="none" w:sz="0" w:space="0" w:color="auto"/>
      </w:divBdr>
    </w:div>
    <w:div w:id="924071753">
      <w:bodyDiv w:val="1"/>
      <w:marLeft w:val="0"/>
      <w:marRight w:val="0"/>
      <w:marTop w:val="0"/>
      <w:marBottom w:val="0"/>
      <w:divBdr>
        <w:top w:val="none" w:sz="0" w:space="0" w:color="auto"/>
        <w:left w:val="none" w:sz="0" w:space="0" w:color="auto"/>
        <w:bottom w:val="none" w:sz="0" w:space="0" w:color="auto"/>
        <w:right w:val="none" w:sz="0" w:space="0" w:color="auto"/>
      </w:divBdr>
    </w:div>
    <w:div w:id="934896317">
      <w:bodyDiv w:val="1"/>
      <w:marLeft w:val="0"/>
      <w:marRight w:val="0"/>
      <w:marTop w:val="0"/>
      <w:marBottom w:val="0"/>
      <w:divBdr>
        <w:top w:val="none" w:sz="0" w:space="0" w:color="auto"/>
        <w:left w:val="none" w:sz="0" w:space="0" w:color="auto"/>
        <w:bottom w:val="none" w:sz="0" w:space="0" w:color="auto"/>
        <w:right w:val="none" w:sz="0" w:space="0" w:color="auto"/>
      </w:divBdr>
    </w:div>
    <w:div w:id="960920662">
      <w:bodyDiv w:val="1"/>
      <w:marLeft w:val="0"/>
      <w:marRight w:val="0"/>
      <w:marTop w:val="0"/>
      <w:marBottom w:val="0"/>
      <w:divBdr>
        <w:top w:val="none" w:sz="0" w:space="0" w:color="auto"/>
        <w:left w:val="none" w:sz="0" w:space="0" w:color="auto"/>
        <w:bottom w:val="none" w:sz="0" w:space="0" w:color="auto"/>
        <w:right w:val="none" w:sz="0" w:space="0" w:color="auto"/>
      </w:divBdr>
    </w:div>
    <w:div w:id="993332622">
      <w:bodyDiv w:val="1"/>
      <w:marLeft w:val="0"/>
      <w:marRight w:val="0"/>
      <w:marTop w:val="0"/>
      <w:marBottom w:val="0"/>
      <w:divBdr>
        <w:top w:val="none" w:sz="0" w:space="0" w:color="auto"/>
        <w:left w:val="none" w:sz="0" w:space="0" w:color="auto"/>
        <w:bottom w:val="none" w:sz="0" w:space="0" w:color="auto"/>
        <w:right w:val="none" w:sz="0" w:space="0" w:color="auto"/>
      </w:divBdr>
    </w:div>
    <w:div w:id="1043335204">
      <w:bodyDiv w:val="1"/>
      <w:marLeft w:val="0"/>
      <w:marRight w:val="0"/>
      <w:marTop w:val="0"/>
      <w:marBottom w:val="0"/>
      <w:divBdr>
        <w:top w:val="none" w:sz="0" w:space="0" w:color="auto"/>
        <w:left w:val="none" w:sz="0" w:space="0" w:color="auto"/>
        <w:bottom w:val="none" w:sz="0" w:space="0" w:color="auto"/>
        <w:right w:val="none" w:sz="0" w:space="0" w:color="auto"/>
      </w:divBdr>
    </w:div>
    <w:div w:id="1079594549">
      <w:bodyDiv w:val="1"/>
      <w:marLeft w:val="0"/>
      <w:marRight w:val="0"/>
      <w:marTop w:val="0"/>
      <w:marBottom w:val="0"/>
      <w:divBdr>
        <w:top w:val="none" w:sz="0" w:space="0" w:color="auto"/>
        <w:left w:val="none" w:sz="0" w:space="0" w:color="auto"/>
        <w:bottom w:val="none" w:sz="0" w:space="0" w:color="auto"/>
        <w:right w:val="none" w:sz="0" w:space="0" w:color="auto"/>
      </w:divBdr>
    </w:div>
    <w:div w:id="1104887395">
      <w:bodyDiv w:val="1"/>
      <w:marLeft w:val="0"/>
      <w:marRight w:val="0"/>
      <w:marTop w:val="0"/>
      <w:marBottom w:val="0"/>
      <w:divBdr>
        <w:top w:val="none" w:sz="0" w:space="0" w:color="auto"/>
        <w:left w:val="none" w:sz="0" w:space="0" w:color="auto"/>
        <w:bottom w:val="none" w:sz="0" w:space="0" w:color="auto"/>
        <w:right w:val="none" w:sz="0" w:space="0" w:color="auto"/>
      </w:divBdr>
    </w:div>
    <w:div w:id="1121145535">
      <w:bodyDiv w:val="1"/>
      <w:marLeft w:val="0"/>
      <w:marRight w:val="0"/>
      <w:marTop w:val="0"/>
      <w:marBottom w:val="0"/>
      <w:divBdr>
        <w:top w:val="none" w:sz="0" w:space="0" w:color="auto"/>
        <w:left w:val="none" w:sz="0" w:space="0" w:color="auto"/>
        <w:bottom w:val="none" w:sz="0" w:space="0" w:color="auto"/>
        <w:right w:val="none" w:sz="0" w:space="0" w:color="auto"/>
      </w:divBdr>
    </w:div>
    <w:div w:id="1142698939">
      <w:bodyDiv w:val="1"/>
      <w:marLeft w:val="0"/>
      <w:marRight w:val="0"/>
      <w:marTop w:val="0"/>
      <w:marBottom w:val="0"/>
      <w:divBdr>
        <w:top w:val="none" w:sz="0" w:space="0" w:color="auto"/>
        <w:left w:val="none" w:sz="0" w:space="0" w:color="auto"/>
        <w:bottom w:val="none" w:sz="0" w:space="0" w:color="auto"/>
        <w:right w:val="none" w:sz="0" w:space="0" w:color="auto"/>
      </w:divBdr>
    </w:div>
    <w:div w:id="1146245282">
      <w:bodyDiv w:val="1"/>
      <w:marLeft w:val="0"/>
      <w:marRight w:val="0"/>
      <w:marTop w:val="0"/>
      <w:marBottom w:val="0"/>
      <w:divBdr>
        <w:top w:val="none" w:sz="0" w:space="0" w:color="auto"/>
        <w:left w:val="none" w:sz="0" w:space="0" w:color="auto"/>
        <w:bottom w:val="none" w:sz="0" w:space="0" w:color="auto"/>
        <w:right w:val="none" w:sz="0" w:space="0" w:color="auto"/>
      </w:divBdr>
    </w:div>
    <w:div w:id="1168134629">
      <w:bodyDiv w:val="1"/>
      <w:marLeft w:val="0"/>
      <w:marRight w:val="0"/>
      <w:marTop w:val="0"/>
      <w:marBottom w:val="0"/>
      <w:divBdr>
        <w:top w:val="none" w:sz="0" w:space="0" w:color="auto"/>
        <w:left w:val="none" w:sz="0" w:space="0" w:color="auto"/>
        <w:bottom w:val="none" w:sz="0" w:space="0" w:color="auto"/>
        <w:right w:val="none" w:sz="0" w:space="0" w:color="auto"/>
      </w:divBdr>
    </w:div>
    <w:div w:id="1182863588">
      <w:bodyDiv w:val="1"/>
      <w:marLeft w:val="0"/>
      <w:marRight w:val="0"/>
      <w:marTop w:val="0"/>
      <w:marBottom w:val="0"/>
      <w:divBdr>
        <w:top w:val="none" w:sz="0" w:space="0" w:color="auto"/>
        <w:left w:val="none" w:sz="0" w:space="0" w:color="auto"/>
        <w:bottom w:val="none" w:sz="0" w:space="0" w:color="auto"/>
        <w:right w:val="none" w:sz="0" w:space="0" w:color="auto"/>
      </w:divBdr>
    </w:div>
    <w:div w:id="1195381649">
      <w:bodyDiv w:val="1"/>
      <w:marLeft w:val="0"/>
      <w:marRight w:val="0"/>
      <w:marTop w:val="0"/>
      <w:marBottom w:val="0"/>
      <w:divBdr>
        <w:top w:val="none" w:sz="0" w:space="0" w:color="auto"/>
        <w:left w:val="none" w:sz="0" w:space="0" w:color="auto"/>
        <w:bottom w:val="none" w:sz="0" w:space="0" w:color="auto"/>
        <w:right w:val="none" w:sz="0" w:space="0" w:color="auto"/>
      </w:divBdr>
    </w:div>
    <w:div w:id="1196306296">
      <w:bodyDiv w:val="1"/>
      <w:marLeft w:val="0"/>
      <w:marRight w:val="0"/>
      <w:marTop w:val="0"/>
      <w:marBottom w:val="0"/>
      <w:divBdr>
        <w:top w:val="none" w:sz="0" w:space="0" w:color="auto"/>
        <w:left w:val="none" w:sz="0" w:space="0" w:color="auto"/>
        <w:bottom w:val="none" w:sz="0" w:space="0" w:color="auto"/>
        <w:right w:val="none" w:sz="0" w:space="0" w:color="auto"/>
      </w:divBdr>
    </w:div>
    <w:div w:id="1217863212">
      <w:bodyDiv w:val="1"/>
      <w:marLeft w:val="0"/>
      <w:marRight w:val="0"/>
      <w:marTop w:val="0"/>
      <w:marBottom w:val="0"/>
      <w:divBdr>
        <w:top w:val="none" w:sz="0" w:space="0" w:color="auto"/>
        <w:left w:val="none" w:sz="0" w:space="0" w:color="auto"/>
        <w:bottom w:val="none" w:sz="0" w:space="0" w:color="auto"/>
        <w:right w:val="none" w:sz="0" w:space="0" w:color="auto"/>
      </w:divBdr>
    </w:div>
    <w:div w:id="1235355616">
      <w:bodyDiv w:val="1"/>
      <w:marLeft w:val="0"/>
      <w:marRight w:val="0"/>
      <w:marTop w:val="0"/>
      <w:marBottom w:val="0"/>
      <w:divBdr>
        <w:top w:val="none" w:sz="0" w:space="0" w:color="auto"/>
        <w:left w:val="none" w:sz="0" w:space="0" w:color="auto"/>
        <w:bottom w:val="none" w:sz="0" w:space="0" w:color="auto"/>
        <w:right w:val="none" w:sz="0" w:space="0" w:color="auto"/>
      </w:divBdr>
    </w:div>
    <w:div w:id="1272318340">
      <w:bodyDiv w:val="1"/>
      <w:marLeft w:val="0"/>
      <w:marRight w:val="0"/>
      <w:marTop w:val="0"/>
      <w:marBottom w:val="0"/>
      <w:divBdr>
        <w:top w:val="none" w:sz="0" w:space="0" w:color="auto"/>
        <w:left w:val="none" w:sz="0" w:space="0" w:color="auto"/>
        <w:bottom w:val="none" w:sz="0" w:space="0" w:color="auto"/>
        <w:right w:val="none" w:sz="0" w:space="0" w:color="auto"/>
      </w:divBdr>
    </w:div>
    <w:div w:id="1282152090">
      <w:bodyDiv w:val="1"/>
      <w:marLeft w:val="0"/>
      <w:marRight w:val="0"/>
      <w:marTop w:val="0"/>
      <w:marBottom w:val="0"/>
      <w:divBdr>
        <w:top w:val="none" w:sz="0" w:space="0" w:color="auto"/>
        <w:left w:val="none" w:sz="0" w:space="0" w:color="auto"/>
        <w:bottom w:val="none" w:sz="0" w:space="0" w:color="auto"/>
        <w:right w:val="none" w:sz="0" w:space="0" w:color="auto"/>
      </w:divBdr>
    </w:div>
    <w:div w:id="1351955016">
      <w:bodyDiv w:val="1"/>
      <w:marLeft w:val="0"/>
      <w:marRight w:val="0"/>
      <w:marTop w:val="0"/>
      <w:marBottom w:val="0"/>
      <w:divBdr>
        <w:top w:val="none" w:sz="0" w:space="0" w:color="auto"/>
        <w:left w:val="none" w:sz="0" w:space="0" w:color="auto"/>
        <w:bottom w:val="none" w:sz="0" w:space="0" w:color="auto"/>
        <w:right w:val="none" w:sz="0" w:space="0" w:color="auto"/>
      </w:divBdr>
    </w:div>
    <w:div w:id="1397121541">
      <w:bodyDiv w:val="1"/>
      <w:marLeft w:val="0"/>
      <w:marRight w:val="0"/>
      <w:marTop w:val="0"/>
      <w:marBottom w:val="0"/>
      <w:divBdr>
        <w:top w:val="none" w:sz="0" w:space="0" w:color="auto"/>
        <w:left w:val="none" w:sz="0" w:space="0" w:color="auto"/>
        <w:bottom w:val="none" w:sz="0" w:space="0" w:color="auto"/>
        <w:right w:val="none" w:sz="0" w:space="0" w:color="auto"/>
      </w:divBdr>
    </w:div>
    <w:div w:id="1421878144">
      <w:bodyDiv w:val="1"/>
      <w:marLeft w:val="0"/>
      <w:marRight w:val="0"/>
      <w:marTop w:val="0"/>
      <w:marBottom w:val="0"/>
      <w:divBdr>
        <w:top w:val="none" w:sz="0" w:space="0" w:color="auto"/>
        <w:left w:val="none" w:sz="0" w:space="0" w:color="auto"/>
        <w:bottom w:val="none" w:sz="0" w:space="0" w:color="auto"/>
        <w:right w:val="none" w:sz="0" w:space="0" w:color="auto"/>
      </w:divBdr>
    </w:div>
    <w:div w:id="1453935767">
      <w:bodyDiv w:val="1"/>
      <w:marLeft w:val="0"/>
      <w:marRight w:val="0"/>
      <w:marTop w:val="0"/>
      <w:marBottom w:val="0"/>
      <w:divBdr>
        <w:top w:val="none" w:sz="0" w:space="0" w:color="auto"/>
        <w:left w:val="none" w:sz="0" w:space="0" w:color="auto"/>
        <w:bottom w:val="none" w:sz="0" w:space="0" w:color="auto"/>
        <w:right w:val="none" w:sz="0" w:space="0" w:color="auto"/>
      </w:divBdr>
    </w:div>
    <w:div w:id="1462310557">
      <w:bodyDiv w:val="1"/>
      <w:marLeft w:val="0"/>
      <w:marRight w:val="0"/>
      <w:marTop w:val="0"/>
      <w:marBottom w:val="0"/>
      <w:divBdr>
        <w:top w:val="none" w:sz="0" w:space="0" w:color="auto"/>
        <w:left w:val="none" w:sz="0" w:space="0" w:color="auto"/>
        <w:bottom w:val="none" w:sz="0" w:space="0" w:color="auto"/>
        <w:right w:val="none" w:sz="0" w:space="0" w:color="auto"/>
      </w:divBdr>
    </w:div>
    <w:div w:id="1541091722">
      <w:bodyDiv w:val="1"/>
      <w:marLeft w:val="0"/>
      <w:marRight w:val="0"/>
      <w:marTop w:val="0"/>
      <w:marBottom w:val="0"/>
      <w:divBdr>
        <w:top w:val="none" w:sz="0" w:space="0" w:color="auto"/>
        <w:left w:val="none" w:sz="0" w:space="0" w:color="auto"/>
        <w:bottom w:val="none" w:sz="0" w:space="0" w:color="auto"/>
        <w:right w:val="none" w:sz="0" w:space="0" w:color="auto"/>
      </w:divBdr>
    </w:div>
    <w:div w:id="1541478655">
      <w:bodyDiv w:val="1"/>
      <w:marLeft w:val="0"/>
      <w:marRight w:val="0"/>
      <w:marTop w:val="0"/>
      <w:marBottom w:val="0"/>
      <w:divBdr>
        <w:top w:val="none" w:sz="0" w:space="0" w:color="auto"/>
        <w:left w:val="none" w:sz="0" w:space="0" w:color="auto"/>
        <w:bottom w:val="none" w:sz="0" w:space="0" w:color="auto"/>
        <w:right w:val="none" w:sz="0" w:space="0" w:color="auto"/>
      </w:divBdr>
    </w:div>
    <w:div w:id="1584342383">
      <w:bodyDiv w:val="1"/>
      <w:marLeft w:val="0"/>
      <w:marRight w:val="0"/>
      <w:marTop w:val="0"/>
      <w:marBottom w:val="0"/>
      <w:divBdr>
        <w:top w:val="none" w:sz="0" w:space="0" w:color="auto"/>
        <w:left w:val="none" w:sz="0" w:space="0" w:color="auto"/>
        <w:bottom w:val="none" w:sz="0" w:space="0" w:color="auto"/>
        <w:right w:val="none" w:sz="0" w:space="0" w:color="auto"/>
      </w:divBdr>
    </w:div>
    <w:div w:id="1586256157">
      <w:bodyDiv w:val="1"/>
      <w:marLeft w:val="0"/>
      <w:marRight w:val="0"/>
      <w:marTop w:val="0"/>
      <w:marBottom w:val="0"/>
      <w:divBdr>
        <w:top w:val="none" w:sz="0" w:space="0" w:color="auto"/>
        <w:left w:val="none" w:sz="0" w:space="0" w:color="auto"/>
        <w:bottom w:val="none" w:sz="0" w:space="0" w:color="auto"/>
        <w:right w:val="none" w:sz="0" w:space="0" w:color="auto"/>
      </w:divBdr>
    </w:div>
    <w:div w:id="1589345384">
      <w:bodyDiv w:val="1"/>
      <w:marLeft w:val="0"/>
      <w:marRight w:val="0"/>
      <w:marTop w:val="0"/>
      <w:marBottom w:val="0"/>
      <w:divBdr>
        <w:top w:val="none" w:sz="0" w:space="0" w:color="auto"/>
        <w:left w:val="none" w:sz="0" w:space="0" w:color="auto"/>
        <w:bottom w:val="none" w:sz="0" w:space="0" w:color="auto"/>
        <w:right w:val="none" w:sz="0" w:space="0" w:color="auto"/>
      </w:divBdr>
    </w:div>
    <w:div w:id="1682664676">
      <w:bodyDiv w:val="1"/>
      <w:marLeft w:val="0"/>
      <w:marRight w:val="0"/>
      <w:marTop w:val="0"/>
      <w:marBottom w:val="0"/>
      <w:divBdr>
        <w:top w:val="none" w:sz="0" w:space="0" w:color="auto"/>
        <w:left w:val="none" w:sz="0" w:space="0" w:color="auto"/>
        <w:bottom w:val="none" w:sz="0" w:space="0" w:color="auto"/>
        <w:right w:val="none" w:sz="0" w:space="0" w:color="auto"/>
      </w:divBdr>
    </w:div>
    <w:div w:id="1704135458">
      <w:bodyDiv w:val="1"/>
      <w:marLeft w:val="0"/>
      <w:marRight w:val="0"/>
      <w:marTop w:val="0"/>
      <w:marBottom w:val="0"/>
      <w:divBdr>
        <w:top w:val="none" w:sz="0" w:space="0" w:color="auto"/>
        <w:left w:val="none" w:sz="0" w:space="0" w:color="auto"/>
        <w:bottom w:val="none" w:sz="0" w:space="0" w:color="auto"/>
        <w:right w:val="none" w:sz="0" w:space="0" w:color="auto"/>
      </w:divBdr>
    </w:div>
    <w:div w:id="1730348416">
      <w:bodyDiv w:val="1"/>
      <w:marLeft w:val="0"/>
      <w:marRight w:val="0"/>
      <w:marTop w:val="0"/>
      <w:marBottom w:val="0"/>
      <w:divBdr>
        <w:top w:val="none" w:sz="0" w:space="0" w:color="auto"/>
        <w:left w:val="none" w:sz="0" w:space="0" w:color="auto"/>
        <w:bottom w:val="none" w:sz="0" w:space="0" w:color="auto"/>
        <w:right w:val="none" w:sz="0" w:space="0" w:color="auto"/>
      </w:divBdr>
    </w:div>
    <w:div w:id="1819496577">
      <w:bodyDiv w:val="1"/>
      <w:marLeft w:val="0"/>
      <w:marRight w:val="0"/>
      <w:marTop w:val="0"/>
      <w:marBottom w:val="0"/>
      <w:divBdr>
        <w:top w:val="none" w:sz="0" w:space="0" w:color="auto"/>
        <w:left w:val="none" w:sz="0" w:space="0" w:color="auto"/>
        <w:bottom w:val="none" w:sz="0" w:space="0" w:color="auto"/>
        <w:right w:val="none" w:sz="0" w:space="0" w:color="auto"/>
      </w:divBdr>
    </w:div>
    <w:div w:id="1830704566">
      <w:bodyDiv w:val="1"/>
      <w:marLeft w:val="0"/>
      <w:marRight w:val="0"/>
      <w:marTop w:val="0"/>
      <w:marBottom w:val="0"/>
      <w:divBdr>
        <w:top w:val="none" w:sz="0" w:space="0" w:color="auto"/>
        <w:left w:val="none" w:sz="0" w:space="0" w:color="auto"/>
        <w:bottom w:val="none" w:sz="0" w:space="0" w:color="auto"/>
        <w:right w:val="none" w:sz="0" w:space="0" w:color="auto"/>
      </w:divBdr>
    </w:div>
    <w:div w:id="1849059741">
      <w:bodyDiv w:val="1"/>
      <w:marLeft w:val="0"/>
      <w:marRight w:val="0"/>
      <w:marTop w:val="0"/>
      <w:marBottom w:val="0"/>
      <w:divBdr>
        <w:top w:val="none" w:sz="0" w:space="0" w:color="auto"/>
        <w:left w:val="none" w:sz="0" w:space="0" w:color="auto"/>
        <w:bottom w:val="none" w:sz="0" w:space="0" w:color="auto"/>
        <w:right w:val="none" w:sz="0" w:space="0" w:color="auto"/>
      </w:divBdr>
    </w:div>
    <w:div w:id="1867333042">
      <w:bodyDiv w:val="1"/>
      <w:marLeft w:val="0"/>
      <w:marRight w:val="0"/>
      <w:marTop w:val="0"/>
      <w:marBottom w:val="0"/>
      <w:divBdr>
        <w:top w:val="none" w:sz="0" w:space="0" w:color="auto"/>
        <w:left w:val="none" w:sz="0" w:space="0" w:color="auto"/>
        <w:bottom w:val="none" w:sz="0" w:space="0" w:color="auto"/>
        <w:right w:val="none" w:sz="0" w:space="0" w:color="auto"/>
      </w:divBdr>
    </w:div>
    <w:div w:id="2000501022">
      <w:bodyDiv w:val="1"/>
      <w:marLeft w:val="0"/>
      <w:marRight w:val="0"/>
      <w:marTop w:val="0"/>
      <w:marBottom w:val="0"/>
      <w:divBdr>
        <w:top w:val="none" w:sz="0" w:space="0" w:color="auto"/>
        <w:left w:val="none" w:sz="0" w:space="0" w:color="auto"/>
        <w:bottom w:val="none" w:sz="0" w:space="0" w:color="auto"/>
        <w:right w:val="none" w:sz="0" w:space="0" w:color="auto"/>
      </w:divBdr>
    </w:div>
    <w:div w:id="2020157802">
      <w:bodyDiv w:val="1"/>
      <w:marLeft w:val="0"/>
      <w:marRight w:val="0"/>
      <w:marTop w:val="0"/>
      <w:marBottom w:val="0"/>
      <w:divBdr>
        <w:top w:val="none" w:sz="0" w:space="0" w:color="auto"/>
        <w:left w:val="none" w:sz="0" w:space="0" w:color="auto"/>
        <w:bottom w:val="none" w:sz="0" w:space="0" w:color="auto"/>
        <w:right w:val="none" w:sz="0" w:space="0" w:color="auto"/>
      </w:divBdr>
    </w:div>
    <w:div w:id="2042895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esis.org/en/issp/home" TargetMode="External"/><Relationship Id="rId18" Type="http://schemas.openxmlformats.org/officeDocument/2006/relationships/oleObject" Target="embeddings/oleObject1.bin"/><Relationship Id="rId26" Type="http://schemas.openxmlformats.org/officeDocument/2006/relationships/image" Target="media/image11.png"/><Relationship Id="rId39" Type="http://schemas.openxmlformats.org/officeDocument/2006/relationships/oleObject" Target="embeddings/oleObject6.bin"/><Relationship Id="rId21" Type="http://schemas.openxmlformats.org/officeDocument/2006/relationships/oleObject" Target="embeddings/oleObject2.bin"/><Relationship Id="rId34" Type="http://schemas.openxmlformats.org/officeDocument/2006/relationships/image" Target="media/image18.emf"/><Relationship Id="rId42" Type="http://schemas.openxmlformats.org/officeDocument/2006/relationships/image" Target="media/image22.emf"/><Relationship Id="rId47" Type="http://schemas.openxmlformats.org/officeDocument/2006/relationships/chart" Target="charts/chart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image" Target="media/image14.emf"/><Relationship Id="rId11" Type="http://schemas.openxmlformats.org/officeDocument/2006/relationships/hyperlink" Target="https://data.oecd.org/migration/foreign-born-population.htm" TargetMode="External"/><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oleObject" Target="embeddings/oleObject5.bin"/><Relationship Id="rId40" Type="http://schemas.openxmlformats.org/officeDocument/2006/relationships/image" Target="media/image21.emf"/><Relationship Id="rId45" Type="http://schemas.openxmlformats.org/officeDocument/2006/relationships/image" Target="media/image24.emf"/><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19.emf"/><Relationship Id="rId49" Type="http://schemas.openxmlformats.org/officeDocument/2006/relationships/theme" Target="theme/theme1.xml"/><Relationship Id="rId10" Type="http://schemas.openxmlformats.org/officeDocument/2006/relationships/hyperlink" Target="https://fsolt.org/swiid/" TargetMode="External"/><Relationship Id="rId19" Type="http://schemas.openxmlformats.org/officeDocument/2006/relationships/image" Target="media/image5.emf"/><Relationship Id="rId31" Type="http://schemas.openxmlformats.org/officeDocument/2006/relationships/image" Target="media/image16.jpeg"/><Relationship Id="rId44"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hyperlink" Target="http://www.parlgov.org/" TargetMode="External"/><Relationship Id="rId14" Type="http://schemas.openxmlformats.org/officeDocument/2006/relationships/image" Target="media/image1.emf"/><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emf"/><Relationship Id="rId35" Type="http://schemas.openxmlformats.org/officeDocument/2006/relationships/oleObject" Target="embeddings/oleObject4.bin"/><Relationship Id="rId43" Type="http://schemas.openxmlformats.org/officeDocument/2006/relationships/oleObject" Target="embeddings/oleObject8.bin"/><Relationship Id="rId48" Type="http://schemas.openxmlformats.org/officeDocument/2006/relationships/fontTable" Target="fontTable.xml"/><Relationship Id="rId8" Type="http://schemas.openxmlformats.org/officeDocument/2006/relationships/hyperlink" Target="https://www.europeansocialsurvey.org/downloadwizard/" TargetMode="External"/><Relationship Id="rId3" Type="http://schemas.openxmlformats.org/officeDocument/2006/relationships/styles" Target="styles.xml"/><Relationship Id="rId12" Type="http://schemas.openxmlformats.org/officeDocument/2006/relationships/hyperlink" Target="https://data.worldbank.org/)" TargetMode="External"/><Relationship Id="rId17" Type="http://schemas.openxmlformats.org/officeDocument/2006/relationships/image" Target="media/image4.emf"/><Relationship Id="rId25" Type="http://schemas.openxmlformats.org/officeDocument/2006/relationships/image" Target="media/image10.emf"/><Relationship Id="rId33" Type="http://schemas.openxmlformats.org/officeDocument/2006/relationships/oleObject" Target="embeddings/oleObject3.bin"/><Relationship Id="rId38" Type="http://schemas.openxmlformats.org/officeDocument/2006/relationships/image" Target="media/image20.emf"/><Relationship Id="rId46" Type="http://schemas.openxmlformats.org/officeDocument/2006/relationships/chart" Target="charts/chart1.xml"/><Relationship Id="rId20" Type="http://schemas.openxmlformats.org/officeDocument/2006/relationships/image" Target="media/image6.emf"/><Relationship Id="rId41"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oleObject" Target="https://alumni-my.sharepoint.com/personal/gzr839_ku_dk/Documents/phD/Writings/Paper%203%20-%20PRRPs%20and%20social%20cohesion/Submission%20to%20EPSR/Sensitivity%20analysi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alumni-my.sharepoint.com/personal/gzr839_ku_dk/Documents/phD/Writings/Paper%203%20-%20PRRPs%20and%20social%20cohesion/Submission%20to%20EPSR/Sensitivity%20analysi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Sensitivity: Two-way FE model</a:t>
            </a: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'Sensitivity analysis'!$B$17</c:f>
              <c:strCache>
                <c:ptCount val="1"/>
                <c:pt idx="0">
                  <c:v>D</c:v>
                </c:pt>
              </c:strCache>
            </c:strRef>
          </c:tx>
          <c:spPr>
            <a:ln w="19050" cap="rnd">
              <a:solidFill>
                <a:sysClr val="windowText" lastClr="000000"/>
              </a:solidFill>
              <a:round/>
            </a:ln>
            <a:effectLst/>
          </c:spPr>
          <c:marker>
            <c:symbol val="circle"/>
            <c:size val="5"/>
            <c:spPr>
              <a:solidFill>
                <a:schemeClr val="tx1"/>
              </a:solidFill>
              <a:ln w="9525">
                <a:solidFill>
                  <a:sysClr val="windowText" lastClr="000000"/>
                </a:solidFill>
              </a:ln>
              <a:effectLst/>
            </c:spPr>
          </c:marker>
          <c:xVal>
            <c:numRef>
              <c:f>'Sensitivity analysis'!$A$18:$A$29</c:f>
              <c:numCache>
                <c:formatCode>General</c:formatCode>
                <c:ptCount val="12"/>
                <c:pt idx="0">
                  <c:v>0.4</c:v>
                </c:pt>
                <c:pt idx="1">
                  <c:v>0.45</c:v>
                </c:pt>
                <c:pt idx="2">
                  <c:v>0.5</c:v>
                </c:pt>
                <c:pt idx="3">
                  <c:v>0.55000000000000004</c:v>
                </c:pt>
                <c:pt idx="4">
                  <c:v>0.6</c:v>
                </c:pt>
                <c:pt idx="5">
                  <c:v>0.65</c:v>
                </c:pt>
                <c:pt idx="6">
                  <c:v>0.7</c:v>
                </c:pt>
                <c:pt idx="7">
                  <c:v>0.75</c:v>
                </c:pt>
                <c:pt idx="8">
                  <c:v>0.8</c:v>
                </c:pt>
                <c:pt idx="9">
                  <c:v>0.85</c:v>
                </c:pt>
                <c:pt idx="10">
                  <c:v>0.9</c:v>
                </c:pt>
                <c:pt idx="11">
                  <c:v>0.95</c:v>
                </c:pt>
              </c:numCache>
            </c:numRef>
          </c:xVal>
          <c:yVal>
            <c:numRef>
              <c:f>'Sensitivity analysis'!$B$18:$B$29</c:f>
              <c:numCache>
                <c:formatCode>General</c:formatCode>
                <c:ptCount val="12"/>
                <c:pt idx="0">
                  <c:v>0.31935372238319065</c:v>
                </c:pt>
                <c:pt idx="1">
                  <c:v>0.34328006059193128</c:v>
                </c:pt>
                <c:pt idx="2">
                  <c:v>0.36681766587774917</c:v>
                </c:pt>
                <c:pt idx="3">
                  <c:v>0.39035009926987335</c:v>
                </c:pt>
                <c:pt idx="4">
                  <c:v>0.41425837348205768</c:v>
                </c:pt>
                <c:pt idx="5">
                  <c:v>0.43896833598791613</c:v>
                </c:pt>
                <c:pt idx="6">
                  <c:v>0.46500795692116925</c:v>
                </c:pt>
                <c:pt idx="7">
                  <c:v>0.49310891291883985</c:v>
                </c:pt>
                <c:pt idx="8">
                  <c:v>0.52440061022085016</c:v>
                </c:pt>
                <c:pt idx="9">
                  <c:v>0.5608761004000794</c:v>
                </c:pt>
                <c:pt idx="10">
                  <c:v>0.60677211537775866</c:v>
                </c:pt>
                <c:pt idx="11">
                  <c:v>0.67480071132149821</c:v>
                </c:pt>
              </c:numCache>
            </c:numRef>
          </c:yVal>
          <c:smooth val="0"/>
          <c:extLst>
            <c:ext xmlns:c16="http://schemas.microsoft.com/office/drawing/2014/chart" uri="{C3380CC4-5D6E-409C-BE32-E72D297353CC}">
              <c16:uniqueId val="{00000000-3750-4F6E-9C67-0D3305A2A6E8}"/>
            </c:ext>
          </c:extLst>
        </c:ser>
        <c:dLbls>
          <c:showLegendKey val="0"/>
          <c:showVal val="0"/>
          <c:showCatName val="0"/>
          <c:showSerName val="0"/>
          <c:showPercent val="0"/>
          <c:showBubbleSize val="0"/>
        </c:dLbls>
        <c:axId val="1503904911"/>
        <c:axId val="1503906159"/>
      </c:scatterChart>
      <c:valAx>
        <c:axId val="1503904911"/>
        <c:scaling>
          <c:orientation val="minMax"/>
          <c:min val="0.4"/>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Power (1-B)</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3906159"/>
        <c:crosses val="autoZero"/>
        <c:crossBetween val="midCat"/>
      </c:valAx>
      <c:valAx>
        <c:axId val="1503906159"/>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Cohen's 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3904911"/>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Sensitivity: Regression discontinuity design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'Sensitivity analysis'!$G$17</c:f>
              <c:strCache>
                <c:ptCount val="1"/>
                <c:pt idx="0">
                  <c:v>D</c:v>
                </c:pt>
              </c:strCache>
            </c:strRef>
          </c:tx>
          <c:spPr>
            <a:ln w="19050" cap="rnd">
              <a:solidFill>
                <a:schemeClr val="tx1"/>
              </a:solidFill>
              <a:round/>
            </a:ln>
            <a:effectLst/>
          </c:spPr>
          <c:marker>
            <c:symbol val="circle"/>
            <c:size val="5"/>
            <c:spPr>
              <a:solidFill>
                <a:schemeClr val="tx1"/>
              </a:solidFill>
              <a:ln w="9525">
                <a:solidFill>
                  <a:schemeClr val="tx1"/>
                </a:solidFill>
              </a:ln>
              <a:effectLst/>
            </c:spPr>
          </c:marker>
          <c:xVal>
            <c:numRef>
              <c:f>'Sensitivity analysis'!$F$18:$F$29</c:f>
              <c:numCache>
                <c:formatCode>General</c:formatCode>
                <c:ptCount val="12"/>
                <c:pt idx="0">
                  <c:v>0.4</c:v>
                </c:pt>
                <c:pt idx="1">
                  <c:v>0.45</c:v>
                </c:pt>
                <c:pt idx="2">
                  <c:v>0.5</c:v>
                </c:pt>
                <c:pt idx="3">
                  <c:v>0.55000000000000004</c:v>
                </c:pt>
                <c:pt idx="4">
                  <c:v>0.6</c:v>
                </c:pt>
                <c:pt idx="5">
                  <c:v>0.65</c:v>
                </c:pt>
                <c:pt idx="6">
                  <c:v>0.7</c:v>
                </c:pt>
                <c:pt idx="7">
                  <c:v>0.75</c:v>
                </c:pt>
                <c:pt idx="8">
                  <c:v>0.8</c:v>
                </c:pt>
                <c:pt idx="9">
                  <c:v>0.85</c:v>
                </c:pt>
                <c:pt idx="10">
                  <c:v>0.9</c:v>
                </c:pt>
                <c:pt idx="11">
                  <c:v>0.95</c:v>
                </c:pt>
              </c:numCache>
            </c:numRef>
          </c:xVal>
          <c:yVal>
            <c:numRef>
              <c:f>'Sensitivity analysis'!$G$18:$G$29</c:f>
              <c:numCache>
                <c:formatCode>General</c:formatCode>
                <c:ptCount val="12"/>
                <c:pt idx="0">
                  <c:v>0.24764248423887206</c:v>
                </c:pt>
                <c:pt idx="1">
                  <c:v>0.2661939142805485</c:v>
                </c:pt>
                <c:pt idx="2">
                  <c:v>0.2844440190969042</c:v>
                </c:pt>
                <c:pt idx="3">
                  <c:v>0.30268927962516279</c:v>
                </c:pt>
                <c:pt idx="4">
                  <c:v>0.32122577729690377</c:v>
                </c:pt>
                <c:pt idx="5">
                  <c:v>0.34038331333953492</c:v>
                </c:pt>
                <c:pt idx="6">
                  <c:v>0.3605712134932571</c:v>
                </c:pt>
                <c:pt idx="7">
                  <c:v>0.38235690133695766</c:v>
                </c:pt>
                <c:pt idx="8">
                  <c:v>0.40661578916712027</c:v>
                </c:pt>
                <c:pt idx="9">
                  <c:v>0.43489263042732745</c:v>
                </c:pt>
                <c:pt idx="10">
                  <c:v>0.47047167821240843</c:v>
                </c:pt>
                <c:pt idx="11">
                  <c:v>0.52320550455819936</c:v>
                </c:pt>
              </c:numCache>
            </c:numRef>
          </c:yVal>
          <c:smooth val="0"/>
          <c:extLst>
            <c:ext xmlns:c16="http://schemas.microsoft.com/office/drawing/2014/chart" uri="{C3380CC4-5D6E-409C-BE32-E72D297353CC}">
              <c16:uniqueId val="{00000000-3641-47E7-ACFB-D8390B21516F}"/>
            </c:ext>
          </c:extLst>
        </c:ser>
        <c:dLbls>
          <c:showLegendKey val="0"/>
          <c:showVal val="0"/>
          <c:showCatName val="0"/>
          <c:showSerName val="0"/>
          <c:showPercent val="0"/>
          <c:showBubbleSize val="0"/>
        </c:dLbls>
        <c:axId val="2093532735"/>
        <c:axId val="2093527327"/>
      </c:scatterChart>
      <c:valAx>
        <c:axId val="2093532735"/>
        <c:scaling>
          <c:orientation val="minMax"/>
          <c:min val="0.4"/>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Power (1-B)</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3527327"/>
        <c:crosses val="autoZero"/>
        <c:crossBetween val="midCat"/>
      </c:valAx>
      <c:valAx>
        <c:axId val="2093527327"/>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Cohen's</a:t>
                </a:r>
                <a:r>
                  <a:rPr lang="en-US" baseline="0">
                    <a:latin typeface="Times New Roman" panose="02020603050405020304" pitchFamily="18" charset="0"/>
                    <a:cs typeface="Times New Roman" panose="02020603050405020304" pitchFamily="18" charset="0"/>
                  </a:rPr>
                  <a:t> D</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3532735"/>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4B34F-1A55-4737-BAD5-97ACE98F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44</Pages>
  <Words>13598</Words>
  <Characters>77919</Characters>
  <Application>Microsoft Office Word</Application>
  <DocSecurity>0</DocSecurity>
  <Lines>1855</Lines>
  <Paragraphs>1005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Haderup Larsen</dc:creator>
  <cp:keywords/>
  <dc:description/>
  <cp:lastModifiedBy>Mikkel Haderup Larsen</cp:lastModifiedBy>
  <cp:revision>104</cp:revision>
  <dcterms:created xsi:type="dcterms:W3CDTF">2022-07-02T10:20:00Z</dcterms:created>
  <dcterms:modified xsi:type="dcterms:W3CDTF">2022-09-12T12:20:00Z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630e2-1ac5-455e-8217-0156b1936a76_Enabled">
    <vt:lpwstr>true</vt:lpwstr>
  </property>
  <property fmtid="{D5CDD505-2E9C-101B-9397-08002B2CF9AE}" pid="3" name="MSIP_Label_6a2630e2-1ac5-455e-8217-0156b1936a76_SetDate">
    <vt:lpwstr>2022-02-21T11:16:41Z</vt:lpwstr>
  </property>
  <property fmtid="{D5CDD505-2E9C-101B-9397-08002B2CF9AE}" pid="4" name="MSIP_Label_6a2630e2-1ac5-455e-8217-0156b1936a76_Method">
    <vt:lpwstr>Standard</vt:lpwstr>
  </property>
  <property fmtid="{D5CDD505-2E9C-101B-9397-08002B2CF9AE}" pid="5" name="MSIP_Label_6a2630e2-1ac5-455e-8217-0156b1936a76_Name">
    <vt:lpwstr>Notclass</vt:lpwstr>
  </property>
  <property fmtid="{D5CDD505-2E9C-101B-9397-08002B2CF9AE}" pid="6" name="MSIP_Label_6a2630e2-1ac5-455e-8217-0156b1936a76_SiteId">
    <vt:lpwstr>a3927f91-cda1-4696-af89-8c9f1ceffa91</vt:lpwstr>
  </property>
  <property fmtid="{D5CDD505-2E9C-101B-9397-08002B2CF9AE}" pid="7" name="MSIP_Label_6a2630e2-1ac5-455e-8217-0156b1936a76_ActionId">
    <vt:lpwstr>8020fc47-7516-491a-a8b6-7000bc5413b4</vt:lpwstr>
  </property>
  <property fmtid="{D5CDD505-2E9C-101B-9397-08002B2CF9AE}" pid="8" name="MSIP_Label_6a2630e2-1ac5-455e-8217-0156b1936a76_ContentBits">
    <vt:lpwstr>0</vt:lpwstr>
  </property>
  <property fmtid="{D5CDD505-2E9C-101B-9397-08002B2CF9AE}" pid="9" name="ContentRemapped">
    <vt:lpwstr>true</vt:lpwstr>
  </property>
  <property fmtid="{D5CDD505-2E9C-101B-9397-08002B2CF9AE}" pid="10" name="ZOTERO_PREF_1">
    <vt:lpwstr>&lt;data data-version="3" zotero-version="6.0.9"&gt;&lt;session id="OAZzAPC5"/&gt;&lt;style id="http://www.zotero.org/styles/apa" locale="en-US" hasBibliography="1" bibliographyStyleHasBeenSet="1"/&gt;&lt;prefs&gt;&lt;pref name="fieldType" value="Field"/&gt;&lt;/prefs&gt;&lt;/data&gt;</vt:lpwstr>
  </property>
</Properties>
</file>