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064F" w14:textId="6AD8F9F4" w:rsidR="003E75AD" w:rsidRPr="003E75AD" w:rsidRDefault="003E75AD" w:rsidP="003E75AD">
      <w:pPr>
        <w:pStyle w:val="Heading1"/>
        <w:spacing w:line="264" w:lineRule="auto"/>
        <w:ind w:left="284" w:hanging="284"/>
        <w:rPr>
          <w:rFonts w:ascii="Times New Roman" w:hAnsi="Times New Roman" w:cs="Times New Roman"/>
          <w:lang w:val="en-US"/>
        </w:rPr>
      </w:pPr>
      <w:r>
        <w:rPr>
          <w:rFonts w:ascii="Times New Roman" w:hAnsi="Times New Roman" w:cs="Times New Roman"/>
          <w:lang w:val="en-US"/>
        </w:rPr>
        <w:t>Online Appendix to ‘</w:t>
      </w:r>
      <w:r w:rsidRPr="003E75AD">
        <w:rPr>
          <w:rFonts w:ascii="Times New Roman" w:hAnsi="Times New Roman" w:cs="Times New Roman"/>
          <w:lang w:val="en-US"/>
        </w:rPr>
        <w:t>Incentives and Constraints: A Configurational Account of European Involvement in the anti-Daesh Coalitio</w:t>
      </w:r>
      <w:r>
        <w:rPr>
          <w:rFonts w:ascii="Times New Roman" w:hAnsi="Times New Roman" w:cs="Times New Roman"/>
          <w:lang w:val="en-US"/>
        </w:rPr>
        <w:t>n’</w:t>
      </w:r>
    </w:p>
    <w:p w14:paraId="16836A26" w14:textId="77777777" w:rsidR="00972B8C" w:rsidRPr="00FC4BBA" w:rsidRDefault="00972B8C" w:rsidP="00972B8C">
      <w:pPr>
        <w:rPr>
          <w:rFonts w:ascii="Times New Roman" w:hAnsi="Times New Roman" w:cs="Times New Roman"/>
          <w:i/>
          <w:iCs/>
          <w:lang w:val="en-US"/>
        </w:rPr>
      </w:pPr>
      <w:r w:rsidRPr="00E305B4">
        <w:rPr>
          <w:rFonts w:ascii="Times New Roman" w:hAnsi="Times New Roman" w:cs="Times New Roman"/>
          <w:i/>
          <w:iCs/>
          <w:lang w:val="en-US"/>
        </w:rPr>
        <w:t>Table A1</w:t>
      </w:r>
      <w:r w:rsidRPr="00E7698C">
        <w:rPr>
          <w:rFonts w:ascii="Times New Roman" w:hAnsi="Times New Roman" w:cs="Times New Roman"/>
          <w:i/>
          <w:iCs/>
          <w:lang w:val="en-US"/>
        </w:rPr>
        <w:t>: Calibration</w:t>
      </w:r>
      <w:r w:rsidRPr="00FC4BBA">
        <w:rPr>
          <w:rFonts w:ascii="Times New Roman" w:hAnsi="Times New Roman" w:cs="Times New Roman"/>
          <w:i/>
          <w:iCs/>
          <w:lang w:val="en-US"/>
        </w:rPr>
        <w:t xml:space="preserve"> of Conditions and Outcome</w:t>
      </w:r>
    </w:p>
    <w:p w14:paraId="23E851B9" w14:textId="77777777" w:rsidR="00FA59B4" w:rsidRPr="00FC4BBA" w:rsidRDefault="00972B8C" w:rsidP="00972B8C">
      <w:pPr>
        <w:rPr>
          <w:rFonts w:ascii="Times New Roman" w:hAnsi="Times New Roman" w:cs="Times New Roman"/>
          <w:lang w:val="en-US"/>
        </w:rPr>
        <w:sectPr w:rsidR="00FA59B4" w:rsidRPr="00FC4BBA" w:rsidSect="00FA59B4">
          <w:footerReference w:type="even" r:id="rId8"/>
          <w:footerReference w:type="default" r:id="rId9"/>
          <w:pgSz w:w="16840" w:h="11901" w:orient="landscape"/>
          <w:pgMar w:top="1418" w:right="1418" w:bottom="1418" w:left="1418" w:header="567" w:footer="567" w:gutter="0"/>
          <w:cols w:space="708"/>
          <w:docGrid w:linePitch="360"/>
        </w:sectPr>
      </w:pPr>
      <w:r w:rsidRPr="00FC4BBA">
        <w:rPr>
          <w:rFonts w:ascii="Times New Roman" w:hAnsi="Times New Roman" w:cs="Times New Roman"/>
          <w:noProof/>
          <w:lang w:eastAsia="en-GB"/>
        </w:rPr>
        <w:drawing>
          <wp:inline distT="0" distB="0" distL="0" distR="0" wp14:anchorId="0311E839" wp14:editId="73D32A8B">
            <wp:extent cx="7288096" cy="485076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7327404" cy="4876927"/>
                    </a:xfrm>
                    <a:prstGeom prst="rect">
                      <a:avLst/>
                    </a:prstGeom>
                  </pic:spPr>
                </pic:pic>
              </a:graphicData>
            </a:graphic>
          </wp:inline>
        </w:drawing>
      </w:r>
    </w:p>
    <w:p w14:paraId="7055E01E" w14:textId="5F83333A" w:rsidR="00972B8C" w:rsidRPr="00FC4BBA" w:rsidRDefault="00972B8C" w:rsidP="00972B8C">
      <w:pPr>
        <w:rPr>
          <w:rFonts w:ascii="Times New Roman" w:hAnsi="Times New Roman" w:cs="Times New Roman"/>
          <w:i/>
          <w:iCs/>
          <w:lang w:val="en-US"/>
        </w:rPr>
      </w:pPr>
      <w:r w:rsidRPr="00E305B4">
        <w:rPr>
          <w:rFonts w:ascii="Times New Roman" w:hAnsi="Times New Roman" w:cs="Times New Roman"/>
          <w:i/>
          <w:iCs/>
          <w:lang w:val="en-US"/>
        </w:rPr>
        <w:lastRenderedPageBreak/>
        <w:t>Figure A1</w:t>
      </w:r>
      <w:r w:rsidRPr="00E7698C">
        <w:rPr>
          <w:rFonts w:ascii="Times New Roman" w:hAnsi="Times New Roman" w:cs="Times New Roman"/>
          <w:i/>
          <w:iCs/>
          <w:lang w:val="en-US"/>
        </w:rPr>
        <w:t>:</w:t>
      </w:r>
      <w:r w:rsidRPr="00FC4BBA">
        <w:rPr>
          <w:rFonts w:ascii="Times New Roman" w:hAnsi="Times New Roman" w:cs="Times New Roman"/>
          <w:i/>
          <w:iCs/>
          <w:lang w:val="en-US"/>
        </w:rPr>
        <w:t xml:space="preserve"> Histograms of Calibrated Sets</w:t>
      </w:r>
    </w:p>
    <w:p w14:paraId="2983C853" w14:textId="2293EA05" w:rsidR="00972B8C" w:rsidRPr="00FC4BBA" w:rsidRDefault="00972B8C" w:rsidP="00972B8C">
      <w:pPr>
        <w:rPr>
          <w:rFonts w:ascii="Times New Roman" w:hAnsi="Times New Roman" w:cs="Times New Roman"/>
          <w:lang w:val="en-US"/>
        </w:rPr>
      </w:pPr>
      <w:r w:rsidRPr="00FC4BBA">
        <w:rPr>
          <w:rFonts w:ascii="Times New Roman" w:hAnsi="Times New Roman" w:cs="Times New Roman"/>
          <w:noProof/>
          <w:lang w:eastAsia="en-GB"/>
        </w:rPr>
        <w:drawing>
          <wp:inline distT="0" distB="0" distL="0" distR="0" wp14:anchorId="537E9D6D" wp14:editId="7DFF672F">
            <wp:extent cx="5760000" cy="80044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60000" cy="8004416"/>
                    </a:xfrm>
                    <a:prstGeom prst="rect">
                      <a:avLst/>
                    </a:prstGeom>
                  </pic:spPr>
                </pic:pic>
              </a:graphicData>
            </a:graphic>
          </wp:inline>
        </w:drawing>
      </w:r>
    </w:p>
    <w:p w14:paraId="1F85840E" w14:textId="6027D670" w:rsidR="00FA59B4" w:rsidRPr="00FC4BBA" w:rsidRDefault="00FA59B4" w:rsidP="00972B8C">
      <w:pPr>
        <w:rPr>
          <w:rFonts w:ascii="Times New Roman" w:hAnsi="Times New Roman" w:cs="Times New Roman"/>
          <w:lang w:val="en-US"/>
        </w:rPr>
      </w:pPr>
    </w:p>
    <w:p w14:paraId="735A8038" w14:textId="71F5D602" w:rsidR="00FA59B4" w:rsidRPr="00FC4BBA" w:rsidRDefault="00FA59B4" w:rsidP="00972B8C">
      <w:pPr>
        <w:rPr>
          <w:rFonts w:ascii="Times New Roman" w:hAnsi="Times New Roman" w:cs="Times New Roman"/>
          <w:lang w:val="en-US"/>
        </w:rPr>
      </w:pPr>
    </w:p>
    <w:p w14:paraId="3FA8E182" w14:textId="77777777" w:rsidR="00972B8C" w:rsidRPr="00FC4BBA" w:rsidRDefault="00972B8C" w:rsidP="00972B8C">
      <w:pPr>
        <w:rPr>
          <w:rFonts w:ascii="Times New Roman" w:hAnsi="Times New Roman" w:cs="Times New Roman"/>
          <w:i/>
          <w:iCs/>
          <w:lang w:val="en-US"/>
        </w:rPr>
      </w:pPr>
      <w:r w:rsidRPr="00E305B4">
        <w:rPr>
          <w:rFonts w:ascii="Times New Roman" w:hAnsi="Times New Roman" w:cs="Times New Roman"/>
          <w:i/>
          <w:iCs/>
          <w:lang w:val="en-US"/>
        </w:rPr>
        <w:lastRenderedPageBreak/>
        <w:t>Table A2</w:t>
      </w:r>
      <w:r w:rsidRPr="00E7698C">
        <w:rPr>
          <w:rFonts w:ascii="Times New Roman" w:hAnsi="Times New Roman" w:cs="Times New Roman"/>
          <w:i/>
          <w:iCs/>
          <w:lang w:val="en-US"/>
        </w:rPr>
        <w:t>: Truth</w:t>
      </w:r>
      <w:r w:rsidRPr="00FC4BBA">
        <w:rPr>
          <w:rFonts w:ascii="Times New Roman" w:hAnsi="Times New Roman" w:cs="Times New Roman"/>
          <w:i/>
          <w:iCs/>
          <w:lang w:val="en-US"/>
        </w:rPr>
        <w:t xml:space="preserve"> Table with Logical Remainders</w:t>
      </w:r>
    </w:p>
    <w:p w14:paraId="4CE00B66" w14:textId="2CF6C918" w:rsidR="00972B8C" w:rsidRPr="00FC4BBA" w:rsidRDefault="00972B8C" w:rsidP="00972B8C">
      <w:pPr>
        <w:rPr>
          <w:rFonts w:ascii="Times New Roman" w:hAnsi="Times New Roman" w:cs="Times New Roman"/>
          <w:lang w:val="en-US"/>
        </w:rPr>
      </w:pPr>
      <w:r w:rsidRPr="00FC4BBA">
        <w:rPr>
          <w:rFonts w:ascii="Times New Roman" w:hAnsi="Times New Roman" w:cs="Times New Roman"/>
          <w:noProof/>
          <w:lang w:eastAsia="en-GB"/>
        </w:rPr>
        <w:drawing>
          <wp:inline distT="0" distB="0" distL="0" distR="0" wp14:anchorId="78064FB2" wp14:editId="675EB121">
            <wp:extent cx="5466945" cy="6477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479286" cy="6491626"/>
                    </a:xfrm>
                    <a:prstGeom prst="rect">
                      <a:avLst/>
                    </a:prstGeom>
                  </pic:spPr>
                </pic:pic>
              </a:graphicData>
            </a:graphic>
          </wp:inline>
        </w:drawing>
      </w:r>
    </w:p>
    <w:p w14:paraId="128D6D85" w14:textId="56AF4BF3" w:rsidR="008B0475" w:rsidRPr="00FC4BBA" w:rsidRDefault="008B0475" w:rsidP="00972B8C">
      <w:pPr>
        <w:rPr>
          <w:rFonts w:ascii="Times New Roman" w:hAnsi="Times New Roman" w:cs="Times New Roman"/>
          <w:lang w:val="en-US"/>
        </w:rPr>
      </w:pPr>
    </w:p>
    <w:p w14:paraId="1E0191CE" w14:textId="2E58C578" w:rsidR="008B0475" w:rsidRPr="00FC4BBA" w:rsidRDefault="008B0475" w:rsidP="00972B8C">
      <w:pPr>
        <w:rPr>
          <w:rFonts w:ascii="Times New Roman" w:hAnsi="Times New Roman" w:cs="Times New Roman"/>
          <w:lang w:val="en-US"/>
        </w:rPr>
      </w:pPr>
    </w:p>
    <w:p w14:paraId="1E9C45EB" w14:textId="6C32FA1F" w:rsidR="00F870A1" w:rsidRPr="00FC4BBA" w:rsidRDefault="00F870A1" w:rsidP="00972B8C">
      <w:pPr>
        <w:rPr>
          <w:rFonts w:ascii="Times New Roman" w:hAnsi="Times New Roman" w:cs="Times New Roman"/>
          <w:lang w:val="en-US"/>
        </w:rPr>
      </w:pPr>
    </w:p>
    <w:p w14:paraId="7AB2687A" w14:textId="295EFBD8" w:rsidR="00F870A1" w:rsidRPr="00FC4BBA" w:rsidRDefault="00F870A1" w:rsidP="00972B8C">
      <w:pPr>
        <w:rPr>
          <w:rFonts w:ascii="Times New Roman" w:hAnsi="Times New Roman" w:cs="Times New Roman"/>
          <w:lang w:val="en-US"/>
        </w:rPr>
      </w:pPr>
    </w:p>
    <w:p w14:paraId="3BF05A1F" w14:textId="0EBE2A23" w:rsidR="00F870A1" w:rsidRPr="00FC4BBA" w:rsidRDefault="00F870A1" w:rsidP="00972B8C">
      <w:pPr>
        <w:rPr>
          <w:rFonts w:ascii="Times New Roman" w:hAnsi="Times New Roman" w:cs="Times New Roman"/>
          <w:lang w:val="en-US"/>
        </w:rPr>
      </w:pPr>
    </w:p>
    <w:p w14:paraId="30633025" w14:textId="683AD474" w:rsidR="00F870A1" w:rsidRPr="00FC4BBA" w:rsidRDefault="00F870A1" w:rsidP="00972B8C">
      <w:pPr>
        <w:rPr>
          <w:rFonts w:ascii="Times New Roman" w:hAnsi="Times New Roman" w:cs="Times New Roman"/>
          <w:lang w:val="en-US"/>
        </w:rPr>
      </w:pPr>
    </w:p>
    <w:p w14:paraId="33F55E40" w14:textId="672D9D9B" w:rsidR="00F870A1" w:rsidRPr="00FC4BBA" w:rsidRDefault="00F870A1" w:rsidP="00972B8C">
      <w:pPr>
        <w:rPr>
          <w:rFonts w:ascii="Times New Roman" w:hAnsi="Times New Roman" w:cs="Times New Roman"/>
          <w:lang w:val="en-US"/>
        </w:rPr>
      </w:pPr>
    </w:p>
    <w:p w14:paraId="2A8C2D02" w14:textId="0C76CB4D" w:rsidR="00F870A1" w:rsidRPr="00FC4BBA" w:rsidRDefault="00F870A1" w:rsidP="00F870A1">
      <w:pPr>
        <w:rPr>
          <w:rFonts w:ascii="Times New Roman" w:hAnsi="Times New Roman" w:cs="Times New Roman"/>
          <w:i/>
          <w:iCs/>
          <w:lang w:val="en-US"/>
        </w:rPr>
      </w:pPr>
      <w:r w:rsidRPr="00E305B4">
        <w:rPr>
          <w:rFonts w:ascii="Times New Roman" w:hAnsi="Times New Roman" w:cs="Times New Roman"/>
          <w:i/>
          <w:iCs/>
          <w:lang w:val="en-US"/>
        </w:rPr>
        <w:lastRenderedPageBreak/>
        <w:t>Table A3</w:t>
      </w:r>
      <w:r w:rsidRPr="00B86FA7">
        <w:rPr>
          <w:rFonts w:ascii="Times New Roman" w:hAnsi="Times New Roman" w:cs="Times New Roman"/>
          <w:i/>
          <w:iCs/>
          <w:lang w:val="en-US"/>
        </w:rPr>
        <w:t xml:space="preserve">: </w:t>
      </w:r>
      <w:r w:rsidR="00B86FA7" w:rsidRPr="00B86FA7">
        <w:rPr>
          <w:rFonts w:ascii="Times New Roman" w:hAnsi="Times New Roman" w:cs="Times New Roman"/>
          <w:i/>
          <w:iCs/>
          <w:lang w:val="en-US"/>
        </w:rPr>
        <w:t>Conservative</w:t>
      </w:r>
      <w:r w:rsidR="00B86FA7" w:rsidRPr="00FC4BBA">
        <w:rPr>
          <w:rFonts w:ascii="Times New Roman" w:hAnsi="Times New Roman" w:cs="Times New Roman"/>
          <w:i/>
          <w:iCs/>
          <w:lang w:val="en-US"/>
        </w:rPr>
        <w:t xml:space="preserve"> </w:t>
      </w:r>
      <w:r w:rsidRPr="00FC4BBA">
        <w:rPr>
          <w:rFonts w:ascii="Times New Roman" w:hAnsi="Times New Roman" w:cs="Times New Roman"/>
          <w:i/>
          <w:iCs/>
          <w:lang w:val="en-US"/>
        </w:rPr>
        <w:t>Solution</w:t>
      </w:r>
    </w:p>
    <w:p w14:paraId="76C7AD22" w14:textId="59EDEFAC" w:rsidR="00F870A1" w:rsidRPr="00FC4BBA" w:rsidRDefault="00F870A1" w:rsidP="00E734B9">
      <w:pPr>
        <w:spacing w:after="360"/>
        <w:jc w:val="both"/>
        <w:rPr>
          <w:rFonts w:ascii="Times New Roman" w:hAnsi="Times New Roman" w:cs="Times New Roman"/>
          <w:lang w:val="en-US"/>
        </w:rPr>
      </w:pPr>
      <w:r w:rsidRPr="00FC4BBA">
        <w:rPr>
          <w:rFonts w:ascii="Times New Roman" w:hAnsi="Times New Roman" w:cs="Times New Roman"/>
          <w:lang w:val="en-US"/>
        </w:rPr>
        <w:t xml:space="preserve">This table displays the </w:t>
      </w:r>
      <w:r w:rsidR="00B86FA7">
        <w:rPr>
          <w:rFonts w:ascii="Times New Roman" w:hAnsi="Times New Roman" w:cs="Times New Roman"/>
          <w:lang w:val="en-US"/>
        </w:rPr>
        <w:t>conservative solution (also referred to as complex solution).</w:t>
      </w:r>
      <w:r w:rsidRPr="00FC4BBA">
        <w:rPr>
          <w:rFonts w:ascii="Times New Roman" w:hAnsi="Times New Roman" w:cs="Times New Roman"/>
          <w:lang w:val="en-US"/>
        </w:rPr>
        <w:t xml:space="preserve"> The</w:t>
      </w:r>
      <w:r w:rsidR="00D24889" w:rsidRPr="00FC4BBA">
        <w:rPr>
          <w:rFonts w:ascii="Times New Roman" w:hAnsi="Times New Roman" w:cs="Times New Roman"/>
          <w:lang w:val="en-US"/>
        </w:rPr>
        <w:t xml:space="preserve"> configurations</w:t>
      </w:r>
      <w:r w:rsidRPr="00FC4BBA">
        <w:rPr>
          <w:rFonts w:ascii="Times New Roman" w:hAnsi="Times New Roman" w:cs="Times New Roman"/>
          <w:lang w:val="en-US"/>
        </w:rPr>
        <w:t xml:space="preserve"> are identical</w:t>
      </w:r>
      <w:r w:rsidR="00B86FA7">
        <w:rPr>
          <w:rFonts w:ascii="Times New Roman" w:hAnsi="Times New Roman" w:cs="Times New Roman"/>
          <w:lang w:val="en-US"/>
        </w:rPr>
        <w:t xml:space="preserve"> to the intermediate solution</w:t>
      </w:r>
      <w:r w:rsidRPr="00FC4BBA">
        <w:rPr>
          <w:rFonts w:ascii="Times New Roman" w:hAnsi="Times New Roman" w:cs="Times New Roman"/>
          <w:lang w:val="en-US"/>
        </w:rPr>
        <w:t xml:space="preserve"> except for a single condition in the</w:t>
      </w:r>
      <w:r w:rsidR="00E734B9" w:rsidRPr="00FC4BBA">
        <w:rPr>
          <w:rFonts w:ascii="Times New Roman" w:hAnsi="Times New Roman" w:cs="Times New Roman"/>
          <w:lang w:val="en-US"/>
        </w:rPr>
        <w:t xml:space="preserve"> </w:t>
      </w:r>
      <w:r w:rsidR="00B86FA7">
        <w:rPr>
          <w:rFonts w:ascii="Times New Roman" w:hAnsi="Times New Roman" w:cs="Times New Roman"/>
          <w:lang w:val="en-US"/>
        </w:rPr>
        <w:t>five</w:t>
      </w:r>
      <w:r w:rsidR="00E734B9" w:rsidRPr="00FC4BBA">
        <w:rPr>
          <w:rFonts w:ascii="Times New Roman" w:hAnsi="Times New Roman" w:cs="Times New Roman"/>
          <w:lang w:val="en-US"/>
        </w:rPr>
        <w:t>-condition</w:t>
      </w:r>
      <w:r w:rsidRPr="00FC4BBA">
        <w:rPr>
          <w:rFonts w:ascii="Times New Roman" w:hAnsi="Times New Roman" w:cs="Times New Roman"/>
          <w:lang w:val="en-US"/>
        </w:rPr>
        <w:t xml:space="preserve"> configuration that comprises path </w:t>
      </w:r>
      <w:r w:rsidR="00B86FA7">
        <w:rPr>
          <w:rFonts w:ascii="Times New Roman" w:hAnsi="Times New Roman" w:cs="Times New Roman"/>
          <w:lang w:val="en-US"/>
        </w:rPr>
        <w:t>3</w:t>
      </w:r>
      <w:r w:rsidR="00B86FA7" w:rsidRPr="00FC4BBA">
        <w:rPr>
          <w:rFonts w:ascii="Times New Roman" w:hAnsi="Times New Roman" w:cs="Times New Roman"/>
          <w:lang w:val="en-US"/>
        </w:rPr>
        <w:t xml:space="preserve"> </w:t>
      </w:r>
      <w:r w:rsidR="00937C7E" w:rsidRPr="00FC4BBA">
        <w:rPr>
          <w:rFonts w:ascii="Times New Roman" w:hAnsi="Times New Roman" w:cs="Times New Roman"/>
          <w:lang w:val="en-US"/>
        </w:rPr>
        <w:t xml:space="preserve">(the </w:t>
      </w:r>
      <w:r w:rsidR="00B86FA7">
        <w:rPr>
          <w:rFonts w:ascii="Times New Roman" w:hAnsi="Times New Roman" w:cs="Times New Roman"/>
          <w:lang w:val="en-US"/>
        </w:rPr>
        <w:t>absence of external threat). The measures of fit for individual paths and the overall solution are also identical (except for a slightly lower PRI in Path 3, when compared to the intermediate solution).</w:t>
      </w:r>
    </w:p>
    <w:p w14:paraId="00E8762A" w14:textId="08EBF458" w:rsidR="00F870A1" w:rsidRPr="00FC4BBA" w:rsidRDefault="00F870A1" w:rsidP="00F870A1">
      <w:pPr>
        <w:rPr>
          <w:rFonts w:ascii="Times New Roman" w:hAnsi="Times New Roman" w:cs="Times New Roman"/>
          <w:lang w:val="en-US"/>
        </w:rPr>
      </w:pPr>
      <w:r w:rsidRPr="00FC4BBA">
        <w:rPr>
          <w:rFonts w:ascii="Times New Roman" w:hAnsi="Times New Roman" w:cs="Times New Roman"/>
          <w:noProof/>
          <w:lang w:eastAsia="en-GB"/>
        </w:rPr>
        <w:drawing>
          <wp:inline distT="0" distB="0" distL="0" distR="0" wp14:anchorId="6C1819A7" wp14:editId="72F0F246">
            <wp:extent cx="2988433" cy="468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2988433" cy="4680000"/>
                    </a:xfrm>
                    <a:prstGeom prst="rect">
                      <a:avLst/>
                    </a:prstGeom>
                  </pic:spPr>
                </pic:pic>
              </a:graphicData>
            </a:graphic>
          </wp:inline>
        </w:drawing>
      </w:r>
    </w:p>
    <w:p w14:paraId="2C5BCC23" w14:textId="77777777" w:rsidR="00D24889" w:rsidRPr="00FC4BBA" w:rsidRDefault="00D24889" w:rsidP="00F870A1">
      <w:pPr>
        <w:rPr>
          <w:rFonts w:ascii="Times New Roman" w:hAnsi="Times New Roman" w:cs="Times New Roman"/>
          <w:lang w:val="en-US"/>
        </w:rPr>
        <w:sectPr w:rsidR="00D24889" w:rsidRPr="00FC4BBA" w:rsidSect="00FA59B4">
          <w:pgSz w:w="11901" w:h="16840"/>
          <w:pgMar w:top="1418" w:right="1418" w:bottom="1418" w:left="1418" w:header="567" w:footer="567" w:gutter="0"/>
          <w:cols w:space="708"/>
          <w:docGrid w:linePitch="360"/>
        </w:sectPr>
      </w:pPr>
    </w:p>
    <w:p w14:paraId="776FB777" w14:textId="1810865C" w:rsidR="004F7390" w:rsidRPr="00FC4BBA" w:rsidRDefault="004F7390" w:rsidP="004F7390">
      <w:pPr>
        <w:rPr>
          <w:rFonts w:ascii="Times New Roman" w:hAnsi="Times New Roman" w:cs="Times New Roman"/>
          <w:i/>
          <w:iCs/>
          <w:lang w:val="en-US"/>
        </w:rPr>
      </w:pPr>
      <w:r w:rsidRPr="00E305B4">
        <w:rPr>
          <w:rFonts w:ascii="Times New Roman" w:hAnsi="Times New Roman" w:cs="Times New Roman"/>
          <w:i/>
          <w:iCs/>
          <w:lang w:val="en-US"/>
        </w:rPr>
        <w:lastRenderedPageBreak/>
        <w:t>Table A4</w:t>
      </w:r>
      <w:r w:rsidRPr="00BE5932">
        <w:rPr>
          <w:rFonts w:ascii="Times New Roman" w:hAnsi="Times New Roman" w:cs="Times New Roman"/>
          <w:i/>
          <w:iCs/>
          <w:lang w:val="en-US"/>
        </w:rPr>
        <w:t xml:space="preserve">: </w:t>
      </w:r>
      <w:r w:rsidR="007406F0" w:rsidRPr="00BE5932">
        <w:rPr>
          <w:rFonts w:ascii="Times New Roman" w:hAnsi="Times New Roman" w:cs="Times New Roman"/>
          <w:i/>
          <w:iCs/>
          <w:lang w:val="en-US"/>
        </w:rPr>
        <w:t>Parsimonious</w:t>
      </w:r>
      <w:r w:rsidR="007406F0" w:rsidRPr="00FC4BBA">
        <w:rPr>
          <w:rFonts w:ascii="Times New Roman" w:hAnsi="Times New Roman" w:cs="Times New Roman"/>
          <w:i/>
          <w:iCs/>
          <w:lang w:val="en-US"/>
        </w:rPr>
        <w:t xml:space="preserve"> </w:t>
      </w:r>
      <w:r w:rsidRPr="00FC4BBA">
        <w:rPr>
          <w:rFonts w:ascii="Times New Roman" w:hAnsi="Times New Roman" w:cs="Times New Roman"/>
          <w:i/>
          <w:iCs/>
          <w:lang w:val="en-US"/>
        </w:rPr>
        <w:t>Solution</w:t>
      </w:r>
      <w:r w:rsidR="00D24889" w:rsidRPr="00FC4BBA">
        <w:rPr>
          <w:rFonts w:ascii="Times New Roman" w:hAnsi="Times New Roman" w:cs="Times New Roman"/>
          <w:i/>
          <w:iCs/>
          <w:lang w:val="en-US"/>
        </w:rPr>
        <w:t>, Models 1 and 2</w:t>
      </w:r>
    </w:p>
    <w:p w14:paraId="0E70DA21" w14:textId="539E8A55" w:rsidR="00D24889" w:rsidRPr="00FC4BBA" w:rsidRDefault="00D24889" w:rsidP="00D24889">
      <w:pPr>
        <w:spacing w:after="360"/>
        <w:jc w:val="both"/>
        <w:rPr>
          <w:rFonts w:ascii="Times New Roman" w:hAnsi="Times New Roman" w:cs="Times New Roman"/>
          <w:lang w:val="en-US"/>
        </w:rPr>
      </w:pPr>
      <w:r w:rsidRPr="00FC4BBA">
        <w:rPr>
          <w:rFonts w:ascii="Times New Roman" w:hAnsi="Times New Roman" w:cs="Times New Roman"/>
          <w:lang w:val="en-US"/>
        </w:rPr>
        <w:t xml:space="preserve">This table displays the two logically equivalent models of the </w:t>
      </w:r>
      <w:r w:rsidR="007406F0">
        <w:rPr>
          <w:rFonts w:ascii="Times New Roman" w:hAnsi="Times New Roman" w:cs="Times New Roman"/>
          <w:lang w:val="en-US"/>
        </w:rPr>
        <w:t>parsimonious</w:t>
      </w:r>
      <w:r w:rsidR="007406F0" w:rsidRPr="00FC4BBA">
        <w:rPr>
          <w:rFonts w:ascii="Times New Roman" w:hAnsi="Times New Roman" w:cs="Times New Roman"/>
          <w:lang w:val="en-US"/>
        </w:rPr>
        <w:t xml:space="preserve"> </w:t>
      </w:r>
      <w:r w:rsidRPr="00FC4BBA">
        <w:rPr>
          <w:rFonts w:ascii="Times New Roman" w:hAnsi="Times New Roman" w:cs="Times New Roman"/>
          <w:lang w:val="en-US"/>
        </w:rPr>
        <w:t xml:space="preserve">solution. </w:t>
      </w:r>
      <w:r w:rsidR="00BE5932">
        <w:rPr>
          <w:rFonts w:ascii="Times New Roman" w:hAnsi="Times New Roman" w:cs="Times New Roman"/>
          <w:lang w:val="en-US"/>
        </w:rPr>
        <w:t>Apart from slightly different measures of fit, t</w:t>
      </w:r>
      <w:r w:rsidRPr="00FC4BBA">
        <w:rPr>
          <w:rFonts w:ascii="Times New Roman" w:hAnsi="Times New Roman" w:cs="Times New Roman"/>
          <w:lang w:val="en-US"/>
        </w:rPr>
        <w:t xml:space="preserve">he configurations are identical except for a single condition in </w:t>
      </w:r>
      <w:r w:rsidR="007406F0">
        <w:rPr>
          <w:rFonts w:ascii="Times New Roman" w:hAnsi="Times New Roman" w:cs="Times New Roman"/>
          <w:lang w:val="en-US"/>
        </w:rPr>
        <w:t xml:space="preserve">Path 3 (the presence of alliance value in model 1 </w:t>
      </w:r>
      <w:r w:rsidR="00BE5932">
        <w:rPr>
          <w:rFonts w:ascii="Times New Roman" w:hAnsi="Times New Roman" w:cs="Times New Roman"/>
          <w:lang w:val="en-US"/>
        </w:rPr>
        <w:t>and</w:t>
      </w:r>
      <w:r w:rsidR="007406F0">
        <w:rPr>
          <w:rFonts w:ascii="Times New Roman" w:hAnsi="Times New Roman" w:cs="Times New Roman"/>
          <w:lang w:val="en-US"/>
        </w:rPr>
        <w:t xml:space="preserve"> the presence of right executive in model 2)</w:t>
      </w:r>
      <w:r w:rsidR="00BE5932">
        <w:rPr>
          <w:rFonts w:ascii="Times New Roman" w:hAnsi="Times New Roman" w:cs="Times New Roman"/>
          <w:lang w:val="en-US"/>
        </w:rPr>
        <w:t>. The parsimonious solution also resonates with the substantive interpretation provided in the paper, which was based on the intermediate solution.</w:t>
      </w:r>
    </w:p>
    <w:p w14:paraId="47C5571B" w14:textId="58B332D4" w:rsidR="004F7390" w:rsidRPr="00FC4BBA" w:rsidRDefault="00D24889" w:rsidP="004F7390">
      <w:pPr>
        <w:rPr>
          <w:rFonts w:ascii="Times New Roman" w:hAnsi="Times New Roman" w:cs="Times New Roman"/>
          <w:lang w:val="en-US"/>
        </w:rPr>
      </w:pPr>
      <w:r w:rsidRPr="00FC4BBA">
        <w:rPr>
          <w:rFonts w:ascii="Times New Roman" w:hAnsi="Times New Roman" w:cs="Times New Roman"/>
          <w:noProof/>
          <w:lang w:eastAsia="en-GB"/>
        </w:rPr>
        <w:drawing>
          <wp:inline distT="0" distB="0" distL="0" distR="0" wp14:anchorId="3C7D32AF" wp14:editId="569D322C">
            <wp:extent cx="5752036" cy="433851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5777161" cy="4357470"/>
                    </a:xfrm>
                    <a:prstGeom prst="rect">
                      <a:avLst/>
                    </a:prstGeom>
                  </pic:spPr>
                </pic:pic>
              </a:graphicData>
            </a:graphic>
          </wp:inline>
        </w:drawing>
      </w:r>
    </w:p>
    <w:p w14:paraId="3FEAFDDC" w14:textId="77777777" w:rsidR="00D24889" w:rsidRPr="00FC4BBA" w:rsidRDefault="00D24889" w:rsidP="004F7390">
      <w:pPr>
        <w:rPr>
          <w:rFonts w:ascii="Times New Roman" w:hAnsi="Times New Roman" w:cs="Times New Roman"/>
          <w:lang w:val="en-US"/>
        </w:rPr>
        <w:sectPr w:rsidR="00D24889" w:rsidRPr="00FC4BBA" w:rsidSect="00E305B4">
          <w:pgSz w:w="11901" w:h="16817"/>
          <w:pgMar w:top="1418" w:right="1418" w:bottom="1418" w:left="1418" w:header="567" w:footer="567" w:gutter="0"/>
          <w:cols w:space="708"/>
          <w:docGrid w:linePitch="360"/>
        </w:sectPr>
      </w:pPr>
    </w:p>
    <w:p w14:paraId="40460F41" w14:textId="6189B92B" w:rsidR="00B60D39" w:rsidRPr="00FC4BBA" w:rsidRDefault="00B60D39" w:rsidP="00B60D39">
      <w:pPr>
        <w:rPr>
          <w:rFonts w:ascii="Times New Roman" w:hAnsi="Times New Roman" w:cs="Times New Roman"/>
          <w:i/>
          <w:iCs/>
          <w:lang w:val="en-US"/>
        </w:rPr>
      </w:pPr>
      <w:r w:rsidRPr="00E305B4">
        <w:rPr>
          <w:rFonts w:ascii="Times New Roman" w:hAnsi="Times New Roman" w:cs="Times New Roman"/>
          <w:i/>
          <w:iCs/>
          <w:lang w:val="en-US"/>
        </w:rPr>
        <w:lastRenderedPageBreak/>
        <w:t>Table A5</w:t>
      </w:r>
      <w:r w:rsidRPr="006553B3">
        <w:rPr>
          <w:rFonts w:ascii="Times New Roman" w:hAnsi="Times New Roman" w:cs="Times New Roman"/>
          <w:i/>
          <w:iCs/>
          <w:lang w:val="en-US"/>
        </w:rPr>
        <w:t>:</w:t>
      </w:r>
      <w:r w:rsidRPr="00FC4BBA">
        <w:rPr>
          <w:rFonts w:ascii="Times New Roman" w:hAnsi="Times New Roman" w:cs="Times New Roman"/>
          <w:i/>
          <w:iCs/>
          <w:lang w:val="en-US"/>
        </w:rPr>
        <w:t xml:space="preserve"> Robustness Test (Crisp Sets)</w:t>
      </w:r>
    </w:p>
    <w:p w14:paraId="5AC3F745" w14:textId="6FD3281C" w:rsidR="00B60D39" w:rsidRPr="00FC4BBA" w:rsidRDefault="005E2219" w:rsidP="00B60D39">
      <w:pPr>
        <w:spacing w:after="360"/>
        <w:jc w:val="both"/>
        <w:rPr>
          <w:rFonts w:ascii="Times New Roman" w:hAnsi="Times New Roman" w:cs="Times New Roman"/>
          <w:lang w:val="en-US"/>
        </w:rPr>
      </w:pPr>
      <w:r w:rsidRPr="00FC4BBA">
        <w:rPr>
          <w:rFonts w:ascii="Times New Roman" w:hAnsi="Times New Roman" w:cs="Times New Roman"/>
          <w:lang w:val="en-US"/>
        </w:rPr>
        <w:t>For this robustness test, all of the study’s fuzzy-set conditions were transformed into crisp sets (dichotomized).</w:t>
      </w:r>
      <w:r w:rsidR="0028578A" w:rsidRPr="00FC4BBA">
        <w:rPr>
          <w:rFonts w:ascii="Times New Roman" w:hAnsi="Times New Roman" w:cs="Times New Roman"/>
          <w:lang w:val="en-US"/>
        </w:rPr>
        <w:t xml:space="preserve"> </w:t>
      </w:r>
      <w:r w:rsidR="00B60D39" w:rsidRPr="00FC4BBA">
        <w:rPr>
          <w:rFonts w:ascii="Times New Roman" w:hAnsi="Times New Roman" w:cs="Times New Roman"/>
          <w:lang w:val="en-US"/>
        </w:rPr>
        <w:t xml:space="preserve">A comparison with Table 5 shows that the results are substantively identical, and thus robust, both in terms of the solution paths and the case attribution. What changes are the measures of fit, which show perfect solution consistency, coverage, and PRI when crisp sets are used in the analysis.   </w:t>
      </w:r>
    </w:p>
    <w:p w14:paraId="1F9A81F2" w14:textId="623E24F0" w:rsidR="00B60D39" w:rsidRPr="00FC4BBA" w:rsidRDefault="00B60D39" w:rsidP="00B60D39">
      <w:pPr>
        <w:spacing w:after="360"/>
        <w:jc w:val="both"/>
        <w:rPr>
          <w:rFonts w:ascii="Times New Roman" w:hAnsi="Times New Roman" w:cs="Times New Roman"/>
          <w:lang w:val="en-US"/>
        </w:rPr>
      </w:pPr>
      <w:r w:rsidRPr="00FC4BBA">
        <w:rPr>
          <w:rFonts w:ascii="Times New Roman" w:hAnsi="Times New Roman" w:cs="Times New Roman"/>
          <w:noProof/>
          <w:lang w:eastAsia="en-GB"/>
        </w:rPr>
        <w:drawing>
          <wp:inline distT="0" distB="0" distL="0" distR="0" wp14:anchorId="051BEA5A" wp14:editId="7B6AC1E4">
            <wp:extent cx="2961739" cy="468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2961739" cy="4680000"/>
                    </a:xfrm>
                    <a:prstGeom prst="rect">
                      <a:avLst/>
                    </a:prstGeom>
                  </pic:spPr>
                </pic:pic>
              </a:graphicData>
            </a:graphic>
          </wp:inline>
        </w:drawing>
      </w:r>
    </w:p>
    <w:p w14:paraId="48257BB5" w14:textId="51A87615" w:rsidR="00B60D39" w:rsidRPr="00FC4BBA" w:rsidRDefault="00B60D39" w:rsidP="004F7390">
      <w:pPr>
        <w:rPr>
          <w:rFonts w:ascii="Times New Roman" w:hAnsi="Times New Roman" w:cs="Times New Roman"/>
          <w:lang w:val="en-US"/>
        </w:rPr>
      </w:pPr>
    </w:p>
    <w:p w14:paraId="46C6D560" w14:textId="54F4A43B" w:rsidR="005E2219" w:rsidRPr="00FC4BBA" w:rsidRDefault="005E2219" w:rsidP="004F7390">
      <w:pPr>
        <w:rPr>
          <w:rFonts w:ascii="Times New Roman" w:hAnsi="Times New Roman" w:cs="Times New Roman"/>
          <w:lang w:val="en-US"/>
        </w:rPr>
      </w:pPr>
    </w:p>
    <w:p w14:paraId="484D5BE7" w14:textId="5ACB790B" w:rsidR="005E2219" w:rsidRPr="00FC4BBA" w:rsidRDefault="005E2219" w:rsidP="004F7390">
      <w:pPr>
        <w:rPr>
          <w:rFonts w:ascii="Times New Roman" w:hAnsi="Times New Roman" w:cs="Times New Roman"/>
          <w:lang w:val="en-US"/>
        </w:rPr>
      </w:pPr>
    </w:p>
    <w:p w14:paraId="4AEF89D1" w14:textId="6286E333" w:rsidR="005E2219" w:rsidRPr="00FC4BBA" w:rsidRDefault="005E2219" w:rsidP="004F7390">
      <w:pPr>
        <w:rPr>
          <w:rFonts w:ascii="Times New Roman" w:hAnsi="Times New Roman" w:cs="Times New Roman"/>
          <w:lang w:val="en-US"/>
        </w:rPr>
      </w:pPr>
    </w:p>
    <w:p w14:paraId="6BC71848" w14:textId="4FFB6C8E" w:rsidR="005E2219" w:rsidRPr="00FC4BBA" w:rsidRDefault="005E2219" w:rsidP="004F7390">
      <w:pPr>
        <w:rPr>
          <w:rFonts w:ascii="Times New Roman" w:hAnsi="Times New Roman" w:cs="Times New Roman"/>
          <w:lang w:val="en-US"/>
        </w:rPr>
      </w:pPr>
    </w:p>
    <w:p w14:paraId="7B805AB9" w14:textId="77777777" w:rsidR="005E2219" w:rsidRPr="00FC4BBA" w:rsidRDefault="005E2219" w:rsidP="004F7390">
      <w:pPr>
        <w:rPr>
          <w:rFonts w:ascii="Times New Roman" w:hAnsi="Times New Roman" w:cs="Times New Roman"/>
          <w:lang w:val="en-US"/>
        </w:rPr>
      </w:pPr>
    </w:p>
    <w:p w14:paraId="43B63581" w14:textId="0F9D6CAD" w:rsidR="004F7390" w:rsidRDefault="004F7390" w:rsidP="00972B8C">
      <w:pPr>
        <w:rPr>
          <w:rFonts w:ascii="Times New Roman" w:hAnsi="Times New Roman" w:cs="Times New Roman"/>
          <w:lang w:val="en-US"/>
        </w:rPr>
      </w:pPr>
    </w:p>
    <w:p w14:paraId="255ED4E8" w14:textId="421A9AA1" w:rsidR="00C058F6" w:rsidRDefault="00C058F6" w:rsidP="00972B8C">
      <w:pPr>
        <w:rPr>
          <w:rFonts w:ascii="Times New Roman" w:hAnsi="Times New Roman" w:cs="Times New Roman"/>
          <w:lang w:val="en-US"/>
        </w:rPr>
      </w:pPr>
    </w:p>
    <w:p w14:paraId="11AADDDF" w14:textId="77777777" w:rsidR="00C058F6" w:rsidRPr="00FC4BBA" w:rsidRDefault="00C058F6" w:rsidP="00972B8C">
      <w:pPr>
        <w:rPr>
          <w:rFonts w:ascii="Times New Roman" w:hAnsi="Times New Roman" w:cs="Times New Roman"/>
          <w:lang w:val="en-US"/>
        </w:rPr>
      </w:pPr>
    </w:p>
    <w:p w14:paraId="184D78F5" w14:textId="77777777" w:rsidR="00972B8C" w:rsidRPr="00FC4BBA" w:rsidRDefault="00972B8C" w:rsidP="00972B8C">
      <w:pPr>
        <w:rPr>
          <w:rFonts w:ascii="Times New Roman" w:hAnsi="Times New Roman" w:cs="Times New Roman"/>
          <w:lang w:val="en-US"/>
        </w:rPr>
      </w:pPr>
    </w:p>
    <w:p w14:paraId="2ECDAF2C" w14:textId="3A5BFDC4" w:rsidR="005E2219" w:rsidRPr="00FC4BBA" w:rsidRDefault="005E2219" w:rsidP="005E2219">
      <w:pPr>
        <w:rPr>
          <w:rFonts w:ascii="Times New Roman" w:hAnsi="Times New Roman" w:cs="Times New Roman"/>
          <w:i/>
          <w:iCs/>
          <w:lang w:val="en-US"/>
        </w:rPr>
      </w:pPr>
      <w:r w:rsidRPr="00E305B4">
        <w:rPr>
          <w:rFonts w:ascii="Times New Roman" w:hAnsi="Times New Roman" w:cs="Times New Roman"/>
          <w:i/>
          <w:iCs/>
          <w:lang w:val="en-US"/>
        </w:rPr>
        <w:lastRenderedPageBreak/>
        <w:t>Table A6</w:t>
      </w:r>
      <w:r w:rsidRPr="00D865A5">
        <w:rPr>
          <w:rFonts w:ascii="Times New Roman" w:hAnsi="Times New Roman" w:cs="Times New Roman"/>
          <w:i/>
          <w:iCs/>
          <w:lang w:val="en-US"/>
        </w:rPr>
        <w:t>:</w:t>
      </w:r>
      <w:r w:rsidRPr="00FC4BBA">
        <w:rPr>
          <w:rFonts w:ascii="Times New Roman" w:hAnsi="Times New Roman" w:cs="Times New Roman"/>
          <w:i/>
          <w:iCs/>
          <w:lang w:val="en-US"/>
        </w:rPr>
        <w:t xml:space="preserve"> Robustness Test (</w:t>
      </w:r>
      <w:r w:rsidR="001710CD" w:rsidRPr="00FC4BBA">
        <w:rPr>
          <w:rFonts w:ascii="Times New Roman" w:hAnsi="Times New Roman" w:cs="Times New Roman"/>
          <w:i/>
          <w:iCs/>
          <w:lang w:val="en-US"/>
        </w:rPr>
        <w:t>Alternative Calibration of the Outcome</w:t>
      </w:r>
      <w:r w:rsidRPr="00FC4BBA">
        <w:rPr>
          <w:rFonts w:ascii="Times New Roman" w:hAnsi="Times New Roman" w:cs="Times New Roman"/>
          <w:i/>
          <w:iCs/>
          <w:lang w:val="en-US"/>
        </w:rPr>
        <w:t>)</w:t>
      </w:r>
    </w:p>
    <w:p w14:paraId="067CDB44" w14:textId="48A3ECC5" w:rsidR="001710CD" w:rsidRPr="00FC4BBA" w:rsidRDefault="0028578A" w:rsidP="005E2219">
      <w:pPr>
        <w:spacing w:after="360"/>
        <w:jc w:val="both"/>
        <w:rPr>
          <w:rFonts w:ascii="Times New Roman" w:hAnsi="Times New Roman" w:cs="Times New Roman"/>
          <w:lang w:val="en-US"/>
        </w:rPr>
      </w:pPr>
      <w:r w:rsidRPr="00FC4BBA">
        <w:rPr>
          <w:rFonts w:ascii="Times New Roman" w:hAnsi="Times New Roman" w:cs="Times New Roman"/>
          <w:lang w:val="en-US"/>
        </w:rPr>
        <w:t>For this robustness test</w:t>
      </w:r>
      <w:r w:rsidR="001710CD" w:rsidRPr="00FC4BBA">
        <w:rPr>
          <w:rFonts w:ascii="Times New Roman" w:hAnsi="Times New Roman" w:cs="Times New Roman"/>
          <w:lang w:val="en-US"/>
        </w:rPr>
        <w:t>, more weight was assigned to lower-level military contributions like the training of local forces (fuzzy scores of 0.3 and 0.4, respectively, depending on the number of personnel) and logistical support such as overflight and basing rights (fuzzy score 0.2). Also, political support was assigned a fuzzy score of 0.1</w:t>
      </w:r>
      <w:r w:rsidR="007A1ABE" w:rsidRPr="00FC4BBA">
        <w:rPr>
          <w:rFonts w:ascii="Times New Roman" w:hAnsi="Times New Roman" w:cs="Times New Roman"/>
          <w:lang w:val="en-US"/>
        </w:rPr>
        <w:t xml:space="preserve"> (f</w:t>
      </w:r>
      <w:r w:rsidR="001710CD" w:rsidRPr="00FC4BBA">
        <w:rPr>
          <w:rFonts w:ascii="Times New Roman" w:hAnsi="Times New Roman" w:cs="Times New Roman"/>
          <w:lang w:val="en-US"/>
        </w:rPr>
        <w:t>or a comparison</w:t>
      </w:r>
      <w:r w:rsidR="007A1ABE" w:rsidRPr="00FC4BBA">
        <w:rPr>
          <w:rFonts w:ascii="Times New Roman" w:hAnsi="Times New Roman" w:cs="Times New Roman"/>
          <w:lang w:val="en-US"/>
        </w:rPr>
        <w:t xml:space="preserve"> to the original values</w:t>
      </w:r>
      <w:r w:rsidR="001710CD" w:rsidRPr="00FC4BBA">
        <w:rPr>
          <w:rFonts w:ascii="Times New Roman" w:hAnsi="Times New Roman" w:cs="Times New Roman"/>
          <w:lang w:val="en-US"/>
        </w:rPr>
        <w:t>, see Table 1</w:t>
      </w:r>
      <w:r w:rsidR="007A1ABE" w:rsidRPr="00FC4BBA">
        <w:rPr>
          <w:rFonts w:ascii="Times New Roman" w:hAnsi="Times New Roman" w:cs="Times New Roman"/>
          <w:lang w:val="en-US"/>
        </w:rPr>
        <w:t>)</w:t>
      </w:r>
      <w:r w:rsidR="001710CD" w:rsidRPr="00FC4BBA">
        <w:rPr>
          <w:rFonts w:ascii="Times New Roman" w:hAnsi="Times New Roman" w:cs="Times New Roman"/>
          <w:lang w:val="en-US"/>
        </w:rPr>
        <w:t xml:space="preserve">. </w:t>
      </w:r>
      <w:r w:rsidR="007A1ABE" w:rsidRPr="00FC4BBA">
        <w:rPr>
          <w:rFonts w:ascii="Times New Roman" w:hAnsi="Times New Roman" w:cs="Times New Roman"/>
          <w:lang w:val="en-US"/>
        </w:rPr>
        <w:t>This robustness test yields results that are substantively identical to those reported in Table 5. A difference can be seen with regards to consistency, PRI, and coverage – with the former two increasing and the latter decreasing due to the alternative calibration of the outcome.</w:t>
      </w:r>
    </w:p>
    <w:p w14:paraId="68071DE0" w14:textId="76232C9B" w:rsidR="000E74B4" w:rsidRDefault="007A1ABE" w:rsidP="005E2219">
      <w:pPr>
        <w:spacing w:after="360"/>
        <w:jc w:val="both"/>
        <w:rPr>
          <w:rFonts w:ascii="Times New Roman" w:hAnsi="Times New Roman" w:cs="Times New Roman"/>
          <w:lang w:val="en-US"/>
        </w:rPr>
      </w:pPr>
      <w:r w:rsidRPr="00FC4BBA">
        <w:rPr>
          <w:rFonts w:ascii="Times New Roman" w:hAnsi="Times New Roman" w:cs="Times New Roman"/>
          <w:noProof/>
          <w:lang w:eastAsia="en-GB"/>
        </w:rPr>
        <w:drawing>
          <wp:inline distT="0" distB="0" distL="0" distR="0" wp14:anchorId="0AD6298D" wp14:editId="5C982691">
            <wp:extent cx="2998834" cy="468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2998834" cy="4680000"/>
                    </a:xfrm>
                    <a:prstGeom prst="rect">
                      <a:avLst/>
                    </a:prstGeom>
                  </pic:spPr>
                </pic:pic>
              </a:graphicData>
            </a:graphic>
          </wp:inline>
        </w:drawing>
      </w:r>
    </w:p>
    <w:p w14:paraId="23C5FA30" w14:textId="4A26681D" w:rsidR="005E2219" w:rsidRDefault="001710CD" w:rsidP="005E2219">
      <w:pPr>
        <w:spacing w:after="360"/>
        <w:jc w:val="both"/>
        <w:rPr>
          <w:rFonts w:ascii="Times New Roman" w:hAnsi="Times New Roman" w:cs="Times New Roman"/>
          <w:lang w:val="en-US"/>
        </w:rPr>
      </w:pPr>
      <w:r>
        <w:rPr>
          <w:rFonts w:ascii="Times New Roman" w:hAnsi="Times New Roman" w:cs="Times New Roman"/>
          <w:lang w:val="en-US"/>
        </w:rPr>
        <w:t xml:space="preserve"> </w:t>
      </w:r>
      <w:r w:rsidR="0028578A">
        <w:rPr>
          <w:rFonts w:ascii="Times New Roman" w:hAnsi="Times New Roman" w:cs="Times New Roman"/>
          <w:lang w:val="en-US"/>
        </w:rPr>
        <w:t xml:space="preserve"> </w:t>
      </w:r>
    </w:p>
    <w:p w14:paraId="3E750C0F" w14:textId="2B5C6807" w:rsidR="00E65633" w:rsidRDefault="00E65633" w:rsidP="005E2219">
      <w:pPr>
        <w:spacing w:after="360"/>
        <w:jc w:val="both"/>
        <w:rPr>
          <w:rFonts w:ascii="Times New Roman" w:hAnsi="Times New Roman" w:cs="Times New Roman"/>
          <w:lang w:val="en-US"/>
        </w:rPr>
      </w:pPr>
    </w:p>
    <w:p w14:paraId="130FA073" w14:textId="598B0F54" w:rsidR="00E65633" w:rsidRDefault="00E65633" w:rsidP="005E2219">
      <w:pPr>
        <w:spacing w:after="360"/>
        <w:jc w:val="both"/>
        <w:rPr>
          <w:rFonts w:ascii="Times New Roman" w:hAnsi="Times New Roman" w:cs="Times New Roman"/>
          <w:lang w:val="en-US"/>
        </w:rPr>
      </w:pPr>
    </w:p>
    <w:p w14:paraId="46D7E228" w14:textId="630BEDCC" w:rsidR="00E65633" w:rsidRDefault="00E65633" w:rsidP="005E2219">
      <w:pPr>
        <w:spacing w:after="360"/>
        <w:jc w:val="both"/>
        <w:rPr>
          <w:rFonts w:ascii="Times New Roman" w:hAnsi="Times New Roman" w:cs="Times New Roman"/>
          <w:lang w:val="en-US"/>
        </w:rPr>
      </w:pPr>
    </w:p>
    <w:p w14:paraId="5BAEA012" w14:textId="553FC122" w:rsidR="00E65633" w:rsidRDefault="00E65633" w:rsidP="005E2219">
      <w:pPr>
        <w:spacing w:after="360"/>
        <w:jc w:val="both"/>
        <w:rPr>
          <w:rFonts w:ascii="Times New Roman" w:hAnsi="Times New Roman" w:cs="Times New Roman"/>
          <w:lang w:val="en-US"/>
        </w:rPr>
      </w:pPr>
    </w:p>
    <w:p w14:paraId="3FB3A6AD" w14:textId="6CD9ED94" w:rsidR="00C058F6" w:rsidRPr="00FC4BBA" w:rsidRDefault="00C058F6" w:rsidP="00C058F6">
      <w:pPr>
        <w:rPr>
          <w:rFonts w:ascii="Times New Roman" w:hAnsi="Times New Roman" w:cs="Times New Roman"/>
          <w:i/>
          <w:iCs/>
          <w:lang w:val="en-US"/>
        </w:rPr>
      </w:pPr>
      <w:r w:rsidRPr="00E305B4">
        <w:rPr>
          <w:rFonts w:ascii="Times New Roman" w:hAnsi="Times New Roman" w:cs="Times New Roman"/>
          <w:i/>
          <w:iCs/>
          <w:lang w:val="en-US"/>
        </w:rPr>
        <w:lastRenderedPageBreak/>
        <w:t>Table A</w:t>
      </w:r>
      <w:r w:rsidRPr="00D865A5">
        <w:rPr>
          <w:rFonts w:ascii="Times New Roman" w:hAnsi="Times New Roman" w:cs="Times New Roman"/>
          <w:i/>
          <w:iCs/>
          <w:lang w:val="en-US"/>
        </w:rPr>
        <w:t>7</w:t>
      </w:r>
      <w:r w:rsidRPr="00FC4BBA">
        <w:rPr>
          <w:rFonts w:ascii="Times New Roman" w:hAnsi="Times New Roman" w:cs="Times New Roman"/>
          <w:i/>
          <w:iCs/>
          <w:lang w:val="en-US"/>
        </w:rPr>
        <w:t>: Robustness Test (</w:t>
      </w:r>
      <w:r>
        <w:rPr>
          <w:rFonts w:ascii="Times New Roman" w:hAnsi="Times New Roman" w:cs="Times New Roman"/>
          <w:i/>
          <w:iCs/>
          <w:lang w:val="en-US"/>
        </w:rPr>
        <w:t>Restricted Analysis</w:t>
      </w:r>
      <w:r w:rsidRPr="00FC4BBA">
        <w:rPr>
          <w:rFonts w:ascii="Times New Roman" w:hAnsi="Times New Roman" w:cs="Times New Roman"/>
          <w:i/>
          <w:iCs/>
          <w:lang w:val="en-US"/>
        </w:rPr>
        <w:t>)</w:t>
      </w:r>
    </w:p>
    <w:p w14:paraId="5E9E7B4C" w14:textId="455252C5" w:rsidR="00B07A88" w:rsidRDefault="00C058F6" w:rsidP="00D865A5">
      <w:pPr>
        <w:pStyle w:val="EndNoteBibliography"/>
        <w:spacing w:after="360"/>
        <w:rPr>
          <w:lang w:val="en-US"/>
        </w:rPr>
      </w:pPr>
      <w:r w:rsidRPr="00FC4BBA">
        <w:rPr>
          <w:lang w:val="en-US"/>
        </w:rPr>
        <w:t xml:space="preserve">For this robustness test, </w:t>
      </w:r>
      <w:r w:rsidRPr="00C25E26">
        <w:rPr>
          <w:lang w:val="en-US"/>
        </w:rPr>
        <w:t xml:space="preserve">an analysis was conducted solely with the three conditions external threat, alliance value, and </w:t>
      </w:r>
      <w:r w:rsidRPr="00C43643">
        <w:rPr>
          <w:lang w:val="en-US"/>
        </w:rPr>
        <w:t>parliamentary veto rights</w:t>
      </w:r>
      <w:r w:rsidR="00D865A5">
        <w:rPr>
          <w:lang w:val="en-US"/>
        </w:rPr>
        <w:t xml:space="preserve"> (the three conditions that comprise Path 2 of the intermediate solution term reported in Table 5). The result confirms the pattern previously identified. However, due to the exclusion of the conditions right executive and public threat perception, fewer cases are covered and thus there is only a single solution path, which entails only five of the eight cases that show the outcome, whereas the intermediate solution with five conditions accounts for all of these cases (coverage drops from 0.79 to 0.53 in the restricted analysis). Hence, the intermediate solution with the full model of five conditions is the preferred solution for the substantive interpretation.</w:t>
      </w:r>
    </w:p>
    <w:p w14:paraId="20E95365" w14:textId="208DFD9A" w:rsidR="00B07A88" w:rsidRDefault="00B07A88" w:rsidP="00E305B4">
      <w:pPr>
        <w:pStyle w:val="EndNoteBibliography"/>
        <w:spacing w:after="360"/>
        <w:rPr>
          <w:lang w:val="en-US"/>
        </w:rPr>
      </w:pPr>
      <w:r>
        <w:rPr>
          <w:noProof/>
          <w:lang w:eastAsia="en-GB"/>
        </w:rPr>
        <w:drawing>
          <wp:inline distT="0" distB="0" distL="0" distR="0" wp14:anchorId="191C81FA" wp14:editId="67A4A5F7">
            <wp:extent cx="2628661" cy="46800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2628661" cy="4680000"/>
                    </a:xfrm>
                    <a:prstGeom prst="rect">
                      <a:avLst/>
                    </a:prstGeom>
                  </pic:spPr>
                </pic:pic>
              </a:graphicData>
            </a:graphic>
          </wp:inline>
        </w:drawing>
      </w:r>
    </w:p>
    <w:p w14:paraId="0246C601" w14:textId="46D20A31" w:rsidR="003E75AD" w:rsidRDefault="003E75AD" w:rsidP="00E305B4">
      <w:pPr>
        <w:pStyle w:val="EndNoteBibliography"/>
        <w:spacing w:after="360"/>
        <w:rPr>
          <w:lang w:val="en-US"/>
        </w:rPr>
      </w:pPr>
    </w:p>
    <w:p w14:paraId="02DDCBED" w14:textId="11E4F993" w:rsidR="003E75AD" w:rsidRDefault="003E75AD" w:rsidP="00E305B4">
      <w:pPr>
        <w:pStyle w:val="EndNoteBibliography"/>
        <w:spacing w:after="360"/>
        <w:rPr>
          <w:lang w:val="en-US"/>
        </w:rPr>
      </w:pPr>
    </w:p>
    <w:p w14:paraId="184731E8" w14:textId="77777777" w:rsidR="003E75AD" w:rsidRDefault="003E75AD" w:rsidP="00E305B4">
      <w:pPr>
        <w:pStyle w:val="EndNoteBibliography"/>
        <w:spacing w:after="360"/>
        <w:rPr>
          <w:lang w:val="en-US"/>
        </w:rPr>
      </w:pPr>
    </w:p>
    <w:p w14:paraId="1B5FEE30" w14:textId="7E524FEB" w:rsidR="003E75AD" w:rsidRDefault="003E75AD" w:rsidP="00E305B4">
      <w:pPr>
        <w:pStyle w:val="EndNoteBibliography"/>
        <w:spacing w:after="360"/>
        <w:rPr>
          <w:b/>
          <w:bCs/>
          <w:lang w:val="en-US"/>
        </w:rPr>
      </w:pPr>
      <w:r w:rsidRPr="003E75AD">
        <w:rPr>
          <w:b/>
          <w:bCs/>
          <w:lang w:val="en-US"/>
        </w:rPr>
        <w:lastRenderedPageBreak/>
        <w:t>References</w:t>
      </w:r>
    </w:p>
    <w:p w14:paraId="083FDB8E" w14:textId="77777777" w:rsidR="003E75AD" w:rsidRPr="00E942D3" w:rsidRDefault="003E75AD" w:rsidP="003E75AD">
      <w:pPr>
        <w:pStyle w:val="EndNoteBibliography"/>
        <w:spacing w:after="0"/>
        <w:ind w:left="720" w:hanging="720"/>
        <w:rPr>
          <w:noProof/>
        </w:rPr>
      </w:pPr>
      <w:r>
        <w:fldChar w:fldCharType="begin"/>
      </w:r>
      <w:r>
        <w:instrText xml:space="preserve"> ADDIN EN.REFLIST </w:instrText>
      </w:r>
      <w:r>
        <w:fldChar w:fldCharType="separate"/>
      </w:r>
      <w:r w:rsidRPr="00E942D3">
        <w:rPr>
          <w:noProof/>
        </w:rPr>
        <w:t xml:space="preserve">Asmus, R., Everts, P. P., &amp;  Isernia, P. 2004. </w:t>
      </w:r>
      <w:r w:rsidRPr="00E942D3">
        <w:rPr>
          <w:i/>
          <w:noProof/>
        </w:rPr>
        <w:t>Across the Atlantic and the Political Aisle: The Double Divide in U.S.-European Relations</w:t>
      </w:r>
      <w:r w:rsidRPr="00E942D3">
        <w:rPr>
          <w:noProof/>
        </w:rPr>
        <w:t>. Washington, DC: German Marshall Fund.</w:t>
      </w:r>
    </w:p>
    <w:p w14:paraId="14D67C5A" w14:textId="77777777" w:rsidR="003E75AD" w:rsidRPr="00E942D3" w:rsidRDefault="003E75AD" w:rsidP="003E75AD">
      <w:pPr>
        <w:pStyle w:val="EndNoteBibliography"/>
        <w:spacing w:after="0"/>
        <w:ind w:left="720" w:hanging="720"/>
        <w:rPr>
          <w:noProof/>
        </w:rPr>
      </w:pPr>
      <w:r w:rsidRPr="00E942D3">
        <w:rPr>
          <w:noProof/>
        </w:rPr>
        <w:t xml:space="preserve">Bakker, R., De Vries, C., Edwards, E., Hooghe, L., Jolly, S., Marks, G., Polk, J., Rovny, J., Steenbergen, M., &amp;  Vachudová, M. A. 2015. "Measuring Party Positions in Europe: The Chapel Hill Expert Survey Trend File, 1999-2010." </w:t>
      </w:r>
      <w:r w:rsidRPr="00E942D3">
        <w:rPr>
          <w:i/>
          <w:noProof/>
        </w:rPr>
        <w:t>Party Politics</w:t>
      </w:r>
      <w:r w:rsidRPr="00E942D3">
        <w:rPr>
          <w:noProof/>
        </w:rPr>
        <w:t xml:space="preserve"> 21 (1): 143-52.</w:t>
      </w:r>
    </w:p>
    <w:p w14:paraId="036D5128" w14:textId="77777777" w:rsidR="003E75AD" w:rsidRPr="00E942D3" w:rsidRDefault="003E75AD" w:rsidP="003E75AD">
      <w:pPr>
        <w:pStyle w:val="EndNoteBibliography"/>
        <w:spacing w:after="0"/>
        <w:ind w:left="720" w:hanging="720"/>
        <w:rPr>
          <w:noProof/>
        </w:rPr>
      </w:pPr>
      <w:r w:rsidRPr="00E942D3">
        <w:rPr>
          <w:noProof/>
        </w:rPr>
        <w:t xml:space="preserve">Dieterich, S., Hummel, H., &amp;  Marschall, S. 2015. "Bringing Democracy Back In: The Democratic Peace, Parliamentary War Powers and European Participation in the 2003 Iraq War." </w:t>
      </w:r>
      <w:r w:rsidRPr="00E942D3">
        <w:rPr>
          <w:i/>
          <w:noProof/>
        </w:rPr>
        <w:t>Cooperation and Conflict</w:t>
      </w:r>
      <w:r w:rsidRPr="00E942D3">
        <w:rPr>
          <w:noProof/>
        </w:rPr>
        <w:t xml:space="preserve"> 50 (1): 87-106.</w:t>
      </w:r>
    </w:p>
    <w:p w14:paraId="13CF1173" w14:textId="62F5CE6A" w:rsidR="003E75AD" w:rsidRPr="00E942D3" w:rsidRDefault="003E75AD" w:rsidP="003E75AD">
      <w:pPr>
        <w:pStyle w:val="EndNoteBibliography"/>
        <w:spacing w:after="0"/>
        <w:ind w:left="720" w:hanging="720"/>
        <w:rPr>
          <w:noProof/>
        </w:rPr>
      </w:pPr>
      <w:r w:rsidRPr="00E942D3">
        <w:rPr>
          <w:noProof/>
        </w:rPr>
        <w:t>Döring, H., &amp;  Manow, P. 2018. "Parliaments and Governments Database (ParlGov): Information on Parties, Elections and Cabinets in Modern Democracies." (</w:t>
      </w:r>
      <w:hyperlink r:id="rId18" w:history="1">
        <w:r w:rsidRPr="00E942D3">
          <w:rPr>
            <w:rStyle w:val="Hyperlink"/>
            <w:noProof/>
          </w:rPr>
          <w:t>http://www.parlgov.org</w:t>
        </w:r>
      </w:hyperlink>
      <w:r w:rsidRPr="00E942D3">
        <w:rPr>
          <w:noProof/>
        </w:rPr>
        <w:t>).</w:t>
      </w:r>
    </w:p>
    <w:p w14:paraId="09DD18CF" w14:textId="77777777" w:rsidR="003E75AD" w:rsidRPr="00E942D3" w:rsidRDefault="003E75AD" w:rsidP="003E75AD">
      <w:pPr>
        <w:pStyle w:val="EndNoteBibliography"/>
        <w:spacing w:after="0"/>
        <w:ind w:left="720" w:hanging="720"/>
        <w:rPr>
          <w:noProof/>
        </w:rPr>
      </w:pPr>
      <w:r w:rsidRPr="00E942D3">
        <w:rPr>
          <w:noProof/>
        </w:rPr>
        <w:t xml:space="preserve">Drennan, J. 2014. "Who Has Contributed What in the Coalition Against the Islamic State." </w:t>
      </w:r>
      <w:r w:rsidRPr="00E942D3">
        <w:rPr>
          <w:i/>
          <w:noProof/>
        </w:rPr>
        <w:t>Foreign Policy</w:t>
      </w:r>
      <w:r w:rsidRPr="00E942D3">
        <w:rPr>
          <w:noProof/>
        </w:rPr>
        <w:t xml:space="preserve"> 12 November: A10.</w:t>
      </w:r>
    </w:p>
    <w:p w14:paraId="020D813D" w14:textId="77777777" w:rsidR="003E75AD" w:rsidRPr="00E942D3" w:rsidRDefault="003E75AD" w:rsidP="003E75AD">
      <w:pPr>
        <w:pStyle w:val="EndNoteBibliography"/>
        <w:spacing w:after="0"/>
        <w:ind w:left="720" w:hanging="720"/>
        <w:rPr>
          <w:noProof/>
        </w:rPr>
      </w:pPr>
      <w:r w:rsidRPr="00E942D3">
        <w:rPr>
          <w:noProof/>
        </w:rPr>
        <w:t xml:space="preserve">European Commission, EC (2015) </w:t>
      </w:r>
      <w:r w:rsidRPr="00E942D3">
        <w:rPr>
          <w:i/>
          <w:noProof/>
        </w:rPr>
        <w:t>Europeans’ Attitudes towards Security</w:t>
      </w:r>
      <w:r w:rsidRPr="00E942D3">
        <w:rPr>
          <w:noProof/>
        </w:rPr>
        <w:t xml:space="preserve"> Special Eurobarometer 432, Wave EB83.2, Brussels.</w:t>
      </w:r>
    </w:p>
    <w:p w14:paraId="5B23B1F0" w14:textId="77777777" w:rsidR="003E75AD" w:rsidRPr="00E942D3" w:rsidRDefault="003E75AD" w:rsidP="003E75AD">
      <w:pPr>
        <w:pStyle w:val="EndNoteBibliography"/>
        <w:spacing w:after="0"/>
        <w:ind w:left="720" w:hanging="720"/>
        <w:rPr>
          <w:noProof/>
        </w:rPr>
      </w:pPr>
      <w:r w:rsidRPr="00E942D3">
        <w:rPr>
          <w:noProof/>
        </w:rPr>
        <w:t xml:space="preserve">German Marshall Fund of the United States, GMF (2014) </w:t>
      </w:r>
      <w:r w:rsidRPr="00E942D3">
        <w:rPr>
          <w:i/>
          <w:noProof/>
        </w:rPr>
        <w:t>Transatlantic Trends</w:t>
      </w:r>
      <w:r w:rsidRPr="00E942D3">
        <w:rPr>
          <w:noProof/>
        </w:rPr>
        <w:t xml:space="preserve"> Washington, DC.</w:t>
      </w:r>
    </w:p>
    <w:p w14:paraId="036E278C" w14:textId="77777777" w:rsidR="003E75AD" w:rsidRPr="00E942D3" w:rsidRDefault="003E75AD" w:rsidP="003E75AD">
      <w:pPr>
        <w:pStyle w:val="EndNoteBibliography"/>
        <w:spacing w:after="0"/>
        <w:ind w:left="720" w:hanging="720"/>
        <w:rPr>
          <w:noProof/>
        </w:rPr>
      </w:pPr>
      <w:r w:rsidRPr="00E942D3">
        <w:rPr>
          <w:noProof/>
        </w:rPr>
        <w:t xml:space="preserve">McInnis, K. J. 2016. </w:t>
      </w:r>
      <w:r w:rsidRPr="00E942D3">
        <w:rPr>
          <w:i/>
          <w:noProof/>
        </w:rPr>
        <w:t>Coalition Contributions to Countering the Islamic State</w:t>
      </w:r>
      <w:r w:rsidRPr="00E942D3">
        <w:rPr>
          <w:noProof/>
        </w:rPr>
        <w:t>. Washington, DC: Congressional Research Service.</w:t>
      </w:r>
    </w:p>
    <w:p w14:paraId="33EFEACB" w14:textId="77777777" w:rsidR="003E75AD" w:rsidRPr="00E942D3" w:rsidRDefault="003E75AD" w:rsidP="003E75AD">
      <w:pPr>
        <w:pStyle w:val="EndNoteBibliography"/>
        <w:spacing w:after="0"/>
        <w:ind w:left="720" w:hanging="720"/>
        <w:rPr>
          <w:noProof/>
        </w:rPr>
      </w:pPr>
      <w:r w:rsidRPr="00E942D3">
        <w:rPr>
          <w:noProof/>
        </w:rPr>
        <w:t xml:space="preserve">Oana, I.-E., &amp;  Schneider, C. Q. 2018. "SetMethods: An Add-on R Package for Advanced QCA." </w:t>
      </w:r>
      <w:r w:rsidRPr="00E942D3">
        <w:rPr>
          <w:i/>
          <w:noProof/>
        </w:rPr>
        <w:t>The R Journal</w:t>
      </w:r>
      <w:r w:rsidRPr="00E942D3">
        <w:rPr>
          <w:noProof/>
        </w:rPr>
        <w:t xml:space="preserve"> 10 (1): 507-33.</w:t>
      </w:r>
    </w:p>
    <w:p w14:paraId="160F4BC9" w14:textId="77777777" w:rsidR="003E75AD" w:rsidRPr="00E942D3" w:rsidRDefault="003E75AD" w:rsidP="003E75AD">
      <w:pPr>
        <w:pStyle w:val="EndNoteBibliography"/>
        <w:spacing w:after="0"/>
        <w:ind w:left="720" w:hanging="720"/>
        <w:rPr>
          <w:noProof/>
        </w:rPr>
      </w:pPr>
      <w:r w:rsidRPr="00E942D3">
        <w:rPr>
          <w:noProof/>
        </w:rPr>
        <w:t xml:space="preserve">Saideman, S. M. 2016. "The Ambivalent Coalition: Doing the Least One Can Do Against the Islamic State." </w:t>
      </w:r>
      <w:r w:rsidRPr="00E942D3">
        <w:rPr>
          <w:i/>
          <w:noProof/>
        </w:rPr>
        <w:t>Contemporary Security Policy</w:t>
      </w:r>
      <w:r w:rsidRPr="00E942D3">
        <w:rPr>
          <w:noProof/>
        </w:rPr>
        <w:t xml:space="preserve"> 37 (2): 289-305.</w:t>
      </w:r>
    </w:p>
    <w:p w14:paraId="63DB0FEB" w14:textId="77777777" w:rsidR="003E75AD" w:rsidRPr="00E942D3" w:rsidRDefault="003E75AD" w:rsidP="003E75AD">
      <w:pPr>
        <w:pStyle w:val="EndNoteBibliography"/>
        <w:spacing w:after="0"/>
        <w:ind w:left="720" w:hanging="720"/>
        <w:rPr>
          <w:noProof/>
        </w:rPr>
      </w:pPr>
      <w:r w:rsidRPr="00E942D3">
        <w:rPr>
          <w:noProof/>
        </w:rPr>
        <w:t xml:space="preserve">The Soufan Center and the Global Strategy Network, TSC (2017) </w:t>
      </w:r>
      <w:r w:rsidRPr="00E942D3">
        <w:rPr>
          <w:i/>
          <w:noProof/>
        </w:rPr>
        <w:t>Beyond the Caliphate: Foreign Fighters and the Threat of Returnees</w:t>
      </w:r>
      <w:r w:rsidRPr="00E942D3">
        <w:rPr>
          <w:noProof/>
        </w:rPr>
        <w:t xml:space="preserve"> New York, NY.</w:t>
      </w:r>
    </w:p>
    <w:p w14:paraId="65FEA986" w14:textId="77777777" w:rsidR="003E75AD" w:rsidRPr="00E942D3" w:rsidRDefault="003E75AD" w:rsidP="003E75AD">
      <w:pPr>
        <w:pStyle w:val="EndNoteBibliography"/>
        <w:ind w:left="720" w:hanging="720"/>
        <w:rPr>
          <w:noProof/>
        </w:rPr>
      </w:pPr>
      <w:r w:rsidRPr="00E942D3">
        <w:rPr>
          <w:noProof/>
        </w:rPr>
        <w:t xml:space="preserve">Wagner, W., Peters, D., &amp;  Glahn, C. 2010. </w:t>
      </w:r>
      <w:r w:rsidRPr="00E942D3">
        <w:rPr>
          <w:i/>
          <w:noProof/>
        </w:rPr>
        <w:t>Parliamentary War Powers Around the World, 1989–2004. A New Dataset</w:t>
      </w:r>
      <w:r w:rsidRPr="00E942D3">
        <w:rPr>
          <w:noProof/>
        </w:rPr>
        <w:t>. Geneva: Centre for the Democratic Control of Armed Forces.</w:t>
      </w:r>
    </w:p>
    <w:p w14:paraId="75BA5CE2" w14:textId="77777777" w:rsidR="003E75AD" w:rsidRDefault="003E75AD" w:rsidP="003E75AD">
      <w:r>
        <w:fldChar w:fldCharType="end"/>
      </w:r>
    </w:p>
    <w:p w14:paraId="36D0E4E1" w14:textId="77777777" w:rsidR="003E75AD" w:rsidRPr="003E75AD" w:rsidRDefault="003E75AD" w:rsidP="00E305B4">
      <w:pPr>
        <w:pStyle w:val="EndNoteBibliography"/>
        <w:spacing w:after="360"/>
        <w:rPr>
          <w:b/>
          <w:bCs/>
          <w:lang w:val="en-US"/>
        </w:rPr>
      </w:pPr>
    </w:p>
    <w:p w14:paraId="1E8A9DBC" w14:textId="77777777" w:rsidR="003E75AD" w:rsidRPr="00D865A5" w:rsidRDefault="003E75AD" w:rsidP="00E305B4">
      <w:pPr>
        <w:pStyle w:val="EndNoteBibliography"/>
        <w:spacing w:after="360"/>
        <w:rPr>
          <w:lang w:val="en-US"/>
        </w:rPr>
      </w:pPr>
    </w:p>
    <w:p w14:paraId="15CB5A69" w14:textId="77777777" w:rsidR="00B07A88" w:rsidRDefault="00B07A88">
      <w:pPr>
        <w:rPr>
          <w:rFonts w:ascii="Times New Roman" w:hAnsi="Times New Roman" w:cs="Times New Roman"/>
          <w:lang w:val="en-US"/>
        </w:rPr>
      </w:pPr>
    </w:p>
    <w:p w14:paraId="5620E30E" w14:textId="5D9F6679" w:rsidR="007E00B6" w:rsidRPr="004E03B7" w:rsidRDefault="007E00B6" w:rsidP="00E305B4">
      <w:pPr>
        <w:pStyle w:val="EndNoteBibliography"/>
      </w:pPr>
    </w:p>
    <w:sectPr w:rsidR="007E00B6" w:rsidRPr="004E03B7" w:rsidSect="00972B8C">
      <w:pgSz w:w="11901" w:h="16840"/>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6DBD" w14:textId="77777777" w:rsidR="00A51539" w:rsidRDefault="00A51539" w:rsidP="00BF6A7E">
      <w:r>
        <w:separator/>
      </w:r>
    </w:p>
  </w:endnote>
  <w:endnote w:type="continuationSeparator" w:id="0">
    <w:p w14:paraId="00B5A9F3" w14:textId="77777777" w:rsidR="00A51539" w:rsidRDefault="00A51539" w:rsidP="00BF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206903"/>
      <w:docPartObj>
        <w:docPartGallery w:val="Page Numbers (Bottom of Page)"/>
        <w:docPartUnique/>
      </w:docPartObj>
    </w:sdtPr>
    <w:sdtEndPr>
      <w:rPr>
        <w:rStyle w:val="PageNumber"/>
      </w:rPr>
    </w:sdtEndPr>
    <w:sdtContent>
      <w:p w14:paraId="1A665639" w14:textId="77777777" w:rsidR="004A18D0" w:rsidRDefault="004A18D0" w:rsidP="004C11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67C1B" w14:textId="77777777" w:rsidR="004A18D0" w:rsidRDefault="004A18D0" w:rsidP="00542B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407126313"/>
      <w:docPartObj>
        <w:docPartGallery w:val="Page Numbers (Bottom of Page)"/>
        <w:docPartUnique/>
      </w:docPartObj>
    </w:sdtPr>
    <w:sdtEndPr>
      <w:rPr>
        <w:rStyle w:val="PageNumber"/>
      </w:rPr>
    </w:sdtEndPr>
    <w:sdtContent>
      <w:p w14:paraId="036556E4" w14:textId="77777777" w:rsidR="004A18D0" w:rsidRPr="007A7E03" w:rsidRDefault="004A18D0" w:rsidP="004C11EE">
        <w:pPr>
          <w:pStyle w:val="Footer"/>
          <w:framePr w:wrap="none" w:vAnchor="text" w:hAnchor="margin" w:xAlign="right" w:y="1"/>
          <w:rPr>
            <w:rStyle w:val="PageNumber"/>
            <w:rFonts w:ascii="Times New Roman" w:hAnsi="Times New Roman" w:cs="Times New Roman"/>
          </w:rPr>
        </w:pPr>
        <w:r w:rsidRPr="007A7E03">
          <w:rPr>
            <w:rStyle w:val="PageNumber"/>
            <w:rFonts w:ascii="Times New Roman" w:hAnsi="Times New Roman" w:cs="Times New Roman"/>
          </w:rPr>
          <w:fldChar w:fldCharType="begin"/>
        </w:r>
        <w:r w:rsidRPr="007A7E03">
          <w:rPr>
            <w:rStyle w:val="PageNumber"/>
            <w:rFonts w:ascii="Times New Roman" w:hAnsi="Times New Roman" w:cs="Times New Roman"/>
          </w:rPr>
          <w:instrText xml:space="preserve"> PAGE </w:instrText>
        </w:r>
        <w:r w:rsidRPr="007A7E03">
          <w:rPr>
            <w:rStyle w:val="PageNumber"/>
            <w:rFonts w:ascii="Times New Roman" w:hAnsi="Times New Roman" w:cs="Times New Roman"/>
          </w:rPr>
          <w:fldChar w:fldCharType="separate"/>
        </w:r>
        <w:r w:rsidR="007A13DD">
          <w:rPr>
            <w:rStyle w:val="PageNumber"/>
            <w:rFonts w:ascii="Times New Roman" w:hAnsi="Times New Roman" w:cs="Times New Roman"/>
            <w:noProof/>
          </w:rPr>
          <w:t>26</w:t>
        </w:r>
        <w:r w:rsidRPr="007A7E03">
          <w:rPr>
            <w:rStyle w:val="PageNumber"/>
            <w:rFonts w:ascii="Times New Roman" w:hAnsi="Times New Roman" w:cs="Times New Roman"/>
          </w:rPr>
          <w:fldChar w:fldCharType="end"/>
        </w:r>
      </w:p>
    </w:sdtContent>
  </w:sdt>
  <w:p w14:paraId="61C31050" w14:textId="77777777" w:rsidR="004A18D0" w:rsidRPr="007A7E03" w:rsidRDefault="004A18D0" w:rsidP="00542BE7">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75A2" w14:textId="77777777" w:rsidR="00A51539" w:rsidRDefault="00A51539" w:rsidP="00BF6A7E">
      <w:r>
        <w:separator/>
      </w:r>
    </w:p>
  </w:footnote>
  <w:footnote w:type="continuationSeparator" w:id="0">
    <w:p w14:paraId="43C2154A" w14:textId="77777777" w:rsidR="00A51539" w:rsidRDefault="00A51539" w:rsidP="00BF6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92B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FE44D2"/>
    <w:multiLevelType w:val="hybridMultilevel"/>
    <w:tmpl w:val="48067D8C"/>
    <w:lvl w:ilvl="0" w:tplc="F33E135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6382"/>
    <w:multiLevelType w:val="hybridMultilevel"/>
    <w:tmpl w:val="8FDEA5A4"/>
    <w:lvl w:ilvl="0" w:tplc="8D5476D6">
      <w:start w:val="5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108C6"/>
    <w:multiLevelType w:val="hybridMultilevel"/>
    <w:tmpl w:val="27AE81D8"/>
    <w:lvl w:ilvl="0" w:tplc="49E2CD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404B5"/>
    <w:multiLevelType w:val="hybridMultilevel"/>
    <w:tmpl w:val="5EF66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079C3"/>
    <w:multiLevelType w:val="multilevel"/>
    <w:tmpl w:val="51CA07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8984FDA"/>
    <w:multiLevelType w:val="hybridMultilevel"/>
    <w:tmpl w:val="CD62ACA2"/>
    <w:lvl w:ilvl="0" w:tplc="A9DAA252">
      <w:start w:val="50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0"/>
  </w:num>
  <w:num w:numId="10">
    <w:abstractNumId w:val="4"/>
  </w:num>
  <w:num w:numId="11">
    <w:abstractNumId w:val="1"/>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ISQ (adapted)&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ta0tedaq9z5x8e0webvsdzkzdeerwearrwx&quot;&gt;EN 2021&lt;record-ids&gt;&lt;item&gt;17&lt;/item&gt;&lt;item&gt;66&lt;/item&gt;&lt;item&gt;79&lt;/item&gt;&lt;item&gt;89&lt;/item&gt;&lt;item&gt;183&lt;/item&gt;&lt;item&gt;243&lt;/item&gt;&lt;item&gt;523&lt;/item&gt;&lt;item&gt;615&lt;/item&gt;&lt;item&gt;1063&lt;/item&gt;&lt;item&gt;1622&lt;/item&gt;&lt;item&gt;1668&lt;/item&gt;&lt;item&gt;1704&lt;/item&gt;&lt;item&gt;2017&lt;/item&gt;&lt;item&gt;2051&lt;/item&gt;&lt;item&gt;2146&lt;/item&gt;&lt;item&gt;2313&lt;/item&gt;&lt;item&gt;2390&lt;/item&gt;&lt;item&gt;2394&lt;/item&gt;&lt;item&gt;2424&lt;/item&gt;&lt;item&gt;2451&lt;/item&gt;&lt;item&gt;2561&lt;/item&gt;&lt;item&gt;2629&lt;/item&gt;&lt;item&gt;2799&lt;/item&gt;&lt;item&gt;2802&lt;/item&gt;&lt;item&gt;2803&lt;/item&gt;&lt;item&gt;2804&lt;/item&gt;&lt;item&gt;2811&lt;/item&gt;&lt;item&gt;2812&lt;/item&gt;&lt;item&gt;2813&lt;/item&gt;&lt;item&gt;2836&lt;/item&gt;&lt;item&gt;2915&lt;/item&gt;&lt;item&gt;2950&lt;/item&gt;&lt;item&gt;2998&lt;/item&gt;&lt;item&gt;3002&lt;/item&gt;&lt;item&gt;3007&lt;/item&gt;&lt;item&gt;3054&lt;/item&gt;&lt;item&gt;3098&lt;/item&gt;&lt;item&gt;3114&lt;/item&gt;&lt;item&gt;3115&lt;/item&gt;&lt;item&gt;3129&lt;/item&gt;&lt;item&gt;3135&lt;/item&gt;&lt;item&gt;3136&lt;/item&gt;&lt;item&gt;3137&lt;/item&gt;&lt;item&gt;3139&lt;/item&gt;&lt;item&gt;3140&lt;/item&gt;&lt;item&gt;3141&lt;/item&gt;&lt;item&gt;3153&lt;/item&gt;&lt;item&gt;3192&lt;/item&gt;&lt;item&gt;3274&lt;/item&gt;&lt;item&gt;3296&lt;/item&gt;&lt;item&gt;3298&lt;/item&gt;&lt;item&gt;3299&lt;/item&gt;&lt;item&gt;3300&lt;/item&gt;&lt;item&gt;3304&lt;/item&gt;&lt;item&gt;3308&lt;/item&gt;&lt;item&gt;3311&lt;/item&gt;&lt;item&gt;3314&lt;/item&gt;&lt;item&gt;3315&lt;/item&gt;&lt;item&gt;3318&lt;/item&gt;&lt;item&gt;3321&lt;/item&gt;&lt;item&gt;3346&lt;/item&gt;&lt;item&gt;3368&lt;/item&gt;&lt;item&gt;3413&lt;/item&gt;&lt;item&gt;3698&lt;/item&gt;&lt;item&gt;3699&lt;/item&gt;&lt;item&gt;3700&lt;/item&gt;&lt;item&gt;3704&lt;/item&gt;&lt;item&gt;3705&lt;/item&gt;&lt;item&gt;3706&lt;/item&gt;&lt;item&gt;3707&lt;/item&gt;&lt;item&gt;3708&lt;/item&gt;&lt;item&gt;3709&lt;/item&gt;&lt;item&gt;3710&lt;/item&gt;&lt;item&gt;3711&lt;/item&gt;&lt;item&gt;3712&lt;/item&gt;&lt;item&gt;3713&lt;/item&gt;&lt;item&gt;3714&lt;/item&gt;&lt;item&gt;3715&lt;/item&gt;&lt;item&gt;3717&lt;/item&gt;&lt;item&gt;3718&lt;/item&gt;&lt;item&gt;3758&lt;/item&gt;&lt;item&gt;3783&lt;/item&gt;&lt;item&gt;3840&lt;/item&gt;&lt;item&gt;3841&lt;/item&gt;&lt;item&gt;3842&lt;/item&gt;&lt;item&gt;3843&lt;/item&gt;&lt;item&gt;3882&lt;/item&gt;&lt;item&gt;3883&lt;/item&gt;&lt;item&gt;3884&lt;/item&gt;&lt;item&gt;3993&lt;/item&gt;&lt;item&gt;3994&lt;/item&gt;&lt;/record-ids&gt;&lt;/item&gt;&lt;/Libraries&gt;"/>
  </w:docVars>
  <w:rsids>
    <w:rsidRoot w:val="00A910F0"/>
    <w:rsid w:val="0000013F"/>
    <w:rsid w:val="00002E4C"/>
    <w:rsid w:val="00005938"/>
    <w:rsid w:val="00005E22"/>
    <w:rsid w:val="00010D91"/>
    <w:rsid w:val="00011C4A"/>
    <w:rsid w:val="00011DA5"/>
    <w:rsid w:val="00015ED4"/>
    <w:rsid w:val="00021032"/>
    <w:rsid w:val="00022AD1"/>
    <w:rsid w:val="000261CE"/>
    <w:rsid w:val="00026D20"/>
    <w:rsid w:val="000271A2"/>
    <w:rsid w:val="00030059"/>
    <w:rsid w:val="00032E4B"/>
    <w:rsid w:val="00035CFD"/>
    <w:rsid w:val="000411D4"/>
    <w:rsid w:val="00045C4F"/>
    <w:rsid w:val="00052599"/>
    <w:rsid w:val="00057622"/>
    <w:rsid w:val="0006648A"/>
    <w:rsid w:val="00067D9C"/>
    <w:rsid w:val="00070D5F"/>
    <w:rsid w:val="00071161"/>
    <w:rsid w:val="00071981"/>
    <w:rsid w:val="0007294C"/>
    <w:rsid w:val="00073480"/>
    <w:rsid w:val="00076FFA"/>
    <w:rsid w:val="00077727"/>
    <w:rsid w:val="00081F92"/>
    <w:rsid w:val="00082565"/>
    <w:rsid w:val="000901F9"/>
    <w:rsid w:val="00092534"/>
    <w:rsid w:val="00096FFD"/>
    <w:rsid w:val="00097CD0"/>
    <w:rsid w:val="00097D24"/>
    <w:rsid w:val="000A001D"/>
    <w:rsid w:val="000A1F85"/>
    <w:rsid w:val="000A44F4"/>
    <w:rsid w:val="000A4EF5"/>
    <w:rsid w:val="000B364D"/>
    <w:rsid w:val="000B3A99"/>
    <w:rsid w:val="000B44A6"/>
    <w:rsid w:val="000B51FD"/>
    <w:rsid w:val="000C0753"/>
    <w:rsid w:val="000C39C1"/>
    <w:rsid w:val="000C5275"/>
    <w:rsid w:val="000D147B"/>
    <w:rsid w:val="000D36D3"/>
    <w:rsid w:val="000D63BA"/>
    <w:rsid w:val="000D7625"/>
    <w:rsid w:val="000E2C34"/>
    <w:rsid w:val="000E4C9C"/>
    <w:rsid w:val="000E74B4"/>
    <w:rsid w:val="000F1278"/>
    <w:rsid w:val="000F5DAE"/>
    <w:rsid w:val="0010000F"/>
    <w:rsid w:val="00101D9B"/>
    <w:rsid w:val="0010354A"/>
    <w:rsid w:val="00104166"/>
    <w:rsid w:val="001044AC"/>
    <w:rsid w:val="00104A43"/>
    <w:rsid w:val="00112183"/>
    <w:rsid w:val="00112775"/>
    <w:rsid w:val="00113C9D"/>
    <w:rsid w:val="00121B99"/>
    <w:rsid w:val="001227A6"/>
    <w:rsid w:val="001230E2"/>
    <w:rsid w:val="00125D9E"/>
    <w:rsid w:val="001353F5"/>
    <w:rsid w:val="00136825"/>
    <w:rsid w:val="00142C71"/>
    <w:rsid w:val="0014481D"/>
    <w:rsid w:val="00147AF4"/>
    <w:rsid w:val="00151BAA"/>
    <w:rsid w:val="00153234"/>
    <w:rsid w:val="00155AFA"/>
    <w:rsid w:val="00162D3D"/>
    <w:rsid w:val="00163AC4"/>
    <w:rsid w:val="00165F25"/>
    <w:rsid w:val="001710CD"/>
    <w:rsid w:val="00172FBF"/>
    <w:rsid w:val="00181697"/>
    <w:rsid w:val="00182872"/>
    <w:rsid w:val="00182A8D"/>
    <w:rsid w:val="0018336A"/>
    <w:rsid w:val="001851F2"/>
    <w:rsid w:val="00193AB4"/>
    <w:rsid w:val="0019539A"/>
    <w:rsid w:val="00196AD5"/>
    <w:rsid w:val="001A315B"/>
    <w:rsid w:val="001A3ACA"/>
    <w:rsid w:val="001A3FA2"/>
    <w:rsid w:val="001A702F"/>
    <w:rsid w:val="001B19AD"/>
    <w:rsid w:val="001B3358"/>
    <w:rsid w:val="001B35C2"/>
    <w:rsid w:val="001B4D2D"/>
    <w:rsid w:val="001C02B3"/>
    <w:rsid w:val="001C0D77"/>
    <w:rsid w:val="001C63C4"/>
    <w:rsid w:val="001D0448"/>
    <w:rsid w:val="001D1884"/>
    <w:rsid w:val="001D28BE"/>
    <w:rsid w:val="001D2F1A"/>
    <w:rsid w:val="001D3517"/>
    <w:rsid w:val="001D398E"/>
    <w:rsid w:val="001D764D"/>
    <w:rsid w:val="001E766E"/>
    <w:rsid w:val="001F4D49"/>
    <w:rsid w:val="001F57D8"/>
    <w:rsid w:val="001F627F"/>
    <w:rsid w:val="00202B41"/>
    <w:rsid w:val="00202B8F"/>
    <w:rsid w:val="00203EEC"/>
    <w:rsid w:val="00205B25"/>
    <w:rsid w:val="00211F88"/>
    <w:rsid w:val="00212E6E"/>
    <w:rsid w:val="00222937"/>
    <w:rsid w:val="00222AEB"/>
    <w:rsid w:val="00222BD7"/>
    <w:rsid w:val="0022424D"/>
    <w:rsid w:val="00233516"/>
    <w:rsid w:val="00235528"/>
    <w:rsid w:val="00245726"/>
    <w:rsid w:val="00252A98"/>
    <w:rsid w:val="00252E53"/>
    <w:rsid w:val="00253C3E"/>
    <w:rsid w:val="00255ADA"/>
    <w:rsid w:val="00255F01"/>
    <w:rsid w:val="002565D6"/>
    <w:rsid w:val="00263592"/>
    <w:rsid w:val="00271F18"/>
    <w:rsid w:val="00275A3A"/>
    <w:rsid w:val="002775D4"/>
    <w:rsid w:val="0028102F"/>
    <w:rsid w:val="002821B5"/>
    <w:rsid w:val="002838DF"/>
    <w:rsid w:val="0028542F"/>
    <w:rsid w:val="0028578A"/>
    <w:rsid w:val="00285967"/>
    <w:rsid w:val="002859BB"/>
    <w:rsid w:val="0029059C"/>
    <w:rsid w:val="00290C9E"/>
    <w:rsid w:val="002918FD"/>
    <w:rsid w:val="00293304"/>
    <w:rsid w:val="002A027F"/>
    <w:rsid w:val="002A2604"/>
    <w:rsid w:val="002A4828"/>
    <w:rsid w:val="002A66CA"/>
    <w:rsid w:val="002B09F6"/>
    <w:rsid w:val="002B1877"/>
    <w:rsid w:val="002B3AD6"/>
    <w:rsid w:val="002B5C99"/>
    <w:rsid w:val="002B5E9A"/>
    <w:rsid w:val="002C34E2"/>
    <w:rsid w:val="002C360F"/>
    <w:rsid w:val="002C40CC"/>
    <w:rsid w:val="002C40DE"/>
    <w:rsid w:val="002C736D"/>
    <w:rsid w:val="002D7936"/>
    <w:rsid w:val="002E1E79"/>
    <w:rsid w:val="002F098E"/>
    <w:rsid w:val="002F34AA"/>
    <w:rsid w:val="002F6632"/>
    <w:rsid w:val="00300AAC"/>
    <w:rsid w:val="00302194"/>
    <w:rsid w:val="00303719"/>
    <w:rsid w:val="00310567"/>
    <w:rsid w:val="00310D6B"/>
    <w:rsid w:val="00310DA6"/>
    <w:rsid w:val="00311C1A"/>
    <w:rsid w:val="00311D58"/>
    <w:rsid w:val="0031459A"/>
    <w:rsid w:val="0031633A"/>
    <w:rsid w:val="00322D1A"/>
    <w:rsid w:val="00326A23"/>
    <w:rsid w:val="003337AB"/>
    <w:rsid w:val="003339E8"/>
    <w:rsid w:val="00334823"/>
    <w:rsid w:val="00337C63"/>
    <w:rsid w:val="00341876"/>
    <w:rsid w:val="00341F6A"/>
    <w:rsid w:val="00345F40"/>
    <w:rsid w:val="003473C6"/>
    <w:rsid w:val="0034777F"/>
    <w:rsid w:val="00347DCC"/>
    <w:rsid w:val="0035142E"/>
    <w:rsid w:val="00353933"/>
    <w:rsid w:val="0035505E"/>
    <w:rsid w:val="00360B42"/>
    <w:rsid w:val="0036160A"/>
    <w:rsid w:val="003621F8"/>
    <w:rsid w:val="003628E7"/>
    <w:rsid w:val="003632A1"/>
    <w:rsid w:val="00372913"/>
    <w:rsid w:val="003735BA"/>
    <w:rsid w:val="00373CF5"/>
    <w:rsid w:val="00376A7A"/>
    <w:rsid w:val="00380072"/>
    <w:rsid w:val="00380528"/>
    <w:rsid w:val="0038135D"/>
    <w:rsid w:val="00381BCD"/>
    <w:rsid w:val="00382B6B"/>
    <w:rsid w:val="00382BA1"/>
    <w:rsid w:val="00383E24"/>
    <w:rsid w:val="003844FC"/>
    <w:rsid w:val="00386FA8"/>
    <w:rsid w:val="00391A94"/>
    <w:rsid w:val="00393E16"/>
    <w:rsid w:val="00393EE7"/>
    <w:rsid w:val="00393FFC"/>
    <w:rsid w:val="00395050"/>
    <w:rsid w:val="003A19AB"/>
    <w:rsid w:val="003B2A03"/>
    <w:rsid w:val="003B2B35"/>
    <w:rsid w:val="003B2D22"/>
    <w:rsid w:val="003C09F8"/>
    <w:rsid w:val="003C27A0"/>
    <w:rsid w:val="003C4EC2"/>
    <w:rsid w:val="003C552F"/>
    <w:rsid w:val="003C6211"/>
    <w:rsid w:val="003D0CC6"/>
    <w:rsid w:val="003D1649"/>
    <w:rsid w:val="003E14F5"/>
    <w:rsid w:val="003E3386"/>
    <w:rsid w:val="003E4105"/>
    <w:rsid w:val="003E75AD"/>
    <w:rsid w:val="003F0615"/>
    <w:rsid w:val="003F34CD"/>
    <w:rsid w:val="003F3DFF"/>
    <w:rsid w:val="003F59C9"/>
    <w:rsid w:val="003F69DB"/>
    <w:rsid w:val="003F78E4"/>
    <w:rsid w:val="003F7F82"/>
    <w:rsid w:val="00400800"/>
    <w:rsid w:val="004013E3"/>
    <w:rsid w:val="00402E2A"/>
    <w:rsid w:val="00402EFD"/>
    <w:rsid w:val="004073E1"/>
    <w:rsid w:val="00407CAF"/>
    <w:rsid w:val="00410502"/>
    <w:rsid w:val="00411B67"/>
    <w:rsid w:val="004120BA"/>
    <w:rsid w:val="00412469"/>
    <w:rsid w:val="00414C19"/>
    <w:rsid w:val="00415CE3"/>
    <w:rsid w:val="00422640"/>
    <w:rsid w:val="00426868"/>
    <w:rsid w:val="004316F7"/>
    <w:rsid w:val="00431801"/>
    <w:rsid w:val="00433DC6"/>
    <w:rsid w:val="0043746F"/>
    <w:rsid w:val="00444520"/>
    <w:rsid w:val="0044507E"/>
    <w:rsid w:val="00446794"/>
    <w:rsid w:val="00450A12"/>
    <w:rsid w:val="00451C23"/>
    <w:rsid w:val="00454772"/>
    <w:rsid w:val="0045648D"/>
    <w:rsid w:val="00460390"/>
    <w:rsid w:val="00460F59"/>
    <w:rsid w:val="00462914"/>
    <w:rsid w:val="00463A1D"/>
    <w:rsid w:val="00466200"/>
    <w:rsid w:val="004672B3"/>
    <w:rsid w:val="00473AA9"/>
    <w:rsid w:val="00475538"/>
    <w:rsid w:val="00481F94"/>
    <w:rsid w:val="00483E52"/>
    <w:rsid w:val="0048596E"/>
    <w:rsid w:val="00486C0E"/>
    <w:rsid w:val="004870EF"/>
    <w:rsid w:val="00490869"/>
    <w:rsid w:val="00492AB3"/>
    <w:rsid w:val="00494DD3"/>
    <w:rsid w:val="004A18D0"/>
    <w:rsid w:val="004A1F6A"/>
    <w:rsid w:val="004B05B8"/>
    <w:rsid w:val="004B0691"/>
    <w:rsid w:val="004B1C81"/>
    <w:rsid w:val="004B22C3"/>
    <w:rsid w:val="004B2570"/>
    <w:rsid w:val="004B269B"/>
    <w:rsid w:val="004B3DB8"/>
    <w:rsid w:val="004B57FB"/>
    <w:rsid w:val="004C11EE"/>
    <w:rsid w:val="004C58DE"/>
    <w:rsid w:val="004C631D"/>
    <w:rsid w:val="004C7154"/>
    <w:rsid w:val="004D1131"/>
    <w:rsid w:val="004D2863"/>
    <w:rsid w:val="004D2DAF"/>
    <w:rsid w:val="004D5283"/>
    <w:rsid w:val="004D6952"/>
    <w:rsid w:val="004D6DE3"/>
    <w:rsid w:val="004E0360"/>
    <w:rsid w:val="004E03B7"/>
    <w:rsid w:val="004E13E3"/>
    <w:rsid w:val="004E257E"/>
    <w:rsid w:val="004E359E"/>
    <w:rsid w:val="004E3F26"/>
    <w:rsid w:val="004F090B"/>
    <w:rsid w:val="004F14E0"/>
    <w:rsid w:val="004F7390"/>
    <w:rsid w:val="00503F09"/>
    <w:rsid w:val="005042FE"/>
    <w:rsid w:val="00504F0B"/>
    <w:rsid w:val="00506929"/>
    <w:rsid w:val="00506E96"/>
    <w:rsid w:val="005078D1"/>
    <w:rsid w:val="00513954"/>
    <w:rsid w:val="005158DC"/>
    <w:rsid w:val="00516B6E"/>
    <w:rsid w:val="00522C47"/>
    <w:rsid w:val="005232AC"/>
    <w:rsid w:val="00525534"/>
    <w:rsid w:val="00531656"/>
    <w:rsid w:val="00531B9B"/>
    <w:rsid w:val="00534D4C"/>
    <w:rsid w:val="00537399"/>
    <w:rsid w:val="00540A86"/>
    <w:rsid w:val="005414C2"/>
    <w:rsid w:val="00542BE7"/>
    <w:rsid w:val="00557CA7"/>
    <w:rsid w:val="00561D3C"/>
    <w:rsid w:val="00562EFC"/>
    <w:rsid w:val="00563D37"/>
    <w:rsid w:val="0056634F"/>
    <w:rsid w:val="0056785F"/>
    <w:rsid w:val="00570A58"/>
    <w:rsid w:val="005740D0"/>
    <w:rsid w:val="00574178"/>
    <w:rsid w:val="0057520B"/>
    <w:rsid w:val="0057698C"/>
    <w:rsid w:val="005777AF"/>
    <w:rsid w:val="0058611D"/>
    <w:rsid w:val="00590854"/>
    <w:rsid w:val="00590EF7"/>
    <w:rsid w:val="00591DFD"/>
    <w:rsid w:val="00591F15"/>
    <w:rsid w:val="005932A6"/>
    <w:rsid w:val="00594364"/>
    <w:rsid w:val="005A16FD"/>
    <w:rsid w:val="005A254C"/>
    <w:rsid w:val="005A6A8F"/>
    <w:rsid w:val="005A7E64"/>
    <w:rsid w:val="005B0852"/>
    <w:rsid w:val="005B4368"/>
    <w:rsid w:val="005B4450"/>
    <w:rsid w:val="005B66C1"/>
    <w:rsid w:val="005B7BC0"/>
    <w:rsid w:val="005C3648"/>
    <w:rsid w:val="005C3A38"/>
    <w:rsid w:val="005D0C43"/>
    <w:rsid w:val="005D3D10"/>
    <w:rsid w:val="005D695C"/>
    <w:rsid w:val="005D7E0E"/>
    <w:rsid w:val="005E0360"/>
    <w:rsid w:val="005E2219"/>
    <w:rsid w:val="005E52E0"/>
    <w:rsid w:val="005F21D3"/>
    <w:rsid w:val="005F751F"/>
    <w:rsid w:val="0060239F"/>
    <w:rsid w:val="006052D4"/>
    <w:rsid w:val="00611CF9"/>
    <w:rsid w:val="00612EAB"/>
    <w:rsid w:val="00616CFF"/>
    <w:rsid w:val="00624932"/>
    <w:rsid w:val="00624AC0"/>
    <w:rsid w:val="00624D90"/>
    <w:rsid w:val="0062605A"/>
    <w:rsid w:val="0062712E"/>
    <w:rsid w:val="00635337"/>
    <w:rsid w:val="00635657"/>
    <w:rsid w:val="006419C8"/>
    <w:rsid w:val="006440CE"/>
    <w:rsid w:val="006450A3"/>
    <w:rsid w:val="006553B3"/>
    <w:rsid w:val="00660BAB"/>
    <w:rsid w:val="00661C55"/>
    <w:rsid w:val="00663523"/>
    <w:rsid w:val="006666C1"/>
    <w:rsid w:val="0066689B"/>
    <w:rsid w:val="0067221D"/>
    <w:rsid w:val="00672433"/>
    <w:rsid w:val="0067443A"/>
    <w:rsid w:val="006752D3"/>
    <w:rsid w:val="00676887"/>
    <w:rsid w:val="006822BC"/>
    <w:rsid w:val="00682577"/>
    <w:rsid w:val="00682FCE"/>
    <w:rsid w:val="006831DD"/>
    <w:rsid w:val="00686619"/>
    <w:rsid w:val="00693EA6"/>
    <w:rsid w:val="006A09D0"/>
    <w:rsid w:val="006A1294"/>
    <w:rsid w:val="006A1623"/>
    <w:rsid w:val="006A1ACC"/>
    <w:rsid w:val="006A28F7"/>
    <w:rsid w:val="006A55FD"/>
    <w:rsid w:val="006A5C37"/>
    <w:rsid w:val="006A706E"/>
    <w:rsid w:val="006B0FEF"/>
    <w:rsid w:val="006B1214"/>
    <w:rsid w:val="006B37CA"/>
    <w:rsid w:val="006B63B1"/>
    <w:rsid w:val="006C0540"/>
    <w:rsid w:val="006C1705"/>
    <w:rsid w:val="006C554B"/>
    <w:rsid w:val="006C5A39"/>
    <w:rsid w:val="006D4267"/>
    <w:rsid w:val="006D4F02"/>
    <w:rsid w:val="006D554C"/>
    <w:rsid w:val="006D5B33"/>
    <w:rsid w:val="006D72F7"/>
    <w:rsid w:val="006E2E92"/>
    <w:rsid w:val="006E4A92"/>
    <w:rsid w:val="006E56DB"/>
    <w:rsid w:val="006F295D"/>
    <w:rsid w:val="006F7333"/>
    <w:rsid w:val="00702452"/>
    <w:rsid w:val="007050D5"/>
    <w:rsid w:val="0070596E"/>
    <w:rsid w:val="0070706A"/>
    <w:rsid w:val="0071023E"/>
    <w:rsid w:val="00717AFE"/>
    <w:rsid w:val="00722231"/>
    <w:rsid w:val="007254AB"/>
    <w:rsid w:val="00736A37"/>
    <w:rsid w:val="0074016A"/>
    <w:rsid w:val="007406F0"/>
    <w:rsid w:val="00741CAC"/>
    <w:rsid w:val="00742B74"/>
    <w:rsid w:val="00745807"/>
    <w:rsid w:val="007469BB"/>
    <w:rsid w:val="007544AB"/>
    <w:rsid w:val="00761FAB"/>
    <w:rsid w:val="0076270E"/>
    <w:rsid w:val="00764750"/>
    <w:rsid w:val="00766B75"/>
    <w:rsid w:val="00766B7C"/>
    <w:rsid w:val="00767F5D"/>
    <w:rsid w:val="00772232"/>
    <w:rsid w:val="00773F6F"/>
    <w:rsid w:val="00774279"/>
    <w:rsid w:val="007774A2"/>
    <w:rsid w:val="00777C42"/>
    <w:rsid w:val="00780F31"/>
    <w:rsid w:val="007832E6"/>
    <w:rsid w:val="00791DB2"/>
    <w:rsid w:val="00792DE4"/>
    <w:rsid w:val="0079402F"/>
    <w:rsid w:val="0079456A"/>
    <w:rsid w:val="007966EB"/>
    <w:rsid w:val="0079792F"/>
    <w:rsid w:val="00797F5C"/>
    <w:rsid w:val="007A13DD"/>
    <w:rsid w:val="007A1ABE"/>
    <w:rsid w:val="007A531D"/>
    <w:rsid w:val="007A5B93"/>
    <w:rsid w:val="007A5BD2"/>
    <w:rsid w:val="007A5D61"/>
    <w:rsid w:val="007A781F"/>
    <w:rsid w:val="007A7E03"/>
    <w:rsid w:val="007B173F"/>
    <w:rsid w:val="007C061B"/>
    <w:rsid w:val="007C079B"/>
    <w:rsid w:val="007C17B0"/>
    <w:rsid w:val="007C3417"/>
    <w:rsid w:val="007C62C0"/>
    <w:rsid w:val="007D0D1D"/>
    <w:rsid w:val="007D399C"/>
    <w:rsid w:val="007E00B6"/>
    <w:rsid w:val="007E1D2F"/>
    <w:rsid w:val="007E537B"/>
    <w:rsid w:val="007E769C"/>
    <w:rsid w:val="007F1536"/>
    <w:rsid w:val="007F193D"/>
    <w:rsid w:val="007F1B95"/>
    <w:rsid w:val="007F449B"/>
    <w:rsid w:val="007F4A15"/>
    <w:rsid w:val="00805CA7"/>
    <w:rsid w:val="00805FAF"/>
    <w:rsid w:val="00810162"/>
    <w:rsid w:val="008131F2"/>
    <w:rsid w:val="00814FA7"/>
    <w:rsid w:val="00820BC4"/>
    <w:rsid w:val="008210C3"/>
    <w:rsid w:val="008218CC"/>
    <w:rsid w:val="00825A14"/>
    <w:rsid w:val="00825DA8"/>
    <w:rsid w:val="008260DE"/>
    <w:rsid w:val="00827E34"/>
    <w:rsid w:val="008318D3"/>
    <w:rsid w:val="0084095E"/>
    <w:rsid w:val="0084191B"/>
    <w:rsid w:val="0084606E"/>
    <w:rsid w:val="00846CE2"/>
    <w:rsid w:val="008520A9"/>
    <w:rsid w:val="00860916"/>
    <w:rsid w:val="00864BDB"/>
    <w:rsid w:val="00864D9D"/>
    <w:rsid w:val="008670EE"/>
    <w:rsid w:val="00875920"/>
    <w:rsid w:val="0087662C"/>
    <w:rsid w:val="00876B29"/>
    <w:rsid w:val="00876EFB"/>
    <w:rsid w:val="00880DDA"/>
    <w:rsid w:val="00882753"/>
    <w:rsid w:val="00883279"/>
    <w:rsid w:val="0088526B"/>
    <w:rsid w:val="00886C32"/>
    <w:rsid w:val="00893E94"/>
    <w:rsid w:val="00894807"/>
    <w:rsid w:val="0089791F"/>
    <w:rsid w:val="00897F3B"/>
    <w:rsid w:val="008A0AA7"/>
    <w:rsid w:val="008A0D32"/>
    <w:rsid w:val="008A2333"/>
    <w:rsid w:val="008A4CAF"/>
    <w:rsid w:val="008B0475"/>
    <w:rsid w:val="008B161D"/>
    <w:rsid w:val="008B2A62"/>
    <w:rsid w:val="008B3D05"/>
    <w:rsid w:val="008B65E9"/>
    <w:rsid w:val="008B72A2"/>
    <w:rsid w:val="008B75D8"/>
    <w:rsid w:val="008C058D"/>
    <w:rsid w:val="008C2B68"/>
    <w:rsid w:val="008D5986"/>
    <w:rsid w:val="008E3298"/>
    <w:rsid w:val="008E7A1F"/>
    <w:rsid w:val="008F1C5A"/>
    <w:rsid w:val="008F5772"/>
    <w:rsid w:val="008F6A4F"/>
    <w:rsid w:val="00900373"/>
    <w:rsid w:val="00902B2E"/>
    <w:rsid w:val="0090529F"/>
    <w:rsid w:val="00906A32"/>
    <w:rsid w:val="00912C56"/>
    <w:rsid w:val="009130EA"/>
    <w:rsid w:val="009150B0"/>
    <w:rsid w:val="00917B0C"/>
    <w:rsid w:val="009203E5"/>
    <w:rsid w:val="00920D07"/>
    <w:rsid w:val="00921A31"/>
    <w:rsid w:val="00922301"/>
    <w:rsid w:val="00924D5F"/>
    <w:rsid w:val="00925188"/>
    <w:rsid w:val="0092790C"/>
    <w:rsid w:val="009313E6"/>
    <w:rsid w:val="00932E7B"/>
    <w:rsid w:val="00932F7B"/>
    <w:rsid w:val="00933934"/>
    <w:rsid w:val="0093756E"/>
    <w:rsid w:val="00937C7E"/>
    <w:rsid w:val="00943163"/>
    <w:rsid w:val="0094685C"/>
    <w:rsid w:val="009479D8"/>
    <w:rsid w:val="00951DCC"/>
    <w:rsid w:val="00952DB2"/>
    <w:rsid w:val="009530C5"/>
    <w:rsid w:val="00954EEA"/>
    <w:rsid w:val="009600B8"/>
    <w:rsid w:val="00961BCF"/>
    <w:rsid w:val="00963241"/>
    <w:rsid w:val="0096434C"/>
    <w:rsid w:val="00972B8C"/>
    <w:rsid w:val="009751F4"/>
    <w:rsid w:val="00976EDB"/>
    <w:rsid w:val="00980EC8"/>
    <w:rsid w:val="00983325"/>
    <w:rsid w:val="00985F40"/>
    <w:rsid w:val="00992D41"/>
    <w:rsid w:val="009952F4"/>
    <w:rsid w:val="00995C46"/>
    <w:rsid w:val="00996933"/>
    <w:rsid w:val="009A1316"/>
    <w:rsid w:val="009A2C84"/>
    <w:rsid w:val="009A2D7D"/>
    <w:rsid w:val="009A3494"/>
    <w:rsid w:val="009A4493"/>
    <w:rsid w:val="009A6DF0"/>
    <w:rsid w:val="009A702F"/>
    <w:rsid w:val="009B1E0A"/>
    <w:rsid w:val="009B3BAC"/>
    <w:rsid w:val="009B7BB2"/>
    <w:rsid w:val="009C0CA2"/>
    <w:rsid w:val="009C160E"/>
    <w:rsid w:val="009C1A79"/>
    <w:rsid w:val="009C3B36"/>
    <w:rsid w:val="009C46A3"/>
    <w:rsid w:val="009C4A59"/>
    <w:rsid w:val="009C516C"/>
    <w:rsid w:val="009C54F4"/>
    <w:rsid w:val="009C5F08"/>
    <w:rsid w:val="009C646D"/>
    <w:rsid w:val="009D1A65"/>
    <w:rsid w:val="009D2321"/>
    <w:rsid w:val="009D299A"/>
    <w:rsid w:val="009E0661"/>
    <w:rsid w:val="009E158C"/>
    <w:rsid w:val="009E21DB"/>
    <w:rsid w:val="009E3BF4"/>
    <w:rsid w:val="009E4582"/>
    <w:rsid w:val="009E5FA7"/>
    <w:rsid w:val="009E777B"/>
    <w:rsid w:val="009F0912"/>
    <w:rsid w:val="009F1CA2"/>
    <w:rsid w:val="009F2FEB"/>
    <w:rsid w:val="009F5C1B"/>
    <w:rsid w:val="00A07FE8"/>
    <w:rsid w:val="00A10D8A"/>
    <w:rsid w:val="00A12252"/>
    <w:rsid w:val="00A12490"/>
    <w:rsid w:val="00A1346F"/>
    <w:rsid w:val="00A15239"/>
    <w:rsid w:val="00A171DC"/>
    <w:rsid w:val="00A23DB9"/>
    <w:rsid w:val="00A25DC6"/>
    <w:rsid w:val="00A273AF"/>
    <w:rsid w:val="00A3020C"/>
    <w:rsid w:val="00A30717"/>
    <w:rsid w:val="00A315A5"/>
    <w:rsid w:val="00A3173B"/>
    <w:rsid w:val="00A31E2C"/>
    <w:rsid w:val="00A32C74"/>
    <w:rsid w:val="00A330F0"/>
    <w:rsid w:val="00A37618"/>
    <w:rsid w:val="00A418EA"/>
    <w:rsid w:val="00A41966"/>
    <w:rsid w:val="00A42A92"/>
    <w:rsid w:val="00A47C2C"/>
    <w:rsid w:val="00A51539"/>
    <w:rsid w:val="00A51FCB"/>
    <w:rsid w:val="00A541C9"/>
    <w:rsid w:val="00A54650"/>
    <w:rsid w:val="00A564C3"/>
    <w:rsid w:val="00A579E7"/>
    <w:rsid w:val="00A601A0"/>
    <w:rsid w:val="00A60406"/>
    <w:rsid w:val="00A620B3"/>
    <w:rsid w:val="00A71802"/>
    <w:rsid w:val="00A71F33"/>
    <w:rsid w:val="00A73DC7"/>
    <w:rsid w:val="00A74A5D"/>
    <w:rsid w:val="00A771AD"/>
    <w:rsid w:val="00A80A97"/>
    <w:rsid w:val="00A8146F"/>
    <w:rsid w:val="00A82144"/>
    <w:rsid w:val="00A85F32"/>
    <w:rsid w:val="00A902E9"/>
    <w:rsid w:val="00A910F0"/>
    <w:rsid w:val="00A94D65"/>
    <w:rsid w:val="00A95021"/>
    <w:rsid w:val="00AA04F1"/>
    <w:rsid w:val="00AA0CF0"/>
    <w:rsid w:val="00AB07E0"/>
    <w:rsid w:val="00AB3F66"/>
    <w:rsid w:val="00AB5EA1"/>
    <w:rsid w:val="00AB7C97"/>
    <w:rsid w:val="00AC51DB"/>
    <w:rsid w:val="00AD0D7E"/>
    <w:rsid w:val="00AD286E"/>
    <w:rsid w:val="00AD57CD"/>
    <w:rsid w:val="00AE1E3E"/>
    <w:rsid w:val="00AE2AF5"/>
    <w:rsid w:val="00AE4368"/>
    <w:rsid w:val="00AE4E25"/>
    <w:rsid w:val="00AE7B99"/>
    <w:rsid w:val="00AF0BE6"/>
    <w:rsid w:val="00AF3CB0"/>
    <w:rsid w:val="00AF3D2A"/>
    <w:rsid w:val="00AF4771"/>
    <w:rsid w:val="00AF755E"/>
    <w:rsid w:val="00B07A88"/>
    <w:rsid w:val="00B115D0"/>
    <w:rsid w:val="00B13405"/>
    <w:rsid w:val="00B13D09"/>
    <w:rsid w:val="00B164DE"/>
    <w:rsid w:val="00B17EC2"/>
    <w:rsid w:val="00B221B8"/>
    <w:rsid w:val="00B23897"/>
    <w:rsid w:val="00B23964"/>
    <w:rsid w:val="00B2593F"/>
    <w:rsid w:val="00B25B26"/>
    <w:rsid w:val="00B26536"/>
    <w:rsid w:val="00B26894"/>
    <w:rsid w:val="00B31366"/>
    <w:rsid w:val="00B31698"/>
    <w:rsid w:val="00B3242C"/>
    <w:rsid w:val="00B3355C"/>
    <w:rsid w:val="00B36A43"/>
    <w:rsid w:val="00B42129"/>
    <w:rsid w:val="00B50CEF"/>
    <w:rsid w:val="00B50E01"/>
    <w:rsid w:val="00B556C8"/>
    <w:rsid w:val="00B60D39"/>
    <w:rsid w:val="00B66CB6"/>
    <w:rsid w:val="00B70D3B"/>
    <w:rsid w:val="00B7142F"/>
    <w:rsid w:val="00B714C9"/>
    <w:rsid w:val="00B7253C"/>
    <w:rsid w:val="00B72638"/>
    <w:rsid w:val="00B7791C"/>
    <w:rsid w:val="00B80740"/>
    <w:rsid w:val="00B80C75"/>
    <w:rsid w:val="00B81C66"/>
    <w:rsid w:val="00B84613"/>
    <w:rsid w:val="00B86AC4"/>
    <w:rsid w:val="00B86F50"/>
    <w:rsid w:val="00B86FA7"/>
    <w:rsid w:val="00B91085"/>
    <w:rsid w:val="00B91909"/>
    <w:rsid w:val="00B93D5C"/>
    <w:rsid w:val="00B96043"/>
    <w:rsid w:val="00BA277A"/>
    <w:rsid w:val="00BA3435"/>
    <w:rsid w:val="00BB0201"/>
    <w:rsid w:val="00BB2132"/>
    <w:rsid w:val="00BB3686"/>
    <w:rsid w:val="00BB4375"/>
    <w:rsid w:val="00BB5779"/>
    <w:rsid w:val="00BB5810"/>
    <w:rsid w:val="00BB7179"/>
    <w:rsid w:val="00BC06D5"/>
    <w:rsid w:val="00BC34D9"/>
    <w:rsid w:val="00BC388E"/>
    <w:rsid w:val="00BC3F11"/>
    <w:rsid w:val="00BC7569"/>
    <w:rsid w:val="00BD0468"/>
    <w:rsid w:val="00BD4684"/>
    <w:rsid w:val="00BD5FDF"/>
    <w:rsid w:val="00BD74EE"/>
    <w:rsid w:val="00BE0D56"/>
    <w:rsid w:val="00BE0DB7"/>
    <w:rsid w:val="00BE5932"/>
    <w:rsid w:val="00BF0942"/>
    <w:rsid w:val="00BF0FE6"/>
    <w:rsid w:val="00BF14D8"/>
    <w:rsid w:val="00BF1B30"/>
    <w:rsid w:val="00BF1EDD"/>
    <w:rsid w:val="00BF481B"/>
    <w:rsid w:val="00BF6A7E"/>
    <w:rsid w:val="00BF73BC"/>
    <w:rsid w:val="00C058F6"/>
    <w:rsid w:val="00C120F2"/>
    <w:rsid w:val="00C1388A"/>
    <w:rsid w:val="00C14278"/>
    <w:rsid w:val="00C14B54"/>
    <w:rsid w:val="00C17CE4"/>
    <w:rsid w:val="00C20E12"/>
    <w:rsid w:val="00C21FF4"/>
    <w:rsid w:val="00C22D7D"/>
    <w:rsid w:val="00C259CC"/>
    <w:rsid w:val="00C25E26"/>
    <w:rsid w:val="00C3017E"/>
    <w:rsid w:val="00C33DDA"/>
    <w:rsid w:val="00C34289"/>
    <w:rsid w:val="00C36B8A"/>
    <w:rsid w:val="00C41417"/>
    <w:rsid w:val="00C42F9C"/>
    <w:rsid w:val="00C433DD"/>
    <w:rsid w:val="00C43643"/>
    <w:rsid w:val="00C44469"/>
    <w:rsid w:val="00C47611"/>
    <w:rsid w:val="00C47647"/>
    <w:rsid w:val="00C47D0A"/>
    <w:rsid w:val="00C508FB"/>
    <w:rsid w:val="00C56784"/>
    <w:rsid w:val="00C569A7"/>
    <w:rsid w:val="00C62053"/>
    <w:rsid w:val="00C6448C"/>
    <w:rsid w:val="00C65A7C"/>
    <w:rsid w:val="00C707D2"/>
    <w:rsid w:val="00C722B0"/>
    <w:rsid w:val="00C724E0"/>
    <w:rsid w:val="00C72BCD"/>
    <w:rsid w:val="00C7680C"/>
    <w:rsid w:val="00C81E3D"/>
    <w:rsid w:val="00C83034"/>
    <w:rsid w:val="00C86BEA"/>
    <w:rsid w:val="00C8766C"/>
    <w:rsid w:val="00C9016B"/>
    <w:rsid w:val="00C96F07"/>
    <w:rsid w:val="00CA5233"/>
    <w:rsid w:val="00CA6169"/>
    <w:rsid w:val="00CA67B0"/>
    <w:rsid w:val="00CB62B0"/>
    <w:rsid w:val="00CD7B08"/>
    <w:rsid w:val="00CE4F57"/>
    <w:rsid w:val="00CE5A94"/>
    <w:rsid w:val="00CF1D10"/>
    <w:rsid w:val="00CF3D2E"/>
    <w:rsid w:val="00CF51C7"/>
    <w:rsid w:val="00CF61CE"/>
    <w:rsid w:val="00CF697B"/>
    <w:rsid w:val="00D00318"/>
    <w:rsid w:val="00D00A87"/>
    <w:rsid w:val="00D00DFC"/>
    <w:rsid w:val="00D017C1"/>
    <w:rsid w:val="00D0520D"/>
    <w:rsid w:val="00D07FE3"/>
    <w:rsid w:val="00D2007A"/>
    <w:rsid w:val="00D21687"/>
    <w:rsid w:val="00D24889"/>
    <w:rsid w:val="00D32FA4"/>
    <w:rsid w:val="00D3649E"/>
    <w:rsid w:val="00D441D3"/>
    <w:rsid w:val="00D461FD"/>
    <w:rsid w:val="00D50B2A"/>
    <w:rsid w:val="00D559D3"/>
    <w:rsid w:val="00D57418"/>
    <w:rsid w:val="00D677F9"/>
    <w:rsid w:val="00D730C1"/>
    <w:rsid w:val="00D7381A"/>
    <w:rsid w:val="00D80A6F"/>
    <w:rsid w:val="00D8319B"/>
    <w:rsid w:val="00D85D16"/>
    <w:rsid w:val="00D865A5"/>
    <w:rsid w:val="00D90B2A"/>
    <w:rsid w:val="00D9278B"/>
    <w:rsid w:val="00D93DF7"/>
    <w:rsid w:val="00D940B5"/>
    <w:rsid w:val="00D94437"/>
    <w:rsid w:val="00D96617"/>
    <w:rsid w:val="00DA17F6"/>
    <w:rsid w:val="00DA2638"/>
    <w:rsid w:val="00DA3696"/>
    <w:rsid w:val="00DA45EF"/>
    <w:rsid w:val="00DA47FF"/>
    <w:rsid w:val="00DA61B2"/>
    <w:rsid w:val="00DB3B44"/>
    <w:rsid w:val="00DB5556"/>
    <w:rsid w:val="00DB5C25"/>
    <w:rsid w:val="00DB7978"/>
    <w:rsid w:val="00DC217F"/>
    <w:rsid w:val="00DC2247"/>
    <w:rsid w:val="00DC3A40"/>
    <w:rsid w:val="00DC73FF"/>
    <w:rsid w:val="00DD0E0D"/>
    <w:rsid w:val="00DD544F"/>
    <w:rsid w:val="00DE09E3"/>
    <w:rsid w:val="00DE2BA1"/>
    <w:rsid w:val="00DE4939"/>
    <w:rsid w:val="00DE7CC3"/>
    <w:rsid w:val="00DE7E74"/>
    <w:rsid w:val="00DF2406"/>
    <w:rsid w:val="00DF3B7A"/>
    <w:rsid w:val="00DF486E"/>
    <w:rsid w:val="00DF5546"/>
    <w:rsid w:val="00DF786F"/>
    <w:rsid w:val="00E026CF"/>
    <w:rsid w:val="00E0561D"/>
    <w:rsid w:val="00E07271"/>
    <w:rsid w:val="00E13186"/>
    <w:rsid w:val="00E15921"/>
    <w:rsid w:val="00E202D0"/>
    <w:rsid w:val="00E237BD"/>
    <w:rsid w:val="00E2385C"/>
    <w:rsid w:val="00E24D32"/>
    <w:rsid w:val="00E24FCC"/>
    <w:rsid w:val="00E305B4"/>
    <w:rsid w:val="00E4139F"/>
    <w:rsid w:val="00E463A2"/>
    <w:rsid w:val="00E520F2"/>
    <w:rsid w:val="00E53CCE"/>
    <w:rsid w:val="00E57BE8"/>
    <w:rsid w:val="00E60590"/>
    <w:rsid w:val="00E62992"/>
    <w:rsid w:val="00E63E30"/>
    <w:rsid w:val="00E65633"/>
    <w:rsid w:val="00E65719"/>
    <w:rsid w:val="00E66AD2"/>
    <w:rsid w:val="00E71C55"/>
    <w:rsid w:val="00E72E7D"/>
    <w:rsid w:val="00E734B9"/>
    <w:rsid w:val="00E7600C"/>
    <w:rsid w:val="00E7698C"/>
    <w:rsid w:val="00E84263"/>
    <w:rsid w:val="00E84BCF"/>
    <w:rsid w:val="00E86C0C"/>
    <w:rsid w:val="00E931D8"/>
    <w:rsid w:val="00E93CD5"/>
    <w:rsid w:val="00E955F2"/>
    <w:rsid w:val="00E95A1F"/>
    <w:rsid w:val="00E96D68"/>
    <w:rsid w:val="00EA1BC7"/>
    <w:rsid w:val="00EA2201"/>
    <w:rsid w:val="00EA2D2D"/>
    <w:rsid w:val="00EA2F34"/>
    <w:rsid w:val="00EA3FC1"/>
    <w:rsid w:val="00EA5071"/>
    <w:rsid w:val="00EA50BC"/>
    <w:rsid w:val="00EB048B"/>
    <w:rsid w:val="00EB5254"/>
    <w:rsid w:val="00EB61E0"/>
    <w:rsid w:val="00EC18E3"/>
    <w:rsid w:val="00EC2848"/>
    <w:rsid w:val="00EC4F03"/>
    <w:rsid w:val="00EC756F"/>
    <w:rsid w:val="00ED4393"/>
    <w:rsid w:val="00ED5A30"/>
    <w:rsid w:val="00ED7DD3"/>
    <w:rsid w:val="00EE04E7"/>
    <w:rsid w:val="00EE39D7"/>
    <w:rsid w:val="00EE5CB3"/>
    <w:rsid w:val="00EE5FEC"/>
    <w:rsid w:val="00EF1A0C"/>
    <w:rsid w:val="00EF3534"/>
    <w:rsid w:val="00EF7C2D"/>
    <w:rsid w:val="00F00CDB"/>
    <w:rsid w:val="00F02FEF"/>
    <w:rsid w:val="00F04344"/>
    <w:rsid w:val="00F04C5D"/>
    <w:rsid w:val="00F07E88"/>
    <w:rsid w:val="00F10706"/>
    <w:rsid w:val="00F10D63"/>
    <w:rsid w:val="00F10ED0"/>
    <w:rsid w:val="00F1315C"/>
    <w:rsid w:val="00F16161"/>
    <w:rsid w:val="00F16CD7"/>
    <w:rsid w:val="00F23ECA"/>
    <w:rsid w:val="00F23F08"/>
    <w:rsid w:val="00F2791D"/>
    <w:rsid w:val="00F3374B"/>
    <w:rsid w:val="00F33ABA"/>
    <w:rsid w:val="00F34147"/>
    <w:rsid w:val="00F35151"/>
    <w:rsid w:val="00F40899"/>
    <w:rsid w:val="00F42055"/>
    <w:rsid w:val="00F4211F"/>
    <w:rsid w:val="00F42141"/>
    <w:rsid w:val="00F4257B"/>
    <w:rsid w:val="00F4334E"/>
    <w:rsid w:val="00F44825"/>
    <w:rsid w:val="00F44B2D"/>
    <w:rsid w:val="00F45765"/>
    <w:rsid w:val="00F45B33"/>
    <w:rsid w:val="00F47767"/>
    <w:rsid w:val="00F50FCC"/>
    <w:rsid w:val="00F54C46"/>
    <w:rsid w:val="00F54F5C"/>
    <w:rsid w:val="00F550ED"/>
    <w:rsid w:val="00F55D9F"/>
    <w:rsid w:val="00F56304"/>
    <w:rsid w:val="00F56B30"/>
    <w:rsid w:val="00F62DA3"/>
    <w:rsid w:val="00F67C01"/>
    <w:rsid w:val="00F870A1"/>
    <w:rsid w:val="00F973AD"/>
    <w:rsid w:val="00FA0BD3"/>
    <w:rsid w:val="00FA52E9"/>
    <w:rsid w:val="00FA59B4"/>
    <w:rsid w:val="00FA69CC"/>
    <w:rsid w:val="00FB2ACB"/>
    <w:rsid w:val="00FB3930"/>
    <w:rsid w:val="00FC3A41"/>
    <w:rsid w:val="00FC4BBA"/>
    <w:rsid w:val="00FC6A4D"/>
    <w:rsid w:val="00FC74B7"/>
    <w:rsid w:val="00FD0B89"/>
    <w:rsid w:val="00FD37B7"/>
    <w:rsid w:val="00FE03A0"/>
    <w:rsid w:val="00FE04D9"/>
    <w:rsid w:val="00FE0938"/>
    <w:rsid w:val="00FE67E0"/>
    <w:rsid w:val="00FE7D41"/>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E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7E"/>
    <w:pPr>
      <w:spacing w:after="120" w:line="288" w:lineRule="auto"/>
    </w:pPr>
    <w:rPr>
      <w:rFonts w:ascii="Arial" w:hAnsi="Arial" w:cs="Arial"/>
      <w:sz w:val="22"/>
      <w:szCs w:val="22"/>
      <w:lang w:val="en-GB" w:eastAsia="de-DE"/>
    </w:rPr>
  </w:style>
  <w:style w:type="paragraph" w:styleId="Heading1">
    <w:name w:val="heading 1"/>
    <w:basedOn w:val="F4"/>
    <w:next w:val="Normal"/>
    <w:link w:val="Heading1Char"/>
    <w:qFormat/>
    <w:rsid w:val="00E15921"/>
    <w:pPr>
      <w:spacing w:before="480" w:after="240" w:line="288" w:lineRule="auto"/>
      <w:outlineLvl w:val="0"/>
    </w:pPr>
    <w:rPr>
      <w:rFonts w:eastAsia="Times New Roman"/>
      <w:b/>
      <w:noProof/>
      <w:lang w:val="en-GB"/>
    </w:rPr>
  </w:style>
  <w:style w:type="paragraph" w:styleId="Heading2">
    <w:name w:val="heading 2"/>
    <w:basedOn w:val="Normal"/>
    <w:next w:val="Normal"/>
    <w:link w:val="Heading2Char"/>
    <w:qFormat/>
    <w:rsid w:val="008520A9"/>
    <w:pPr>
      <w:keepNext/>
      <w:spacing w:before="360" w:after="200"/>
      <w:jc w:val="both"/>
      <w:outlineLvl w:val="1"/>
    </w:pPr>
    <w:rPr>
      <w:rFonts w:ascii="Times New Roman" w:hAnsi="Times New Roman" w:cs="Times New Roman"/>
      <w:i/>
      <w:szCs w:val="20"/>
      <w:lang w:val="en-US"/>
    </w:rPr>
  </w:style>
  <w:style w:type="paragraph" w:styleId="Heading3">
    <w:name w:val="heading 3"/>
    <w:basedOn w:val="Normal"/>
    <w:next w:val="Normal"/>
    <w:link w:val="Heading3Char"/>
    <w:qFormat/>
    <w:rsid w:val="008A0D32"/>
    <w:pPr>
      <w:keepNext/>
      <w:numPr>
        <w:ilvl w:val="2"/>
        <w:numId w:val="8"/>
      </w:numPr>
      <w:outlineLvl w:val="2"/>
    </w:pPr>
    <w:rPr>
      <w:b/>
      <w:szCs w:val="20"/>
      <w:lang w:val="de-DE"/>
    </w:rPr>
  </w:style>
  <w:style w:type="paragraph" w:styleId="Heading4">
    <w:name w:val="heading 4"/>
    <w:basedOn w:val="Heading3"/>
    <w:next w:val="Normal"/>
    <w:link w:val="Heading4Char"/>
    <w:qFormat/>
    <w:rsid w:val="008A0D32"/>
    <w:pPr>
      <w:numPr>
        <w:ilvl w:val="3"/>
      </w:numPr>
      <w:spacing w:before="240" w:after="60"/>
      <w:outlineLvl w:val="3"/>
    </w:pPr>
    <w:rPr>
      <w:b w:val="0"/>
    </w:rPr>
  </w:style>
  <w:style w:type="paragraph" w:styleId="Heading5">
    <w:name w:val="heading 5"/>
    <w:basedOn w:val="Normal"/>
    <w:next w:val="Normal"/>
    <w:link w:val="Heading5Char"/>
    <w:qFormat/>
    <w:rsid w:val="008A0D32"/>
    <w:pPr>
      <w:keepNext/>
      <w:outlineLvl w:val="4"/>
    </w:pPr>
    <w:rPr>
      <w:i/>
      <w:szCs w:val="20"/>
      <w:lang w:val="de-DE"/>
    </w:rPr>
  </w:style>
  <w:style w:type="paragraph" w:styleId="Heading9">
    <w:name w:val="heading 9"/>
    <w:basedOn w:val="Normal"/>
    <w:next w:val="Normal"/>
    <w:link w:val="Heading9Char"/>
    <w:uiPriority w:val="9"/>
    <w:semiHidden/>
    <w:unhideWhenUsed/>
    <w:qFormat/>
    <w:rsid w:val="00864D9D"/>
    <w:pPr>
      <w:keepNext/>
      <w:keepLines/>
      <w:spacing w:before="40"/>
      <w:jc w:val="both"/>
      <w:outlineLvl w:val="8"/>
    </w:pPr>
    <w:rPr>
      <w:rFonts w:asciiTheme="majorHAnsi" w:eastAsiaTheme="majorEastAsia" w:hAnsiTheme="majorHAnsi" w:cstheme="majorBidi"/>
      <w:i/>
      <w:iCs/>
      <w:color w:val="272727" w:themeColor="text1" w:themeTint="D8"/>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5921"/>
    <w:rPr>
      <w:rFonts w:ascii="Arial" w:hAnsi="Arial" w:cs="Arial"/>
      <w:b/>
      <w:noProof/>
      <w:sz w:val="22"/>
      <w:szCs w:val="22"/>
      <w:lang w:val="en-GB" w:eastAsia="de-DE"/>
    </w:rPr>
  </w:style>
  <w:style w:type="character" w:customStyle="1" w:styleId="Heading2Char">
    <w:name w:val="Heading 2 Char"/>
    <w:link w:val="Heading2"/>
    <w:rsid w:val="008520A9"/>
    <w:rPr>
      <w:i/>
      <w:sz w:val="22"/>
      <w:lang w:eastAsia="de-DE"/>
    </w:rPr>
  </w:style>
  <w:style w:type="character" w:customStyle="1" w:styleId="Heading3Char">
    <w:name w:val="Heading 3 Char"/>
    <w:link w:val="Heading3"/>
    <w:rsid w:val="008A0D32"/>
    <w:rPr>
      <w:b/>
      <w:sz w:val="24"/>
      <w:lang w:val="de-DE" w:eastAsia="de-DE"/>
    </w:rPr>
  </w:style>
  <w:style w:type="character" w:customStyle="1" w:styleId="Heading4Char">
    <w:name w:val="Heading 4 Char"/>
    <w:link w:val="Heading4"/>
    <w:rsid w:val="008A0D32"/>
    <w:rPr>
      <w:sz w:val="24"/>
      <w:lang w:val="de-DE" w:eastAsia="de-DE"/>
    </w:rPr>
  </w:style>
  <w:style w:type="character" w:customStyle="1" w:styleId="Heading5Char">
    <w:name w:val="Heading 5 Char"/>
    <w:link w:val="Heading5"/>
    <w:rsid w:val="008A0D32"/>
    <w:rPr>
      <w:i/>
      <w:sz w:val="24"/>
      <w:lang w:val="de-DE" w:eastAsia="de-DE"/>
    </w:rPr>
  </w:style>
  <w:style w:type="character" w:styleId="Strong">
    <w:name w:val="Strong"/>
    <w:uiPriority w:val="22"/>
    <w:qFormat/>
    <w:rsid w:val="008A0D32"/>
    <w:rPr>
      <w:b/>
      <w:bCs/>
    </w:rPr>
  </w:style>
  <w:style w:type="character" w:styleId="Emphasis">
    <w:name w:val="Emphasis"/>
    <w:qFormat/>
    <w:rsid w:val="008A0D32"/>
    <w:rPr>
      <w:i/>
      <w:iCs/>
    </w:rPr>
  </w:style>
  <w:style w:type="paragraph" w:styleId="DocumentMap">
    <w:name w:val="Document Map"/>
    <w:basedOn w:val="Normal"/>
    <w:link w:val="DocumentMapChar"/>
    <w:uiPriority w:val="99"/>
    <w:semiHidden/>
    <w:unhideWhenUsed/>
    <w:rsid w:val="004013E3"/>
    <w:pPr>
      <w:jc w:val="both"/>
    </w:pPr>
    <w:rPr>
      <w:rFonts w:ascii="Tahoma" w:hAnsi="Tahoma"/>
      <w:sz w:val="16"/>
      <w:szCs w:val="16"/>
      <w:lang w:val="de-DE"/>
    </w:rPr>
  </w:style>
  <w:style w:type="character" w:customStyle="1" w:styleId="DocumentMapChar">
    <w:name w:val="Document Map Char"/>
    <w:link w:val="DocumentMap"/>
    <w:uiPriority w:val="99"/>
    <w:semiHidden/>
    <w:rsid w:val="004013E3"/>
    <w:rPr>
      <w:rFonts w:ascii="Tahoma" w:hAnsi="Tahoma" w:cs="Tahoma"/>
      <w:sz w:val="16"/>
      <w:szCs w:val="16"/>
      <w:lang w:val="de-DE" w:eastAsia="de-DE"/>
    </w:rPr>
  </w:style>
  <w:style w:type="paragraph" w:styleId="NormalWeb">
    <w:name w:val="Normal (Web)"/>
    <w:basedOn w:val="Normal"/>
    <w:uiPriority w:val="99"/>
    <w:unhideWhenUsed/>
    <w:rsid w:val="00DA61B2"/>
    <w:pPr>
      <w:spacing w:before="100" w:beforeAutospacing="1" w:after="100" w:afterAutospacing="1"/>
    </w:pPr>
    <w:rPr>
      <w:rFonts w:eastAsia="Calibri"/>
      <w:lang w:val="en-US" w:eastAsia="en-US"/>
    </w:rPr>
  </w:style>
  <w:style w:type="paragraph" w:styleId="Header">
    <w:name w:val="header"/>
    <w:basedOn w:val="Normal"/>
    <w:link w:val="HeaderChar"/>
    <w:uiPriority w:val="99"/>
    <w:unhideWhenUsed/>
    <w:rsid w:val="007A5BD2"/>
    <w:pPr>
      <w:tabs>
        <w:tab w:val="center" w:pos="4703"/>
        <w:tab w:val="right" w:pos="9406"/>
      </w:tabs>
      <w:jc w:val="both"/>
    </w:pPr>
    <w:rPr>
      <w:szCs w:val="20"/>
      <w:lang w:val="de-DE"/>
    </w:rPr>
  </w:style>
  <w:style w:type="character" w:customStyle="1" w:styleId="HeaderChar">
    <w:name w:val="Header Char"/>
    <w:basedOn w:val="DefaultParagraphFont"/>
    <w:link w:val="Header"/>
    <w:uiPriority w:val="99"/>
    <w:rsid w:val="007A5BD2"/>
    <w:rPr>
      <w:sz w:val="24"/>
      <w:lang w:val="de-DE" w:eastAsia="de-DE"/>
    </w:rPr>
  </w:style>
  <w:style w:type="paragraph" w:styleId="Footer">
    <w:name w:val="footer"/>
    <w:basedOn w:val="Normal"/>
    <w:link w:val="FooterChar"/>
    <w:uiPriority w:val="99"/>
    <w:unhideWhenUsed/>
    <w:rsid w:val="007A5BD2"/>
    <w:pPr>
      <w:tabs>
        <w:tab w:val="center" w:pos="4703"/>
        <w:tab w:val="right" w:pos="9406"/>
      </w:tabs>
      <w:jc w:val="both"/>
    </w:pPr>
    <w:rPr>
      <w:szCs w:val="20"/>
      <w:lang w:val="de-DE"/>
    </w:rPr>
  </w:style>
  <w:style w:type="character" w:customStyle="1" w:styleId="FooterChar">
    <w:name w:val="Footer Char"/>
    <w:basedOn w:val="DefaultParagraphFont"/>
    <w:link w:val="Footer"/>
    <w:uiPriority w:val="99"/>
    <w:rsid w:val="007A5BD2"/>
    <w:rPr>
      <w:sz w:val="24"/>
      <w:lang w:val="de-DE" w:eastAsia="de-DE"/>
    </w:rPr>
  </w:style>
  <w:style w:type="character" w:styleId="IntenseReference">
    <w:name w:val="Intense Reference"/>
    <w:uiPriority w:val="32"/>
    <w:qFormat/>
    <w:rsid w:val="00A37618"/>
    <w:rPr>
      <w:rFonts w:ascii="Times New Roman" w:hAnsi="Times New Roman" w:cs="Times New Roman"/>
    </w:rPr>
  </w:style>
  <w:style w:type="character" w:styleId="Hyperlink">
    <w:name w:val="Hyperlink"/>
    <w:basedOn w:val="DefaultParagraphFont"/>
    <w:uiPriority w:val="99"/>
    <w:unhideWhenUsed/>
    <w:rsid w:val="00A37618"/>
    <w:rPr>
      <w:color w:val="0000FF" w:themeColor="hyperlink"/>
      <w:u w:val="single"/>
    </w:rPr>
  </w:style>
  <w:style w:type="paragraph" w:customStyle="1" w:styleId="p1">
    <w:name w:val="p1"/>
    <w:basedOn w:val="Normal"/>
    <w:rsid w:val="00A42A92"/>
    <w:rPr>
      <w:rFonts w:ascii="Helvetica" w:hAnsi="Helvetica"/>
      <w:sz w:val="18"/>
      <w:szCs w:val="18"/>
    </w:rPr>
  </w:style>
  <w:style w:type="character" w:styleId="FollowedHyperlink">
    <w:name w:val="FollowedHyperlink"/>
    <w:basedOn w:val="DefaultParagraphFont"/>
    <w:uiPriority w:val="99"/>
    <w:semiHidden/>
    <w:unhideWhenUsed/>
    <w:rsid w:val="00E86C0C"/>
    <w:rPr>
      <w:color w:val="800080" w:themeColor="followedHyperlink"/>
      <w:u w:val="single"/>
    </w:rPr>
  </w:style>
  <w:style w:type="character" w:customStyle="1" w:styleId="Heading9Char">
    <w:name w:val="Heading 9 Char"/>
    <w:basedOn w:val="DefaultParagraphFont"/>
    <w:link w:val="Heading9"/>
    <w:uiPriority w:val="9"/>
    <w:semiHidden/>
    <w:rsid w:val="00864D9D"/>
    <w:rPr>
      <w:rFonts w:asciiTheme="majorHAnsi" w:eastAsiaTheme="majorEastAsia" w:hAnsiTheme="majorHAnsi" w:cstheme="majorBidi"/>
      <w:i/>
      <w:iCs/>
      <w:color w:val="272727" w:themeColor="text1" w:themeTint="D8"/>
      <w:sz w:val="21"/>
      <w:szCs w:val="21"/>
      <w:lang w:val="de-DE" w:eastAsia="de-DE"/>
    </w:rPr>
  </w:style>
  <w:style w:type="character" w:customStyle="1" w:styleId="apple-converted-space">
    <w:name w:val="apple-converted-space"/>
    <w:basedOn w:val="DefaultParagraphFont"/>
    <w:rsid w:val="00460F59"/>
  </w:style>
  <w:style w:type="paragraph" w:styleId="Title">
    <w:name w:val="Title"/>
    <w:basedOn w:val="Normal"/>
    <w:next w:val="Normal"/>
    <w:link w:val="TitleChar"/>
    <w:uiPriority w:val="10"/>
    <w:qFormat/>
    <w:rsid w:val="00B3355C"/>
    <w:pPr>
      <w:spacing w:line="360" w:lineRule="auto"/>
      <w:ind w:right="-29"/>
      <w:jc w:val="center"/>
    </w:pPr>
    <w:rPr>
      <w:rFonts w:eastAsiaTheme="minorEastAsia"/>
      <w:sz w:val="28"/>
      <w:szCs w:val="28"/>
      <w:lang w:val="en-US"/>
    </w:rPr>
  </w:style>
  <w:style w:type="character" w:customStyle="1" w:styleId="TitleChar">
    <w:name w:val="Title Char"/>
    <w:basedOn w:val="DefaultParagraphFont"/>
    <w:link w:val="Title"/>
    <w:uiPriority w:val="10"/>
    <w:rsid w:val="00B3355C"/>
    <w:rPr>
      <w:rFonts w:eastAsiaTheme="minorEastAsia"/>
      <w:sz w:val="28"/>
      <w:szCs w:val="28"/>
      <w:lang w:eastAsia="de-DE"/>
    </w:rPr>
  </w:style>
  <w:style w:type="character" w:styleId="IntenseEmphasis">
    <w:name w:val="Intense Emphasis"/>
    <w:uiPriority w:val="21"/>
    <w:qFormat/>
    <w:rsid w:val="00B3355C"/>
    <w:rPr>
      <w:rFonts w:ascii="Times New Roman" w:hAnsi="Times New Roman" w:cs="Times New Roman"/>
    </w:rPr>
  </w:style>
  <w:style w:type="paragraph" w:customStyle="1" w:styleId="F4">
    <w:name w:val="F4"/>
    <w:basedOn w:val="Normal"/>
    <w:link w:val="F4Zeichen"/>
    <w:qFormat/>
    <w:rsid w:val="00B3355C"/>
    <w:pPr>
      <w:spacing w:line="360" w:lineRule="auto"/>
    </w:pPr>
    <w:rPr>
      <w:rFonts w:eastAsiaTheme="minorEastAsia"/>
      <w:lang w:val="en-US"/>
    </w:rPr>
  </w:style>
  <w:style w:type="character" w:customStyle="1" w:styleId="F4Zeichen">
    <w:name w:val="F4 Zeichen"/>
    <w:basedOn w:val="DefaultParagraphFont"/>
    <w:link w:val="F4"/>
    <w:rsid w:val="00B3355C"/>
    <w:rPr>
      <w:rFonts w:eastAsiaTheme="minorEastAsia"/>
      <w:sz w:val="24"/>
      <w:szCs w:val="24"/>
      <w:lang w:eastAsia="de-DE"/>
    </w:rPr>
  </w:style>
  <w:style w:type="paragraph" w:styleId="BalloonText">
    <w:name w:val="Balloon Text"/>
    <w:basedOn w:val="Normal"/>
    <w:link w:val="BalloonTextChar"/>
    <w:uiPriority w:val="99"/>
    <w:semiHidden/>
    <w:unhideWhenUsed/>
    <w:rsid w:val="006D4F02"/>
    <w:rPr>
      <w:sz w:val="18"/>
      <w:szCs w:val="18"/>
    </w:rPr>
  </w:style>
  <w:style w:type="character" w:customStyle="1" w:styleId="BalloonTextChar">
    <w:name w:val="Balloon Text Char"/>
    <w:basedOn w:val="DefaultParagraphFont"/>
    <w:link w:val="BalloonText"/>
    <w:uiPriority w:val="99"/>
    <w:semiHidden/>
    <w:rsid w:val="006D4F02"/>
    <w:rPr>
      <w:sz w:val="18"/>
      <w:szCs w:val="18"/>
      <w:lang w:val="en-GB" w:eastAsia="en-GB"/>
    </w:rPr>
  </w:style>
  <w:style w:type="paragraph" w:styleId="FootnoteText">
    <w:name w:val="footnote text"/>
    <w:basedOn w:val="Normal"/>
    <w:link w:val="FootnoteTextChar"/>
    <w:uiPriority w:val="99"/>
    <w:unhideWhenUsed/>
    <w:rsid w:val="003C4EC2"/>
    <w:rPr>
      <w:sz w:val="20"/>
      <w:szCs w:val="20"/>
    </w:rPr>
  </w:style>
  <w:style w:type="character" w:customStyle="1" w:styleId="FootnoteTextChar">
    <w:name w:val="Footnote Text Char"/>
    <w:basedOn w:val="DefaultParagraphFont"/>
    <w:link w:val="FootnoteText"/>
    <w:uiPriority w:val="99"/>
    <w:rsid w:val="003C4EC2"/>
    <w:rPr>
      <w:lang w:val="en-GB" w:eastAsia="en-GB"/>
    </w:rPr>
  </w:style>
  <w:style w:type="character" w:styleId="FootnoteReference">
    <w:name w:val="footnote reference"/>
    <w:basedOn w:val="DefaultParagraphFont"/>
    <w:uiPriority w:val="99"/>
    <w:semiHidden/>
    <w:unhideWhenUsed/>
    <w:rsid w:val="003C4EC2"/>
    <w:rPr>
      <w:vertAlign w:val="superscript"/>
    </w:rPr>
  </w:style>
  <w:style w:type="paragraph" w:customStyle="1" w:styleId="EndNoteBibliographyTitle">
    <w:name w:val="EndNote Bibliography Title"/>
    <w:basedOn w:val="Normal"/>
    <w:link w:val="EndNoteBibliographyTitleChar"/>
    <w:rsid w:val="00CF697B"/>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CF697B"/>
    <w:rPr>
      <w:sz w:val="22"/>
      <w:szCs w:val="22"/>
      <w:lang w:val="en-GB" w:eastAsia="de-DE"/>
    </w:rPr>
  </w:style>
  <w:style w:type="paragraph" w:customStyle="1" w:styleId="EndNoteBibliography">
    <w:name w:val="EndNote Bibliography"/>
    <w:basedOn w:val="Normal"/>
    <w:link w:val="EndNoteBibliographyChar"/>
    <w:rsid w:val="00CF697B"/>
    <w:pPr>
      <w:spacing w:line="360" w:lineRule="auto"/>
      <w:jc w:val="both"/>
    </w:pPr>
    <w:rPr>
      <w:rFonts w:ascii="Times New Roman" w:hAnsi="Times New Roman" w:cs="Times New Roman"/>
    </w:rPr>
  </w:style>
  <w:style w:type="character" w:customStyle="1" w:styleId="EndNoteBibliographyChar">
    <w:name w:val="EndNote Bibliography Char"/>
    <w:basedOn w:val="DefaultParagraphFont"/>
    <w:link w:val="EndNoteBibliography"/>
    <w:rsid w:val="00CF697B"/>
    <w:rPr>
      <w:sz w:val="22"/>
      <w:szCs w:val="22"/>
      <w:lang w:val="en-GB" w:eastAsia="de-DE"/>
    </w:rPr>
  </w:style>
  <w:style w:type="paragraph" w:styleId="ListParagraph">
    <w:name w:val="List Paragraph"/>
    <w:basedOn w:val="Normal"/>
    <w:uiPriority w:val="34"/>
    <w:qFormat/>
    <w:rsid w:val="004B1C81"/>
    <w:pPr>
      <w:ind w:left="720"/>
      <w:contextualSpacing/>
    </w:pPr>
  </w:style>
  <w:style w:type="character" w:styleId="PageNumber">
    <w:name w:val="page number"/>
    <w:basedOn w:val="DefaultParagraphFont"/>
    <w:uiPriority w:val="99"/>
    <w:semiHidden/>
    <w:unhideWhenUsed/>
    <w:rsid w:val="00542BE7"/>
  </w:style>
  <w:style w:type="character" w:customStyle="1" w:styleId="UnresolvedMention1">
    <w:name w:val="Unresolved Mention1"/>
    <w:basedOn w:val="DefaultParagraphFont"/>
    <w:uiPriority w:val="99"/>
    <w:rsid w:val="00992D41"/>
    <w:rPr>
      <w:color w:val="605E5C"/>
      <w:shd w:val="clear" w:color="auto" w:fill="E1DFDD"/>
    </w:rPr>
  </w:style>
  <w:style w:type="paragraph" w:customStyle="1" w:styleId="Default">
    <w:name w:val="Default"/>
    <w:rsid w:val="002C34E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93E94"/>
    <w:rPr>
      <w:sz w:val="16"/>
      <w:szCs w:val="16"/>
    </w:rPr>
  </w:style>
  <w:style w:type="paragraph" w:styleId="CommentText">
    <w:name w:val="annotation text"/>
    <w:basedOn w:val="Normal"/>
    <w:link w:val="CommentTextChar"/>
    <w:uiPriority w:val="99"/>
    <w:semiHidden/>
    <w:unhideWhenUsed/>
    <w:rsid w:val="00893E94"/>
    <w:pPr>
      <w:spacing w:line="240" w:lineRule="auto"/>
    </w:pPr>
    <w:rPr>
      <w:sz w:val="20"/>
      <w:szCs w:val="20"/>
    </w:rPr>
  </w:style>
  <w:style w:type="character" w:customStyle="1" w:styleId="CommentTextChar">
    <w:name w:val="Comment Text Char"/>
    <w:basedOn w:val="DefaultParagraphFont"/>
    <w:link w:val="CommentText"/>
    <w:uiPriority w:val="99"/>
    <w:semiHidden/>
    <w:rsid w:val="00893E94"/>
    <w:rPr>
      <w:rFonts w:ascii="Arial" w:hAnsi="Arial" w:cs="Arial"/>
      <w:lang w:val="en-GB" w:eastAsia="de-DE"/>
    </w:rPr>
  </w:style>
  <w:style w:type="paragraph" w:styleId="CommentSubject">
    <w:name w:val="annotation subject"/>
    <w:basedOn w:val="CommentText"/>
    <w:next w:val="CommentText"/>
    <w:link w:val="CommentSubjectChar"/>
    <w:uiPriority w:val="99"/>
    <w:semiHidden/>
    <w:unhideWhenUsed/>
    <w:rsid w:val="00893E94"/>
    <w:rPr>
      <w:b/>
      <w:bCs/>
    </w:rPr>
  </w:style>
  <w:style w:type="character" w:customStyle="1" w:styleId="CommentSubjectChar">
    <w:name w:val="Comment Subject Char"/>
    <w:basedOn w:val="CommentTextChar"/>
    <w:link w:val="CommentSubject"/>
    <w:uiPriority w:val="99"/>
    <w:semiHidden/>
    <w:rsid w:val="00893E94"/>
    <w:rPr>
      <w:rFonts w:ascii="Arial" w:hAnsi="Arial" w:cs="Arial"/>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6771">
      <w:bodyDiv w:val="1"/>
      <w:marLeft w:val="0"/>
      <w:marRight w:val="0"/>
      <w:marTop w:val="0"/>
      <w:marBottom w:val="0"/>
      <w:divBdr>
        <w:top w:val="none" w:sz="0" w:space="0" w:color="auto"/>
        <w:left w:val="none" w:sz="0" w:space="0" w:color="auto"/>
        <w:bottom w:val="none" w:sz="0" w:space="0" w:color="auto"/>
        <w:right w:val="none" w:sz="0" w:space="0" w:color="auto"/>
      </w:divBdr>
    </w:div>
    <w:div w:id="196436150">
      <w:bodyDiv w:val="1"/>
      <w:marLeft w:val="0"/>
      <w:marRight w:val="0"/>
      <w:marTop w:val="0"/>
      <w:marBottom w:val="0"/>
      <w:divBdr>
        <w:top w:val="none" w:sz="0" w:space="0" w:color="auto"/>
        <w:left w:val="none" w:sz="0" w:space="0" w:color="auto"/>
        <w:bottom w:val="none" w:sz="0" w:space="0" w:color="auto"/>
        <w:right w:val="none" w:sz="0" w:space="0" w:color="auto"/>
      </w:divBdr>
    </w:div>
    <w:div w:id="203293236">
      <w:bodyDiv w:val="1"/>
      <w:marLeft w:val="0"/>
      <w:marRight w:val="0"/>
      <w:marTop w:val="0"/>
      <w:marBottom w:val="0"/>
      <w:divBdr>
        <w:top w:val="none" w:sz="0" w:space="0" w:color="auto"/>
        <w:left w:val="none" w:sz="0" w:space="0" w:color="auto"/>
        <w:bottom w:val="none" w:sz="0" w:space="0" w:color="auto"/>
        <w:right w:val="none" w:sz="0" w:space="0" w:color="auto"/>
      </w:divBdr>
    </w:div>
    <w:div w:id="204754120">
      <w:bodyDiv w:val="1"/>
      <w:marLeft w:val="0"/>
      <w:marRight w:val="0"/>
      <w:marTop w:val="0"/>
      <w:marBottom w:val="0"/>
      <w:divBdr>
        <w:top w:val="none" w:sz="0" w:space="0" w:color="auto"/>
        <w:left w:val="none" w:sz="0" w:space="0" w:color="auto"/>
        <w:bottom w:val="none" w:sz="0" w:space="0" w:color="auto"/>
        <w:right w:val="none" w:sz="0" w:space="0" w:color="auto"/>
      </w:divBdr>
    </w:div>
    <w:div w:id="247662052">
      <w:bodyDiv w:val="1"/>
      <w:marLeft w:val="0"/>
      <w:marRight w:val="0"/>
      <w:marTop w:val="0"/>
      <w:marBottom w:val="0"/>
      <w:divBdr>
        <w:top w:val="none" w:sz="0" w:space="0" w:color="auto"/>
        <w:left w:val="none" w:sz="0" w:space="0" w:color="auto"/>
        <w:bottom w:val="none" w:sz="0" w:space="0" w:color="auto"/>
        <w:right w:val="none" w:sz="0" w:space="0" w:color="auto"/>
      </w:divBdr>
    </w:div>
    <w:div w:id="309404286">
      <w:bodyDiv w:val="1"/>
      <w:marLeft w:val="0"/>
      <w:marRight w:val="0"/>
      <w:marTop w:val="0"/>
      <w:marBottom w:val="0"/>
      <w:divBdr>
        <w:top w:val="none" w:sz="0" w:space="0" w:color="auto"/>
        <w:left w:val="none" w:sz="0" w:space="0" w:color="auto"/>
        <w:bottom w:val="none" w:sz="0" w:space="0" w:color="auto"/>
        <w:right w:val="none" w:sz="0" w:space="0" w:color="auto"/>
      </w:divBdr>
    </w:div>
    <w:div w:id="326058205">
      <w:bodyDiv w:val="1"/>
      <w:marLeft w:val="0"/>
      <w:marRight w:val="0"/>
      <w:marTop w:val="0"/>
      <w:marBottom w:val="0"/>
      <w:divBdr>
        <w:top w:val="none" w:sz="0" w:space="0" w:color="auto"/>
        <w:left w:val="none" w:sz="0" w:space="0" w:color="auto"/>
        <w:bottom w:val="none" w:sz="0" w:space="0" w:color="auto"/>
        <w:right w:val="none" w:sz="0" w:space="0" w:color="auto"/>
      </w:divBdr>
    </w:div>
    <w:div w:id="476580287">
      <w:bodyDiv w:val="1"/>
      <w:marLeft w:val="0"/>
      <w:marRight w:val="0"/>
      <w:marTop w:val="0"/>
      <w:marBottom w:val="0"/>
      <w:divBdr>
        <w:top w:val="none" w:sz="0" w:space="0" w:color="auto"/>
        <w:left w:val="none" w:sz="0" w:space="0" w:color="auto"/>
        <w:bottom w:val="none" w:sz="0" w:space="0" w:color="auto"/>
        <w:right w:val="none" w:sz="0" w:space="0" w:color="auto"/>
      </w:divBdr>
    </w:div>
    <w:div w:id="510418691">
      <w:bodyDiv w:val="1"/>
      <w:marLeft w:val="0"/>
      <w:marRight w:val="0"/>
      <w:marTop w:val="0"/>
      <w:marBottom w:val="0"/>
      <w:divBdr>
        <w:top w:val="none" w:sz="0" w:space="0" w:color="auto"/>
        <w:left w:val="none" w:sz="0" w:space="0" w:color="auto"/>
        <w:bottom w:val="none" w:sz="0" w:space="0" w:color="auto"/>
        <w:right w:val="none" w:sz="0" w:space="0" w:color="auto"/>
      </w:divBdr>
    </w:div>
    <w:div w:id="684550157">
      <w:bodyDiv w:val="1"/>
      <w:marLeft w:val="0"/>
      <w:marRight w:val="0"/>
      <w:marTop w:val="0"/>
      <w:marBottom w:val="0"/>
      <w:divBdr>
        <w:top w:val="none" w:sz="0" w:space="0" w:color="auto"/>
        <w:left w:val="none" w:sz="0" w:space="0" w:color="auto"/>
        <w:bottom w:val="none" w:sz="0" w:space="0" w:color="auto"/>
        <w:right w:val="none" w:sz="0" w:space="0" w:color="auto"/>
      </w:divBdr>
    </w:div>
    <w:div w:id="1010108546">
      <w:bodyDiv w:val="1"/>
      <w:marLeft w:val="0"/>
      <w:marRight w:val="0"/>
      <w:marTop w:val="0"/>
      <w:marBottom w:val="0"/>
      <w:divBdr>
        <w:top w:val="none" w:sz="0" w:space="0" w:color="auto"/>
        <w:left w:val="none" w:sz="0" w:space="0" w:color="auto"/>
        <w:bottom w:val="none" w:sz="0" w:space="0" w:color="auto"/>
        <w:right w:val="none" w:sz="0" w:space="0" w:color="auto"/>
      </w:divBdr>
    </w:div>
    <w:div w:id="1029263049">
      <w:bodyDiv w:val="1"/>
      <w:marLeft w:val="0"/>
      <w:marRight w:val="0"/>
      <w:marTop w:val="0"/>
      <w:marBottom w:val="0"/>
      <w:divBdr>
        <w:top w:val="none" w:sz="0" w:space="0" w:color="auto"/>
        <w:left w:val="none" w:sz="0" w:space="0" w:color="auto"/>
        <w:bottom w:val="none" w:sz="0" w:space="0" w:color="auto"/>
        <w:right w:val="none" w:sz="0" w:space="0" w:color="auto"/>
      </w:divBdr>
    </w:div>
    <w:div w:id="1151868299">
      <w:bodyDiv w:val="1"/>
      <w:marLeft w:val="0"/>
      <w:marRight w:val="0"/>
      <w:marTop w:val="0"/>
      <w:marBottom w:val="0"/>
      <w:divBdr>
        <w:top w:val="none" w:sz="0" w:space="0" w:color="auto"/>
        <w:left w:val="none" w:sz="0" w:space="0" w:color="auto"/>
        <w:bottom w:val="none" w:sz="0" w:space="0" w:color="auto"/>
        <w:right w:val="none" w:sz="0" w:space="0" w:color="auto"/>
      </w:divBdr>
    </w:div>
    <w:div w:id="1422526660">
      <w:bodyDiv w:val="1"/>
      <w:marLeft w:val="0"/>
      <w:marRight w:val="0"/>
      <w:marTop w:val="0"/>
      <w:marBottom w:val="0"/>
      <w:divBdr>
        <w:top w:val="none" w:sz="0" w:space="0" w:color="auto"/>
        <w:left w:val="none" w:sz="0" w:space="0" w:color="auto"/>
        <w:bottom w:val="none" w:sz="0" w:space="0" w:color="auto"/>
        <w:right w:val="none" w:sz="0" w:space="0" w:color="auto"/>
      </w:divBdr>
    </w:div>
    <w:div w:id="1539388239">
      <w:bodyDiv w:val="1"/>
      <w:marLeft w:val="0"/>
      <w:marRight w:val="0"/>
      <w:marTop w:val="0"/>
      <w:marBottom w:val="0"/>
      <w:divBdr>
        <w:top w:val="none" w:sz="0" w:space="0" w:color="auto"/>
        <w:left w:val="none" w:sz="0" w:space="0" w:color="auto"/>
        <w:bottom w:val="none" w:sz="0" w:space="0" w:color="auto"/>
        <w:right w:val="none" w:sz="0" w:space="0" w:color="auto"/>
      </w:divBdr>
    </w:div>
    <w:div w:id="1541937440">
      <w:bodyDiv w:val="1"/>
      <w:marLeft w:val="0"/>
      <w:marRight w:val="0"/>
      <w:marTop w:val="0"/>
      <w:marBottom w:val="0"/>
      <w:divBdr>
        <w:top w:val="none" w:sz="0" w:space="0" w:color="auto"/>
        <w:left w:val="none" w:sz="0" w:space="0" w:color="auto"/>
        <w:bottom w:val="none" w:sz="0" w:space="0" w:color="auto"/>
        <w:right w:val="none" w:sz="0" w:space="0" w:color="auto"/>
      </w:divBdr>
    </w:div>
    <w:div w:id="1563711934">
      <w:bodyDiv w:val="1"/>
      <w:marLeft w:val="0"/>
      <w:marRight w:val="0"/>
      <w:marTop w:val="0"/>
      <w:marBottom w:val="0"/>
      <w:divBdr>
        <w:top w:val="none" w:sz="0" w:space="0" w:color="auto"/>
        <w:left w:val="none" w:sz="0" w:space="0" w:color="auto"/>
        <w:bottom w:val="none" w:sz="0" w:space="0" w:color="auto"/>
        <w:right w:val="none" w:sz="0" w:space="0" w:color="auto"/>
      </w:divBdr>
    </w:div>
    <w:div w:id="1575241450">
      <w:bodyDiv w:val="1"/>
      <w:marLeft w:val="0"/>
      <w:marRight w:val="0"/>
      <w:marTop w:val="0"/>
      <w:marBottom w:val="0"/>
      <w:divBdr>
        <w:top w:val="none" w:sz="0" w:space="0" w:color="auto"/>
        <w:left w:val="none" w:sz="0" w:space="0" w:color="auto"/>
        <w:bottom w:val="none" w:sz="0" w:space="0" w:color="auto"/>
        <w:right w:val="none" w:sz="0" w:space="0" w:color="auto"/>
      </w:divBdr>
    </w:div>
    <w:div w:id="1589149456">
      <w:bodyDiv w:val="1"/>
      <w:marLeft w:val="0"/>
      <w:marRight w:val="0"/>
      <w:marTop w:val="0"/>
      <w:marBottom w:val="0"/>
      <w:divBdr>
        <w:top w:val="none" w:sz="0" w:space="0" w:color="auto"/>
        <w:left w:val="none" w:sz="0" w:space="0" w:color="auto"/>
        <w:bottom w:val="none" w:sz="0" w:space="0" w:color="auto"/>
        <w:right w:val="none" w:sz="0" w:space="0" w:color="auto"/>
      </w:divBdr>
    </w:div>
    <w:div w:id="1707414975">
      <w:bodyDiv w:val="1"/>
      <w:marLeft w:val="0"/>
      <w:marRight w:val="0"/>
      <w:marTop w:val="0"/>
      <w:marBottom w:val="0"/>
      <w:divBdr>
        <w:top w:val="none" w:sz="0" w:space="0" w:color="auto"/>
        <w:left w:val="none" w:sz="0" w:space="0" w:color="auto"/>
        <w:bottom w:val="none" w:sz="0" w:space="0" w:color="auto"/>
        <w:right w:val="none" w:sz="0" w:space="0" w:color="auto"/>
      </w:divBdr>
    </w:div>
    <w:div w:id="1766537791">
      <w:bodyDiv w:val="1"/>
      <w:marLeft w:val="0"/>
      <w:marRight w:val="0"/>
      <w:marTop w:val="0"/>
      <w:marBottom w:val="0"/>
      <w:divBdr>
        <w:top w:val="none" w:sz="0" w:space="0" w:color="auto"/>
        <w:left w:val="none" w:sz="0" w:space="0" w:color="auto"/>
        <w:bottom w:val="none" w:sz="0" w:space="0" w:color="auto"/>
        <w:right w:val="none" w:sz="0" w:space="0" w:color="auto"/>
      </w:divBdr>
    </w:div>
    <w:div w:id="1845822464">
      <w:bodyDiv w:val="1"/>
      <w:marLeft w:val="0"/>
      <w:marRight w:val="0"/>
      <w:marTop w:val="0"/>
      <w:marBottom w:val="0"/>
      <w:divBdr>
        <w:top w:val="none" w:sz="0" w:space="0" w:color="auto"/>
        <w:left w:val="none" w:sz="0" w:space="0" w:color="auto"/>
        <w:bottom w:val="none" w:sz="0" w:space="0" w:color="auto"/>
        <w:right w:val="none" w:sz="0" w:space="0" w:color="auto"/>
      </w:divBdr>
    </w:div>
    <w:div w:id="1900361583">
      <w:bodyDiv w:val="1"/>
      <w:marLeft w:val="0"/>
      <w:marRight w:val="0"/>
      <w:marTop w:val="0"/>
      <w:marBottom w:val="0"/>
      <w:divBdr>
        <w:top w:val="none" w:sz="0" w:space="0" w:color="auto"/>
        <w:left w:val="none" w:sz="0" w:space="0" w:color="auto"/>
        <w:bottom w:val="none" w:sz="0" w:space="0" w:color="auto"/>
        <w:right w:val="none" w:sz="0" w:space="0" w:color="auto"/>
      </w:divBdr>
    </w:div>
    <w:div w:id="1938636613">
      <w:bodyDiv w:val="1"/>
      <w:marLeft w:val="0"/>
      <w:marRight w:val="0"/>
      <w:marTop w:val="0"/>
      <w:marBottom w:val="0"/>
      <w:divBdr>
        <w:top w:val="none" w:sz="0" w:space="0" w:color="auto"/>
        <w:left w:val="none" w:sz="0" w:space="0" w:color="auto"/>
        <w:bottom w:val="none" w:sz="0" w:space="0" w:color="auto"/>
        <w:right w:val="none" w:sz="0" w:space="0" w:color="auto"/>
      </w:divBdr>
    </w:div>
    <w:div w:id="2004046473">
      <w:bodyDiv w:val="1"/>
      <w:marLeft w:val="0"/>
      <w:marRight w:val="0"/>
      <w:marTop w:val="0"/>
      <w:marBottom w:val="0"/>
      <w:divBdr>
        <w:top w:val="none" w:sz="0" w:space="0" w:color="auto"/>
        <w:left w:val="none" w:sz="0" w:space="0" w:color="auto"/>
        <w:bottom w:val="none" w:sz="0" w:space="0" w:color="auto"/>
        <w:right w:val="none" w:sz="0" w:space="0" w:color="auto"/>
      </w:divBdr>
    </w:div>
    <w:div w:id="2044095237">
      <w:bodyDiv w:val="1"/>
      <w:marLeft w:val="0"/>
      <w:marRight w:val="0"/>
      <w:marTop w:val="0"/>
      <w:marBottom w:val="0"/>
      <w:divBdr>
        <w:top w:val="none" w:sz="0" w:space="0" w:color="auto"/>
        <w:left w:val="none" w:sz="0" w:space="0" w:color="auto"/>
        <w:bottom w:val="none" w:sz="0" w:space="0" w:color="auto"/>
        <w:right w:val="none" w:sz="0" w:space="0" w:color="auto"/>
      </w:divBdr>
    </w:div>
    <w:div w:id="21330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http://www.parl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3DD6-0728-46C7-9ACF-96AACADF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2020-10-12T11:45:00Z</cp:lastPrinted>
  <dcterms:created xsi:type="dcterms:W3CDTF">2021-11-22T16:10:00Z</dcterms:created>
  <dcterms:modified xsi:type="dcterms:W3CDTF">2021-11-22T16:21:00Z</dcterms:modified>
</cp:coreProperties>
</file>