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23" w:rsidRPr="00FA36C5" w:rsidRDefault="007F6B23" w:rsidP="007F6B23">
      <w:pPr>
        <w:rPr>
          <w:lang w:val="en-US"/>
        </w:rPr>
      </w:pPr>
      <w:r>
        <w:rPr>
          <w:lang w:val="en-US"/>
        </w:rPr>
        <w:t xml:space="preserve">Online </w:t>
      </w:r>
      <w:r w:rsidRPr="00FA36C5">
        <w:rPr>
          <w:lang w:val="en-US"/>
        </w:rPr>
        <w:t>APPENDIX</w:t>
      </w:r>
    </w:p>
    <w:p w:rsidR="007F6B23" w:rsidRDefault="007F6B23" w:rsidP="007F6B23">
      <w:pPr>
        <w:jc w:val="center"/>
        <w:rPr>
          <w:lang w:val="en-US"/>
        </w:rPr>
      </w:pPr>
      <w:r w:rsidRPr="00FA36C5">
        <w:rPr>
          <w:lang w:val="en-US"/>
        </w:rPr>
        <w:t>Table A</w:t>
      </w:r>
      <w:r>
        <w:rPr>
          <w:lang w:val="en-US"/>
        </w:rPr>
        <w:t>1</w:t>
      </w:r>
      <w:r w:rsidRPr="00FA36C5">
        <w:rPr>
          <w:lang w:val="en-US"/>
        </w:rPr>
        <w:t xml:space="preserve">: </w:t>
      </w:r>
      <w:r>
        <w:rPr>
          <w:lang w:val="en-US"/>
        </w:rPr>
        <w:t>Variables: definition and sources</w:t>
      </w:r>
    </w:p>
    <w:p w:rsidR="007F6B23" w:rsidRDefault="007F6B23" w:rsidP="007F6B23">
      <w:pPr>
        <w:jc w:val="center"/>
        <w:rPr>
          <w:lang w:val="en-US"/>
        </w:rPr>
      </w:pPr>
    </w:p>
    <w:tbl>
      <w:tblPr>
        <w:tblW w:w="12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99"/>
        <w:gridCol w:w="7995"/>
        <w:gridCol w:w="1773"/>
      </w:tblGrid>
      <w:tr w:rsidR="007F6B23" w:rsidTr="00212B55">
        <w:trPr>
          <w:trHeight w:val="300"/>
          <w:jc w:val="center"/>
        </w:trPr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7995" w:type="dxa"/>
            <w:vAlign w:val="center"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Definition</w:t>
            </w:r>
          </w:p>
        </w:tc>
        <w:tc>
          <w:tcPr>
            <w:tcW w:w="1773" w:type="dxa"/>
            <w:vAlign w:val="center"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Source</w:t>
            </w:r>
          </w:p>
        </w:tc>
      </w:tr>
      <w:tr w:rsidR="007F6B23" w:rsidRPr="000133DE" w:rsidTr="00212B55">
        <w:trPr>
          <w:trHeight w:val="125"/>
          <w:jc w:val="center"/>
        </w:trPr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7F6B23" w:rsidRPr="000133D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NULC total economy</w:t>
            </w:r>
          </w:p>
        </w:tc>
        <w:tc>
          <w:tcPr>
            <w:tcW w:w="7995" w:type="dxa"/>
            <w:vAlign w:val="center"/>
          </w:tcPr>
          <w:p w:rsidR="007F6B23" w:rsidRPr="000133D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Annual NULC changes, measured as percentage change from previous year, overall economy.</w:t>
            </w:r>
          </w:p>
        </w:tc>
        <w:tc>
          <w:tcPr>
            <w:tcW w:w="1773" w:type="dxa"/>
            <w:vAlign w:val="center"/>
          </w:tcPr>
          <w:p w:rsidR="007F6B23" w:rsidRPr="000133D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OECD (2015</w:t>
            </w:r>
            <w:bookmarkStart w:id="0" w:name="_GoBack"/>
            <w:bookmarkEnd w:id="0"/>
            <w:r>
              <w:rPr>
                <w:color w:val="000000"/>
                <w:sz w:val="16"/>
                <w:szCs w:val="16"/>
                <w:lang w:val="en-US"/>
              </w:rPr>
              <w:t>c)</w:t>
            </w:r>
          </w:p>
        </w:tc>
      </w:tr>
      <w:tr w:rsidR="007F6B23" w:rsidRPr="000133DE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7F6B23" w:rsidRPr="000133D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NULC manufacturing</w:t>
            </w:r>
          </w:p>
        </w:tc>
        <w:tc>
          <w:tcPr>
            <w:tcW w:w="7995" w:type="dxa"/>
            <w:vAlign w:val="center"/>
          </w:tcPr>
          <w:p w:rsidR="007F6B23" w:rsidRPr="000133D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Annual NULC changes, measured as percentage change from previous year, manufacturing sector.</w:t>
            </w:r>
          </w:p>
        </w:tc>
        <w:tc>
          <w:tcPr>
            <w:tcW w:w="1773" w:type="dxa"/>
            <w:vAlign w:val="center"/>
          </w:tcPr>
          <w:p w:rsidR="007F6B23" w:rsidRPr="000133D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OECD (2015c)</w:t>
            </w:r>
          </w:p>
        </w:tc>
      </w:tr>
      <w:tr w:rsidR="007F6B23" w:rsidRPr="000154A1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Growth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553644">
              <w:rPr>
                <w:color w:val="000000"/>
                <w:sz w:val="16"/>
                <w:szCs w:val="16"/>
                <w:lang w:val="en-US"/>
              </w:rPr>
              <w:t>Growth of real GDP, measured as percentage change from previous year</w:t>
            </w:r>
            <w:r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Armingeon et al. (2015)</w:t>
            </w:r>
          </w:p>
        </w:tc>
      </w:tr>
      <w:tr w:rsidR="007F6B23" w:rsidRPr="000154A1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Population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553644">
              <w:rPr>
                <w:color w:val="000000"/>
                <w:sz w:val="16"/>
                <w:szCs w:val="16"/>
                <w:lang w:val="en-US"/>
              </w:rPr>
              <w:t>Size of total population (in 1000s)</w:t>
            </w:r>
            <w:r>
              <w:rPr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Armingeon et al. (2015)</w:t>
            </w:r>
          </w:p>
        </w:tc>
      </w:tr>
      <w:tr w:rsidR="007F6B23" w:rsidRPr="00553644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7F6B23" w:rsidRPr="000154A1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Unemployment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 w:rsidRPr="004E68FB">
              <w:rPr>
                <w:sz w:val="16"/>
                <w:szCs w:val="16"/>
                <w:lang w:val="en-US"/>
              </w:rPr>
              <w:t xml:space="preserve">ercentage of unemployed civilians </w:t>
            </w:r>
            <w:r>
              <w:rPr>
                <w:sz w:val="16"/>
                <w:szCs w:val="16"/>
                <w:lang w:val="en-US"/>
              </w:rPr>
              <w:t>in</w:t>
            </w:r>
            <w:r w:rsidRPr="004E68FB">
              <w:rPr>
                <w:sz w:val="16"/>
                <w:szCs w:val="16"/>
                <w:lang w:val="en-US"/>
              </w:rPr>
              <w:t xml:space="preserve"> the total labor force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Armingeon et al. (2015)</w:t>
            </w:r>
          </w:p>
        </w:tc>
      </w:tr>
      <w:tr w:rsidR="007F6B23" w:rsidRPr="00553644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Elderly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 w:rsidRPr="004E68FB">
              <w:rPr>
                <w:sz w:val="16"/>
                <w:szCs w:val="16"/>
                <w:lang w:val="en-US"/>
              </w:rPr>
              <w:t>opulation over 65 as a percentage of total population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>Armingeon et al. (201</w:t>
            </w:r>
            <w:r>
              <w:rPr>
                <w:sz w:val="16"/>
                <w:szCs w:val="16"/>
                <w:lang w:val="en-US"/>
              </w:rPr>
              <w:t>5</w:t>
            </w:r>
            <w:r w:rsidRPr="004E68FB">
              <w:rPr>
                <w:sz w:val="16"/>
                <w:szCs w:val="16"/>
                <w:lang w:val="en-US"/>
              </w:rPr>
              <w:t>)</w:t>
            </w:r>
          </w:p>
        </w:tc>
      </w:tr>
      <w:tr w:rsidR="007F6B23" w:rsidRPr="00553644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Service sector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</w:t>
            </w:r>
            <w:r w:rsidRPr="004E68FB">
              <w:rPr>
                <w:sz w:val="16"/>
                <w:szCs w:val="16"/>
                <w:lang w:val="en-US"/>
              </w:rPr>
              <w:t>he total of civilian employment in services as a percentage of the total civilian labor force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>Armingeon et al. (201</w:t>
            </w:r>
            <w:r>
              <w:rPr>
                <w:sz w:val="16"/>
                <w:szCs w:val="16"/>
                <w:lang w:val="en-US"/>
              </w:rPr>
              <w:t>5</w:t>
            </w:r>
            <w:r w:rsidRPr="004E68FB">
              <w:rPr>
                <w:sz w:val="16"/>
                <w:szCs w:val="16"/>
                <w:lang w:val="en-US"/>
              </w:rPr>
              <w:t>)</w:t>
            </w:r>
          </w:p>
        </w:tc>
      </w:tr>
      <w:tr w:rsidR="007F6B23" w:rsidRPr="00553644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GDP per hour worked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553644">
              <w:rPr>
                <w:sz w:val="16"/>
                <w:szCs w:val="16"/>
                <w:lang w:val="en-US"/>
              </w:rPr>
              <w:t>GDP per capita (in current values)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OECD (2015a)</w:t>
            </w:r>
          </w:p>
        </w:tc>
      </w:tr>
      <w:tr w:rsidR="007F6B23" w:rsidRPr="00553644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Inflation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Growth of harmonized consumer price index, all items, percent change from previous year.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>Armingeon et al. (201</w:t>
            </w:r>
            <w:r>
              <w:rPr>
                <w:sz w:val="16"/>
                <w:szCs w:val="16"/>
                <w:lang w:val="en-US"/>
              </w:rPr>
              <w:t>5</w:t>
            </w:r>
            <w:r w:rsidRPr="004E68FB">
              <w:rPr>
                <w:sz w:val="16"/>
                <w:szCs w:val="16"/>
                <w:lang w:val="en-US"/>
              </w:rPr>
              <w:t>)</w:t>
            </w:r>
          </w:p>
        </w:tc>
      </w:tr>
      <w:tr w:rsidR="007F6B23" w:rsidRPr="00553644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Left government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4E68FB">
              <w:rPr>
                <w:sz w:val="16"/>
                <w:szCs w:val="16"/>
                <w:lang w:val="en-US"/>
              </w:rPr>
              <w:t xml:space="preserve">abinet portfolio held by social-democratic and other left parties as a percentage of total cabinet posts at time point </w:t>
            </w:r>
            <w:r w:rsidRPr="004E68FB">
              <w:rPr>
                <w:i/>
                <w:sz w:val="16"/>
                <w:szCs w:val="16"/>
                <w:lang w:val="en-US"/>
              </w:rPr>
              <w:t>t</w:t>
            </w:r>
            <w:r>
              <w:rPr>
                <w:i/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>Armingeon et al. (201</w:t>
            </w:r>
            <w:r>
              <w:rPr>
                <w:sz w:val="16"/>
                <w:szCs w:val="16"/>
                <w:lang w:val="en-US"/>
              </w:rPr>
              <w:t>5</w:t>
            </w:r>
            <w:r w:rsidRPr="004E68FB">
              <w:rPr>
                <w:sz w:val="16"/>
                <w:szCs w:val="16"/>
                <w:lang w:val="en-US"/>
              </w:rPr>
              <w:t>)</w:t>
            </w:r>
          </w:p>
        </w:tc>
      </w:tr>
      <w:tr w:rsidR="007F6B23" w:rsidRPr="00553644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Employment protection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D034B1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D034B1">
              <w:rPr>
                <w:noProof/>
                <w:sz w:val="16"/>
                <w:szCs w:val="16"/>
                <w:lang w:val="en-US"/>
              </w:rPr>
              <w:t>Strictness of employment protection – individual and collective dismissals (regular contracts</w:t>
            </w:r>
            <w:r>
              <w:rPr>
                <w:noProof/>
                <w:sz w:val="16"/>
                <w:szCs w:val="16"/>
                <w:lang w:val="en-US"/>
              </w:rPr>
              <w:t>).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OECD (2015b)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 (ln)</w:t>
            </w:r>
          </w:p>
        </w:tc>
        <w:tc>
          <w:tcPr>
            <w:tcW w:w="7995" w:type="dxa"/>
            <w:vAlign w:val="center"/>
          </w:tcPr>
          <w:p w:rsidR="007F6B23" w:rsidRPr="000154A1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Logged n</w:t>
            </w:r>
            <w:r w:rsidRPr="004E68FB">
              <w:rPr>
                <w:sz w:val="16"/>
                <w:szCs w:val="16"/>
                <w:lang w:val="en-US"/>
              </w:rPr>
              <w:t>umber of years from 1999</w:t>
            </w:r>
            <w:r>
              <w:rPr>
                <w:sz w:val="16"/>
                <w:szCs w:val="16"/>
                <w:lang w:val="en-US"/>
              </w:rPr>
              <w:t>–</w:t>
            </w:r>
            <w:r w:rsidRPr="004E68FB">
              <w:rPr>
                <w:sz w:val="16"/>
                <w:szCs w:val="16"/>
                <w:lang w:val="en-US"/>
              </w:rPr>
              <w:t>2008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Own calculation</w:t>
            </w:r>
          </w:p>
        </w:tc>
      </w:tr>
      <w:tr w:rsidR="007F6B23" w:rsidRPr="00553644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Union density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995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N</w:t>
            </w:r>
            <w:r w:rsidRPr="004E68FB">
              <w:rPr>
                <w:sz w:val="16"/>
                <w:szCs w:val="16"/>
                <w:lang w:val="en-US"/>
              </w:rPr>
              <w:t>et union membership as a proportion of wage and salary earners in employment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 xml:space="preserve">Visser </w:t>
            </w:r>
            <w:r>
              <w:rPr>
                <w:sz w:val="16"/>
                <w:szCs w:val="16"/>
                <w:lang w:val="en-US"/>
              </w:rPr>
              <w:t>(2015)</w:t>
            </w:r>
          </w:p>
        </w:tc>
      </w:tr>
      <w:tr w:rsidR="007F6B23" w:rsidRPr="00DB47CE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Employers’ organization density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7995" w:type="dxa"/>
            <w:vAlign w:val="center"/>
          </w:tcPr>
          <w:p w:rsidR="007F6B23" w:rsidRPr="00DB47C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Employers’ organization density as a proportion of the total number of employees in employment.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 xml:space="preserve">Visser </w:t>
            </w:r>
            <w:r>
              <w:rPr>
                <w:sz w:val="16"/>
                <w:szCs w:val="16"/>
                <w:lang w:val="en-US"/>
              </w:rPr>
              <w:t>(2015)</w:t>
            </w:r>
          </w:p>
        </w:tc>
      </w:tr>
      <w:tr w:rsidR="007F6B23" w:rsidRPr="00DB47CE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Bargaining coverage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995" w:type="dxa"/>
            <w:vAlign w:val="center"/>
          </w:tcPr>
          <w:p w:rsidR="007F6B23" w:rsidRPr="00DB47C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</w:t>
            </w:r>
            <w:r w:rsidRPr="004E68FB">
              <w:rPr>
                <w:sz w:val="16"/>
                <w:szCs w:val="16"/>
                <w:lang w:val="en-US"/>
              </w:rPr>
              <w:t>ercentage of employees covered by wage bargaining agreements as a fraction of all wage and salary earners in employment, adjusted for possible sectors without the right to bargain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 xml:space="preserve">Visser </w:t>
            </w:r>
            <w:r>
              <w:rPr>
                <w:sz w:val="16"/>
                <w:szCs w:val="16"/>
                <w:lang w:val="en-US"/>
              </w:rPr>
              <w:t>(2015)</w:t>
            </w:r>
          </w:p>
        </w:tc>
      </w:tr>
      <w:tr w:rsidR="007F6B23" w:rsidRPr="00DB47CE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Wage coordination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7995" w:type="dxa"/>
            <w:vAlign w:val="center"/>
          </w:tcPr>
          <w:p w:rsidR="007F6B23" w:rsidRPr="00DB47C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DB47CE">
              <w:rPr>
                <w:color w:val="000000"/>
                <w:sz w:val="16"/>
                <w:szCs w:val="16"/>
                <w:lang w:val="en-US"/>
              </w:rPr>
              <w:t xml:space="preserve">Kenworthy’s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five-scale </w:t>
            </w:r>
            <w:r w:rsidRPr="00DB47CE">
              <w:rPr>
                <w:color w:val="000000"/>
                <w:sz w:val="16"/>
                <w:szCs w:val="16"/>
                <w:lang w:val="en-US"/>
              </w:rPr>
              <w:t xml:space="preserve">index of wage coordination: </w:t>
            </w:r>
            <w:r w:rsidRPr="004E68FB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en-US"/>
              </w:rPr>
              <w:t xml:space="preserve"> = fragmented wage bargaining, 3 = </w:t>
            </w:r>
            <w:r w:rsidRPr="004E68FB">
              <w:rPr>
                <w:sz w:val="16"/>
                <w:szCs w:val="16"/>
                <w:lang w:val="en-US"/>
              </w:rPr>
              <w:t>industry wide coordination, 5</w:t>
            </w:r>
            <w:r>
              <w:rPr>
                <w:sz w:val="16"/>
                <w:szCs w:val="16"/>
                <w:lang w:val="en-US"/>
              </w:rPr>
              <w:t xml:space="preserve"> = </w:t>
            </w:r>
            <w:r w:rsidRPr="004E68FB">
              <w:rPr>
                <w:sz w:val="16"/>
                <w:szCs w:val="16"/>
                <w:lang w:val="en-US"/>
              </w:rPr>
              <w:t>natio</w:t>
            </w:r>
            <w:r>
              <w:rPr>
                <w:sz w:val="16"/>
                <w:szCs w:val="16"/>
                <w:lang w:val="en-US"/>
              </w:rPr>
              <w:t xml:space="preserve">nally encompassing coordination </w:t>
            </w:r>
            <w:r w:rsidRPr="004E68FB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 xml:space="preserve">2 and </w:t>
            </w:r>
            <w:r w:rsidRPr="004E68FB">
              <w:rPr>
                <w:sz w:val="16"/>
                <w:szCs w:val="16"/>
                <w:lang w:val="en-US"/>
              </w:rPr>
              <w:t xml:space="preserve">4 </w:t>
            </w:r>
            <w:r>
              <w:rPr>
                <w:sz w:val="16"/>
                <w:szCs w:val="16"/>
                <w:lang w:val="en-US"/>
              </w:rPr>
              <w:t>=</w:t>
            </w:r>
            <w:r w:rsidRPr="004E68FB">
              <w:rPr>
                <w:sz w:val="16"/>
                <w:szCs w:val="16"/>
                <w:lang w:val="en-US"/>
              </w:rPr>
              <w:t xml:space="preserve"> mix types)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 xml:space="preserve">Visser </w:t>
            </w:r>
            <w:r>
              <w:rPr>
                <w:sz w:val="16"/>
                <w:szCs w:val="16"/>
                <w:lang w:val="en-US"/>
              </w:rPr>
              <w:t>(2015)</w:t>
            </w:r>
          </w:p>
        </w:tc>
      </w:tr>
      <w:tr w:rsidR="007F6B23" w:rsidRPr="00DB47CE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Wage centralization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7995" w:type="dxa"/>
            <w:vAlign w:val="center"/>
          </w:tcPr>
          <w:p w:rsidR="007F6B23" w:rsidRPr="00DB47C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OECD</w:t>
            </w:r>
            <w:r w:rsidRPr="00DB47CE">
              <w:rPr>
                <w:color w:val="000000"/>
                <w:sz w:val="16"/>
                <w:szCs w:val="16"/>
                <w:lang w:val="en-US"/>
              </w:rPr>
              <w:t xml:space="preserve">’s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five-scale </w:t>
            </w:r>
            <w:r w:rsidRPr="00DB47CE">
              <w:rPr>
                <w:color w:val="000000"/>
                <w:sz w:val="16"/>
                <w:szCs w:val="16"/>
                <w:lang w:val="en-US"/>
              </w:rPr>
              <w:t xml:space="preserve">index of </w:t>
            </w:r>
            <w:r>
              <w:rPr>
                <w:color w:val="000000"/>
                <w:sz w:val="16"/>
                <w:szCs w:val="16"/>
                <w:lang w:val="en-US"/>
              </w:rPr>
              <w:t>wage centralization:</w:t>
            </w:r>
            <w:r w:rsidRPr="004E68FB">
              <w:rPr>
                <w:sz w:val="16"/>
                <w:szCs w:val="16"/>
                <w:lang w:val="en-US"/>
              </w:rPr>
              <w:t xml:space="preserve"> 1</w:t>
            </w:r>
            <w:r>
              <w:rPr>
                <w:sz w:val="16"/>
                <w:szCs w:val="16"/>
                <w:lang w:val="en-US"/>
              </w:rPr>
              <w:t xml:space="preserve"> = company- and plant-level, 3 = industry-level, 5 = central-level wage agreements (2 and 4 = mix types).</w:t>
            </w:r>
          </w:p>
        </w:tc>
        <w:tc>
          <w:tcPr>
            <w:tcW w:w="1773" w:type="dxa"/>
            <w:vAlign w:val="center"/>
          </w:tcPr>
          <w:p w:rsidR="007F6B23" w:rsidRPr="00553644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OECD (2004: 151)</w:t>
            </w:r>
          </w:p>
        </w:tc>
      </w:tr>
      <w:tr w:rsidR="007F6B23" w:rsidRPr="00DB47CE" w:rsidTr="00212B55">
        <w:trPr>
          <w:trHeight w:val="144"/>
          <w:jc w:val="center"/>
        </w:trPr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A259E2">
              <w:rPr>
                <w:sz w:val="16"/>
                <w:szCs w:val="16"/>
                <w:lang w:val="en-US"/>
              </w:rPr>
              <w:t>orpor</w:t>
            </w:r>
            <w:r>
              <w:rPr>
                <w:sz w:val="16"/>
                <w:szCs w:val="16"/>
                <w:lang w:val="en-US"/>
              </w:rPr>
              <w:t>atism</w:t>
            </w:r>
          </w:p>
        </w:tc>
        <w:tc>
          <w:tcPr>
            <w:tcW w:w="7995" w:type="dxa"/>
            <w:vAlign w:val="center"/>
          </w:tcPr>
          <w:p w:rsidR="007F6B23" w:rsidRPr="00DB47C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DB47CE">
              <w:rPr>
                <w:color w:val="000000"/>
                <w:sz w:val="16"/>
                <w:szCs w:val="16"/>
                <w:lang w:val="en-US"/>
              </w:rPr>
              <w:t xml:space="preserve">Schmidt’s (1983)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five-scale </w:t>
            </w:r>
            <w:r w:rsidRPr="00DB47CE">
              <w:rPr>
                <w:color w:val="000000"/>
                <w:sz w:val="16"/>
                <w:szCs w:val="16"/>
                <w:lang w:val="en-US"/>
              </w:rPr>
              <w:t>corporatism measure: 1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B47CE">
              <w:rPr>
                <w:color w:val="000000"/>
                <w:sz w:val="16"/>
                <w:szCs w:val="16"/>
                <w:lang w:val="en-US"/>
              </w:rPr>
              <w:t>=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4E68FB">
              <w:rPr>
                <w:sz w:val="16"/>
                <w:szCs w:val="16"/>
                <w:lang w:val="en-US"/>
              </w:rPr>
              <w:t>weak or totally absent corporatism</w:t>
            </w:r>
            <w:r>
              <w:rPr>
                <w:sz w:val="16"/>
                <w:szCs w:val="16"/>
                <w:lang w:val="en-US"/>
              </w:rPr>
              <w:t>, 5 = strong corporatism.</w:t>
            </w:r>
          </w:p>
        </w:tc>
        <w:tc>
          <w:tcPr>
            <w:tcW w:w="1773" w:type="dxa"/>
            <w:vAlign w:val="center"/>
          </w:tcPr>
          <w:p w:rsidR="007F6B23" w:rsidRPr="00DB47CE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 xml:space="preserve">Siaroff </w:t>
            </w:r>
            <w:r>
              <w:rPr>
                <w:sz w:val="16"/>
                <w:szCs w:val="16"/>
                <w:lang w:val="en-US"/>
              </w:rPr>
              <w:t>(</w:t>
            </w:r>
            <w:r w:rsidRPr="004E68FB">
              <w:rPr>
                <w:sz w:val="16"/>
                <w:szCs w:val="16"/>
                <w:lang w:val="en-US"/>
              </w:rPr>
              <w:t xml:space="preserve">1999: </w:t>
            </w:r>
            <w:r>
              <w:rPr>
                <w:sz w:val="16"/>
                <w:szCs w:val="16"/>
                <w:lang w:val="en-US"/>
              </w:rPr>
              <w:t>T</w:t>
            </w:r>
            <w:r w:rsidRPr="004E68FB">
              <w:rPr>
                <w:sz w:val="16"/>
                <w:szCs w:val="16"/>
                <w:lang w:val="en-US"/>
              </w:rPr>
              <w:t>able 1</w:t>
            </w:r>
            <w:r>
              <w:rPr>
                <w:sz w:val="16"/>
                <w:szCs w:val="16"/>
                <w:lang w:val="en-US"/>
              </w:rPr>
              <w:t>)</w:t>
            </w:r>
          </w:p>
        </w:tc>
      </w:tr>
      <w:tr w:rsidR="007F6B23" w:rsidRPr="00491DB5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Integrated economy</w:t>
            </w:r>
          </w:p>
        </w:tc>
        <w:tc>
          <w:tcPr>
            <w:tcW w:w="7995" w:type="dxa"/>
            <w:vAlign w:val="center"/>
          </w:tcPr>
          <w:p w:rsidR="007F6B23" w:rsidRPr="00491DB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>Siaroff’s</w:t>
            </w:r>
            <w:r>
              <w:rPr>
                <w:sz w:val="16"/>
                <w:szCs w:val="16"/>
                <w:lang w:val="en-US"/>
              </w:rPr>
              <w:t xml:space="preserve"> (1999) integrated economy index: The index </w:t>
            </w:r>
            <w:r w:rsidRPr="004E68FB">
              <w:rPr>
                <w:sz w:val="16"/>
                <w:szCs w:val="16"/>
                <w:lang w:val="en-US"/>
              </w:rPr>
              <w:t xml:space="preserve">measures the extent of social partnership </w:t>
            </w:r>
            <w:r>
              <w:rPr>
                <w:sz w:val="16"/>
                <w:szCs w:val="16"/>
                <w:lang w:val="en-US"/>
              </w:rPr>
              <w:t>based on eight indicators</w:t>
            </w:r>
            <w:r w:rsidRPr="004E68FB">
              <w:rPr>
                <w:sz w:val="16"/>
                <w:szCs w:val="16"/>
                <w:lang w:val="en-US"/>
              </w:rPr>
              <w:t xml:space="preserve"> (in particular wage coordination, conflict intensity of wage bargaining, codetermination, concertation</w:t>
            </w:r>
            <w:r>
              <w:rPr>
                <w:sz w:val="16"/>
                <w:szCs w:val="16"/>
                <w:lang w:val="en-US"/>
              </w:rPr>
              <w:t xml:space="preserve">). Timeframe: 1990s. </w:t>
            </w:r>
          </w:p>
        </w:tc>
        <w:tc>
          <w:tcPr>
            <w:tcW w:w="1773" w:type="dxa"/>
            <w:vAlign w:val="center"/>
          </w:tcPr>
          <w:p w:rsidR="007F6B23" w:rsidRPr="00491DB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 xml:space="preserve">Siaroff </w:t>
            </w:r>
            <w:r>
              <w:rPr>
                <w:sz w:val="16"/>
                <w:szCs w:val="16"/>
                <w:lang w:val="en-US"/>
              </w:rPr>
              <w:t>(</w:t>
            </w:r>
            <w:r w:rsidRPr="004E68FB">
              <w:rPr>
                <w:sz w:val="16"/>
                <w:szCs w:val="16"/>
                <w:lang w:val="en-US"/>
              </w:rPr>
              <w:t xml:space="preserve">1999: </w:t>
            </w:r>
            <w:r>
              <w:rPr>
                <w:sz w:val="16"/>
                <w:szCs w:val="16"/>
                <w:lang w:val="en-US"/>
              </w:rPr>
              <w:t>T</w:t>
            </w:r>
            <w:r w:rsidRPr="004E68FB">
              <w:rPr>
                <w:sz w:val="16"/>
                <w:szCs w:val="16"/>
                <w:lang w:val="en-US"/>
              </w:rPr>
              <w:t xml:space="preserve">able </w:t>
            </w:r>
            <w:r>
              <w:rPr>
                <w:sz w:val="16"/>
                <w:szCs w:val="16"/>
                <w:lang w:val="en-US"/>
              </w:rPr>
              <w:t>4c)</w:t>
            </w:r>
          </w:p>
        </w:tc>
      </w:tr>
      <w:tr w:rsidR="007F6B23" w:rsidRPr="00491DB5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7F6B23" w:rsidRPr="00491DB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Coordinated capitalism</w:t>
            </w:r>
          </w:p>
        </w:tc>
        <w:tc>
          <w:tcPr>
            <w:tcW w:w="7995" w:type="dxa"/>
            <w:vAlign w:val="center"/>
          </w:tcPr>
          <w:p w:rsidR="007F6B23" w:rsidRPr="00491DB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4E68FB">
              <w:rPr>
                <w:sz w:val="16"/>
                <w:szCs w:val="16"/>
                <w:lang w:val="en-US"/>
              </w:rPr>
              <w:t>Hall and Gingerich’s</w:t>
            </w:r>
            <w:r>
              <w:rPr>
                <w:sz w:val="16"/>
                <w:szCs w:val="16"/>
                <w:lang w:val="en-US"/>
              </w:rPr>
              <w:t xml:space="preserve"> (2009) index combines </w:t>
            </w:r>
            <w:r w:rsidRPr="004E68FB">
              <w:rPr>
                <w:sz w:val="16"/>
                <w:szCs w:val="16"/>
                <w:lang w:val="en-US"/>
              </w:rPr>
              <w:t>data on labor market fluctuation, wage bargaining coordination, shareholders’ rights, diffused firm ownership, and stock market size</w:t>
            </w:r>
            <w:r>
              <w:rPr>
                <w:sz w:val="16"/>
                <w:szCs w:val="16"/>
                <w:lang w:val="en-US"/>
              </w:rPr>
              <w:t>. Missing data for Greece and Luxembourg.</w:t>
            </w:r>
          </w:p>
        </w:tc>
        <w:tc>
          <w:tcPr>
            <w:tcW w:w="1773" w:type="dxa"/>
            <w:vAlign w:val="center"/>
          </w:tcPr>
          <w:p w:rsidR="007F6B23" w:rsidRPr="00491DB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Hall and Gingerich (2009)</w:t>
            </w:r>
          </w:p>
        </w:tc>
      </w:tr>
      <w:tr w:rsidR="007F6B23" w:rsidRPr="006872D5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vAlign w:val="center"/>
            <w:hideMark/>
          </w:tcPr>
          <w:p w:rsidR="007F6B23" w:rsidRPr="00491DB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Organized capitalism</w:t>
            </w:r>
          </w:p>
        </w:tc>
        <w:tc>
          <w:tcPr>
            <w:tcW w:w="7995" w:type="dxa"/>
            <w:vAlign w:val="center"/>
          </w:tcPr>
          <w:p w:rsidR="007F6B23" w:rsidRPr="00901749" w:rsidRDefault="007F6B23" w:rsidP="00212B55">
            <w:pPr>
              <w:rPr>
                <w:color w:val="000000"/>
                <w:sz w:val="16"/>
                <w:szCs w:val="16"/>
                <w:highlight w:val="yellow"/>
                <w:lang w:val="en-US"/>
              </w:rPr>
            </w:pPr>
            <w:r w:rsidRPr="005C76D1">
              <w:rPr>
                <w:sz w:val="16"/>
                <w:szCs w:val="16"/>
                <w:lang w:val="en-US"/>
              </w:rPr>
              <w:t>Höpner’s “</w:t>
            </w:r>
            <w:r w:rsidRPr="005C76D1">
              <w:rPr>
                <w:i/>
                <w:sz w:val="16"/>
                <w:szCs w:val="16"/>
                <w:lang w:val="en-US"/>
              </w:rPr>
              <w:t>organized capitalism</w:t>
            </w:r>
            <w:r w:rsidRPr="005C76D1">
              <w:rPr>
                <w:sz w:val="16"/>
                <w:szCs w:val="16"/>
                <w:lang w:val="en-US"/>
              </w:rPr>
              <w:t>” index consists of data on firm ownership held by the state and by other firms, on employees’ codetermination rights, and on the density of trade uni</w:t>
            </w:r>
            <w:r>
              <w:rPr>
                <w:sz w:val="16"/>
                <w:szCs w:val="16"/>
                <w:lang w:val="en-US"/>
              </w:rPr>
              <w:t xml:space="preserve">ons and employers’ associations. </w:t>
            </w:r>
            <w:r w:rsidRPr="006872D5">
              <w:rPr>
                <w:sz w:val="16"/>
                <w:szCs w:val="16"/>
                <w:lang w:val="en-US"/>
              </w:rPr>
              <w:t>Missing data for Greece and Luxembourg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491DB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Höpner (2007: 12-17)</w:t>
            </w:r>
          </w:p>
        </w:tc>
      </w:tr>
      <w:tr w:rsidR="007F6B23" w:rsidRPr="006872D5" w:rsidTr="00212B55">
        <w:trPr>
          <w:trHeight w:val="70"/>
          <w:jc w:val="center"/>
        </w:trPr>
        <w:tc>
          <w:tcPr>
            <w:tcW w:w="2399" w:type="dxa"/>
            <w:shd w:val="clear" w:color="auto" w:fill="auto"/>
            <w:noWrap/>
            <w:hideMark/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Employees’ codetermination rights</w:t>
            </w:r>
          </w:p>
        </w:tc>
        <w:tc>
          <w:tcPr>
            <w:tcW w:w="7995" w:type="dxa"/>
            <w:vAlign w:val="center"/>
          </w:tcPr>
          <w:p w:rsidR="007F6B23" w:rsidRPr="0058266D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 w:rsidRPr="0058266D">
              <w:rPr>
                <w:sz w:val="16"/>
                <w:szCs w:val="16"/>
                <w:lang w:val="en-US"/>
              </w:rPr>
              <w:t>This four-scale index covers the 2000s and measures employees’ codetermination rights at the board level of large firms: 4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8266D">
              <w:rPr>
                <w:sz w:val="16"/>
                <w:szCs w:val="16"/>
                <w:lang w:val="en-US"/>
              </w:rPr>
              <w:t>=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8266D">
              <w:rPr>
                <w:sz w:val="16"/>
                <w:szCs w:val="16"/>
                <w:lang w:val="en-US"/>
              </w:rPr>
              <w:t>employee representatives constitute more than one third of the board, 3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8266D">
              <w:rPr>
                <w:sz w:val="16"/>
                <w:szCs w:val="16"/>
                <w:lang w:val="en-US"/>
              </w:rPr>
              <w:t>=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8266D">
              <w:rPr>
                <w:sz w:val="16"/>
                <w:szCs w:val="16"/>
                <w:lang w:val="en-US"/>
              </w:rPr>
              <w:t>employee representatives constitute up to one third of the board, 2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8266D">
              <w:rPr>
                <w:sz w:val="16"/>
                <w:szCs w:val="16"/>
                <w:lang w:val="en-US"/>
              </w:rPr>
              <w:t>=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8266D">
              <w:rPr>
                <w:sz w:val="16"/>
                <w:szCs w:val="16"/>
                <w:lang w:val="en-US"/>
              </w:rPr>
              <w:t>employees’ participation without voting power, and 1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8266D">
              <w:rPr>
                <w:sz w:val="16"/>
                <w:szCs w:val="16"/>
                <w:lang w:val="en-US"/>
              </w:rPr>
              <w:t>=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58266D">
              <w:rPr>
                <w:sz w:val="16"/>
                <w:szCs w:val="16"/>
                <w:lang w:val="en-US"/>
              </w:rPr>
              <w:t>no board-level codetermination</w:t>
            </w:r>
            <w:r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1773" w:type="dxa"/>
            <w:vAlign w:val="center"/>
          </w:tcPr>
          <w:p w:rsidR="007F6B23" w:rsidRPr="00491DB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Höpner (2004: 40)</w:t>
            </w:r>
          </w:p>
        </w:tc>
      </w:tr>
    </w:tbl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Pr="00FA36C5" w:rsidRDefault="007F6B23" w:rsidP="007F6B23">
      <w:pPr>
        <w:jc w:val="center"/>
        <w:rPr>
          <w:lang w:val="en-US"/>
        </w:rPr>
      </w:pPr>
      <w:r w:rsidRPr="00FA36C5">
        <w:rPr>
          <w:lang w:val="en-US"/>
        </w:rPr>
        <w:t>Table A</w:t>
      </w:r>
      <w:r>
        <w:rPr>
          <w:lang w:val="en-US"/>
        </w:rPr>
        <w:t>2</w:t>
      </w:r>
      <w:r w:rsidRPr="00FA36C5">
        <w:rPr>
          <w:lang w:val="en-US"/>
        </w:rPr>
        <w:t xml:space="preserve">: </w:t>
      </w:r>
      <w:r>
        <w:rPr>
          <w:lang w:val="en-US"/>
        </w:rPr>
        <w:t>Summary statistics of all variables</w:t>
      </w:r>
    </w:p>
    <w:p w:rsidR="007F6B23" w:rsidRDefault="007F6B23" w:rsidP="007F6B23">
      <w:pPr>
        <w:rPr>
          <w:lang w:val="en-US"/>
        </w:rPr>
      </w:pPr>
    </w:p>
    <w:tbl>
      <w:tblPr>
        <w:tblW w:w="7162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455"/>
        <w:gridCol w:w="707"/>
        <w:gridCol w:w="1000"/>
        <w:gridCol w:w="1000"/>
        <w:gridCol w:w="1000"/>
        <w:gridCol w:w="1000"/>
      </w:tblGrid>
      <w:tr w:rsidR="007F6B23" w:rsidTr="00212B55">
        <w:trPr>
          <w:trHeight w:val="300"/>
          <w:jc w:val="center"/>
        </w:trPr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Pr="006872D5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lastRenderedPageBreak/>
              <w:t>Variable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Obs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Mean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Std. Dev.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Max</w:t>
            </w:r>
          </w:p>
        </w:tc>
      </w:tr>
      <w:tr w:rsidR="007F6B23" w:rsidTr="00212B55">
        <w:trPr>
          <w:trHeight w:val="125"/>
          <w:jc w:val="center"/>
        </w:trPr>
        <w:tc>
          <w:tcPr>
            <w:tcW w:w="24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NULC total economy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1.91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-2.5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9.5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NULC manufacturing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0.87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4.30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-9.3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21.6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Growth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-0.93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10.18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Population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25648.34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26406.92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424.7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82502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Unemployment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7.39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2.83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16.4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Elderly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15.99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2.16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20.2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Service sector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62.58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7.13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48.51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76.33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GDP per hour worked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4.42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2.68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-3.94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12.88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Inflation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5.6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Left government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38.25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36.35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Employment protection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4.58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 (ln)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1.75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0.53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2.4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Union density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32.43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17.3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7.55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78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Employers’ organization density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69.67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14.05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100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Bargaining coverage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78.97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15.61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41.7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98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Wage coordination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3.55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5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Wage centralization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0.88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5</w:t>
            </w:r>
          </w:p>
        </w:tc>
      </w:tr>
      <w:tr w:rsidR="007F6B23" w:rsidTr="00212B55">
        <w:trPr>
          <w:trHeight w:val="144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A259E2">
              <w:rPr>
                <w:sz w:val="16"/>
                <w:szCs w:val="16"/>
                <w:lang w:val="en-US"/>
              </w:rPr>
              <w:t>orpor</w:t>
            </w:r>
            <w:r>
              <w:rPr>
                <w:sz w:val="16"/>
                <w:szCs w:val="16"/>
                <w:lang w:val="en-US"/>
              </w:rPr>
              <w:t>atism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2.17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5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Integrated economy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3.27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4.63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Coordinated capitalism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0.72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Organized capitalism</w:t>
            </w:r>
          </w:p>
        </w:tc>
        <w:tc>
          <w:tcPr>
            <w:tcW w:w="707" w:type="dxa"/>
            <w:tcBorders>
              <w:top w:val="nil"/>
              <w:left w:val="nil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0.78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-0.54</w:t>
            </w:r>
          </w:p>
        </w:tc>
        <w:tc>
          <w:tcPr>
            <w:tcW w:w="10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1.87</w:t>
            </w:r>
          </w:p>
        </w:tc>
      </w:tr>
      <w:tr w:rsidR="007F6B23" w:rsidTr="00212B55">
        <w:trPr>
          <w:trHeight w:val="70"/>
          <w:jc w:val="center"/>
        </w:trPr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Employees’ codetermination rights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1.08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93071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 w:rsidRPr="00993071">
              <w:rPr>
                <w:color w:val="000000"/>
                <w:sz w:val="16"/>
                <w:szCs w:val="16"/>
              </w:rPr>
              <w:t>4</w:t>
            </w:r>
          </w:p>
        </w:tc>
      </w:tr>
    </w:tbl>
    <w:p w:rsidR="007F6B23" w:rsidRDefault="007F6B23" w:rsidP="007F6B23">
      <w:pPr>
        <w:rPr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20"/>
          <w:szCs w:val="20"/>
          <w:lang w:val="en-US"/>
        </w:rPr>
        <w:t xml:space="preserve">Note: Summary statistics based on country-year data </w:t>
      </w:r>
    </w:p>
    <w:p w:rsidR="007F6B23" w:rsidRPr="008B6DB0" w:rsidRDefault="007F6B23" w:rsidP="007F6B23">
      <w:pPr>
        <w:ind w:left="3540"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of twelve Euro countries, 1999–2008</w:t>
      </w:r>
    </w:p>
    <w:p w:rsidR="007F6B23" w:rsidRPr="00FA36C5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jc w:val="center"/>
        <w:rPr>
          <w:lang w:val="en-US"/>
        </w:rPr>
      </w:pPr>
      <w:r w:rsidRPr="00FA36C5">
        <w:rPr>
          <w:lang w:val="en-US"/>
        </w:rPr>
        <w:t>T</w:t>
      </w:r>
      <w:r w:rsidRPr="003461B8">
        <w:rPr>
          <w:lang w:val="en-US"/>
        </w:rPr>
        <w:t>able A3: Correlation matrix of all variables</w:t>
      </w:r>
    </w:p>
    <w:p w:rsidR="007F6B23" w:rsidRPr="00FA36C5" w:rsidRDefault="007F6B23" w:rsidP="007F6B23">
      <w:pPr>
        <w:rPr>
          <w:lang w:val="en-US"/>
        </w:rPr>
      </w:pPr>
    </w:p>
    <w:tbl>
      <w:tblPr>
        <w:tblW w:w="14242" w:type="dxa"/>
        <w:jc w:val="center"/>
        <w:tblInd w:w="166" w:type="dxa"/>
        <w:tblCellMar>
          <w:left w:w="70" w:type="dxa"/>
          <w:right w:w="70" w:type="dxa"/>
        </w:tblCellMar>
        <w:tblLook w:val="04A0"/>
      </w:tblPr>
      <w:tblGrid>
        <w:gridCol w:w="300"/>
        <w:gridCol w:w="2528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494"/>
        <w:gridCol w:w="520"/>
        <w:gridCol w:w="520"/>
        <w:gridCol w:w="520"/>
        <w:gridCol w:w="520"/>
        <w:gridCol w:w="520"/>
        <w:gridCol w:w="520"/>
      </w:tblGrid>
      <w:tr w:rsidR="007F6B23" w:rsidTr="00212B55">
        <w:trPr>
          <w:trHeight w:val="300"/>
          <w:jc w:val="center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050B2D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050B2D" w:rsidRDefault="007F6B23" w:rsidP="00212B55">
            <w:pPr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F6B23" w:rsidRDefault="007F6B23" w:rsidP="00212B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</w:tr>
      <w:tr w:rsidR="007F6B23" w:rsidTr="00212B55">
        <w:trPr>
          <w:trHeight w:val="206"/>
          <w:jc w:val="center"/>
        </w:trPr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NULC total economy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9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NULC manufacturing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Growth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Population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Unemployment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Elderly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0.61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2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Service sector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GDP per hour worked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Inflation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Left government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Employment protection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 (ln)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Union density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Employers’ organization density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Bargaining coverage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126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Wage coordination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0.64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Wage centralization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-0.65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-0.28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A259E2">
              <w:rPr>
                <w:sz w:val="16"/>
                <w:szCs w:val="16"/>
                <w:lang w:val="en-US"/>
              </w:rPr>
              <w:t>orpor</w:t>
            </w:r>
            <w:r>
              <w:rPr>
                <w:sz w:val="16"/>
                <w:szCs w:val="16"/>
                <w:lang w:val="en-US"/>
              </w:rPr>
              <w:t>atism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Integrated economy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0.30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0.92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Coordinated capitalism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-0.55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-0.59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0.09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0.73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-0.24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-0.52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0.29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0.38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0.37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-0.22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-0.33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0.59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0.57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25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6B23" w:rsidRDefault="007F6B23" w:rsidP="00212B55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Organized capitalism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-0.47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-0.26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-0.15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-0.13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-0.21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0.22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-0.06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-0.44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-0.11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0.42</w:t>
            </w: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0.16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0.94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0.93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0.63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  <w:tc>
          <w:tcPr>
            <w:tcW w:w="5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rPr>
                <w:color w:val="000000"/>
                <w:sz w:val="16"/>
                <w:szCs w:val="16"/>
              </w:rPr>
            </w:pPr>
          </w:p>
        </w:tc>
      </w:tr>
      <w:tr w:rsidR="007F6B23" w:rsidTr="00212B55">
        <w:trPr>
          <w:trHeight w:val="70"/>
          <w:jc w:val="center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Employees’ codetermination rights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-0.53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-0.47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0.69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0.74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0.52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0.77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B23" w:rsidRPr="009C38C3" w:rsidRDefault="007F6B23" w:rsidP="00212B55">
            <w:pPr>
              <w:jc w:val="right"/>
              <w:rPr>
                <w:color w:val="000000"/>
                <w:sz w:val="16"/>
                <w:szCs w:val="16"/>
              </w:rPr>
            </w:pPr>
            <w:r w:rsidRPr="009C38C3">
              <w:rPr>
                <w:color w:val="000000"/>
                <w:sz w:val="16"/>
                <w:szCs w:val="16"/>
              </w:rPr>
              <w:t>1.00</w:t>
            </w:r>
          </w:p>
        </w:tc>
      </w:tr>
    </w:tbl>
    <w:p w:rsidR="007F6B23" w:rsidRPr="00FB5AC5" w:rsidRDefault="007F6B23" w:rsidP="007F6B23">
      <w:pPr>
        <w:rPr>
          <w:sz w:val="20"/>
          <w:szCs w:val="20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FB5AC5">
        <w:rPr>
          <w:sz w:val="20"/>
          <w:szCs w:val="20"/>
          <w:lang w:val="en-US"/>
        </w:rPr>
        <w:t>Note:</w:t>
      </w:r>
      <w:r>
        <w:rPr>
          <w:sz w:val="20"/>
          <w:szCs w:val="20"/>
          <w:lang w:val="en-US"/>
        </w:rPr>
        <w:t xml:space="preserve"> n=120 (country-year data), except for variables “wage centralization,” “coordinated capitalism” and “organized capitalism”: n=100</w:t>
      </w: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jc w:val="center"/>
        <w:rPr>
          <w:lang w:val="en-US"/>
        </w:rPr>
      </w:pPr>
      <w:r>
        <w:rPr>
          <w:lang w:val="en-US"/>
        </w:rPr>
        <w:t>Table A4: Replication of Table 2, regression r</w:t>
      </w:r>
      <w:r w:rsidRPr="00FA36C5">
        <w:rPr>
          <w:lang w:val="en-US"/>
        </w:rPr>
        <w:t xml:space="preserve">esults for </w:t>
      </w:r>
      <w:r>
        <w:rPr>
          <w:lang w:val="en-US"/>
        </w:rPr>
        <w:t>NULC t</w:t>
      </w:r>
      <w:r w:rsidRPr="00FA36C5">
        <w:rPr>
          <w:lang w:val="en-US"/>
        </w:rPr>
        <w:t>otal</w:t>
      </w:r>
      <w:r>
        <w:rPr>
          <w:lang w:val="en-US"/>
        </w:rPr>
        <w:t xml:space="preserve"> economy, crisis years added (1999-2014)</w:t>
      </w:r>
    </w:p>
    <w:p w:rsidR="007F6B23" w:rsidRDefault="007F6B23" w:rsidP="007F6B23">
      <w:pPr>
        <w:rPr>
          <w:lang w:val="en-US"/>
        </w:rPr>
      </w:pPr>
    </w:p>
    <w:tbl>
      <w:tblPr>
        <w:tblW w:w="0" w:type="auto"/>
        <w:jc w:val="center"/>
        <w:tblLayout w:type="fixed"/>
        <w:tblLook w:val="0000"/>
      </w:tblPr>
      <w:tblGrid>
        <w:gridCol w:w="1928"/>
        <w:gridCol w:w="940"/>
        <w:gridCol w:w="941"/>
        <w:gridCol w:w="941"/>
        <w:gridCol w:w="941"/>
        <w:gridCol w:w="941"/>
        <w:gridCol w:w="257"/>
        <w:gridCol w:w="1965"/>
        <w:gridCol w:w="941"/>
        <w:gridCol w:w="941"/>
        <w:gridCol w:w="941"/>
        <w:gridCol w:w="941"/>
        <w:gridCol w:w="941"/>
      </w:tblGrid>
      <w:tr w:rsidR="007F6B23" w:rsidRPr="00BB1D6B" w:rsidTr="00212B55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BB1D6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BB1D6B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B1D6B">
              <w:rPr>
                <w:sz w:val="16"/>
                <w:szCs w:val="16"/>
                <w:lang w:val="en-US"/>
              </w:rPr>
              <w:t>(1)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BB1D6B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B1D6B">
              <w:rPr>
                <w:sz w:val="16"/>
                <w:szCs w:val="16"/>
                <w:lang w:val="en-US"/>
              </w:rPr>
              <w:t>(2)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BB1D6B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B1D6B">
              <w:rPr>
                <w:sz w:val="16"/>
                <w:szCs w:val="16"/>
                <w:lang w:val="en-US"/>
              </w:rPr>
              <w:t>(3)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BB1D6B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B1D6B">
              <w:rPr>
                <w:sz w:val="16"/>
                <w:szCs w:val="16"/>
                <w:lang w:val="en-US"/>
              </w:rPr>
              <w:t>(4)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BB1D6B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BB1D6B">
              <w:rPr>
                <w:sz w:val="16"/>
                <w:szCs w:val="16"/>
                <w:lang w:val="en-US"/>
              </w:rPr>
              <w:t>(5)</w:t>
            </w:r>
          </w:p>
        </w:tc>
        <w:tc>
          <w:tcPr>
            <w:tcW w:w="257" w:type="dxa"/>
            <w:tcBorders>
              <w:left w:val="nil"/>
              <w:right w:val="nil"/>
            </w:tcBorders>
          </w:tcPr>
          <w:p w:rsidR="007F6B23" w:rsidRPr="006E4F48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6E4F48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6E4F48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E4F48">
              <w:rPr>
                <w:sz w:val="16"/>
                <w:szCs w:val="16"/>
                <w:lang w:val="en-US"/>
              </w:rPr>
              <w:t>(6)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6E4F48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E4F48">
              <w:rPr>
                <w:sz w:val="16"/>
                <w:szCs w:val="16"/>
                <w:lang w:val="en-US"/>
              </w:rPr>
              <w:t>(7)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6E4F48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E4F48">
              <w:rPr>
                <w:sz w:val="16"/>
                <w:szCs w:val="16"/>
                <w:lang w:val="en-US"/>
              </w:rPr>
              <w:t>(8)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6E4F48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E4F48">
              <w:rPr>
                <w:sz w:val="16"/>
                <w:szCs w:val="16"/>
                <w:lang w:val="en-US"/>
              </w:rPr>
              <w:t>(9)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6E4F48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6E4F48">
              <w:rPr>
                <w:sz w:val="16"/>
                <w:szCs w:val="16"/>
                <w:lang w:val="en-US"/>
              </w:rPr>
              <w:t>(10)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 xml:space="preserve">Growth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0.467***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0.468***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0.470***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0.463***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0.459***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Growth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0.465***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0.465***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0.423***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0.463***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0.480***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(4.498)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(4.559)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(4.549)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(4.513)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(3.904)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(4.595)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(4.572)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(3.786)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(4.042)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(4.657)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Population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0.002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-0.057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-0.010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Population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-0.120+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-0.081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-0.071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-0.105+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0.007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(0.020)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(-0.444)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(-0.013)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(-0.935)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(-0.147)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(-1.959)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(-1.337)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(-1.305)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(-1.911)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(0.103)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Unemployment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-0.214*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-0.248**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-0.229*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-0.281**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-0.185*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Unemployment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-0.359***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-0.357***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-0.332**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-0.266**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-0.275**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(-2.232)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(-2.719)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(-2.495)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(-3.156)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(-2.008)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(-3.803)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(-3.485)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(-2.928)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(-2.718)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(-3.011)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Elderly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0.204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0.230+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0.175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0.282*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0.267+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Elderly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0.350**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0.318**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0.629***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0.390**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0.235*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(1.593)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(1.862)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(1.252)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(2.249)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(1.883)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(2.933)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(2.654)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(3.800)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(3.260)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(1.969)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Service sector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0.062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0.099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0.025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0.086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Service sector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0.101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0.091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0.087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0.097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0.110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(0.568)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(0.942)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(0.224)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(0.346)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(0.806)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(1.058)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(0.969)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(0.971)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(1.096)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(1.230)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GDP per hour worked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0.007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0.011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0.006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GDP per hour worked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0.013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0.009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0.008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(0.103)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(0.091)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(0.105)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(0.153)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(0.077)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(0.178)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(0.180)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(0.295)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(0.116)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(0.105)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Inflation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0.360***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0.344***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0.354***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0.373***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0.356***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Inflation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0.292***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0.293***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0.294***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0.316***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0.318***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(4.912)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(4.761)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(4.866)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(5.088)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(4.284)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(4.142)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(4.103)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(3.635)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(3.917)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(4.367)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Left government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-0.048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-0.045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Left government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-0.024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-0.027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-0.028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-0.031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(-0.945)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(-0.949)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(-0.976)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(-0.586)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(-0.844)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(-0.496)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(-0.732)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(-0.534)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(-0.554)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(-0.642)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Employment protection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-0.005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-0.035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-0.103+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-0.036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Employment protection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-0.086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-0.079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-0.096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-0.010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(-0.066)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(-0.635)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(-0.534)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(-1.818)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(-0.567)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(-1.511)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(-1.310)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(-0.669)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(-1.411)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(-0.186)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Pre-crisis year dummy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-0.122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-0.121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-0.130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-0.104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-0.078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Pre-crisis year dummy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-0.129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-0.133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-0.058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-0.080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-0.130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(-0.993)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(-0.994)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(-1.074)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(-0.855)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(-0.621)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(-1.077)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(-1.106)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(-0.476)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(-0.643)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(-1.069)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 (ln)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-0.039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-0.055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-0.023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-0.042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-0.057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Time (ln)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-0.078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-0.072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-0.147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-0.085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-0.053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(-0.329)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(-0.470)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(-0.190)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(-0.359)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(-0.464)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(-0.691)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(-0.633)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(-1.312)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(-0.748)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(-0.455)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Union density rate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0.033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C</w:t>
            </w:r>
            <w:r w:rsidRPr="00A259E2">
              <w:rPr>
                <w:sz w:val="16"/>
                <w:szCs w:val="16"/>
                <w:lang w:val="en-US"/>
              </w:rPr>
              <w:t>orpor</w:t>
            </w:r>
            <w:r>
              <w:rPr>
                <w:sz w:val="16"/>
                <w:szCs w:val="16"/>
                <w:lang w:val="en-US"/>
              </w:rPr>
              <w:t>atism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-0.247***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(0.458)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(-3.869)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Employers' organization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-0.095*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Integrated economy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-0.213*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density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(-2.154)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(-2.440)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Bargaining coverage 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>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0.059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Coordinated 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-0.390**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(1.224)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capitalism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(-2.914)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Wage coordination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-0.127*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Organized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-0.193*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(-2.055)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capitalism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(-2.346)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Wage centralization</w:t>
            </w:r>
            <w:r w:rsidRPr="000E21A5">
              <w:rPr>
                <w:i/>
                <w:sz w:val="16"/>
                <w:szCs w:val="16"/>
                <w:vertAlign w:val="subscript"/>
                <w:lang w:val="en-US"/>
              </w:rPr>
              <w:t xml:space="preserve"> t-1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0.030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Employees’ co-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-0.148+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(0.377)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   determination rights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(-1.845)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730FD6" w:rsidRDefault="007F6B23" w:rsidP="00212B55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val="en-US"/>
              </w:rPr>
            </w:pPr>
            <w:r w:rsidRPr="00730FD6">
              <w:rPr>
                <w:i/>
                <w:sz w:val="16"/>
                <w:szCs w:val="16"/>
                <w:lang w:val="en-US"/>
              </w:rPr>
              <w:t>R</w:t>
            </w:r>
            <w:r w:rsidRPr="00730FD6">
              <w:rPr>
                <w:i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0.497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0.502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0.499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0.506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0.493</w:t>
            </w:r>
          </w:p>
        </w:tc>
        <w:tc>
          <w:tcPr>
            <w:tcW w:w="257" w:type="dxa"/>
            <w:tcBorders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730FD6" w:rsidRDefault="007F6B23" w:rsidP="00212B55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val="en-US"/>
              </w:rPr>
            </w:pPr>
            <w:r w:rsidRPr="00730FD6">
              <w:rPr>
                <w:i/>
                <w:sz w:val="16"/>
                <w:szCs w:val="16"/>
                <w:lang w:val="en-US"/>
              </w:rPr>
              <w:t>R</w:t>
            </w:r>
            <w:r w:rsidRPr="00730FD6">
              <w:rPr>
                <w:i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0.527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0.518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0.527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0.514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0.510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Degrees of  freedom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Degrees of  freedom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12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Chi</w:t>
            </w:r>
            <w:r w:rsidRPr="00730FD6">
              <w:rPr>
                <w:i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120.5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132.1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125.4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126.1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85.53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E81A2B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Chi</w:t>
            </w:r>
            <w:r w:rsidRPr="00730FD6">
              <w:rPr>
                <w:i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155.5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144.5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97.17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94.26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139.4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7F6B23" w:rsidRPr="00730FD6" w:rsidRDefault="007F6B23" w:rsidP="00212B55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val="en-US"/>
              </w:rPr>
            </w:pPr>
            <w:r w:rsidRPr="00730FD6">
              <w:rPr>
                <w:i/>
                <w:sz w:val="16"/>
                <w:szCs w:val="16"/>
                <w:lang w:val="en-US"/>
              </w:rPr>
              <w:t>N (countries)</w:t>
            </w: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:rsidR="007F6B23" w:rsidRPr="00730FD6" w:rsidRDefault="007F6B23" w:rsidP="00212B55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val="en-US"/>
              </w:rPr>
            </w:pPr>
            <w:r w:rsidRPr="00730FD6">
              <w:rPr>
                <w:i/>
                <w:sz w:val="16"/>
                <w:szCs w:val="16"/>
                <w:lang w:val="en-US"/>
              </w:rPr>
              <w:t>N (countries)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941" w:type="dxa"/>
            <w:tcBorders>
              <w:top w:val="nil"/>
              <w:left w:val="nil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12</w:t>
            </w:r>
          </w:p>
        </w:tc>
      </w:tr>
      <w:tr w:rsidR="007F6B23" w:rsidRPr="00BB1D6B" w:rsidTr="00212B55">
        <w:trPr>
          <w:jc w:val="center"/>
        </w:trPr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730FD6" w:rsidRDefault="007F6B23" w:rsidP="00212B55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val="en-US"/>
              </w:rPr>
            </w:pPr>
            <w:r w:rsidRPr="00730FD6">
              <w:rPr>
                <w:i/>
                <w:sz w:val="16"/>
                <w:szCs w:val="16"/>
                <w:lang w:val="en-US"/>
              </w:rPr>
              <w:t>N (country-years)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6341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6341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257" w:type="dxa"/>
            <w:tcBorders>
              <w:top w:val="nil"/>
              <w:left w:val="nil"/>
              <w:right w:val="nil"/>
            </w:tcBorders>
          </w:tcPr>
          <w:p w:rsidR="007F6B23" w:rsidRPr="00A259E2" w:rsidRDefault="007F6B23" w:rsidP="00212B5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730FD6" w:rsidRDefault="007F6B23" w:rsidP="00212B55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  <w:lang w:val="en-US"/>
              </w:rPr>
            </w:pPr>
            <w:r w:rsidRPr="00730FD6">
              <w:rPr>
                <w:i/>
                <w:sz w:val="16"/>
                <w:szCs w:val="16"/>
                <w:lang w:val="en-US"/>
              </w:rPr>
              <w:t>N (country-years)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B23" w:rsidRPr="00AC021C" w:rsidRDefault="007F6B23" w:rsidP="00212B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AC021C">
              <w:rPr>
                <w:sz w:val="16"/>
                <w:szCs w:val="16"/>
                <w:lang w:val="en-US"/>
              </w:rPr>
              <w:t>192</w:t>
            </w:r>
          </w:p>
        </w:tc>
      </w:tr>
    </w:tbl>
    <w:p w:rsidR="007F6B23" w:rsidRDefault="007F6B23" w:rsidP="007F6B23">
      <w:pPr>
        <w:widowControl w:val="0"/>
        <w:autoSpaceDE w:val="0"/>
        <w:autoSpaceDN w:val="0"/>
        <w:adjustRightInd w:val="0"/>
        <w:ind w:left="708" w:firstLine="708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Note: Regression with panel-corrected standard errors on NULC total economy, pre-crisis and crisis years included (1999-2014). </w:t>
      </w:r>
    </w:p>
    <w:p w:rsidR="007F6B23" w:rsidRPr="006E4F48" w:rsidRDefault="007F6B23" w:rsidP="007F6B23">
      <w:pPr>
        <w:widowControl w:val="0"/>
        <w:autoSpaceDE w:val="0"/>
        <w:autoSpaceDN w:val="0"/>
        <w:adjustRightInd w:val="0"/>
        <w:ind w:left="1416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Standardized beta coefficients; </w:t>
      </w:r>
      <w:r>
        <w:rPr>
          <w:i/>
          <w:iCs/>
          <w:sz w:val="20"/>
          <w:szCs w:val="20"/>
          <w:lang w:val="en-US"/>
        </w:rPr>
        <w:t>t</w:t>
      </w:r>
      <w:r>
        <w:rPr>
          <w:sz w:val="20"/>
          <w:szCs w:val="20"/>
          <w:lang w:val="en-US"/>
        </w:rPr>
        <w:t xml:space="preserve"> statistics in parentheses; </w:t>
      </w:r>
      <w:r w:rsidRPr="00EB5450">
        <w:rPr>
          <w:sz w:val="20"/>
          <w:szCs w:val="20"/>
          <w:lang w:val="en-US"/>
        </w:rPr>
        <w:t xml:space="preserve">+ </w:t>
      </w:r>
      <w:r w:rsidRPr="00EB5450">
        <w:rPr>
          <w:i/>
          <w:iCs/>
          <w:sz w:val="20"/>
          <w:szCs w:val="20"/>
          <w:lang w:val="en-US"/>
        </w:rPr>
        <w:t>p</w:t>
      </w:r>
      <w:r w:rsidRPr="00EB5450">
        <w:rPr>
          <w:sz w:val="20"/>
          <w:szCs w:val="20"/>
          <w:lang w:val="en-US"/>
        </w:rPr>
        <w:t xml:space="preserve"> &lt; 0.</w:t>
      </w:r>
      <w:r>
        <w:rPr>
          <w:sz w:val="20"/>
          <w:szCs w:val="20"/>
          <w:lang w:val="en-US"/>
        </w:rPr>
        <w:t>1</w:t>
      </w:r>
      <w:r w:rsidRPr="00EB5450">
        <w:rPr>
          <w:sz w:val="20"/>
          <w:szCs w:val="20"/>
          <w:lang w:val="en-US"/>
        </w:rPr>
        <w:t xml:space="preserve">, * </w:t>
      </w:r>
      <w:r w:rsidRPr="00EB5450">
        <w:rPr>
          <w:i/>
          <w:iCs/>
          <w:sz w:val="20"/>
          <w:szCs w:val="20"/>
          <w:lang w:val="en-US"/>
        </w:rPr>
        <w:t>p</w:t>
      </w:r>
      <w:r w:rsidRPr="00EB5450">
        <w:rPr>
          <w:sz w:val="20"/>
          <w:szCs w:val="20"/>
          <w:lang w:val="en-US"/>
        </w:rPr>
        <w:t xml:space="preserve"> &lt; 0.05, ** </w:t>
      </w:r>
      <w:r w:rsidRPr="00EB5450">
        <w:rPr>
          <w:i/>
          <w:iCs/>
          <w:sz w:val="20"/>
          <w:szCs w:val="20"/>
          <w:lang w:val="en-US"/>
        </w:rPr>
        <w:t>p</w:t>
      </w:r>
      <w:r w:rsidRPr="00EB5450">
        <w:rPr>
          <w:sz w:val="20"/>
          <w:szCs w:val="20"/>
          <w:lang w:val="en-US"/>
        </w:rPr>
        <w:t xml:space="preserve"> &lt; 0.01, *** </w:t>
      </w:r>
      <w:r w:rsidRPr="00EB5450">
        <w:rPr>
          <w:i/>
          <w:iCs/>
          <w:sz w:val="20"/>
          <w:szCs w:val="20"/>
          <w:lang w:val="en-US"/>
        </w:rPr>
        <w:t>p</w:t>
      </w:r>
      <w:r w:rsidRPr="00EB5450">
        <w:rPr>
          <w:sz w:val="20"/>
          <w:szCs w:val="20"/>
          <w:lang w:val="en-US"/>
        </w:rPr>
        <w:t xml:space="preserve"> &lt; 0.001</w:t>
      </w:r>
      <w:r>
        <w:rPr>
          <w:sz w:val="20"/>
          <w:szCs w:val="20"/>
          <w:lang w:val="en-US"/>
        </w:rPr>
        <w:t xml:space="preserve"> (two-tailed tests). </w:t>
      </w:r>
      <w:r w:rsidRPr="00544F88">
        <w:rPr>
          <w:sz w:val="20"/>
          <w:szCs w:val="20"/>
        </w:rPr>
        <w:t>Definitions and sources of variables: See appendix</w:t>
      </w:r>
      <w:r>
        <w:rPr>
          <w:sz w:val="20"/>
          <w:szCs w:val="20"/>
        </w:rPr>
        <w:t>,</w:t>
      </w:r>
      <w:r w:rsidRPr="00544F88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Pr="00544F88">
        <w:rPr>
          <w:sz w:val="20"/>
          <w:szCs w:val="20"/>
        </w:rPr>
        <w:t xml:space="preserve">able </w:t>
      </w:r>
      <w:r>
        <w:rPr>
          <w:sz w:val="20"/>
          <w:szCs w:val="20"/>
        </w:rPr>
        <w:t>A</w:t>
      </w:r>
      <w:r w:rsidRPr="00544F88">
        <w:rPr>
          <w:sz w:val="20"/>
          <w:szCs w:val="20"/>
        </w:rPr>
        <w:t>1</w:t>
      </w:r>
      <w:r>
        <w:rPr>
          <w:sz w:val="20"/>
          <w:szCs w:val="20"/>
        </w:rPr>
        <w:t>.</w:t>
      </w:r>
    </w:p>
    <w:p w:rsidR="007F6B23" w:rsidRDefault="007F6B23" w:rsidP="007F6B23">
      <w:pPr>
        <w:rPr>
          <w:lang w:val="en-US"/>
        </w:rPr>
      </w:pPr>
    </w:p>
    <w:p w:rsidR="007F6B23" w:rsidRDefault="007F6B23" w:rsidP="007F6B23">
      <w:pPr>
        <w:rPr>
          <w:lang w:val="en-US"/>
        </w:rPr>
      </w:pPr>
    </w:p>
    <w:p w:rsidR="007A60A1" w:rsidRDefault="007A60A1"/>
    <w:sectPr w:rsidR="007A60A1" w:rsidSect="00B27FE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0F" w:rsidRDefault="007F6B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0F" w:rsidRDefault="007F6B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0F" w:rsidRDefault="007F6B2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0F" w:rsidRDefault="007F6B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0F" w:rsidRDefault="007F6B2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A0F" w:rsidRDefault="007F6B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7F6B23"/>
    <w:rsid w:val="00044E99"/>
    <w:rsid w:val="00506C2F"/>
    <w:rsid w:val="00683412"/>
    <w:rsid w:val="00742CB1"/>
    <w:rsid w:val="00787902"/>
    <w:rsid w:val="007A2047"/>
    <w:rsid w:val="007A60A1"/>
    <w:rsid w:val="007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2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6B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6B23"/>
    <w:rPr>
      <w:rFonts w:ascii="Tahoma" w:eastAsia="Times New Roman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7F6B23"/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uiPriority w:val="99"/>
    <w:semiHidden/>
    <w:rsid w:val="007F6B23"/>
    <w:rPr>
      <w:color w:val="808080"/>
    </w:rPr>
  </w:style>
  <w:style w:type="paragraph" w:styleId="Header">
    <w:name w:val="header"/>
    <w:basedOn w:val="Normal"/>
    <w:link w:val="HeaderChar"/>
    <w:rsid w:val="007F6B2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F6B23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rsid w:val="007F6B2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F6B23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1622</Words>
  <Characters>9248</Characters>
  <Application>Microsoft Office Word</Application>
  <DocSecurity>0</DocSecurity>
  <Lines>77</Lines>
  <Paragraphs>21</Paragraphs>
  <ScaleCrop>false</ScaleCrop>
  <Company/>
  <LinksUpToDate>false</LinksUpToDate>
  <CharactersWithSpaces>10849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Ildi</cp:lastModifiedBy>
  <cp:revision>1</cp:revision>
  <dcterms:created xsi:type="dcterms:W3CDTF">2016-08-26T15:09:00Z</dcterms:created>
  <dcterms:modified xsi:type="dcterms:W3CDTF">2016-08-26T15:10:00Z</dcterms:modified>
</cp:coreProperties>
</file>