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26E2" w14:textId="4A2727DD" w:rsidR="0008416C" w:rsidRPr="0008416C" w:rsidRDefault="0008416C" w:rsidP="0008416C">
      <w:pPr>
        <w:rPr>
          <w:rFonts w:ascii="Arial" w:hAnsi="Arial" w:cs="Arial"/>
          <w:b/>
          <w:sz w:val="24"/>
          <w:szCs w:val="24"/>
        </w:rPr>
      </w:pPr>
      <w:proofErr w:type="spellStart"/>
      <w:r w:rsidRPr="0008416C">
        <w:rPr>
          <w:rFonts w:ascii="Arial" w:hAnsi="Arial" w:cs="Arial"/>
          <w:b/>
          <w:sz w:val="24"/>
          <w:szCs w:val="24"/>
        </w:rPr>
        <w:t>DM3</w:t>
      </w:r>
      <w:proofErr w:type="spellEnd"/>
      <w:r w:rsidRPr="0008416C">
        <w:rPr>
          <w:rFonts w:ascii="Arial" w:hAnsi="Arial" w:cs="Arial"/>
          <w:b/>
          <w:sz w:val="24"/>
          <w:szCs w:val="24"/>
        </w:rPr>
        <w:t>: Details of depth determinations</w:t>
      </w:r>
    </w:p>
    <w:p w14:paraId="0EBD3953" w14:textId="1101EFAC" w:rsidR="00502EF0" w:rsidRPr="0008416C" w:rsidRDefault="001B4DEA" w:rsidP="0008416C">
      <w:pPr>
        <w:rPr>
          <w:rFonts w:ascii="Arial" w:hAnsi="Arial" w:cs="Arial"/>
          <w:sz w:val="24"/>
          <w:szCs w:val="24"/>
        </w:rPr>
      </w:pPr>
      <w:r w:rsidRPr="0008416C">
        <w:rPr>
          <w:rFonts w:ascii="Arial" w:hAnsi="Arial" w:cs="Arial"/>
          <w:sz w:val="24"/>
          <w:szCs w:val="24"/>
        </w:rPr>
        <w:t>Yang (2017) provide</w:t>
      </w:r>
      <w:r w:rsidR="00BD2B6C" w:rsidRPr="0008416C">
        <w:rPr>
          <w:rFonts w:ascii="Arial" w:hAnsi="Arial" w:cs="Arial"/>
          <w:sz w:val="24"/>
          <w:szCs w:val="24"/>
        </w:rPr>
        <w:t>d</w:t>
      </w:r>
      <w:r w:rsidRPr="0008416C">
        <w:rPr>
          <w:rFonts w:ascii="Arial" w:hAnsi="Arial" w:cs="Arial"/>
          <w:sz w:val="24"/>
          <w:szCs w:val="24"/>
        </w:rPr>
        <w:t xml:space="preserve"> a</w:t>
      </w:r>
      <w:r w:rsidR="00BD2B6C" w:rsidRPr="0008416C">
        <w:rPr>
          <w:rFonts w:ascii="Arial" w:hAnsi="Arial" w:cs="Arial"/>
          <w:sz w:val="24"/>
          <w:szCs w:val="24"/>
        </w:rPr>
        <w:t>n empirical</w:t>
      </w:r>
      <w:r w:rsidRPr="0008416C">
        <w:rPr>
          <w:rFonts w:ascii="Arial" w:hAnsi="Arial" w:cs="Arial"/>
          <w:sz w:val="24"/>
          <w:szCs w:val="24"/>
        </w:rPr>
        <w:t xml:space="preserve"> method for estimating the crystallization pressure of </w:t>
      </w:r>
      <w:r w:rsidR="00BD2B6C" w:rsidRPr="0008416C">
        <w:rPr>
          <w:rFonts w:ascii="Arial" w:hAnsi="Arial" w:cs="Arial"/>
          <w:sz w:val="24"/>
          <w:szCs w:val="24"/>
        </w:rPr>
        <w:t>water-saturated and quartz-oversaturated granitic systems</w:t>
      </w:r>
      <w:r w:rsidR="0008416C" w:rsidRPr="0008416C">
        <w:rPr>
          <w:rFonts w:ascii="Arial" w:hAnsi="Arial" w:cs="Arial"/>
          <w:sz w:val="24"/>
          <w:szCs w:val="24"/>
        </w:rPr>
        <w:t>.</w:t>
      </w:r>
      <w:r w:rsidR="004A4665" w:rsidRPr="0008416C">
        <w:rPr>
          <w:rFonts w:ascii="Arial" w:hAnsi="Arial" w:cs="Arial"/>
          <w:sz w:val="24"/>
          <w:szCs w:val="24"/>
        </w:rPr>
        <w:t xml:space="preserve"> The method is based </w:t>
      </w:r>
      <w:r w:rsidRPr="0008416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08416C">
        <w:rPr>
          <w:rFonts w:ascii="Arial" w:hAnsi="Arial" w:cs="Arial"/>
          <w:sz w:val="24"/>
          <w:szCs w:val="24"/>
        </w:rPr>
        <w:t>haplogranite</w:t>
      </w:r>
      <w:proofErr w:type="spellEnd"/>
      <w:r w:rsidRPr="0008416C">
        <w:rPr>
          <w:rFonts w:ascii="Arial" w:hAnsi="Arial" w:cs="Arial"/>
          <w:sz w:val="24"/>
          <w:szCs w:val="24"/>
        </w:rPr>
        <w:t xml:space="preserve"> ternary phase equilibria derived from laboratory melting experiments. </w:t>
      </w:r>
      <w:r w:rsidR="00BD2B6C" w:rsidRPr="0008416C">
        <w:rPr>
          <w:rFonts w:ascii="Arial" w:hAnsi="Arial" w:cs="Arial"/>
          <w:sz w:val="24"/>
          <w:szCs w:val="24"/>
        </w:rPr>
        <w:t xml:space="preserve"> </w:t>
      </w:r>
      <w:r w:rsidR="004A4665" w:rsidRPr="0008416C">
        <w:rPr>
          <w:rFonts w:ascii="Arial" w:hAnsi="Arial" w:cs="Arial"/>
          <w:sz w:val="24"/>
          <w:szCs w:val="24"/>
        </w:rPr>
        <w:t>Yang (2017) showed that p</w:t>
      </w:r>
      <w:r w:rsidR="00BD2B6C" w:rsidRPr="0008416C">
        <w:rPr>
          <w:rFonts w:ascii="Arial" w:hAnsi="Arial" w:cs="Arial"/>
          <w:sz w:val="24"/>
          <w:szCs w:val="24"/>
        </w:rPr>
        <w:t xml:space="preserve">ressure </w:t>
      </w:r>
      <w:r w:rsidR="004A4665" w:rsidRPr="0008416C">
        <w:rPr>
          <w:rFonts w:ascii="Arial" w:hAnsi="Arial" w:cs="Arial"/>
          <w:sz w:val="24"/>
          <w:szCs w:val="24"/>
        </w:rPr>
        <w:t xml:space="preserve">exhibits a positive curvilinear relationship </w:t>
      </w:r>
      <w:r w:rsidR="00BD2B6C" w:rsidRPr="0008416C">
        <w:rPr>
          <w:rFonts w:ascii="Arial" w:hAnsi="Arial" w:cs="Arial"/>
          <w:sz w:val="24"/>
          <w:szCs w:val="24"/>
        </w:rPr>
        <w:t xml:space="preserve">with normative quartz (Qtz) and </w:t>
      </w:r>
      <w:r w:rsidR="004A4665" w:rsidRPr="0008416C">
        <w:rPr>
          <w:rFonts w:ascii="Arial" w:hAnsi="Arial" w:cs="Arial"/>
          <w:sz w:val="24"/>
          <w:szCs w:val="24"/>
        </w:rPr>
        <w:t xml:space="preserve">a negative curvilinear relationship with </w:t>
      </w:r>
      <w:r w:rsidR="00BD2B6C" w:rsidRPr="0008416C">
        <w:rPr>
          <w:rFonts w:ascii="Arial" w:hAnsi="Arial" w:cs="Arial"/>
          <w:sz w:val="24"/>
          <w:szCs w:val="24"/>
        </w:rPr>
        <w:t>normative albite (Ab) plus orthoclase (Or)</w:t>
      </w:r>
      <w:r w:rsidR="004A4665" w:rsidRPr="0008416C">
        <w:rPr>
          <w:rFonts w:ascii="Arial" w:hAnsi="Arial" w:cs="Arial"/>
          <w:sz w:val="24"/>
          <w:szCs w:val="24"/>
        </w:rPr>
        <w:t>, providing two independent geobarometers</w:t>
      </w:r>
      <w:r w:rsidR="00616F05" w:rsidRPr="0008416C">
        <w:rPr>
          <w:rFonts w:ascii="Arial" w:hAnsi="Arial" w:cs="Arial"/>
          <w:sz w:val="24"/>
          <w:szCs w:val="24"/>
        </w:rPr>
        <w:t xml:space="preserve"> for granitic intrusions.</w:t>
      </w:r>
      <w:r w:rsidR="00760754" w:rsidRPr="0008416C">
        <w:rPr>
          <w:rFonts w:ascii="Arial" w:hAnsi="Arial" w:cs="Arial"/>
          <w:sz w:val="24"/>
          <w:szCs w:val="24"/>
        </w:rPr>
        <w:t xml:space="preserve">  The geobarometers are effective over ranges of </w:t>
      </w:r>
      <w:proofErr w:type="gramStart"/>
      <w:r w:rsidR="00760754" w:rsidRPr="0008416C">
        <w:rPr>
          <w:rFonts w:ascii="Arial" w:hAnsi="Arial" w:cs="Arial"/>
          <w:sz w:val="24"/>
          <w:szCs w:val="24"/>
        </w:rPr>
        <w:t xml:space="preserve">15-40 </w:t>
      </w:r>
      <w:proofErr w:type="spellStart"/>
      <w:r w:rsidR="00760754" w:rsidRPr="0008416C">
        <w:rPr>
          <w:rFonts w:ascii="Arial" w:hAnsi="Arial" w:cs="Arial"/>
          <w:sz w:val="24"/>
          <w:szCs w:val="24"/>
        </w:rPr>
        <w:t>wt</w:t>
      </w:r>
      <w:proofErr w:type="spellEnd"/>
      <w:proofErr w:type="gramEnd"/>
      <w:r w:rsidR="00760754" w:rsidRPr="0008416C">
        <w:rPr>
          <w:rFonts w:ascii="Arial" w:hAnsi="Arial" w:cs="Arial"/>
          <w:sz w:val="24"/>
          <w:szCs w:val="24"/>
        </w:rPr>
        <w:t xml:space="preserve">% </w:t>
      </w:r>
      <w:r w:rsidR="00760754" w:rsidRPr="0008416C">
        <w:rPr>
          <w:rFonts w:ascii="Arial" w:hAnsi="Arial" w:cs="Arial"/>
          <w:i/>
          <w:sz w:val="24"/>
          <w:szCs w:val="24"/>
        </w:rPr>
        <w:t>Qtz</w:t>
      </w:r>
      <w:r w:rsidR="00760754" w:rsidRPr="0008416C">
        <w:rPr>
          <w:rFonts w:ascii="Arial" w:hAnsi="Arial" w:cs="Arial"/>
          <w:sz w:val="24"/>
          <w:szCs w:val="24"/>
        </w:rPr>
        <w:t xml:space="preserve"> and 60-85 </w:t>
      </w:r>
      <w:proofErr w:type="spellStart"/>
      <w:r w:rsidR="00760754" w:rsidRPr="0008416C">
        <w:rPr>
          <w:rFonts w:ascii="Arial" w:hAnsi="Arial" w:cs="Arial"/>
          <w:sz w:val="24"/>
          <w:szCs w:val="24"/>
        </w:rPr>
        <w:t>wt</w:t>
      </w:r>
      <w:proofErr w:type="spellEnd"/>
      <w:r w:rsidR="00760754" w:rsidRPr="0008416C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760754" w:rsidRPr="0008416C">
        <w:rPr>
          <w:rFonts w:ascii="Arial" w:hAnsi="Arial" w:cs="Arial"/>
          <w:i/>
          <w:sz w:val="24"/>
          <w:szCs w:val="24"/>
        </w:rPr>
        <w:t>Or+An</w:t>
      </w:r>
      <w:proofErr w:type="spellEnd"/>
      <w:r w:rsidR="00760754" w:rsidRPr="0008416C">
        <w:rPr>
          <w:rFonts w:ascii="Arial" w:hAnsi="Arial" w:cs="Arial"/>
          <w:sz w:val="24"/>
          <w:szCs w:val="24"/>
        </w:rPr>
        <w:t xml:space="preserve">.  Over these </w:t>
      </w:r>
      <w:r w:rsidR="00A518BB" w:rsidRPr="0008416C">
        <w:rPr>
          <w:rFonts w:ascii="Arial" w:hAnsi="Arial" w:cs="Arial"/>
          <w:sz w:val="24"/>
          <w:szCs w:val="24"/>
        </w:rPr>
        <w:t>composition</w:t>
      </w:r>
      <w:r w:rsidR="00080D3E" w:rsidRPr="0008416C">
        <w:rPr>
          <w:rFonts w:ascii="Arial" w:hAnsi="Arial" w:cs="Arial"/>
          <w:sz w:val="24"/>
          <w:szCs w:val="24"/>
        </w:rPr>
        <w:t>al</w:t>
      </w:r>
      <w:r w:rsidR="00A518BB" w:rsidRPr="0008416C">
        <w:rPr>
          <w:rFonts w:ascii="Arial" w:hAnsi="Arial" w:cs="Arial"/>
          <w:sz w:val="24"/>
          <w:szCs w:val="24"/>
        </w:rPr>
        <w:t xml:space="preserve"> ranges </w:t>
      </w:r>
      <w:r w:rsidR="00760754" w:rsidRPr="0008416C">
        <w:rPr>
          <w:rFonts w:ascii="Arial" w:hAnsi="Arial" w:cs="Arial"/>
          <w:sz w:val="24"/>
          <w:szCs w:val="24"/>
        </w:rPr>
        <w:t xml:space="preserve">the difference in pressure </w:t>
      </w:r>
      <w:r w:rsidR="00A518BB" w:rsidRPr="0008416C">
        <w:rPr>
          <w:rFonts w:ascii="Arial" w:hAnsi="Arial" w:cs="Arial"/>
          <w:sz w:val="24"/>
          <w:szCs w:val="24"/>
        </w:rPr>
        <w:t xml:space="preserve">estimates </w:t>
      </w:r>
      <w:r w:rsidR="00760754" w:rsidRPr="0008416C">
        <w:rPr>
          <w:rFonts w:ascii="Arial" w:hAnsi="Arial" w:cs="Arial"/>
          <w:sz w:val="24"/>
          <w:szCs w:val="24"/>
        </w:rPr>
        <w:t xml:space="preserve">derived from the two equations is </w:t>
      </w:r>
      <w:r w:rsidR="009009E0" w:rsidRPr="0008416C">
        <w:rPr>
          <w:rFonts w:ascii="Arial" w:hAnsi="Arial" w:cs="Arial"/>
          <w:sz w:val="24"/>
          <w:szCs w:val="24"/>
        </w:rPr>
        <w:t>~</w:t>
      </w:r>
      <w:r w:rsidR="00760754" w:rsidRPr="0008416C">
        <w:rPr>
          <w:rFonts w:ascii="Arial" w:hAnsi="Arial" w:cs="Arial"/>
          <w:sz w:val="24"/>
          <w:szCs w:val="24"/>
        </w:rPr>
        <w:t xml:space="preserve">16 </w:t>
      </w:r>
      <w:r w:rsidR="009009E0" w:rsidRPr="0008416C">
        <w:rPr>
          <w:rFonts w:ascii="Arial" w:hAnsi="Arial" w:cs="Arial"/>
          <w:sz w:val="24"/>
          <w:szCs w:val="24"/>
        </w:rPr>
        <w:t>MPa</w:t>
      </w:r>
      <w:r w:rsidR="00A518BB" w:rsidRPr="0008416C">
        <w:rPr>
          <w:rFonts w:ascii="Arial" w:hAnsi="Arial" w:cs="Arial"/>
          <w:sz w:val="24"/>
          <w:szCs w:val="24"/>
        </w:rPr>
        <w:t>.</w:t>
      </w:r>
    </w:p>
    <w:p w14:paraId="212BBA57" w14:textId="5743799C" w:rsidR="00700042" w:rsidRDefault="00A518BB" w:rsidP="0008416C">
      <w:pPr>
        <w:rPr>
          <w:rFonts w:ascii="Arial" w:hAnsi="Arial" w:cs="Arial"/>
          <w:sz w:val="24"/>
          <w:szCs w:val="24"/>
        </w:rPr>
      </w:pPr>
      <w:r w:rsidRPr="0008416C">
        <w:rPr>
          <w:rFonts w:ascii="Arial" w:hAnsi="Arial" w:cs="Arial"/>
          <w:sz w:val="24"/>
          <w:szCs w:val="24"/>
        </w:rPr>
        <w:t>This method has been applied to the acid members of the Souter Head suite of rocks</w:t>
      </w:r>
      <w:r w:rsidR="00C9185F" w:rsidRPr="0008416C">
        <w:rPr>
          <w:rFonts w:ascii="Arial" w:hAnsi="Arial" w:cs="Arial"/>
          <w:sz w:val="24"/>
          <w:szCs w:val="24"/>
        </w:rPr>
        <w:t xml:space="preserve"> using nominal </w:t>
      </w:r>
      <w:proofErr w:type="spellStart"/>
      <w:r w:rsidR="00C9185F" w:rsidRPr="0008416C">
        <w:rPr>
          <w:rFonts w:ascii="Arial" w:hAnsi="Arial" w:cs="Arial"/>
          <w:sz w:val="24"/>
          <w:szCs w:val="24"/>
        </w:rPr>
        <w:t>Fe</w:t>
      </w:r>
      <w:r w:rsidR="00C9185F" w:rsidRPr="0008416C">
        <w:rPr>
          <w:rFonts w:ascii="Arial" w:hAnsi="Arial" w:cs="Arial"/>
          <w:sz w:val="24"/>
          <w:szCs w:val="24"/>
          <w:vertAlign w:val="superscript"/>
        </w:rPr>
        <w:t>3</w:t>
      </w:r>
      <w:proofErr w:type="spellEnd"/>
      <w:r w:rsidR="00C9185F" w:rsidRPr="0008416C">
        <w:rPr>
          <w:rFonts w:ascii="Arial" w:hAnsi="Arial" w:cs="Arial"/>
          <w:sz w:val="24"/>
          <w:szCs w:val="24"/>
          <w:vertAlign w:val="superscript"/>
        </w:rPr>
        <w:t>+</w:t>
      </w:r>
      <w:r w:rsidR="00C9185F" w:rsidRPr="0008416C">
        <w:rPr>
          <w:rFonts w:ascii="Arial" w:hAnsi="Arial" w:cs="Arial"/>
          <w:sz w:val="24"/>
          <w:szCs w:val="24"/>
        </w:rPr>
        <w:t>/</w:t>
      </w:r>
      <w:proofErr w:type="spellStart"/>
      <w:r w:rsidR="00C9185F" w:rsidRPr="0008416C">
        <w:rPr>
          <w:rFonts w:ascii="Arial" w:hAnsi="Arial" w:cs="Arial"/>
          <w:sz w:val="24"/>
          <w:szCs w:val="24"/>
        </w:rPr>
        <w:t>Fe</w:t>
      </w:r>
      <w:r w:rsidR="00C9185F" w:rsidRPr="0008416C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="00C9185F" w:rsidRPr="0008416C">
        <w:rPr>
          <w:rFonts w:ascii="Arial" w:hAnsi="Arial" w:cs="Arial"/>
          <w:sz w:val="24"/>
          <w:szCs w:val="24"/>
        </w:rPr>
        <w:t xml:space="preserve">=0.20. Samples SH4, SH11 and SH9 have </w:t>
      </w:r>
      <w:r w:rsidR="00C9185F" w:rsidRPr="0008416C">
        <w:rPr>
          <w:rFonts w:ascii="Arial" w:hAnsi="Arial" w:cs="Arial"/>
          <w:i/>
          <w:sz w:val="24"/>
          <w:szCs w:val="24"/>
        </w:rPr>
        <w:t>Qtz</w:t>
      </w:r>
      <w:r w:rsidR="00C9185F" w:rsidRPr="0008416C">
        <w:rPr>
          <w:rFonts w:ascii="Arial" w:hAnsi="Arial" w:cs="Arial"/>
          <w:sz w:val="24"/>
          <w:szCs w:val="24"/>
        </w:rPr>
        <w:t xml:space="preserve"> contents ~40 </w:t>
      </w:r>
      <w:proofErr w:type="spellStart"/>
      <w:r w:rsidR="00C9185F" w:rsidRPr="0008416C">
        <w:rPr>
          <w:rFonts w:ascii="Arial" w:hAnsi="Arial" w:cs="Arial"/>
          <w:sz w:val="24"/>
          <w:szCs w:val="24"/>
        </w:rPr>
        <w:t>wt</w:t>
      </w:r>
      <w:proofErr w:type="spellEnd"/>
      <w:r w:rsidR="00C9185F" w:rsidRPr="0008416C">
        <w:rPr>
          <w:rFonts w:ascii="Arial" w:hAnsi="Arial" w:cs="Arial"/>
          <w:sz w:val="24"/>
          <w:szCs w:val="24"/>
        </w:rPr>
        <w:t>% and are thus at the extreme limits of the calibration of the method</w:t>
      </w:r>
      <w:r w:rsidR="009009E0" w:rsidRPr="0008416C">
        <w:rPr>
          <w:rFonts w:ascii="Arial" w:hAnsi="Arial" w:cs="Arial"/>
          <w:sz w:val="24"/>
          <w:szCs w:val="24"/>
        </w:rPr>
        <w:t xml:space="preserve"> and the pressure estimates of &lt;100 MPa they provide must therefore be treated with caution</w:t>
      </w:r>
      <w:r w:rsidR="00C9185F" w:rsidRPr="0008416C">
        <w:rPr>
          <w:rFonts w:ascii="Arial" w:hAnsi="Arial" w:cs="Arial"/>
          <w:sz w:val="24"/>
          <w:szCs w:val="24"/>
        </w:rPr>
        <w:t xml:space="preserve">.  However, quartz-feldspar porphyry SH5 contains 27.5 </w:t>
      </w:r>
      <w:proofErr w:type="spellStart"/>
      <w:r w:rsidR="00C9185F" w:rsidRPr="0008416C">
        <w:rPr>
          <w:rFonts w:ascii="Arial" w:hAnsi="Arial" w:cs="Arial"/>
          <w:sz w:val="24"/>
          <w:szCs w:val="24"/>
        </w:rPr>
        <w:t>wt</w:t>
      </w:r>
      <w:proofErr w:type="spellEnd"/>
      <w:r w:rsidR="00C9185F" w:rsidRPr="0008416C">
        <w:rPr>
          <w:rFonts w:ascii="Arial" w:hAnsi="Arial" w:cs="Arial"/>
          <w:sz w:val="24"/>
          <w:szCs w:val="24"/>
        </w:rPr>
        <w:t xml:space="preserve">% </w:t>
      </w:r>
      <w:r w:rsidR="00C9185F" w:rsidRPr="0008416C">
        <w:rPr>
          <w:rFonts w:ascii="Arial" w:hAnsi="Arial" w:cs="Arial"/>
          <w:i/>
          <w:sz w:val="24"/>
          <w:szCs w:val="24"/>
        </w:rPr>
        <w:t>Qtz</w:t>
      </w:r>
      <w:r w:rsidR="00C9185F" w:rsidRPr="0008416C">
        <w:rPr>
          <w:rFonts w:ascii="Arial" w:hAnsi="Arial" w:cs="Arial"/>
          <w:sz w:val="24"/>
          <w:szCs w:val="24"/>
        </w:rPr>
        <w:t xml:space="preserve"> and falls well within the range of the calibration of the method.   Sample SH5 yields pressures of crystallization of 395 and 363 MPa for the </w:t>
      </w:r>
      <w:r w:rsidR="00C9185F" w:rsidRPr="0008416C">
        <w:rPr>
          <w:rFonts w:ascii="Arial" w:hAnsi="Arial" w:cs="Arial"/>
          <w:i/>
          <w:sz w:val="24"/>
          <w:szCs w:val="24"/>
        </w:rPr>
        <w:t>Qtz</w:t>
      </w:r>
      <w:r w:rsidR="00C9185F" w:rsidRPr="0008416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9185F" w:rsidRPr="0008416C">
        <w:rPr>
          <w:rFonts w:ascii="Arial" w:hAnsi="Arial" w:cs="Arial"/>
          <w:i/>
          <w:sz w:val="24"/>
          <w:szCs w:val="24"/>
        </w:rPr>
        <w:t>Ab+Or</w:t>
      </w:r>
      <w:proofErr w:type="spellEnd"/>
      <w:r w:rsidR="00C9185F" w:rsidRPr="0008416C">
        <w:rPr>
          <w:rFonts w:ascii="Arial" w:hAnsi="Arial" w:cs="Arial"/>
          <w:sz w:val="24"/>
          <w:szCs w:val="24"/>
        </w:rPr>
        <w:t xml:space="preserve"> barometers respectively</w:t>
      </w:r>
      <w:r w:rsidR="009009E0" w:rsidRPr="0008416C">
        <w:rPr>
          <w:rFonts w:ascii="Arial" w:hAnsi="Arial" w:cs="Arial"/>
          <w:sz w:val="24"/>
          <w:szCs w:val="24"/>
        </w:rPr>
        <w:t xml:space="preserve">.  Increasing </w:t>
      </w:r>
      <w:proofErr w:type="spellStart"/>
      <w:r w:rsidR="009009E0" w:rsidRPr="0008416C">
        <w:rPr>
          <w:rFonts w:ascii="Arial" w:hAnsi="Arial" w:cs="Arial"/>
          <w:sz w:val="24"/>
          <w:szCs w:val="24"/>
        </w:rPr>
        <w:t>Fe</w:t>
      </w:r>
      <w:r w:rsidR="009009E0" w:rsidRPr="0008416C">
        <w:rPr>
          <w:rFonts w:ascii="Arial" w:hAnsi="Arial" w:cs="Arial"/>
          <w:sz w:val="24"/>
          <w:szCs w:val="24"/>
          <w:vertAlign w:val="superscript"/>
        </w:rPr>
        <w:t>3</w:t>
      </w:r>
      <w:proofErr w:type="spellEnd"/>
      <w:r w:rsidR="009009E0" w:rsidRPr="0008416C">
        <w:rPr>
          <w:rFonts w:ascii="Arial" w:hAnsi="Arial" w:cs="Arial"/>
          <w:sz w:val="24"/>
          <w:szCs w:val="24"/>
          <w:vertAlign w:val="superscript"/>
        </w:rPr>
        <w:t>+</w:t>
      </w:r>
      <w:r w:rsidR="009009E0" w:rsidRPr="0008416C">
        <w:rPr>
          <w:rFonts w:ascii="Arial" w:hAnsi="Arial" w:cs="Arial"/>
          <w:sz w:val="24"/>
          <w:szCs w:val="24"/>
        </w:rPr>
        <w:t>/</w:t>
      </w:r>
      <w:proofErr w:type="spellStart"/>
      <w:r w:rsidR="009009E0" w:rsidRPr="0008416C">
        <w:rPr>
          <w:rFonts w:ascii="Arial" w:hAnsi="Arial" w:cs="Arial"/>
          <w:sz w:val="24"/>
          <w:szCs w:val="24"/>
        </w:rPr>
        <w:t>Fe</w:t>
      </w:r>
      <w:r w:rsidR="009009E0" w:rsidRPr="0008416C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="009009E0" w:rsidRPr="0008416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009E0" w:rsidRPr="0008416C">
        <w:rPr>
          <w:rFonts w:ascii="Arial" w:hAnsi="Arial" w:cs="Arial"/>
          <w:sz w:val="24"/>
          <w:szCs w:val="24"/>
        </w:rPr>
        <w:t>to 0.45 decreases pressure by ~20 MPa which is close to the uncertainty between the two geobarometers</w:t>
      </w:r>
      <w:r w:rsidR="00080D3E" w:rsidRPr="0008416C">
        <w:rPr>
          <w:rFonts w:ascii="Arial" w:hAnsi="Arial" w:cs="Arial"/>
          <w:sz w:val="24"/>
          <w:szCs w:val="24"/>
        </w:rPr>
        <w:t>. Consequently</w:t>
      </w:r>
      <w:r w:rsidR="007C289C" w:rsidRPr="0008416C">
        <w:rPr>
          <w:rFonts w:ascii="Arial" w:hAnsi="Arial" w:cs="Arial"/>
          <w:sz w:val="24"/>
          <w:szCs w:val="24"/>
        </w:rPr>
        <w:t>,</w:t>
      </w:r>
      <w:r w:rsidR="009009E0" w:rsidRPr="0008416C">
        <w:rPr>
          <w:rFonts w:ascii="Arial" w:hAnsi="Arial" w:cs="Arial"/>
          <w:sz w:val="24"/>
          <w:szCs w:val="24"/>
        </w:rPr>
        <w:t xml:space="preserve"> variation in iron oxidation state is not critical in </w:t>
      </w:r>
      <w:r w:rsidR="00B10071" w:rsidRPr="0008416C">
        <w:rPr>
          <w:rFonts w:ascii="Arial" w:hAnsi="Arial" w:cs="Arial"/>
          <w:sz w:val="24"/>
          <w:szCs w:val="24"/>
        </w:rPr>
        <w:t xml:space="preserve">providing pressure estimates for this sample. </w:t>
      </w:r>
      <w:r w:rsidR="009009E0" w:rsidRPr="0008416C">
        <w:rPr>
          <w:rFonts w:ascii="Arial" w:hAnsi="Arial" w:cs="Arial"/>
          <w:sz w:val="24"/>
          <w:szCs w:val="24"/>
        </w:rPr>
        <w:t xml:space="preserve"> </w:t>
      </w:r>
    </w:p>
    <w:p w14:paraId="79C740E1" w14:textId="1FC9F0E8" w:rsidR="00700042" w:rsidRDefault="00700042" w:rsidP="0008416C">
      <w:pPr>
        <w:rPr>
          <w:rFonts w:ascii="Arial" w:hAnsi="Arial" w:cs="Arial"/>
          <w:sz w:val="24"/>
          <w:szCs w:val="24"/>
        </w:rPr>
      </w:pPr>
      <w:r w:rsidRPr="00700042">
        <w:rPr>
          <w:rFonts w:ascii="Arial" w:hAnsi="Arial" w:cs="Arial"/>
          <w:sz w:val="24"/>
          <w:szCs w:val="24"/>
        </w:rPr>
        <w:t>Depth estimate</w:t>
      </w:r>
      <w:r>
        <w:rPr>
          <w:rFonts w:ascii="Arial" w:hAnsi="Arial" w:cs="Arial"/>
          <w:sz w:val="24"/>
          <w:szCs w:val="24"/>
        </w:rPr>
        <w:t xml:space="preserve">: </w:t>
      </w:r>
      <w:r w:rsidRPr="00700042">
        <w:rPr>
          <w:rFonts w:ascii="Arial" w:hAnsi="Arial" w:cs="Arial"/>
          <w:sz w:val="24"/>
          <w:szCs w:val="24"/>
        </w:rPr>
        <w:t>Average crustal density is between granite (2.72 t/</w:t>
      </w:r>
      <w:proofErr w:type="spellStart"/>
      <w:r w:rsidRPr="00700042">
        <w:rPr>
          <w:rFonts w:ascii="Arial" w:hAnsi="Arial" w:cs="Arial"/>
          <w:sz w:val="24"/>
          <w:szCs w:val="24"/>
        </w:rPr>
        <w:t>m3</w:t>
      </w:r>
      <w:proofErr w:type="spellEnd"/>
      <w:r w:rsidRPr="00700042">
        <w:rPr>
          <w:rFonts w:ascii="Arial" w:hAnsi="Arial" w:cs="Arial"/>
          <w:sz w:val="24"/>
          <w:szCs w:val="24"/>
        </w:rPr>
        <w:t>) and diorite 2.90 t/</w:t>
      </w:r>
      <w:proofErr w:type="spellStart"/>
      <w:r w:rsidRPr="00700042">
        <w:rPr>
          <w:rFonts w:ascii="Arial" w:hAnsi="Arial" w:cs="Arial"/>
          <w:sz w:val="24"/>
          <w:szCs w:val="24"/>
        </w:rPr>
        <w:t>m3</w:t>
      </w:r>
      <w:proofErr w:type="spellEnd"/>
      <w:r w:rsidRPr="00700042">
        <w:rPr>
          <w:rFonts w:ascii="Arial" w:hAnsi="Arial" w:cs="Arial"/>
          <w:sz w:val="24"/>
          <w:szCs w:val="24"/>
        </w:rPr>
        <w:t>) in composition. Depth estimates for the former are 14.7 km (394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42">
        <w:rPr>
          <w:rFonts w:ascii="Arial" w:hAnsi="Arial" w:cs="Arial"/>
          <w:sz w:val="24"/>
          <w:szCs w:val="24"/>
        </w:rPr>
        <w:t>MPa</w:t>
      </w:r>
      <w:proofErr w:type="spellEnd"/>
      <w:r w:rsidRPr="00700042">
        <w:rPr>
          <w:rFonts w:ascii="Arial" w:hAnsi="Arial" w:cs="Arial"/>
          <w:sz w:val="24"/>
          <w:szCs w:val="24"/>
        </w:rPr>
        <w:t xml:space="preserve">) and 13.6 km (363 </w:t>
      </w:r>
      <w:proofErr w:type="spellStart"/>
      <w:r w:rsidRPr="00700042">
        <w:rPr>
          <w:rFonts w:ascii="Arial" w:hAnsi="Arial" w:cs="Arial"/>
          <w:sz w:val="24"/>
          <w:szCs w:val="24"/>
        </w:rPr>
        <w:t>MPa</w:t>
      </w:r>
      <w:proofErr w:type="spellEnd"/>
      <w:r w:rsidRPr="00700042">
        <w:rPr>
          <w:rFonts w:ascii="Arial" w:hAnsi="Arial" w:cs="Arial"/>
          <w:sz w:val="24"/>
          <w:szCs w:val="24"/>
        </w:rPr>
        <w:t xml:space="preserve">) and for the latter 13.8 km (394 </w:t>
      </w:r>
      <w:proofErr w:type="spellStart"/>
      <w:r w:rsidRPr="00700042">
        <w:rPr>
          <w:rFonts w:ascii="Arial" w:hAnsi="Arial" w:cs="Arial"/>
          <w:sz w:val="24"/>
          <w:szCs w:val="24"/>
        </w:rPr>
        <w:t>MPa</w:t>
      </w:r>
      <w:proofErr w:type="spellEnd"/>
      <w:r w:rsidRPr="00700042">
        <w:rPr>
          <w:rFonts w:ascii="Arial" w:hAnsi="Arial" w:cs="Arial"/>
          <w:sz w:val="24"/>
          <w:szCs w:val="24"/>
        </w:rPr>
        <w:t xml:space="preserve">) and 12.7 km (363 </w:t>
      </w:r>
      <w:proofErr w:type="spellStart"/>
      <w:r w:rsidRPr="00700042">
        <w:rPr>
          <w:rFonts w:ascii="Arial" w:hAnsi="Arial" w:cs="Arial"/>
          <w:sz w:val="24"/>
          <w:szCs w:val="24"/>
        </w:rPr>
        <w:t>MPa</w:t>
      </w:r>
      <w:proofErr w:type="spellEnd"/>
      <w:r w:rsidRPr="00700042">
        <w:rPr>
          <w:rFonts w:ascii="Arial" w:hAnsi="Arial" w:cs="Arial"/>
          <w:sz w:val="24"/>
          <w:szCs w:val="24"/>
        </w:rPr>
        <w:t>). The estimated depth of emplacement for the Souter Head complex is in the range 13-15 km.</w:t>
      </w:r>
    </w:p>
    <w:p w14:paraId="043BC405" w14:textId="6C49D102" w:rsidR="00700042" w:rsidRPr="003E6E5B" w:rsidRDefault="00700042" w:rsidP="0070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Calculations were made using the elemental data reported in Rice and Mark, this issue (also reported below). </w:t>
      </w:r>
      <w:r w:rsidRPr="003E6E5B">
        <w:rPr>
          <w:rFonts w:ascii="Arial" w:hAnsi="Arial" w:cs="Arial"/>
          <w:sz w:val="24"/>
          <w:szCs w:val="24"/>
        </w:rPr>
        <w:t xml:space="preserve">References reported in main text. </w:t>
      </w:r>
    </w:p>
    <w:p w14:paraId="671FB3B8" w14:textId="77777777" w:rsidR="00616F05" w:rsidRDefault="00616F05" w:rsidP="004A4665">
      <w:pPr>
        <w:jc w:val="both"/>
      </w:pPr>
      <w:bookmarkStart w:id="0" w:name="_GoBack"/>
      <w:bookmarkEnd w:id="0"/>
    </w:p>
    <w:p w14:paraId="34E6CB67" w14:textId="6FDC7B29" w:rsidR="001B4DEA" w:rsidRDefault="008A43EF">
      <w:r>
        <w:br w:type="column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</w:tblGrid>
      <w:tr w:rsidR="00B10071" w14:paraId="5C90041D" w14:textId="77777777" w:rsidTr="000E0D7C">
        <w:trPr>
          <w:jc w:val="center"/>
        </w:trPr>
        <w:tc>
          <w:tcPr>
            <w:tcW w:w="1809" w:type="dxa"/>
          </w:tcPr>
          <w:p w14:paraId="66342FFD" w14:textId="77777777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1E8E1" w14:textId="0FD81FA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 xml:space="preserve">SH4  </w:t>
            </w:r>
          </w:p>
        </w:tc>
        <w:tc>
          <w:tcPr>
            <w:tcW w:w="1134" w:type="dxa"/>
            <w:vAlign w:val="center"/>
          </w:tcPr>
          <w:p w14:paraId="5EEFF620" w14:textId="714394D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SH11</w:t>
            </w:r>
          </w:p>
        </w:tc>
        <w:tc>
          <w:tcPr>
            <w:tcW w:w="1134" w:type="dxa"/>
            <w:vAlign w:val="center"/>
          </w:tcPr>
          <w:p w14:paraId="36C2032A" w14:textId="48B3203A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SH9</w:t>
            </w:r>
          </w:p>
        </w:tc>
        <w:tc>
          <w:tcPr>
            <w:tcW w:w="1134" w:type="dxa"/>
            <w:vAlign w:val="center"/>
          </w:tcPr>
          <w:p w14:paraId="4C003E6B" w14:textId="1AE83C9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SH5</w:t>
            </w:r>
          </w:p>
        </w:tc>
      </w:tr>
      <w:tr w:rsidR="00B10071" w14:paraId="01A797D4" w14:textId="77777777" w:rsidTr="000E0D7C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1BFAA660" w14:textId="52ED8790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100% dry basis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CD828B" w14:textId="178CE10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NXG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160E3F" w14:textId="12A10A0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XG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2D7B8D" w14:textId="4709A10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Peg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E9A2F1" w14:textId="577278A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QP</w:t>
            </w:r>
          </w:p>
        </w:tc>
      </w:tr>
      <w:tr w:rsidR="00B10071" w14:paraId="2CF5FC38" w14:textId="77777777" w:rsidTr="000E0D7C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5784AA7" w14:textId="58EB8BE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SiO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2D4A9B5" w14:textId="346DAEF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72.50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37F5D34" w14:textId="6EDE386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72.82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8279151" w14:textId="5E27DA15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74.02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FED354" w14:textId="39E636D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73.70</w:t>
            </w:r>
          </w:p>
        </w:tc>
      </w:tr>
      <w:tr w:rsidR="00B10071" w14:paraId="05C5A141" w14:textId="77777777" w:rsidTr="000E0D7C">
        <w:trPr>
          <w:jc w:val="center"/>
        </w:trPr>
        <w:tc>
          <w:tcPr>
            <w:tcW w:w="1809" w:type="dxa"/>
            <w:vAlign w:val="center"/>
          </w:tcPr>
          <w:p w14:paraId="73D9C815" w14:textId="5F63FB8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TiO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vAlign w:val="bottom"/>
          </w:tcPr>
          <w:p w14:paraId="04DDC25F" w14:textId="026CC43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134" w:type="dxa"/>
            <w:vAlign w:val="bottom"/>
          </w:tcPr>
          <w:p w14:paraId="4A7669FD" w14:textId="21B0818C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134" w:type="dxa"/>
            <w:vAlign w:val="bottom"/>
          </w:tcPr>
          <w:p w14:paraId="3BCCE095" w14:textId="0B668C3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134" w:type="dxa"/>
            <w:vAlign w:val="bottom"/>
          </w:tcPr>
          <w:p w14:paraId="3DD08D85" w14:textId="781EC95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B10071" w14:paraId="25C01BEB" w14:textId="77777777" w:rsidTr="000E0D7C">
        <w:trPr>
          <w:jc w:val="center"/>
        </w:trPr>
        <w:tc>
          <w:tcPr>
            <w:tcW w:w="1809" w:type="dxa"/>
            <w:vAlign w:val="center"/>
          </w:tcPr>
          <w:p w14:paraId="09C7E03B" w14:textId="19B4801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Al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O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vAlign w:val="bottom"/>
          </w:tcPr>
          <w:p w14:paraId="53F1F1F4" w14:textId="71EFE325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15.15</w:t>
            </w:r>
          </w:p>
        </w:tc>
        <w:tc>
          <w:tcPr>
            <w:tcW w:w="1134" w:type="dxa"/>
            <w:vAlign w:val="bottom"/>
          </w:tcPr>
          <w:p w14:paraId="03DBF22A" w14:textId="1AE9F097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14.43</w:t>
            </w:r>
          </w:p>
        </w:tc>
        <w:tc>
          <w:tcPr>
            <w:tcW w:w="1134" w:type="dxa"/>
            <w:vAlign w:val="bottom"/>
          </w:tcPr>
          <w:p w14:paraId="27E5E48A" w14:textId="1BBF84E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15.57</w:t>
            </w:r>
          </w:p>
        </w:tc>
        <w:tc>
          <w:tcPr>
            <w:tcW w:w="1134" w:type="dxa"/>
            <w:vAlign w:val="bottom"/>
          </w:tcPr>
          <w:p w14:paraId="397D4D36" w14:textId="1D5B8185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15.44</w:t>
            </w:r>
          </w:p>
        </w:tc>
      </w:tr>
      <w:tr w:rsidR="00B10071" w14:paraId="49B45077" w14:textId="77777777" w:rsidTr="000E0D7C">
        <w:trPr>
          <w:jc w:val="center"/>
        </w:trPr>
        <w:tc>
          <w:tcPr>
            <w:tcW w:w="1809" w:type="dxa"/>
            <w:vAlign w:val="bottom"/>
          </w:tcPr>
          <w:p w14:paraId="5FAFE0C1" w14:textId="532BDF0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1134" w:type="dxa"/>
            <w:vAlign w:val="bottom"/>
          </w:tcPr>
          <w:p w14:paraId="794E35D5" w14:textId="28BEBAE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2.46</w:t>
            </w:r>
          </w:p>
        </w:tc>
        <w:tc>
          <w:tcPr>
            <w:tcW w:w="1134" w:type="dxa"/>
            <w:vAlign w:val="bottom"/>
          </w:tcPr>
          <w:p w14:paraId="487437E5" w14:textId="3814460C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1134" w:type="dxa"/>
            <w:vAlign w:val="bottom"/>
          </w:tcPr>
          <w:p w14:paraId="2D912E6D" w14:textId="7CCFFAF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1134" w:type="dxa"/>
            <w:vAlign w:val="bottom"/>
          </w:tcPr>
          <w:p w14:paraId="35AEC418" w14:textId="51DB05C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B10071" w14:paraId="477C6CCE" w14:textId="77777777" w:rsidTr="000E0D7C">
        <w:trPr>
          <w:jc w:val="center"/>
        </w:trPr>
        <w:tc>
          <w:tcPr>
            <w:tcW w:w="1809" w:type="dxa"/>
            <w:vAlign w:val="bottom"/>
          </w:tcPr>
          <w:p w14:paraId="257FCC8F" w14:textId="55177D2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1134" w:type="dxa"/>
            <w:vAlign w:val="bottom"/>
          </w:tcPr>
          <w:p w14:paraId="32D74FEF" w14:textId="089BC423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134" w:type="dxa"/>
            <w:vAlign w:val="bottom"/>
          </w:tcPr>
          <w:p w14:paraId="09225054" w14:textId="5AC037D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34" w:type="dxa"/>
            <w:vAlign w:val="bottom"/>
          </w:tcPr>
          <w:p w14:paraId="04706B74" w14:textId="1B2C58F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34" w:type="dxa"/>
            <w:vAlign w:val="bottom"/>
          </w:tcPr>
          <w:p w14:paraId="67D6F8CF" w14:textId="0F5D548C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B10071" w14:paraId="02B05074" w14:textId="77777777" w:rsidTr="000E0D7C">
        <w:trPr>
          <w:jc w:val="center"/>
        </w:trPr>
        <w:tc>
          <w:tcPr>
            <w:tcW w:w="1809" w:type="dxa"/>
            <w:vAlign w:val="bottom"/>
          </w:tcPr>
          <w:p w14:paraId="0B66FE0B" w14:textId="012A6106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MgO</w:t>
            </w:r>
          </w:p>
        </w:tc>
        <w:tc>
          <w:tcPr>
            <w:tcW w:w="1134" w:type="dxa"/>
            <w:vAlign w:val="bottom"/>
          </w:tcPr>
          <w:p w14:paraId="092CB25C" w14:textId="1977BECA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1134" w:type="dxa"/>
            <w:vAlign w:val="bottom"/>
          </w:tcPr>
          <w:p w14:paraId="12C3160B" w14:textId="21DEFA4A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134" w:type="dxa"/>
            <w:vAlign w:val="bottom"/>
          </w:tcPr>
          <w:p w14:paraId="61315453" w14:textId="0234B77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1134" w:type="dxa"/>
            <w:vAlign w:val="bottom"/>
          </w:tcPr>
          <w:p w14:paraId="3C7CD410" w14:textId="3B6FD847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0.10</w:t>
            </w:r>
          </w:p>
        </w:tc>
      </w:tr>
      <w:tr w:rsidR="00B10071" w14:paraId="717C1C61" w14:textId="77777777" w:rsidTr="000E0D7C">
        <w:trPr>
          <w:jc w:val="center"/>
        </w:trPr>
        <w:tc>
          <w:tcPr>
            <w:tcW w:w="1809" w:type="dxa"/>
            <w:vAlign w:val="bottom"/>
          </w:tcPr>
          <w:p w14:paraId="410B11FC" w14:textId="51D8DAB3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1134" w:type="dxa"/>
            <w:vAlign w:val="bottom"/>
          </w:tcPr>
          <w:p w14:paraId="60BDD1F4" w14:textId="5519A9C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1134" w:type="dxa"/>
            <w:vAlign w:val="bottom"/>
          </w:tcPr>
          <w:p w14:paraId="6D2C7393" w14:textId="5493FDA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134" w:type="dxa"/>
            <w:vAlign w:val="bottom"/>
          </w:tcPr>
          <w:p w14:paraId="5D5ACADB" w14:textId="4C77DEB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1134" w:type="dxa"/>
            <w:vAlign w:val="bottom"/>
          </w:tcPr>
          <w:p w14:paraId="7F252885" w14:textId="2DA8F365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0.31</w:t>
            </w:r>
          </w:p>
        </w:tc>
      </w:tr>
      <w:tr w:rsidR="00B10071" w14:paraId="5EA81977" w14:textId="77777777" w:rsidTr="000E0D7C">
        <w:trPr>
          <w:jc w:val="center"/>
        </w:trPr>
        <w:tc>
          <w:tcPr>
            <w:tcW w:w="1809" w:type="dxa"/>
            <w:vAlign w:val="center"/>
          </w:tcPr>
          <w:p w14:paraId="415997FE" w14:textId="074AF5B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Na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bottom"/>
          </w:tcPr>
          <w:p w14:paraId="2528D4B3" w14:textId="7B09E95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1134" w:type="dxa"/>
            <w:vAlign w:val="bottom"/>
          </w:tcPr>
          <w:p w14:paraId="2A74A04F" w14:textId="464AE11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1134" w:type="dxa"/>
            <w:vAlign w:val="bottom"/>
          </w:tcPr>
          <w:p w14:paraId="5736C2E6" w14:textId="41AAFC43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2.37</w:t>
            </w:r>
          </w:p>
        </w:tc>
        <w:tc>
          <w:tcPr>
            <w:tcW w:w="1134" w:type="dxa"/>
            <w:vAlign w:val="bottom"/>
          </w:tcPr>
          <w:p w14:paraId="6ADFE757" w14:textId="579C714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4.61</w:t>
            </w:r>
          </w:p>
        </w:tc>
      </w:tr>
      <w:tr w:rsidR="00B10071" w14:paraId="1533EE7C" w14:textId="77777777" w:rsidTr="000E0D7C">
        <w:trPr>
          <w:jc w:val="center"/>
        </w:trPr>
        <w:tc>
          <w:tcPr>
            <w:tcW w:w="1809" w:type="dxa"/>
            <w:vAlign w:val="center"/>
          </w:tcPr>
          <w:p w14:paraId="71E5D813" w14:textId="61C18057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K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bottom"/>
          </w:tcPr>
          <w:p w14:paraId="199F35AF" w14:textId="2CECCB5A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3.77</w:t>
            </w:r>
          </w:p>
        </w:tc>
        <w:tc>
          <w:tcPr>
            <w:tcW w:w="1134" w:type="dxa"/>
            <w:vAlign w:val="bottom"/>
          </w:tcPr>
          <w:p w14:paraId="0BDB39E4" w14:textId="13420F8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5.60</w:t>
            </w:r>
          </w:p>
        </w:tc>
        <w:tc>
          <w:tcPr>
            <w:tcW w:w="1134" w:type="dxa"/>
            <w:vAlign w:val="bottom"/>
          </w:tcPr>
          <w:p w14:paraId="7448A5F5" w14:textId="685B04C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5.70</w:t>
            </w:r>
          </w:p>
        </w:tc>
        <w:tc>
          <w:tcPr>
            <w:tcW w:w="1134" w:type="dxa"/>
            <w:vAlign w:val="bottom"/>
          </w:tcPr>
          <w:p w14:paraId="2213A8CF" w14:textId="06D3833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4.74</w:t>
            </w:r>
          </w:p>
        </w:tc>
      </w:tr>
      <w:tr w:rsidR="000E0D7C" w14:paraId="7320A477" w14:textId="77777777" w:rsidTr="000E0D7C">
        <w:trPr>
          <w:jc w:val="center"/>
        </w:trPr>
        <w:tc>
          <w:tcPr>
            <w:tcW w:w="1809" w:type="dxa"/>
            <w:vAlign w:val="center"/>
          </w:tcPr>
          <w:p w14:paraId="5A24F384" w14:textId="1695E787" w:rsidR="000E0D7C" w:rsidRPr="00B10071" w:rsidRDefault="000E0D7C" w:rsidP="00B1007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P</w:t>
            </w:r>
            <w:r w:rsidRPr="000E0D7C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O</w:t>
            </w:r>
            <w:r w:rsidRPr="000E0D7C">
              <w:rPr>
                <w:rFonts w:asciiTheme="majorHAnsi" w:hAnsiTheme="majorHAnsi" w:cs="Calibr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  <w:vAlign w:val="bottom"/>
          </w:tcPr>
          <w:p w14:paraId="569EF4C8" w14:textId="25873B96" w:rsidR="000E0D7C" w:rsidRPr="00B10071" w:rsidRDefault="000E0D7C" w:rsidP="00B1007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134" w:type="dxa"/>
            <w:vAlign w:val="bottom"/>
          </w:tcPr>
          <w:p w14:paraId="2B2170BA" w14:textId="77C935DC" w:rsidR="000E0D7C" w:rsidRPr="00B10071" w:rsidRDefault="000E0D7C" w:rsidP="00B1007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134" w:type="dxa"/>
            <w:vAlign w:val="bottom"/>
          </w:tcPr>
          <w:p w14:paraId="3CEE61C4" w14:textId="27DA58C9" w:rsidR="000E0D7C" w:rsidRPr="00B10071" w:rsidRDefault="000E0D7C" w:rsidP="00B1007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134" w:type="dxa"/>
            <w:vAlign w:val="bottom"/>
          </w:tcPr>
          <w:p w14:paraId="20298003" w14:textId="5E4ABA54" w:rsidR="000E0D7C" w:rsidRPr="00B10071" w:rsidRDefault="000E0D7C" w:rsidP="00B1007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B10071" w14:paraId="40660BF0" w14:textId="77777777" w:rsidTr="000E0D7C">
        <w:trPr>
          <w:jc w:val="center"/>
        </w:trPr>
        <w:tc>
          <w:tcPr>
            <w:tcW w:w="6345" w:type="dxa"/>
            <w:gridSpan w:val="5"/>
          </w:tcPr>
          <w:p w14:paraId="21877C72" w14:textId="10823781" w:rsidR="00B10071" w:rsidRPr="00B10071" w:rsidRDefault="00B10071" w:rsidP="000E0D7C">
            <w:pPr>
              <w:spacing w:before="120" w:after="12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CIPW Norm </w:t>
            </w:r>
            <w:proofErr w:type="spellStart"/>
            <w:r w:rsidRPr="009009E0">
              <w:rPr>
                <w:rFonts w:asciiTheme="majorHAnsi" w:hAnsiTheme="majorHAnsi"/>
              </w:rPr>
              <w:t>Fe</w:t>
            </w:r>
            <w:r w:rsidRPr="009009E0">
              <w:rPr>
                <w:rFonts w:asciiTheme="majorHAnsi" w:hAnsiTheme="majorHAnsi"/>
                <w:vertAlign w:val="superscript"/>
              </w:rPr>
              <w:t>3</w:t>
            </w:r>
            <w:proofErr w:type="spellEnd"/>
            <w:r w:rsidRPr="009009E0">
              <w:rPr>
                <w:rFonts w:asciiTheme="majorHAnsi" w:hAnsiTheme="majorHAnsi"/>
                <w:vertAlign w:val="superscript"/>
              </w:rPr>
              <w:t>+</w:t>
            </w:r>
            <w:r w:rsidRPr="009009E0">
              <w:rPr>
                <w:rFonts w:asciiTheme="majorHAnsi" w:hAnsiTheme="majorHAnsi"/>
              </w:rPr>
              <w:t>/</w:t>
            </w:r>
            <w:proofErr w:type="spellStart"/>
            <w:r w:rsidRPr="009009E0">
              <w:rPr>
                <w:rFonts w:asciiTheme="majorHAnsi" w:hAnsiTheme="majorHAnsi"/>
              </w:rPr>
              <w:t>Fe</w:t>
            </w:r>
            <w:r w:rsidRPr="009009E0">
              <w:rPr>
                <w:rFonts w:asciiTheme="majorHAnsi" w:hAnsiTheme="majorHAnsi"/>
                <w:vertAlign w:val="subscript"/>
              </w:rPr>
              <w:t>T</w:t>
            </w:r>
            <w:proofErr w:type="spellEnd"/>
            <w:r w:rsidRPr="009009E0">
              <w:rPr>
                <w:rFonts w:asciiTheme="majorHAnsi" w:hAnsiTheme="majorHAnsi"/>
              </w:rPr>
              <w:t>=0.20</w:t>
            </w:r>
          </w:p>
        </w:tc>
      </w:tr>
      <w:tr w:rsidR="00B10071" w14:paraId="5704C1AB" w14:textId="77777777" w:rsidTr="000E0D7C">
        <w:trPr>
          <w:jc w:val="center"/>
        </w:trPr>
        <w:tc>
          <w:tcPr>
            <w:tcW w:w="1809" w:type="dxa"/>
            <w:vAlign w:val="bottom"/>
          </w:tcPr>
          <w:p w14:paraId="25E4CC82" w14:textId="71BBBD9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Qtz</w:t>
            </w:r>
          </w:p>
        </w:tc>
        <w:tc>
          <w:tcPr>
            <w:tcW w:w="1134" w:type="dxa"/>
            <w:vAlign w:val="bottom"/>
          </w:tcPr>
          <w:p w14:paraId="5586544B" w14:textId="77D9E350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33.90</w:t>
            </w:r>
          </w:p>
        </w:tc>
        <w:tc>
          <w:tcPr>
            <w:tcW w:w="1134" w:type="dxa"/>
            <w:vAlign w:val="bottom"/>
          </w:tcPr>
          <w:p w14:paraId="1D5C9C83" w14:textId="7CF2600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33.36</w:t>
            </w:r>
          </w:p>
        </w:tc>
        <w:tc>
          <w:tcPr>
            <w:tcW w:w="1134" w:type="dxa"/>
            <w:vAlign w:val="bottom"/>
          </w:tcPr>
          <w:p w14:paraId="04ED0A36" w14:textId="795B095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36.65</w:t>
            </w:r>
          </w:p>
        </w:tc>
        <w:tc>
          <w:tcPr>
            <w:tcW w:w="1134" w:type="dxa"/>
            <w:vAlign w:val="bottom"/>
          </w:tcPr>
          <w:p w14:paraId="14AD6B13" w14:textId="34833BB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27.52</w:t>
            </w:r>
          </w:p>
        </w:tc>
      </w:tr>
      <w:tr w:rsidR="00B10071" w14:paraId="2DFBFC36" w14:textId="77777777" w:rsidTr="000E0D7C">
        <w:trPr>
          <w:jc w:val="center"/>
        </w:trPr>
        <w:tc>
          <w:tcPr>
            <w:tcW w:w="1809" w:type="dxa"/>
            <w:vAlign w:val="bottom"/>
          </w:tcPr>
          <w:p w14:paraId="6C86A798" w14:textId="4E9197A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34" w:type="dxa"/>
            <w:vAlign w:val="bottom"/>
          </w:tcPr>
          <w:p w14:paraId="04D85055" w14:textId="7DC488A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22.79</w:t>
            </w:r>
          </w:p>
        </w:tc>
        <w:tc>
          <w:tcPr>
            <w:tcW w:w="1134" w:type="dxa"/>
            <w:vAlign w:val="bottom"/>
          </w:tcPr>
          <w:p w14:paraId="798E85BF" w14:textId="77BC63A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33.09</w:t>
            </w:r>
          </w:p>
        </w:tc>
        <w:tc>
          <w:tcPr>
            <w:tcW w:w="1134" w:type="dxa"/>
            <w:vAlign w:val="bottom"/>
          </w:tcPr>
          <w:p w14:paraId="6BADEB6B" w14:textId="11482C5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33.68</w:t>
            </w:r>
          </w:p>
        </w:tc>
        <w:tc>
          <w:tcPr>
            <w:tcW w:w="1134" w:type="dxa"/>
            <w:vAlign w:val="bottom"/>
          </w:tcPr>
          <w:p w14:paraId="0A2D4B9B" w14:textId="18D9559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28.01</w:t>
            </w:r>
          </w:p>
        </w:tc>
      </w:tr>
      <w:tr w:rsidR="00B10071" w14:paraId="3C3FCF18" w14:textId="77777777" w:rsidTr="000E0D7C">
        <w:trPr>
          <w:jc w:val="center"/>
        </w:trPr>
        <w:tc>
          <w:tcPr>
            <w:tcW w:w="1809" w:type="dxa"/>
            <w:vAlign w:val="bottom"/>
          </w:tcPr>
          <w:p w14:paraId="370778D0" w14:textId="1733B4F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Ab</w:t>
            </w:r>
          </w:p>
        </w:tc>
        <w:tc>
          <w:tcPr>
            <w:tcW w:w="1134" w:type="dxa"/>
            <w:vAlign w:val="bottom"/>
          </w:tcPr>
          <w:p w14:paraId="34B28B32" w14:textId="577533BC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27.75</w:t>
            </w:r>
          </w:p>
        </w:tc>
        <w:tc>
          <w:tcPr>
            <w:tcW w:w="1134" w:type="dxa"/>
            <w:vAlign w:val="bottom"/>
          </w:tcPr>
          <w:p w14:paraId="4092C984" w14:textId="464EA1D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21.41</w:t>
            </w:r>
          </w:p>
        </w:tc>
        <w:tc>
          <w:tcPr>
            <w:tcW w:w="1134" w:type="dxa"/>
            <w:vAlign w:val="bottom"/>
          </w:tcPr>
          <w:p w14:paraId="5A49AA50" w14:textId="51A2A5B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1134" w:type="dxa"/>
            <w:vAlign w:val="bottom"/>
          </w:tcPr>
          <w:p w14:paraId="5717A557" w14:textId="67BB5E2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39.01</w:t>
            </w:r>
          </w:p>
        </w:tc>
      </w:tr>
      <w:tr w:rsidR="00B10071" w14:paraId="2CC193C2" w14:textId="77777777" w:rsidTr="000E0D7C">
        <w:trPr>
          <w:jc w:val="center"/>
        </w:trPr>
        <w:tc>
          <w:tcPr>
            <w:tcW w:w="1809" w:type="dxa"/>
            <w:vAlign w:val="bottom"/>
          </w:tcPr>
          <w:p w14:paraId="76F8B1C5" w14:textId="326B008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1134" w:type="dxa"/>
            <w:vAlign w:val="bottom"/>
          </w:tcPr>
          <w:p w14:paraId="3DC8BB8B" w14:textId="02C47497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6.90</w:t>
            </w:r>
          </w:p>
        </w:tc>
        <w:tc>
          <w:tcPr>
            <w:tcW w:w="1134" w:type="dxa"/>
            <w:vAlign w:val="bottom"/>
          </w:tcPr>
          <w:p w14:paraId="58CF8967" w14:textId="45B96B4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2.73</w:t>
            </w:r>
          </w:p>
        </w:tc>
        <w:tc>
          <w:tcPr>
            <w:tcW w:w="1134" w:type="dxa"/>
            <w:vAlign w:val="bottom"/>
          </w:tcPr>
          <w:p w14:paraId="2CD72051" w14:textId="7555FD0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1134" w:type="dxa"/>
            <w:vAlign w:val="bottom"/>
          </w:tcPr>
          <w:p w14:paraId="53FF8C7B" w14:textId="7ED9E6A3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1.21</w:t>
            </w:r>
          </w:p>
        </w:tc>
      </w:tr>
      <w:tr w:rsidR="00B10071" w14:paraId="6FE79476" w14:textId="77777777" w:rsidTr="000E0D7C">
        <w:trPr>
          <w:jc w:val="center"/>
        </w:trPr>
        <w:tc>
          <w:tcPr>
            <w:tcW w:w="1809" w:type="dxa"/>
            <w:vAlign w:val="bottom"/>
          </w:tcPr>
          <w:p w14:paraId="194E4083" w14:textId="5C31FD7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1134" w:type="dxa"/>
            <w:vAlign w:val="bottom"/>
          </w:tcPr>
          <w:p w14:paraId="6A0D9C8E" w14:textId="18C72FE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1134" w:type="dxa"/>
            <w:vAlign w:val="bottom"/>
          </w:tcPr>
          <w:p w14:paraId="273BF1EB" w14:textId="2C848E40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3.21</w:t>
            </w:r>
          </w:p>
        </w:tc>
        <w:tc>
          <w:tcPr>
            <w:tcW w:w="1134" w:type="dxa"/>
            <w:vAlign w:val="bottom"/>
          </w:tcPr>
          <w:p w14:paraId="41BC814A" w14:textId="7451F9F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4.87</w:t>
            </w:r>
          </w:p>
        </w:tc>
        <w:tc>
          <w:tcPr>
            <w:tcW w:w="1134" w:type="dxa"/>
            <w:vAlign w:val="bottom"/>
          </w:tcPr>
          <w:p w14:paraId="77B8C135" w14:textId="07EFC5AA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2.28</w:t>
            </w:r>
          </w:p>
        </w:tc>
      </w:tr>
      <w:tr w:rsidR="00B10071" w14:paraId="15F3D93E" w14:textId="77777777" w:rsidTr="000E0D7C">
        <w:trPr>
          <w:jc w:val="center"/>
        </w:trPr>
        <w:tc>
          <w:tcPr>
            <w:tcW w:w="1809" w:type="dxa"/>
            <w:vAlign w:val="bottom"/>
          </w:tcPr>
          <w:p w14:paraId="22375639" w14:textId="1B7B060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Hy</w:t>
            </w:r>
          </w:p>
        </w:tc>
        <w:tc>
          <w:tcPr>
            <w:tcW w:w="1134" w:type="dxa"/>
            <w:vAlign w:val="bottom"/>
          </w:tcPr>
          <w:p w14:paraId="3FF39D27" w14:textId="14D989C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1134" w:type="dxa"/>
            <w:vAlign w:val="bottom"/>
          </w:tcPr>
          <w:p w14:paraId="7FE0AFD7" w14:textId="7887FCDF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4.31</w:t>
            </w:r>
          </w:p>
        </w:tc>
        <w:tc>
          <w:tcPr>
            <w:tcW w:w="1134" w:type="dxa"/>
            <w:vAlign w:val="bottom"/>
          </w:tcPr>
          <w:p w14:paraId="69C6C0AA" w14:textId="13FCE5D5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134" w:type="dxa"/>
            <w:vAlign w:val="bottom"/>
          </w:tcPr>
          <w:p w14:paraId="08DA39D0" w14:textId="6809E8B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1.45</w:t>
            </w:r>
          </w:p>
        </w:tc>
      </w:tr>
      <w:tr w:rsidR="00B10071" w14:paraId="077118D9" w14:textId="77777777" w:rsidTr="00463318">
        <w:trPr>
          <w:jc w:val="center"/>
        </w:trPr>
        <w:tc>
          <w:tcPr>
            <w:tcW w:w="1809" w:type="dxa"/>
            <w:vAlign w:val="bottom"/>
          </w:tcPr>
          <w:p w14:paraId="46E1ED00" w14:textId="42739D4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Mt</w:t>
            </w:r>
          </w:p>
        </w:tc>
        <w:tc>
          <w:tcPr>
            <w:tcW w:w="1134" w:type="dxa"/>
            <w:vAlign w:val="bottom"/>
          </w:tcPr>
          <w:p w14:paraId="644DEBCB" w14:textId="653A663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134" w:type="dxa"/>
            <w:vAlign w:val="bottom"/>
          </w:tcPr>
          <w:p w14:paraId="1C5BBFF0" w14:textId="0C6F6C00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134" w:type="dxa"/>
            <w:vAlign w:val="bottom"/>
          </w:tcPr>
          <w:p w14:paraId="06DF10F7" w14:textId="298EFBB1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134" w:type="dxa"/>
            <w:vAlign w:val="bottom"/>
          </w:tcPr>
          <w:p w14:paraId="369A7EBD" w14:textId="6D5A77E9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0.29</w:t>
            </w:r>
          </w:p>
        </w:tc>
      </w:tr>
      <w:tr w:rsidR="00B10071" w14:paraId="4B27E01C" w14:textId="77777777" w:rsidTr="00463318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18D2E0BA" w14:textId="1E1DD62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03F345" w14:textId="65090872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9884A5" w14:textId="2695DAB4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257B0B" w14:textId="5DF3E456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EE2B4F" w14:textId="708B92E0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463318" w14:paraId="22A165C0" w14:textId="77777777" w:rsidTr="0022056A">
        <w:trPr>
          <w:jc w:val="center"/>
        </w:trPr>
        <w:tc>
          <w:tcPr>
            <w:tcW w:w="6345" w:type="dxa"/>
            <w:gridSpan w:val="5"/>
            <w:tcBorders>
              <w:top w:val="single" w:sz="4" w:space="0" w:color="auto"/>
            </w:tcBorders>
          </w:tcPr>
          <w:p w14:paraId="0C73927C" w14:textId="677833F2" w:rsidR="00463318" w:rsidRPr="00B10071" w:rsidRDefault="00463318" w:rsidP="004633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Pressure estimates</w:t>
            </w:r>
          </w:p>
        </w:tc>
      </w:tr>
      <w:tr w:rsidR="00B10071" w14:paraId="1B1BE214" w14:textId="77777777" w:rsidTr="000E0D7C">
        <w:trPr>
          <w:jc w:val="center"/>
        </w:trPr>
        <w:tc>
          <w:tcPr>
            <w:tcW w:w="1809" w:type="dxa"/>
            <w:vAlign w:val="bottom"/>
          </w:tcPr>
          <w:p w14:paraId="24C9311F" w14:textId="5B68C2C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Qtz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eqn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 MPa</w:t>
            </w:r>
          </w:p>
        </w:tc>
        <w:tc>
          <w:tcPr>
            <w:tcW w:w="1134" w:type="dxa"/>
            <w:vAlign w:val="bottom"/>
          </w:tcPr>
          <w:p w14:paraId="556E38D8" w14:textId="48386F0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14:paraId="0087945C" w14:textId="38092FAD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14:paraId="6C533163" w14:textId="5376C42E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14:paraId="4E9A83FF" w14:textId="0E510BB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394</w:t>
            </w:r>
          </w:p>
        </w:tc>
      </w:tr>
      <w:tr w:rsidR="00B10071" w14:paraId="51AD6590" w14:textId="77777777" w:rsidTr="000E0D7C">
        <w:trPr>
          <w:jc w:val="center"/>
        </w:trPr>
        <w:tc>
          <w:tcPr>
            <w:tcW w:w="1809" w:type="dxa"/>
            <w:vAlign w:val="bottom"/>
          </w:tcPr>
          <w:p w14:paraId="17BCCC25" w14:textId="76B167B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Ab+Or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eqn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 MPa</w:t>
            </w:r>
          </w:p>
        </w:tc>
        <w:tc>
          <w:tcPr>
            <w:tcW w:w="1134" w:type="dxa"/>
            <w:vAlign w:val="bottom"/>
          </w:tcPr>
          <w:p w14:paraId="40F067BB" w14:textId="4B1311D8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14:paraId="61C844ED" w14:textId="35A0647C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14:paraId="5B0929B0" w14:textId="653BBAC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09912CDE" w14:textId="3F79DE1B" w:rsidR="00B10071" w:rsidRPr="00B10071" w:rsidRDefault="00B10071" w:rsidP="00B1007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10071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363</w:t>
            </w:r>
          </w:p>
        </w:tc>
      </w:tr>
    </w:tbl>
    <w:p w14:paraId="027B9EFC" w14:textId="77777777" w:rsidR="000E0D7C" w:rsidRDefault="000E0D7C" w:rsidP="000E0D7C">
      <w:pPr>
        <w:spacing w:after="0" w:line="240" w:lineRule="auto"/>
        <w:ind w:left="1276" w:right="1230"/>
      </w:pPr>
    </w:p>
    <w:p w14:paraId="786DC1D0" w14:textId="15D688AD" w:rsidR="008A43EF" w:rsidRPr="000E0D7C" w:rsidRDefault="000E0D7C" w:rsidP="000E0D7C">
      <w:pPr>
        <w:spacing w:after="0" w:line="240" w:lineRule="auto"/>
        <w:ind w:left="1276" w:right="1230"/>
        <w:rPr>
          <w:rFonts w:asciiTheme="majorHAnsi" w:hAnsiTheme="majorHAnsi"/>
          <w:sz w:val="20"/>
        </w:rPr>
      </w:pPr>
      <w:r w:rsidRPr="000E0D7C">
        <w:rPr>
          <w:rFonts w:asciiTheme="majorHAnsi" w:hAnsiTheme="majorHAnsi"/>
          <w:sz w:val="20"/>
        </w:rPr>
        <w:t xml:space="preserve">CIPW norm and derived pressure estimates for Souter Head acid intrusive rocks. Major elements are calculated to 100% on a dry basis and CIPW NORMS with a nominal </w:t>
      </w:r>
      <w:proofErr w:type="spellStart"/>
      <w:r w:rsidRPr="000E0D7C">
        <w:rPr>
          <w:rFonts w:asciiTheme="majorHAnsi" w:hAnsiTheme="majorHAnsi"/>
          <w:sz w:val="20"/>
        </w:rPr>
        <w:t>Fe</w:t>
      </w:r>
      <w:r w:rsidRPr="000E0D7C">
        <w:rPr>
          <w:rFonts w:asciiTheme="majorHAnsi" w:hAnsiTheme="majorHAnsi"/>
          <w:sz w:val="20"/>
          <w:vertAlign w:val="superscript"/>
        </w:rPr>
        <w:t>3</w:t>
      </w:r>
      <w:proofErr w:type="spellEnd"/>
      <w:r w:rsidRPr="000E0D7C">
        <w:rPr>
          <w:rFonts w:asciiTheme="majorHAnsi" w:hAnsiTheme="majorHAnsi"/>
          <w:sz w:val="20"/>
          <w:vertAlign w:val="superscript"/>
        </w:rPr>
        <w:t>+</w:t>
      </w:r>
      <w:r w:rsidRPr="000E0D7C">
        <w:rPr>
          <w:rFonts w:asciiTheme="majorHAnsi" w:hAnsiTheme="majorHAnsi"/>
          <w:sz w:val="20"/>
        </w:rPr>
        <w:t>/</w:t>
      </w:r>
      <w:proofErr w:type="spellStart"/>
      <w:r w:rsidRPr="000E0D7C">
        <w:rPr>
          <w:rFonts w:asciiTheme="majorHAnsi" w:hAnsiTheme="majorHAnsi"/>
          <w:sz w:val="20"/>
        </w:rPr>
        <w:t>Fe</w:t>
      </w:r>
      <w:r w:rsidRPr="000E0D7C">
        <w:rPr>
          <w:rFonts w:asciiTheme="majorHAnsi" w:hAnsiTheme="majorHAnsi"/>
          <w:sz w:val="20"/>
          <w:vertAlign w:val="subscript"/>
        </w:rPr>
        <w:t>T</w:t>
      </w:r>
      <w:proofErr w:type="spellEnd"/>
      <w:r w:rsidRPr="000E0D7C">
        <w:rPr>
          <w:rFonts w:asciiTheme="majorHAnsi" w:hAnsiTheme="majorHAnsi"/>
          <w:sz w:val="20"/>
        </w:rPr>
        <w:t>=0.20</w:t>
      </w:r>
      <w:r>
        <w:rPr>
          <w:rFonts w:asciiTheme="majorHAnsi" w:hAnsiTheme="majorHAnsi"/>
          <w:sz w:val="20"/>
        </w:rPr>
        <w:t>.  ‘</w:t>
      </w:r>
      <w:proofErr w:type="spellStart"/>
      <w:r>
        <w:rPr>
          <w:rFonts w:asciiTheme="majorHAnsi" w:hAnsiTheme="majorHAnsi"/>
          <w:sz w:val="20"/>
        </w:rPr>
        <w:t>eqn</w:t>
      </w:r>
      <w:proofErr w:type="spellEnd"/>
      <w:r>
        <w:rPr>
          <w:rFonts w:asciiTheme="majorHAnsi" w:hAnsiTheme="majorHAnsi"/>
          <w:sz w:val="20"/>
        </w:rPr>
        <w:t xml:space="preserve"> 1’ and ‘</w:t>
      </w:r>
      <w:proofErr w:type="spellStart"/>
      <w:r>
        <w:rPr>
          <w:rFonts w:asciiTheme="majorHAnsi" w:hAnsiTheme="majorHAnsi"/>
          <w:sz w:val="20"/>
        </w:rPr>
        <w:t>eqn</w:t>
      </w:r>
      <w:proofErr w:type="spellEnd"/>
      <w:r>
        <w:rPr>
          <w:rFonts w:asciiTheme="majorHAnsi" w:hAnsiTheme="majorHAnsi"/>
          <w:sz w:val="20"/>
        </w:rPr>
        <w:t xml:space="preserve"> 2’ refer to equations 1 and 2 respectively of Yang (2017)</w:t>
      </w:r>
    </w:p>
    <w:sectPr w:rsidR="008A43EF" w:rsidRPr="000E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A"/>
    <w:rsid w:val="00080D3E"/>
    <w:rsid w:val="0008416C"/>
    <w:rsid w:val="000E0D7C"/>
    <w:rsid w:val="001B4DEA"/>
    <w:rsid w:val="00297209"/>
    <w:rsid w:val="002E63D7"/>
    <w:rsid w:val="00463318"/>
    <w:rsid w:val="004A4665"/>
    <w:rsid w:val="004F6FD9"/>
    <w:rsid w:val="00502EF0"/>
    <w:rsid w:val="00616F05"/>
    <w:rsid w:val="00700042"/>
    <w:rsid w:val="00760754"/>
    <w:rsid w:val="007C289C"/>
    <w:rsid w:val="008A43EF"/>
    <w:rsid w:val="009009E0"/>
    <w:rsid w:val="00A518BB"/>
    <w:rsid w:val="00B10071"/>
    <w:rsid w:val="00BD2B6C"/>
    <w:rsid w:val="00C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B6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Hole, Dr Malcolm J.</dc:creator>
  <cp:keywords/>
  <dc:description/>
  <cp:lastModifiedBy>Darren Mark</cp:lastModifiedBy>
  <cp:revision>2</cp:revision>
  <dcterms:created xsi:type="dcterms:W3CDTF">2019-06-28T11:00:00Z</dcterms:created>
  <dcterms:modified xsi:type="dcterms:W3CDTF">2019-06-28T11:00:00Z</dcterms:modified>
</cp:coreProperties>
</file>