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5418" w14:textId="2096CB52" w:rsidR="005864DF" w:rsidRDefault="005864DF" w:rsidP="005864DF">
      <w:pPr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Appendix 1</w:t>
      </w:r>
    </w:p>
    <w:p w14:paraId="5402C614" w14:textId="2969137E" w:rsidR="005864DF" w:rsidRDefault="005864DF" w:rsidP="005864DF">
      <w:pPr>
        <w:spacing w:after="0" w:line="240" w:lineRule="auto"/>
        <w:rPr>
          <w:rFonts w:cs="Times New Roman"/>
          <w:szCs w:val="24"/>
          <w:lang w:val="en-US"/>
        </w:rPr>
      </w:pPr>
    </w:p>
    <w:p w14:paraId="6CB26CB3" w14:textId="77777777" w:rsidR="005864DF" w:rsidRPr="00FD4F75" w:rsidRDefault="005864DF" w:rsidP="005864DF">
      <w:pPr>
        <w:spacing w:after="0" w:line="480" w:lineRule="auto"/>
        <w:ind w:firstLine="567"/>
        <w:jc w:val="both"/>
        <w:rPr>
          <w:rFonts w:cs="Times New Roman"/>
          <w:szCs w:val="24"/>
          <w:lang w:val="en-US"/>
        </w:rPr>
      </w:pPr>
      <w:r w:rsidRPr="00FD4F75">
        <w:rPr>
          <w:rFonts w:cs="Times New Roman"/>
          <w:szCs w:val="24"/>
          <w:lang w:val="en-US"/>
        </w:rPr>
        <w:t>The analysis of the determinants of the classes of religiosity have been carried out in two regression models. Seven socio-demographic predictors were included in the first model: gender, age, current place of residence, place of residence at age 15, level of education, marital status, and income. Ideological self-placement (on the right-left axis) was additionally included in model two. The variables included in the model explain only slightly more than 10% of the variance of the dependent variable, i.e., religiosity. Thus, internal religious differentiation among Polish Catholics is largely independent on socio-demographic variables.</w:t>
      </w:r>
    </w:p>
    <w:p w14:paraId="1400FF20" w14:textId="77777777" w:rsidR="005864DF" w:rsidRPr="00F64950" w:rsidRDefault="005864DF" w:rsidP="005864DF">
      <w:pPr>
        <w:spacing w:after="0" w:line="480" w:lineRule="auto"/>
        <w:ind w:firstLine="567"/>
        <w:jc w:val="both"/>
        <w:rPr>
          <w:rFonts w:cs="Times New Roman"/>
          <w:szCs w:val="24"/>
          <w:lang w:val="en-US"/>
        </w:rPr>
      </w:pPr>
      <w:r w:rsidRPr="00FD4F75">
        <w:rPr>
          <w:rFonts w:cs="Times New Roman"/>
          <w:szCs w:val="24"/>
          <w:lang w:val="en-US"/>
        </w:rPr>
        <w:t>Adding political orientations (on the right-left axis) to the next model almost tripled the percentage of explained variance. As expected, a lower level of conformity to the Church's teaching is characteristic of Catholics who declared having a left-wing or centrist ideological orientation and those who were unable to define their views on the left-right axis (in relation to the respondents declaring a right-wing ideological orientation). Accordingly, the analyses indicate that the types of religiosity of Polish Catholics are strongly related to ideological self-placement; in fact, to a much greater extent than to socio-demographic differences.</w:t>
      </w:r>
    </w:p>
    <w:p w14:paraId="3F1D938D" w14:textId="24076867" w:rsidR="005864DF" w:rsidRDefault="005864DF" w:rsidP="005864DF">
      <w:pPr>
        <w:spacing w:after="0" w:line="240" w:lineRule="auto"/>
        <w:rPr>
          <w:rFonts w:cs="Times New Roman"/>
          <w:szCs w:val="24"/>
          <w:lang w:val="en-US"/>
        </w:rPr>
      </w:pPr>
    </w:p>
    <w:p w14:paraId="4B3CECD7" w14:textId="77777777" w:rsidR="005864DF" w:rsidRDefault="005864DF" w:rsidP="005864DF">
      <w:pPr>
        <w:spacing w:after="0" w:line="240" w:lineRule="auto"/>
        <w:rPr>
          <w:rFonts w:cs="Times New Roman"/>
          <w:szCs w:val="24"/>
          <w:lang w:val="en-US"/>
        </w:rPr>
      </w:pPr>
    </w:p>
    <w:p w14:paraId="1638C255" w14:textId="4B9567A0" w:rsidR="005864DF" w:rsidRPr="00F64950" w:rsidRDefault="005864DF" w:rsidP="005864DF">
      <w:pPr>
        <w:spacing w:after="0" w:line="240" w:lineRule="auto"/>
        <w:rPr>
          <w:rFonts w:cs="Times New Roman"/>
          <w:szCs w:val="24"/>
          <w:lang w:val="en-US"/>
        </w:rPr>
      </w:pPr>
      <w:r w:rsidRPr="00F64950">
        <w:rPr>
          <w:rFonts w:cs="Times New Roman"/>
          <w:szCs w:val="24"/>
          <w:lang w:val="en-US"/>
        </w:rPr>
        <w:t>Table 3. The effects of covariates on Religiosity (ordinal regression).</w:t>
      </w:r>
    </w:p>
    <w:p w14:paraId="1A84064E" w14:textId="77777777" w:rsidR="005864DF" w:rsidRPr="00F64950" w:rsidRDefault="005864DF" w:rsidP="005864DF">
      <w:pPr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419"/>
        <w:gridCol w:w="1419"/>
        <w:gridCol w:w="1702"/>
        <w:gridCol w:w="1555"/>
      </w:tblGrid>
      <w:tr w:rsidR="005864DF" w:rsidRPr="00FB73DF" w14:paraId="028B0CA1" w14:textId="77777777" w:rsidTr="00B03719">
        <w:tc>
          <w:tcPr>
            <w:tcW w:w="1641" w:type="pc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F2A67E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  <w:t> </w:t>
            </w:r>
          </w:p>
        </w:tc>
        <w:tc>
          <w:tcPr>
            <w:tcW w:w="1564" w:type="pct"/>
            <w:gridSpan w:val="2"/>
            <w:tcBorders>
              <w:top w:val="double" w:sz="6" w:space="0" w:color="auto"/>
            </w:tcBorders>
          </w:tcPr>
          <w:p w14:paraId="58EA068A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  <w:t>Model 1</w:t>
            </w:r>
          </w:p>
        </w:tc>
        <w:tc>
          <w:tcPr>
            <w:tcW w:w="1795" w:type="pct"/>
            <w:gridSpan w:val="2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09C303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  <w:t>Model 2</w:t>
            </w:r>
          </w:p>
        </w:tc>
      </w:tr>
      <w:tr w:rsidR="005864DF" w:rsidRPr="00FB73DF" w14:paraId="398FA8B4" w14:textId="77777777" w:rsidTr="00B03719">
        <w:tc>
          <w:tcPr>
            <w:tcW w:w="1641" w:type="pct"/>
            <w:tcBorders>
              <w:bottom w:val="single" w:sz="6" w:space="0" w:color="auto"/>
            </w:tcBorders>
            <w:vAlign w:val="center"/>
            <w:hideMark/>
          </w:tcPr>
          <w:p w14:paraId="2B703B5B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Predictors</w:t>
            </w:r>
          </w:p>
        </w:tc>
        <w:tc>
          <w:tcPr>
            <w:tcW w:w="782" w:type="pct"/>
            <w:tcBorders>
              <w:bottom w:val="single" w:sz="6" w:space="0" w:color="auto"/>
            </w:tcBorders>
            <w:vAlign w:val="center"/>
          </w:tcPr>
          <w:p w14:paraId="0BA1D4C0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Estimate</w:t>
            </w:r>
          </w:p>
        </w:tc>
        <w:tc>
          <w:tcPr>
            <w:tcW w:w="782" w:type="pct"/>
            <w:tcBorders>
              <w:bottom w:val="single" w:sz="6" w:space="0" w:color="auto"/>
            </w:tcBorders>
            <w:vAlign w:val="center"/>
          </w:tcPr>
          <w:p w14:paraId="5A6B8731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CI (95%)</w:t>
            </w:r>
          </w:p>
        </w:tc>
        <w:tc>
          <w:tcPr>
            <w:tcW w:w="938" w:type="pct"/>
            <w:tcBorders>
              <w:bottom w:val="single" w:sz="6" w:space="0" w:color="auto"/>
            </w:tcBorders>
            <w:vAlign w:val="center"/>
            <w:hideMark/>
          </w:tcPr>
          <w:p w14:paraId="6A2E3A8A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Estimate</w:t>
            </w:r>
          </w:p>
        </w:tc>
        <w:tc>
          <w:tcPr>
            <w:tcW w:w="857" w:type="pct"/>
            <w:tcBorders>
              <w:bottom w:val="single" w:sz="6" w:space="0" w:color="auto"/>
            </w:tcBorders>
            <w:vAlign w:val="center"/>
            <w:hideMark/>
          </w:tcPr>
          <w:p w14:paraId="0A88B4E0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CI (95%)</w:t>
            </w:r>
          </w:p>
        </w:tc>
      </w:tr>
      <w:tr w:rsidR="005864DF" w:rsidRPr="00FB73DF" w14:paraId="5BB0F901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747C520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Intercept.1.</w:t>
            </w:r>
          </w:p>
        </w:tc>
        <w:tc>
          <w:tcPr>
            <w:tcW w:w="782" w:type="pct"/>
          </w:tcPr>
          <w:p w14:paraId="77623E41" w14:textId="77777777" w:rsidR="005864DF" w:rsidRPr="00FB73DF" w:rsidRDefault="005864DF" w:rsidP="00B03719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 xml:space="preserve">     -0.18</w:t>
            </w:r>
          </w:p>
        </w:tc>
        <w:tc>
          <w:tcPr>
            <w:tcW w:w="782" w:type="pct"/>
          </w:tcPr>
          <w:p w14:paraId="0EFB3775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-0.56 – 0.20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68B3016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>-0.85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C098C1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>-1.26 – -0.42</w:t>
            </w:r>
          </w:p>
        </w:tc>
      </w:tr>
      <w:tr w:rsidR="005864DF" w:rsidRPr="00FB73DF" w14:paraId="12DC8AE2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F4D93D9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Intercept.2.</w:t>
            </w:r>
          </w:p>
        </w:tc>
        <w:tc>
          <w:tcPr>
            <w:tcW w:w="782" w:type="pct"/>
          </w:tcPr>
          <w:p w14:paraId="4E2DC8AB" w14:textId="77777777" w:rsidR="005864DF" w:rsidRPr="00FB73DF" w:rsidRDefault="005864DF" w:rsidP="00B03719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 xml:space="preserve">      0.92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2" w:type="pct"/>
          </w:tcPr>
          <w:p w14:paraId="4D7823FC" w14:textId="77777777" w:rsidR="005864DF" w:rsidRPr="00FB73DF" w:rsidRDefault="005864DF" w:rsidP="00B03719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 xml:space="preserve">    0.53 – 1.31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509488D" w14:textId="77777777" w:rsidR="005864DF" w:rsidRPr="00FB73DF" w:rsidRDefault="005864DF" w:rsidP="00B03719">
            <w:pPr>
              <w:spacing w:after="0" w:line="240" w:lineRule="auto"/>
              <w:ind w:left="451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0.42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0310013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>0.02 – 0.84</w:t>
            </w:r>
          </w:p>
        </w:tc>
      </w:tr>
      <w:tr w:rsidR="005864DF" w:rsidRPr="00FB73DF" w14:paraId="2D91ECAE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1C8B97F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Sex</w:t>
            </w:r>
          </w:p>
        </w:tc>
        <w:tc>
          <w:tcPr>
            <w:tcW w:w="782" w:type="pct"/>
          </w:tcPr>
          <w:p w14:paraId="7C811C38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</w:p>
        </w:tc>
        <w:tc>
          <w:tcPr>
            <w:tcW w:w="782" w:type="pct"/>
          </w:tcPr>
          <w:p w14:paraId="00247D72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2ED1D83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</w:p>
        </w:tc>
      </w:tr>
      <w:tr w:rsidR="005864DF" w:rsidRPr="00FB73DF" w14:paraId="67E22BE2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23198FF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 xml:space="preserve">    Men</w:t>
            </w:r>
          </w:p>
        </w:tc>
        <w:tc>
          <w:tcPr>
            <w:tcW w:w="1564" w:type="pct"/>
            <w:gridSpan w:val="2"/>
          </w:tcPr>
          <w:p w14:paraId="53C74D1F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FE679FA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</w:tr>
      <w:tr w:rsidR="005864DF" w:rsidRPr="00FB73DF" w14:paraId="226FF0C5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6ABA628D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 xml:space="preserve">    Women</w:t>
            </w:r>
          </w:p>
        </w:tc>
        <w:tc>
          <w:tcPr>
            <w:tcW w:w="782" w:type="pct"/>
          </w:tcPr>
          <w:p w14:paraId="0B63B92E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0.17</w:t>
            </w:r>
          </w:p>
        </w:tc>
        <w:tc>
          <w:tcPr>
            <w:tcW w:w="782" w:type="pct"/>
          </w:tcPr>
          <w:p w14:paraId="0BC3DA27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-0.00 – 0.33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394C5BC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0.27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D72A6A6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0.11 – 0.44</w:t>
            </w:r>
          </w:p>
        </w:tc>
      </w:tr>
      <w:tr w:rsidR="005864DF" w:rsidRPr="00FB73DF" w14:paraId="4553938A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B746D77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Age in years</w:t>
            </w:r>
          </w:p>
        </w:tc>
        <w:tc>
          <w:tcPr>
            <w:tcW w:w="782" w:type="pct"/>
          </w:tcPr>
          <w:p w14:paraId="7C983509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0.02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2" w:type="pct"/>
          </w:tcPr>
          <w:p w14:paraId="76378D0F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0.01 – 0.02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C2B5CC7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0.01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6932086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0.01 – 0.02</w:t>
            </w:r>
          </w:p>
        </w:tc>
      </w:tr>
      <w:tr w:rsidR="005864DF" w:rsidRPr="00FB73DF" w14:paraId="7E8A14DD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4FED53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Place of residence- actual</w:t>
            </w:r>
          </w:p>
        </w:tc>
        <w:tc>
          <w:tcPr>
            <w:tcW w:w="782" w:type="pct"/>
          </w:tcPr>
          <w:p w14:paraId="3F505AF9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782" w:type="pct"/>
          </w:tcPr>
          <w:p w14:paraId="08BEE9C9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F1B8A01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</w:tr>
      <w:tr w:rsidR="005864DF" w:rsidRPr="00FB73DF" w14:paraId="27876779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24F4D96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Village</w:t>
            </w:r>
          </w:p>
        </w:tc>
        <w:tc>
          <w:tcPr>
            <w:tcW w:w="1564" w:type="pct"/>
            <w:gridSpan w:val="2"/>
          </w:tcPr>
          <w:p w14:paraId="07602B2B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F64C287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</w:tr>
      <w:tr w:rsidR="005864DF" w:rsidRPr="00FB73DF" w14:paraId="1AEECB13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09949CD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Town (≤100,000 residents)</w:t>
            </w:r>
          </w:p>
        </w:tc>
        <w:tc>
          <w:tcPr>
            <w:tcW w:w="782" w:type="pct"/>
          </w:tcPr>
          <w:p w14:paraId="63B103D4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-0.21</w:t>
            </w:r>
          </w:p>
        </w:tc>
        <w:tc>
          <w:tcPr>
            <w:tcW w:w="782" w:type="pct"/>
          </w:tcPr>
          <w:p w14:paraId="18ECCB5D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-0.45 – 0.01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425F1D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-0.16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047BB72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-0.40 – 0.09</w:t>
            </w:r>
          </w:p>
        </w:tc>
      </w:tr>
      <w:tr w:rsidR="005864DF" w:rsidRPr="00FB73DF" w14:paraId="10C0650E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5F15664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Town (&gt;100,000 residents)</w:t>
            </w:r>
          </w:p>
        </w:tc>
        <w:tc>
          <w:tcPr>
            <w:tcW w:w="782" w:type="pct"/>
          </w:tcPr>
          <w:p w14:paraId="268C26E7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-0.29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2" w:type="pct"/>
          </w:tcPr>
          <w:p w14:paraId="69BD26F6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-0.60 – -0.00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88C8A4E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-0.20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2A28B21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-0.53 – 0.11</w:t>
            </w:r>
          </w:p>
        </w:tc>
      </w:tr>
      <w:tr w:rsidR="005864DF" w:rsidRPr="002756D6" w14:paraId="423C6486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FF18B6C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lastRenderedPageBreak/>
              <w:t>Place of residence – at 15 age</w:t>
            </w:r>
          </w:p>
        </w:tc>
        <w:tc>
          <w:tcPr>
            <w:tcW w:w="782" w:type="pct"/>
          </w:tcPr>
          <w:p w14:paraId="307E970F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782" w:type="pct"/>
          </w:tcPr>
          <w:p w14:paraId="0375F8B7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D324EC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</w:tr>
      <w:tr w:rsidR="005864DF" w:rsidRPr="00FB73DF" w14:paraId="190E4C96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1E94D03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Village</w:t>
            </w:r>
          </w:p>
        </w:tc>
        <w:tc>
          <w:tcPr>
            <w:tcW w:w="1564" w:type="pct"/>
            <w:gridSpan w:val="2"/>
          </w:tcPr>
          <w:p w14:paraId="0E3C27E3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D2E0FE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</w:tr>
      <w:tr w:rsidR="005864DF" w:rsidRPr="00FB73DF" w14:paraId="352D9A2D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49CE7F0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Town (≤100,000 residents)</w:t>
            </w:r>
          </w:p>
        </w:tc>
        <w:tc>
          <w:tcPr>
            <w:tcW w:w="782" w:type="pct"/>
          </w:tcPr>
          <w:p w14:paraId="227ACD0A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-0.07</w:t>
            </w:r>
          </w:p>
        </w:tc>
        <w:tc>
          <w:tcPr>
            <w:tcW w:w="782" w:type="pct"/>
          </w:tcPr>
          <w:p w14:paraId="5C18ACDB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-0.29 – 0.16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9AC3E8D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-0.17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FE87DC4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-0.40 – 0.07</w:t>
            </w:r>
          </w:p>
        </w:tc>
      </w:tr>
      <w:tr w:rsidR="005864DF" w:rsidRPr="00FB73DF" w14:paraId="6924FB2D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1807F40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Town (&gt;100,000 residents)</w:t>
            </w:r>
          </w:p>
        </w:tc>
        <w:tc>
          <w:tcPr>
            <w:tcW w:w="782" w:type="pct"/>
          </w:tcPr>
          <w:p w14:paraId="299E77FE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-0.25</w:t>
            </w:r>
          </w:p>
        </w:tc>
        <w:tc>
          <w:tcPr>
            <w:tcW w:w="782" w:type="pct"/>
          </w:tcPr>
          <w:p w14:paraId="3F6E1886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-0.56 – 0.07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AFB0EE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-0.25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8239C03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-0.59 – 0.08</w:t>
            </w:r>
          </w:p>
        </w:tc>
      </w:tr>
      <w:tr w:rsidR="005864DF" w:rsidRPr="00FB73DF" w14:paraId="772AC859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AC4D041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Education</w:t>
            </w:r>
          </w:p>
        </w:tc>
        <w:tc>
          <w:tcPr>
            <w:tcW w:w="782" w:type="pct"/>
          </w:tcPr>
          <w:p w14:paraId="7B761E75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782" w:type="pct"/>
          </w:tcPr>
          <w:p w14:paraId="7D7B6E54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44883A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</w:tr>
      <w:tr w:rsidR="005864DF" w:rsidRPr="00FB73DF" w14:paraId="5399EAA8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F54EFC7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Primary</w:t>
            </w:r>
          </w:p>
        </w:tc>
        <w:tc>
          <w:tcPr>
            <w:tcW w:w="1564" w:type="pct"/>
            <w:gridSpan w:val="2"/>
          </w:tcPr>
          <w:p w14:paraId="387F6FFF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F86727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</w:tr>
      <w:tr w:rsidR="005864DF" w:rsidRPr="00FB73DF" w14:paraId="210315A6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2CBFE4E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Vocational</w:t>
            </w:r>
          </w:p>
        </w:tc>
        <w:tc>
          <w:tcPr>
            <w:tcW w:w="782" w:type="pct"/>
          </w:tcPr>
          <w:p w14:paraId="76E7D6EA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-0.10</w:t>
            </w:r>
          </w:p>
        </w:tc>
        <w:tc>
          <w:tcPr>
            <w:tcW w:w="782" w:type="pct"/>
          </w:tcPr>
          <w:p w14:paraId="372CD462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-0.36 – 0.16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DC735D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-0.05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42A6BB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-0.32 – 0.22</w:t>
            </w:r>
          </w:p>
        </w:tc>
      </w:tr>
      <w:tr w:rsidR="005864DF" w:rsidRPr="00FB73DF" w14:paraId="3A17AED9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E62403F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Secondary</w:t>
            </w:r>
          </w:p>
        </w:tc>
        <w:tc>
          <w:tcPr>
            <w:tcW w:w="782" w:type="pct"/>
          </w:tcPr>
          <w:p w14:paraId="6A477A8A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-0.20</w:t>
            </w:r>
          </w:p>
        </w:tc>
        <w:tc>
          <w:tcPr>
            <w:tcW w:w="782" w:type="pct"/>
          </w:tcPr>
          <w:p w14:paraId="5334EF2D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-0.48 – 0.06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C87288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-0.19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4DE9570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-0.46 – 0.08</w:t>
            </w:r>
          </w:p>
        </w:tc>
      </w:tr>
      <w:tr w:rsidR="005864DF" w:rsidRPr="00FB73DF" w14:paraId="1DC985AC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99B8769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Higher</w:t>
            </w:r>
          </w:p>
        </w:tc>
        <w:tc>
          <w:tcPr>
            <w:tcW w:w="782" w:type="pct"/>
          </w:tcPr>
          <w:p w14:paraId="1EA6930D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-0.15</w:t>
            </w:r>
          </w:p>
        </w:tc>
        <w:tc>
          <w:tcPr>
            <w:tcW w:w="782" w:type="pct"/>
          </w:tcPr>
          <w:p w14:paraId="77640D45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-0.46 – 0.16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45E0F12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-0.08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774FAE2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-0.38 – 0.24</w:t>
            </w:r>
          </w:p>
        </w:tc>
      </w:tr>
      <w:tr w:rsidR="005864DF" w:rsidRPr="00FB73DF" w14:paraId="4646BF73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719DB98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Marital status</w:t>
            </w:r>
          </w:p>
        </w:tc>
        <w:tc>
          <w:tcPr>
            <w:tcW w:w="782" w:type="pct"/>
          </w:tcPr>
          <w:p w14:paraId="160A3455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782" w:type="pct"/>
          </w:tcPr>
          <w:p w14:paraId="208659C0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D2DEF6B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</w:tr>
      <w:tr w:rsidR="005864DF" w:rsidRPr="00FB73DF" w14:paraId="72984040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32B87FB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Married</w:t>
            </w:r>
          </w:p>
        </w:tc>
        <w:tc>
          <w:tcPr>
            <w:tcW w:w="1564" w:type="pct"/>
            <w:gridSpan w:val="2"/>
          </w:tcPr>
          <w:p w14:paraId="580C5C8F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47B283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</w:tr>
      <w:tr w:rsidR="005864DF" w:rsidRPr="00FB73DF" w14:paraId="034CC16F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5E5D068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Single (never married)</w:t>
            </w:r>
          </w:p>
        </w:tc>
        <w:tc>
          <w:tcPr>
            <w:tcW w:w="782" w:type="pct"/>
          </w:tcPr>
          <w:p w14:paraId="6C791B0B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-0.08</w:t>
            </w:r>
          </w:p>
        </w:tc>
        <w:tc>
          <w:tcPr>
            <w:tcW w:w="782" w:type="pct"/>
          </w:tcPr>
          <w:p w14:paraId="7D0F5919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-0.31 – 0.14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DA07B2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0.05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7661BFE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-0.18 – 0.29</w:t>
            </w:r>
          </w:p>
        </w:tc>
      </w:tr>
      <w:tr w:rsidR="005864DF" w:rsidRPr="00FB73DF" w14:paraId="6F4D2B78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2A570DA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Separated or divorced</w:t>
            </w:r>
          </w:p>
        </w:tc>
        <w:tc>
          <w:tcPr>
            <w:tcW w:w="782" w:type="pct"/>
          </w:tcPr>
          <w:p w14:paraId="0FE73783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-0.65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2" w:type="pct"/>
          </w:tcPr>
          <w:p w14:paraId="34495EAD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-0.97 – -0.33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C1F4A0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-0.41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4D29FE7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-0.72 – -0.09</w:t>
            </w:r>
          </w:p>
        </w:tc>
      </w:tr>
      <w:tr w:rsidR="005864DF" w:rsidRPr="00FB73DF" w14:paraId="5330AE83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E899087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Widowed</w:t>
            </w:r>
          </w:p>
        </w:tc>
        <w:tc>
          <w:tcPr>
            <w:tcW w:w="782" w:type="pct"/>
          </w:tcPr>
          <w:p w14:paraId="7E7A87A5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-0.25</w:t>
            </w:r>
          </w:p>
        </w:tc>
        <w:tc>
          <w:tcPr>
            <w:tcW w:w="782" w:type="pct"/>
          </w:tcPr>
          <w:p w14:paraId="3DB2C7D7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-0.53 – 0.02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EA96989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-0.11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4426BDD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-0.40 – 0.18</w:t>
            </w:r>
          </w:p>
        </w:tc>
      </w:tr>
      <w:tr w:rsidR="005864DF" w:rsidRPr="005864DF" w14:paraId="4ECCF66A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DA3BE65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Income (per person in family)</w:t>
            </w:r>
          </w:p>
        </w:tc>
        <w:tc>
          <w:tcPr>
            <w:tcW w:w="782" w:type="pct"/>
          </w:tcPr>
          <w:p w14:paraId="5DCBE442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782" w:type="pct"/>
          </w:tcPr>
          <w:p w14:paraId="7200A153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39D5D4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</w:tr>
      <w:tr w:rsidR="005864DF" w:rsidRPr="00FB73DF" w14:paraId="1E584D26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8161687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Up to 1499 PLN</w:t>
            </w:r>
          </w:p>
        </w:tc>
        <w:tc>
          <w:tcPr>
            <w:tcW w:w="1564" w:type="pct"/>
            <w:gridSpan w:val="2"/>
          </w:tcPr>
          <w:p w14:paraId="726B0099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E02D955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</w:tr>
      <w:tr w:rsidR="005864DF" w:rsidRPr="00FB73DF" w14:paraId="6780CE58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C947848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From 1500 PLN to 2999 PLN</w:t>
            </w:r>
          </w:p>
        </w:tc>
        <w:tc>
          <w:tcPr>
            <w:tcW w:w="782" w:type="pct"/>
          </w:tcPr>
          <w:p w14:paraId="26D734F4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-0.18</w:t>
            </w:r>
          </w:p>
        </w:tc>
        <w:tc>
          <w:tcPr>
            <w:tcW w:w="782" w:type="pct"/>
          </w:tcPr>
          <w:p w14:paraId="29174378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-0.37 – 0.02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84095D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-0.16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0682C85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-0.35 – 0.04</w:t>
            </w:r>
          </w:p>
        </w:tc>
      </w:tr>
      <w:tr w:rsidR="005864DF" w:rsidRPr="00FB73DF" w14:paraId="5AFB0810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378F2B0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3000 PLN and more</w:t>
            </w:r>
          </w:p>
        </w:tc>
        <w:tc>
          <w:tcPr>
            <w:tcW w:w="782" w:type="pct"/>
          </w:tcPr>
          <w:p w14:paraId="62033947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-0.23</w:t>
            </w:r>
          </w:p>
        </w:tc>
        <w:tc>
          <w:tcPr>
            <w:tcW w:w="782" w:type="pct"/>
          </w:tcPr>
          <w:p w14:paraId="30B955D9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-0.53 – 0.08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1F45BD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-0.34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7C350AF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-0.66 – -0.02</w:t>
            </w:r>
          </w:p>
        </w:tc>
      </w:tr>
      <w:tr w:rsidR="005864DF" w:rsidRPr="00FB73DF" w14:paraId="6AE20F1C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6B713A62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Refusal to answer</w:t>
            </w:r>
          </w:p>
        </w:tc>
        <w:tc>
          <w:tcPr>
            <w:tcW w:w="782" w:type="pct"/>
          </w:tcPr>
          <w:p w14:paraId="71D9A301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-0.14</w:t>
            </w:r>
          </w:p>
        </w:tc>
        <w:tc>
          <w:tcPr>
            <w:tcW w:w="782" w:type="pct"/>
          </w:tcPr>
          <w:p w14:paraId="454F62A9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-0.36 – 0.07</w:t>
            </w: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188CCA2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-0.10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81F1128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-0.31 – 0.12</w:t>
            </w:r>
          </w:p>
        </w:tc>
      </w:tr>
      <w:tr w:rsidR="005864DF" w:rsidRPr="00FB73DF" w14:paraId="30BA0CD9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6A8E5E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Ideological self-placement</w:t>
            </w:r>
          </w:p>
        </w:tc>
        <w:tc>
          <w:tcPr>
            <w:tcW w:w="782" w:type="pct"/>
          </w:tcPr>
          <w:p w14:paraId="7BE4AD3F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782" w:type="pct"/>
          </w:tcPr>
          <w:p w14:paraId="0ED748E5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14282B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455F58D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</w:tr>
      <w:tr w:rsidR="005864DF" w:rsidRPr="00FB73DF" w14:paraId="394704C0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C8BA683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 Right</w:t>
            </w:r>
          </w:p>
        </w:tc>
        <w:tc>
          <w:tcPr>
            <w:tcW w:w="782" w:type="pct"/>
          </w:tcPr>
          <w:p w14:paraId="447FECF2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</w:p>
        </w:tc>
        <w:tc>
          <w:tcPr>
            <w:tcW w:w="782" w:type="pct"/>
          </w:tcPr>
          <w:p w14:paraId="7AB1D567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</w:pP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54DA4A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Reference</w:t>
            </w:r>
          </w:p>
        </w:tc>
      </w:tr>
      <w:tr w:rsidR="005864DF" w:rsidRPr="00FB73DF" w14:paraId="38F8CEBC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8E189B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 Center</w:t>
            </w:r>
          </w:p>
        </w:tc>
        <w:tc>
          <w:tcPr>
            <w:tcW w:w="782" w:type="pct"/>
          </w:tcPr>
          <w:p w14:paraId="0A52F0DE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2" w:type="pct"/>
          </w:tcPr>
          <w:p w14:paraId="2AEF202F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B27302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-0.97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2F2D598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-1.16 – -0.77</w:t>
            </w:r>
          </w:p>
        </w:tc>
      </w:tr>
      <w:tr w:rsidR="005864DF" w:rsidRPr="00FB73DF" w14:paraId="2FF78831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C1FC3B6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cs="Times New Roman"/>
                <w:szCs w:val="24"/>
                <w:lang w:val="en-US"/>
              </w:rPr>
              <w:t xml:space="preserve">      Left</w:t>
            </w:r>
          </w:p>
        </w:tc>
        <w:tc>
          <w:tcPr>
            <w:tcW w:w="782" w:type="pct"/>
          </w:tcPr>
          <w:p w14:paraId="29A3FD8D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2" w:type="pct"/>
          </w:tcPr>
          <w:p w14:paraId="1342DB4C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6E3BA9F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-1.46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97B083A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-1.70 – -1.20</w:t>
            </w:r>
          </w:p>
        </w:tc>
      </w:tr>
      <w:tr w:rsidR="005864DF" w:rsidRPr="00FB73DF" w14:paraId="526CBCDD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6308196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 xml:space="preserve">      Hard to say</w:t>
            </w:r>
          </w:p>
        </w:tc>
        <w:tc>
          <w:tcPr>
            <w:tcW w:w="782" w:type="pct"/>
          </w:tcPr>
          <w:p w14:paraId="4DE843C3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2" w:type="pct"/>
          </w:tcPr>
          <w:p w14:paraId="627C7BBC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3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CA3CAB7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-0.81</w:t>
            </w:r>
            <w:r w:rsidRPr="00FB73DF">
              <w:rPr>
                <w:rFonts w:cs="Times New Roman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7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2A4AC25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/>
              </w:rPr>
              <w:t>-1.05 – -0.56</w:t>
            </w:r>
          </w:p>
        </w:tc>
      </w:tr>
      <w:tr w:rsidR="005864DF" w:rsidRPr="00FB73DF" w14:paraId="31835526" w14:textId="77777777" w:rsidTr="00B03719">
        <w:tc>
          <w:tcPr>
            <w:tcW w:w="1641" w:type="pct"/>
            <w:tcBorders>
              <w:top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09657AF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Observations</w:t>
            </w:r>
          </w:p>
        </w:tc>
        <w:tc>
          <w:tcPr>
            <w:tcW w:w="1564" w:type="pct"/>
            <w:gridSpan w:val="2"/>
            <w:tcBorders>
              <w:top w:val="single" w:sz="6" w:space="0" w:color="auto"/>
            </w:tcBorders>
          </w:tcPr>
          <w:p w14:paraId="12AE8F8C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874</w:t>
            </w:r>
          </w:p>
        </w:tc>
        <w:tc>
          <w:tcPr>
            <w:tcW w:w="1795" w:type="pct"/>
            <w:gridSpan w:val="2"/>
            <w:tcBorders>
              <w:top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DC59F76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874</w:t>
            </w:r>
          </w:p>
        </w:tc>
      </w:tr>
      <w:tr w:rsidR="005864DF" w:rsidRPr="00FB73DF" w14:paraId="6C44F11C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6666022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R</w:t>
            </w:r>
            <w:r w:rsidRPr="00FB73DF">
              <w:rPr>
                <w:rFonts w:eastAsia="Times New Roman" w:cs="Times New Roman"/>
                <w:szCs w:val="24"/>
                <w:vertAlign w:val="superscript"/>
                <w:lang w:val="en-US" w:eastAsia="pl-PL"/>
              </w:rPr>
              <w:t>2</w:t>
            </w: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 xml:space="preserve"> Bayes</w:t>
            </w:r>
          </w:p>
        </w:tc>
        <w:tc>
          <w:tcPr>
            <w:tcW w:w="1564" w:type="pct"/>
            <w:gridSpan w:val="2"/>
          </w:tcPr>
          <w:p w14:paraId="7082BD35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0.12</w:t>
            </w: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2A197AF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0.27</w:t>
            </w:r>
          </w:p>
        </w:tc>
      </w:tr>
      <w:tr w:rsidR="005864DF" w:rsidRPr="00FB73DF" w14:paraId="7DF2B64C" w14:textId="77777777" w:rsidTr="00B03719">
        <w:tc>
          <w:tcPr>
            <w:tcW w:w="1641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E2A587" w14:textId="77777777" w:rsidR="005864DF" w:rsidRPr="00FB73DF" w:rsidRDefault="005864DF" w:rsidP="00B03719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R</w:t>
            </w:r>
            <w:r w:rsidRPr="00FB73DF">
              <w:rPr>
                <w:rFonts w:eastAsia="Times New Roman" w:cs="Times New Roman"/>
                <w:szCs w:val="24"/>
                <w:vertAlign w:val="superscript"/>
                <w:lang w:val="en-US" w:eastAsia="pl-PL"/>
              </w:rPr>
              <w:t>2</w:t>
            </w: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 xml:space="preserve"> Bayes MZ</w:t>
            </w:r>
          </w:p>
        </w:tc>
        <w:tc>
          <w:tcPr>
            <w:tcW w:w="1564" w:type="pct"/>
            <w:gridSpan w:val="2"/>
          </w:tcPr>
          <w:p w14:paraId="30F4E451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0.16</w:t>
            </w:r>
          </w:p>
        </w:tc>
        <w:tc>
          <w:tcPr>
            <w:tcW w:w="1795" w:type="pct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DE7BAB6" w14:textId="77777777" w:rsidR="005864DF" w:rsidRPr="00FB73DF" w:rsidRDefault="005864DF" w:rsidP="00B037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FB73DF">
              <w:rPr>
                <w:rFonts w:eastAsia="Times New Roman" w:cs="Times New Roman"/>
                <w:szCs w:val="24"/>
                <w:lang w:val="en-US" w:eastAsia="pl-PL"/>
              </w:rPr>
              <w:t>0.34</w:t>
            </w:r>
          </w:p>
        </w:tc>
      </w:tr>
    </w:tbl>
    <w:p w14:paraId="63488E2C" w14:textId="77777777" w:rsidR="005864DF" w:rsidRPr="00F64950" w:rsidRDefault="005864DF" w:rsidP="005864DF">
      <w:pPr>
        <w:spacing w:after="0" w:line="240" w:lineRule="auto"/>
        <w:rPr>
          <w:rFonts w:cs="Times New Roman"/>
          <w:lang w:val="en-US"/>
        </w:rPr>
      </w:pPr>
      <w:r w:rsidRPr="00FB73DF">
        <w:rPr>
          <w:rFonts w:cs="Times New Roman"/>
          <w:i/>
          <w:iCs/>
          <w:lang w:val="en-US"/>
        </w:rPr>
        <w:t>Note</w:t>
      </w:r>
      <w:r w:rsidRPr="00F64950">
        <w:rPr>
          <w:rFonts w:cs="Times New Roman"/>
          <w:lang w:val="en-US"/>
        </w:rPr>
        <w:t xml:space="preserve">. Estimate = Posterior means of the regression parameters; CI (95%) = Lower and upper bounds of the 95% credible intervals; *p &lt; 0.05. </w:t>
      </w:r>
    </w:p>
    <w:p w14:paraId="718324E5" w14:textId="77777777" w:rsidR="005864DF" w:rsidRDefault="005864DF" w:rsidP="005864DF">
      <w:pPr>
        <w:rPr>
          <w:lang w:val="en-US"/>
        </w:rPr>
      </w:pPr>
    </w:p>
    <w:p w14:paraId="44A6FD3C" w14:textId="77777777" w:rsidR="003F6A6F" w:rsidRPr="005864DF" w:rsidRDefault="003F6A6F">
      <w:pPr>
        <w:rPr>
          <w:lang w:val="en-US"/>
        </w:rPr>
      </w:pPr>
    </w:p>
    <w:sectPr w:rsidR="003F6A6F" w:rsidRPr="0058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7F8"/>
    <w:multiLevelType w:val="multilevel"/>
    <w:tmpl w:val="7D34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9648AC"/>
    <w:multiLevelType w:val="multilevel"/>
    <w:tmpl w:val="EB5814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95273691">
    <w:abstractNumId w:val="1"/>
  </w:num>
  <w:num w:numId="2" w16cid:durableId="19284806">
    <w:abstractNumId w:val="1"/>
  </w:num>
  <w:num w:numId="3" w16cid:durableId="1282999715">
    <w:abstractNumId w:val="1"/>
  </w:num>
  <w:num w:numId="4" w16cid:durableId="1855879688">
    <w:abstractNumId w:val="1"/>
  </w:num>
  <w:num w:numId="5" w16cid:durableId="1580553685">
    <w:abstractNumId w:val="1"/>
  </w:num>
  <w:num w:numId="6" w16cid:durableId="1418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DF"/>
    <w:rsid w:val="00010EA5"/>
    <w:rsid w:val="003F6A6F"/>
    <w:rsid w:val="005864DF"/>
    <w:rsid w:val="00675B22"/>
    <w:rsid w:val="006B2D8C"/>
    <w:rsid w:val="0082134B"/>
    <w:rsid w:val="009721E1"/>
    <w:rsid w:val="009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B15"/>
  <w15:chartTrackingRefBased/>
  <w15:docId w15:val="{065E964E-E583-4F58-8C07-A8335056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4DF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95B23"/>
    <w:pPr>
      <w:keepNext/>
      <w:keepLines/>
      <w:numPr>
        <w:ilvl w:val="1"/>
        <w:numId w:val="5"/>
      </w:numPr>
      <w:spacing w:before="40" w:after="0" w:line="240" w:lineRule="auto"/>
      <w:outlineLvl w:val="1"/>
    </w:pPr>
    <w:rPr>
      <w:rFonts w:eastAsiaTheme="majorEastAsia" w:cstheme="majorBidi"/>
      <w:color w:val="2F5496" w:themeColor="accent1" w:themeShade="BF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95B23"/>
    <w:pPr>
      <w:keepNext/>
      <w:keepLines/>
      <w:numPr>
        <w:ilvl w:val="2"/>
        <w:numId w:val="5"/>
      </w:numPr>
      <w:spacing w:before="40" w:after="0" w:line="240" w:lineRule="auto"/>
      <w:outlineLvl w:val="2"/>
    </w:pPr>
    <w:rPr>
      <w:rFonts w:eastAsiaTheme="majorEastAsia" w:cstheme="majorBidi"/>
      <w:color w:val="1F3763" w:themeColor="accent1" w:themeShade="7F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95B23"/>
    <w:pPr>
      <w:keepNext/>
      <w:keepLines/>
      <w:numPr>
        <w:ilvl w:val="3"/>
        <w:numId w:val="5"/>
      </w:numPr>
      <w:spacing w:before="40" w:after="0" w:line="240" w:lineRule="auto"/>
      <w:outlineLvl w:val="3"/>
    </w:pPr>
    <w:rPr>
      <w:rFonts w:eastAsiaTheme="majorEastAsia" w:cstheme="majorBidi"/>
      <w:i/>
      <w:iCs/>
      <w:color w:val="2F5496" w:themeColor="accent1" w:themeShade="BF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995B23"/>
    <w:pPr>
      <w:keepNext/>
      <w:keepLines/>
      <w:numPr>
        <w:ilvl w:val="4"/>
        <w:numId w:val="6"/>
      </w:numPr>
      <w:spacing w:before="40" w:after="0" w:line="240" w:lineRule="auto"/>
      <w:ind w:left="1008" w:hanging="1008"/>
      <w:outlineLvl w:val="4"/>
    </w:pPr>
    <w:rPr>
      <w:rFonts w:eastAsiaTheme="majorEastAsia" w:cstheme="majorBidi"/>
      <w:color w:val="2F5496" w:themeColor="accent1" w:themeShade="B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00">
    <w:name w:val="Styl100"/>
    <w:basedOn w:val="Legenda"/>
    <w:link w:val="Styl100Znak"/>
    <w:autoRedefine/>
    <w:qFormat/>
    <w:rsid w:val="0082134B"/>
    <w:rPr>
      <w:sz w:val="24"/>
    </w:rPr>
  </w:style>
  <w:style w:type="character" w:customStyle="1" w:styleId="Styl100Znak">
    <w:name w:val="Styl100 Znak"/>
    <w:basedOn w:val="Domylnaczcionkaakapitu"/>
    <w:link w:val="Styl100"/>
    <w:rsid w:val="0082134B"/>
    <w:rPr>
      <w:rFonts w:ascii="Times New Roman" w:hAnsi="Times New Roman"/>
      <w:i/>
      <w:iCs/>
      <w:color w:val="44546A" w:themeColor="text2"/>
      <w:sz w:val="24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213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95B23"/>
    <w:rPr>
      <w:rFonts w:ascii="Times New Roman" w:eastAsiaTheme="majorEastAsia" w:hAnsi="Times New Roman" w:cstheme="majorBidi"/>
      <w:color w:val="2F5496" w:themeColor="accent1" w:themeShade="BF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5B23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5B23"/>
    <w:rPr>
      <w:rFonts w:ascii="Times New Roman" w:eastAsiaTheme="majorEastAsia" w:hAnsi="Times New Roman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95B23"/>
    <w:rPr>
      <w:rFonts w:ascii="Times New Roman" w:eastAsiaTheme="majorEastAsia" w:hAnsi="Times New Roman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Grygiel</dc:creator>
  <cp:keywords/>
  <dc:description/>
  <cp:lastModifiedBy>Irena Borowik</cp:lastModifiedBy>
  <cp:revision>2</cp:revision>
  <dcterms:created xsi:type="dcterms:W3CDTF">2022-05-09T19:33:00Z</dcterms:created>
  <dcterms:modified xsi:type="dcterms:W3CDTF">2022-05-09T19:33:00Z</dcterms:modified>
</cp:coreProperties>
</file>