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96" w:rsidRDefault="00540093">
      <w:pPr>
        <w:pStyle w:val="Heading1"/>
        <w:rPr>
          <w:rFonts w:eastAsia="Times New Roman"/>
          <w:lang w:val="en-GB"/>
        </w:rPr>
      </w:pPr>
      <w:bookmarkStart w:id="0" w:name="appendix"/>
      <w:bookmarkEnd w:id="0"/>
      <w:r>
        <w:rPr>
          <w:rFonts w:eastAsia="Times New Roman"/>
          <w:lang w:val="en-GB"/>
        </w:rPr>
        <w:t>Appendix</w:t>
      </w:r>
    </w:p>
    <w:p w:rsidR="00C84796" w:rsidRDefault="00540093">
      <w:pPr>
        <w:pStyle w:val="Heading2"/>
        <w:rPr>
          <w:rFonts w:eastAsia="Times New Roman"/>
          <w:lang w:val="en-GB"/>
        </w:rPr>
      </w:pPr>
      <w:bookmarkStart w:id="1" w:name="thresholds-for-the-measurement-models-fr"/>
      <w:bookmarkEnd w:id="1"/>
      <w:r>
        <w:rPr>
          <w:rFonts w:eastAsia="Times New Roman"/>
          <w:lang w:val="en-GB"/>
        </w:rPr>
        <w:t>Thresholds for the measurement models</w:t>
      </w:r>
    </w:p>
    <w:p w:rsidR="00C84796" w:rsidRDefault="00540093">
      <w:pPr>
        <w:pStyle w:val="NormalWeb"/>
        <w:spacing w:before="280" w:after="280" w:afterAutospacing="0"/>
        <w:jc w:val="center"/>
        <w:rPr>
          <w:lang w:val="en-GB"/>
        </w:rPr>
      </w:pPr>
      <w:r>
        <w:rPr>
          <w:lang w:val="en-GB"/>
        </w:rPr>
        <w:t xml:space="preserve">Table 5: </w:t>
      </w:r>
      <w:r>
        <w:rPr>
          <w:lang w:val="en-GB"/>
        </w:rPr>
        <w:t>Treshold parameters for the measurement of political secularism by five items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1508"/>
        <w:gridCol w:w="1424"/>
        <w:gridCol w:w="1508"/>
        <w:gridCol w:w="1439"/>
      </w:tblGrid>
      <w:tr w:rsidR="00C84796">
        <w:trPr>
          <w:tblHeader/>
        </w:trPr>
        <w:tc>
          <w:tcPr>
            <w:tcW w:w="3193" w:type="dxa"/>
            <w:shd w:val="clear" w:color="auto" w:fill="auto"/>
            <w:vAlign w:val="center"/>
          </w:tcPr>
          <w:p w:rsidR="00C84796" w:rsidRDefault="00C84796">
            <w:pPr>
              <w:rPr>
                <w:lang w:val="en-GB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West 2016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East 2016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West 2012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East 2012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Symbols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0.23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0.36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Symbols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0.34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0.63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0.36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Symbols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Symbols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1.12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0.30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C84796"/>
        </w:tc>
        <w:tc>
          <w:tcPr>
            <w:tcW w:w="14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C84796"/>
        </w:tc>
        <w:tc>
          <w:tcPr>
            <w:tcW w:w="14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Science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1.47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1.09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1.39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Science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0.94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Science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0.60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Science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C84796"/>
        </w:tc>
        <w:tc>
          <w:tcPr>
            <w:tcW w:w="14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C84796"/>
        </w:tc>
        <w:tc>
          <w:tcPr>
            <w:tcW w:w="14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Education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0.82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Education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0.65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Education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0.30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0.02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Education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C84796"/>
        </w:tc>
        <w:tc>
          <w:tcPr>
            <w:tcW w:w="14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C84796"/>
        </w:tc>
        <w:tc>
          <w:tcPr>
            <w:tcW w:w="14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Debates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1.03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Debates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0.25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Debates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Debates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C84796"/>
        </w:tc>
        <w:tc>
          <w:tcPr>
            <w:tcW w:w="14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C84796"/>
        </w:tc>
        <w:tc>
          <w:tcPr>
            <w:tcW w:w="14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 xml:space="preserve">Threshold 1: </w:t>
            </w:r>
            <w:r>
              <w:t>God EU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1.40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1.38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God EU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0.91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1.06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0.79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God EU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0.47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0.62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0.29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God EU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C84796"/>
        </w:tc>
        <w:tc>
          <w:tcPr>
            <w:tcW w:w="14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C84796"/>
        </w:tc>
        <w:tc>
          <w:tcPr>
            <w:tcW w:w="14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Observations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1269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739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2334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1121</w:t>
            </w:r>
          </w:p>
        </w:tc>
      </w:tr>
      <w:tr w:rsidR="00C84796">
        <w:tc>
          <w:tcPr>
            <w:tcW w:w="9072" w:type="dxa"/>
            <w:gridSpan w:val="5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rPr>
                <w:vertAlign w:val="superscript"/>
                <w:lang w:val="en-US"/>
              </w:rPr>
              <w:t> </w:t>
            </w:r>
            <w:r>
              <w:rPr>
                <w:vertAlign w:val="superscript"/>
                <w:lang w:val="en-US"/>
              </w:rPr>
              <w:t>***</w:t>
            </w:r>
            <w:r>
              <w:rPr>
                <w:rStyle w:val="Emphasis"/>
                <w:lang w:val="en-US"/>
              </w:rPr>
              <w:t>p</w:t>
            </w:r>
            <w:r>
              <w:rPr>
                <w:lang w:val="en-US"/>
              </w:rPr>
              <w:t> </w:t>
            </w:r>
            <w:r>
              <w:rPr>
                <w:lang w:val="en-US"/>
              </w:rPr>
              <w:t xml:space="preserve">&lt; 0.001; </w:t>
            </w:r>
            <w:r>
              <w:rPr>
                <w:vertAlign w:val="superscript"/>
                <w:lang w:val="en-US"/>
              </w:rPr>
              <w:t> </w:t>
            </w:r>
            <w:r>
              <w:rPr>
                <w:vertAlign w:val="superscript"/>
                <w:lang w:val="en-US"/>
              </w:rPr>
              <w:t>**</w:t>
            </w:r>
            <w:r>
              <w:rPr>
                <w:rStyle w:val="Emphasis"/>
                <w:lang w:val="en-US"/>
              </w:rPr>
              <w:t>p</w:t>
            </w:r>
            <w:r>
              <w:rPr>
                <w:lang w:val="en-US"/>
              </w:rPr>
              <w:t> </w:t>
            </w:r>
            <w:r>
              <w:rPr>
                <w:lang w:val="en-US"/>
              </w:rPr>
              <w:t xml:space="preserve">&lt; 0.01; </w:t>
            </w:r>
            <w:r>
              <w:rPr>
                <w:vertAlign w:val="superscript"/>
                <w:lang w:val="en-US"/>
              </w:rPr>
              <w:t>*</w:t>
            </w:r>
            <w:r>
              <w:rPr>
                <w:rStyle w:val="Emphasis"/>
                <w:lang w:val="en-US"/>
              </w:rPr>
              <w:t>p</w:t>
            </w:r>
            <w:r>
              <w:rPr>
                <w:lang w:val="en-US"/>
              </w:rPr>
              <w:t> </w:t>
            </w:r>
            <w:r>
              <w:rPr>
                <w:lang w:val="en-US"/>
              </w:rPr>
              <w:t xml:space="preserve">&lt; 0.05. This table shows the threshold parameters that were omitted from Table </w:t>
            </w:r>
            <w:hyperlink w:anchor="measurement-5-items-loadings">
              <w:r>
                <w:rPr>
                  <w:rStyle w:val="InternetLink"/>
                  <w:lang w:val="en-US"/>
                </w:rPr>
                <w:t>1</w:t>
              </w:r>
            </w:hyperlink>
          </w:p>
        </w:tc>
      </w:tr>
    </w:tbl>
    <w:p w:rsidR="00C84796" w:rsidRDefault="00540093">
      <w:pPr>
        <w:pStyle w:val="NormalWeb"/>
        <w:spacing w:before="280" w:after="280" w:afterAutospacing="0"/>
        <w:jc w:val="center"/>
        <w:rPr>
          <w:lang w:val="en-GB"/>
        </w:rPr>
      </w:pPr>
      <w:r>
        <w:lastRenderedPageBreak/>
        <w:br w:type="page"/>
      </w:r>
    </w:p>
    <w:p w:rsidR="00C84796" w:rsidRDefault="00540093">
      <w:pPr>
        <w:pStyle w:val="NormalWeb"/>
        <w:spacing w:before="280" w:after="280" w:afterAutospacing="0"/>
        <w:jc w:val="center"/>
        <w:rPr>
          <w:lang w:val="en-GB"/>
        </w:rPr>
      </w:pPr>
      <w:r>
        <w:rPr>
          <w:lang w:val="en-GB"/>
        </w:rPr>
        <w:lastRenderedPageBreak/>
        <w:t>Table 6: Treshold parameters for the measurement of political secularism by four items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1508"/>
        <w:gridCol w:w="1424"/>
        <w:gridCol w:w="1508"/>
        <w:gridCol w:w="1439"/>
      </w:tblGrid>
      <w:tr w:rsidR="00C84796">
        <w:trPr>
          <w:tblHeader/>
        </w:trPr>
        <w:tc>
          <w:tcPr>
            <w:tcW w:w="3193" w:type="dxa"/>
            <w:shd w:val="clear" w:color="auto" w:fill="auto"/>
            <w:vAlign w:val="center"/>
          </w:tcPr>
          <w:p w:rsidR="00C84796" w:rsidRDefault="00C84796">
            <w:pPr>
              <w:rPr>
                <w:lang w:val="en-GB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West 2016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East 2016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West 2012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East 2012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Science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1.47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1.09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1.39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Science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0.94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Science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0.60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Science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C84796"/>
        </w:tc>
        <w:tc>
          <w:tcPr>
            <w:tcW w:w="14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C84796"/>
        </w:tc>
        <w:tc>
          <w:tcPr>
            <w:tcW w:w="14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Education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0.82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Education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0.65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Education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0.30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0.02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Education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C84796"/>
        </w:tc>
        <w:tc>
          <w:tcPr>
            <w:tcW w:w="14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C84796"/>
        </w:tc>
        <w:tc>
          <w:tcPr>
            <w:tcW w:w="14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Debates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1.03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Debates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0.25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Debates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Debates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C84796"/>
        </w:tc>
        <w:tc>
          <w:tcPr>
            <w:tcW w:w="14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C84796"/>
        </w:tc>
        <w:tc>
          <w:tcPr>
            <w:tcW w:w="14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God EU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1.40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1.38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God EU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0.91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1.06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0.79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God EU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0.47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0.62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0.29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/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God EU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C84796"/>
        </w:tc>
        <w:tc>
          <w:tcPr>
            <w:tcW w:w="14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C84796"/>
        </w:tc>
        <w:tc>
          <w:tcPr>
            <w:tcW w:w="14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3193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Observations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1269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739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2330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1121</w:t>
            </w:r>
          </w:p>
        </w:tc>
      </w:tr>
      <w:tr w:rsidR="00C84796">
        <w:tc>
          <w:tcPr>
            <w:tcW w:w="9072" w:type="dxa"/>
            <w:gridSpan w:val="5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rPr>
                <w:vertAlign w:val="superscript"/>
                <w:lang w:val="en-US"/>
              </w:rPr>
              <w:t> </w:t>
            </w:r>
            <w:r>
              <w:rPr>
                <w:vertAlign w:val="superscript"/>
                <w:lang w:val="en-US"/>
              </w:rPr>
              <w:t>***</w:t>
            </w:r>
            <w:r>
              <w:rPr>
                <w:rStyle w:val="Emphasis"/>
                <w:lang w:val="en-US"/>
              </w:rPr>
              <w:t>p</w:t>
            </w:r>
            <w:r>
              <w:rPr>
                <w:lang w:val="en-US"/>
              </w:rPr>
              <w:t> </w:t>
            </w:r>
            <w:r>
              <w:rPr>
                <w:lang w:val="en-US"/>
              </w:rPr>
              <w:t xml:space="preserve">&lt; 0.001; </w:t>
            </w:r>
            <w:r>
              <w:rPr>
                <w:vertAlign w:val="superscript"/>
                <w:lang w:val="en-US"/>
              </w:rPr>
              <w:t> </w:t>
            </w:r>
            <w:r>
              <w:rPr>
                <w:vertAlign w:val="superscript"/>
                <w:lang w:val="en-US"/>
              </w:rPr>
              <w:t>**</w:t>
            </w:r>
            <w:r>
              <w:rPr>
                <w:rStyle w:val="Emphasis"/>
                <w:lang w:val="en-US"/>
              </w:rPr>
              <w:t>p</w:t>
            </w:r>
            <w:r>
              <w:rPr>
                <w:lang w:val="en-US"/>
              </w:rPr>
              <w:t> </w:t>
            </w:r>
            <w:r>
              <w:rPr>
                <w:lang w:val="en-US"/>
              </w:rPr>
              <w:t xml:space="preserve">&lt; 0.01; </w:t>
            </w:r>
            <w:r>
              <w:rPr>
                <w:vertAlign w:val="superscript"/>
                <w:lang w:val="en-US"/>
              </w:rPr>
              <w:t>*</w:t>
            </w:r>
            <w:r>
              <w:rPr>
                <w:rStyle w:val="Emphasis"/>
                <w:lang w:val="en-US"/>
              </w:rPr>
              <w:t>p</w:t>
            </w:r>
            <w:r>
              <w:rPr>
                <w:lang w:val="en-US"/>
              </w:rPr>
              <w:t> </w:t>
            </w:r>
            <w:r>
              <w:rPr>
                <w:lang w:val="en-US"/>
              </w:rPr>
              <w:t xml:space="preserve">&lt; 0.05. This table shows the threshold parameters that were omitted from Table </w:t>
            </w:r>
            <w:hyperlink w:anchor="measurement-4-items-loadings">
              <w:r>
                <w:rPr>
                  <w:rStyle w:val="InternetLink"/>
                  <w:lang w:val="en-US"/>
                </w:rPr>
                <w:t>2</w:t>
              </w:r>
            </w:hyperlink>
          </w:p>
        </w:tc>
      </w:tr>
    </w:tbl>
    <w:p w:rsidR="00C84796" w:rsidRDefault="00540093">
      <w:pPr>
        <w:pStyle w:val="Heading2"/>
        <w:rPr>
          <w:rFonts w:eastAsia="Times New Roman"/>
          <w:lang w:val="en-GB"/>
        </w:rPr>
      </w:pPr>
      <w:bookmarkStart w:id="2" w:name="appendix-measurement-abortion"/>
      <w:bookmarkEnd w:id="2"/>
      <w:r>
        <w:rPr>
          <w:rFonts w:eastAsia="Times New Roman"/>
          <w:lang w:val="en-GB"/>
        </w:rPr>
        <w:t>Measurement model for attitudes on abortion</w:t>
      </w:r>
    </w:p>
    <w:p w:rsidR="00C84796" w:rsidRDefault="00540093">
      <w:pPr>
        <w:pStyle w:val="NormalWeb"/>
        <w:rPr>
          <w:lang w:val="en-GB"/>
        </w:rPr>
      </w:pPr>
      <w:r>
        <w:rPr>
          <w:lang w:val="en-GB"/>
        </w:rPr>
        <w:t xml:space="preserve">The ALLBUS 2012 included several items that tapped into attitudes on abortion. One of them confronted respondents with a whole battery of vignettes and asked them whether abortion should be legal under these </w:t>
      </w:r>
      <w:r>
        <w:rPr>
          <w:lang w:val="en-GB"/>
        </w:rPr>
        <w:t>circumstances. Four of these questions were replicated in the PRDB study. Should abortion be legal …</w:t>
      </w:r>
    </w:p>
    <w:p w:rsidR="00C84796" w:rsidRDefault="00540093">
      <w:pPr>
        <w:pStyle w:val="NormalWeb"/>
        <w:numPr>
          <w:ilvl w:val="0"/>
          <w:numId w:val="1"/>
        </w:numPr>
        <w:spacing w:before="280"/>
        <w:rPr>
          <w:lang w:val="en-GB"/>
        </w:rPr>
      </w:pPr>
      <w:r>
        <w:rPr>
          <w:lang w:val="en-GB"/>
        </w:rPr>
        <w:t>… if there was a high probability that the baby would suffer from a serious birth defect (</w:t>
      </w:r>
      <w:r>
        <w:rPr>
          <w:rStyle w:val="Emphasis"/>
          <w:lang w:val="en-GB"/>
        </w:rPr>
        <w:t>Birth Defect</w:t>
      </w:r>
      <w:r>
        <w:rPr>
          <w:lang w:val="en-GB"/>
        </w:rPr>
        <w:t>)</w:t>
      </w:r>
    </w:p>
    <w:p w:rsidR="00C84796" w:rsidRDefault="00540093">
      <w:pPr>
        <w:pStyle w:val="NormalWeb"/>
        <w:numPr>
          <w:ilvl w:val="0"/>
          <w:numId w:val="1"/>
        </w:numPr>
        <w:spacing w:before="280"/>
        <w:rPr>
          <w:lang w:val="en-GB"/>
        </w:rPr>
      </w:pPr>
      <w:r>
        <w:rPr>
          <w:lang w:val="en-GB"/>
        </w:rPr>
        <w:t>… if the pregnancy posed a serious health risk to t</w:t>
      </w:r>
      <w:r>
        <w:rPr>
          <w:lang w:val="en-GB"/>
        </w:rPr>
        <w:t>he mother (</w:t>
      </w:r>
      <w:r>
        <w:rPr>
          <w:rStyle w:val="Emphasis"/>
          <w:lang w:val="en-GB"/>
        </w:rPr>
        <w:t>Health</w:t>
      </w:r>
      <w:r>
        <w:rPr>
          <w:lang w:val="en-GB"/>
        </w:rPr>
        <w:t>)</w:t>
      </w:r>
    </w:p>
    <w:p w:rsidR="00C84796" w:rsidRDefault="00540093">
      <w:pPr>
        <w:pStyle w:val="NormalWeb"/>
        <w:numPr>
          <w:ilvl w:val="0"/>
          <w:numId w:val="1"/>
        </w:numPr>
        <w:spacing w:before="280"/>
        <w:rPr>
          <w:lang w:val="en-GB"/>
        </w:rPr>
      </w:pPr>
      <w:r>
        <w:rPr>
          <w:lang w:val="en-GB"/>
        </w:rPr>
        <w:t>… if the pregnancy was the result of rape (</w:t>
      </w:r>
      <w:r>
        <w:rPr>
          <w:rStyle w:val="Emphasis"/>
          <w:lang w:val="en-GB"/>
        </w:rPr>
        <w:t>Rape</w:t>
      </w:r>
      <w:r>
        <w:rPr>
          <w:lang w:val="en-GB"/>
        </w:rPr>
        <w:t>)</w:t>
      </w:r>
    </w:p>
    <w:p w:rsidR="00C84796" w:rsidRDefault="00540093">
      <w:pPr>
        <w:pStyle w:val="NormalWeb"/>
        <w:numPr>
          <w:ilvl w:val="0"/>
          <w:numId w:val="1"/>
        </w:numPr>
        <w:rPr>
          <w:lang w:val="en-GB"/>
        </w:rPr>
      </w:pPr>
      <w:r>
        <w:rPr>
          <w:lang w:val="en-GB"/>
        </w:rPr>
        <w:t>… if the woman wanted an abortion, whatever her reasons (</w:t>
      </w:r>
      <w:r>
        <w:rPr>
          <w:rStyle w:val="Emphasis"/>
          <w:lang w:val="en-GB"/>
        </w:rPr>
        <w:t>Choice</w:t>
      </w:r>
      <w:r>
        <w:rPr>
          <w:lang w:val="en-GB"/>
        </w:rPr>
        <w:t>)</w:t>
      </w:r>
    </w:p>
    <w:p w:rsidR="00C84796" w:rsidRDefault="00540093">
      <w:pPr>
        <w:pStyle w:val="NormalWeb"/>
        <w:rPr>
          <w:lang w:val="en-GB"/>
        </w:rPr>
      </w:pPr>
      <w:r>
        <w:rPr>
          <w:lang w:val="en-GB"/>
        </w:rPr>
        <w:lastRenderedPageBreak/>
        <w:t>A slight complication arises from a split-half experiment in the 2012 ALLBUS that varied the situations. As a result, about</w:t>
      </w:r>
      <w:r>
        <w:rPr>
          <w:lang w:val="en-GB"/>
        </w:rPr>
        <w:t xml:space="preserve"> 50 per cent of the respondents were not presented with the </w:t>
      </w:r>
      <w:r>
        <w:rPr>
          <w:rStyle w:val="Emphasis"/>
          <w:lang w:val="en-GB"/>
        </w:rPr>
        <w:t>Rape</w:t>
      </w:r>
      <w:r>
        <w:rPr>
          <w:lang w:val="en-GB"/>
        </w:rPr>
        <w:t xml:space="preserve"> item. Because their answers are missing completely at random (MCAR) and the estimator handles missing values transparently, this poses no special problem. In the same experimental group, resp</w:t>
      </w:r>
      <w:r>
        <w:rPr>
          <w:lang w:val="en-GB"/>
        </w:rPr>
        <w:t>ondents were given the opportunity to qualify their affirmative answer so that they had three options instead of two: “yes,” “yes, but only during the first three months of pregnancy,” and “no.” For the analysis, this was recoded as just “yes” vs “no.” Com</w:t>
      </w:r>
      <w:r>
        <w:rPr>
          <w:lang w:val="en-GB"/>
        </w:rPr>
        <w:t>pared to the respondents who only had a binary choice in the first place, this does not change the marginal distribution.</w:t>
      </w:r>
    </w:p>
    <w:p w:rsidR="00C84796" w:rsidRDefault="00540093">
      <w:pPr>
        <w:pStyle w:val="NormalWeb"/>
        <w:spacing w:before="280" w:after="280" w:afterAutospacing="0"/>
        <w:jc w:val="center"/>
        <w:rPr>
          <w:lang w:val="en-GB"/>
        </w:rPr>
      </w:pPr>
      <w:r>
        <w:rPr>
          <w:lang w:val="en-GB"/>
        </w:rPr>
        <w:t>Table 7: Measurement of abortion attitude</w:t>
      </w:r>
    </w:p>
    <w:tbl>
      <w:tblPr>
        <w:tblW w:w="65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1091"/>
        <w:gridCol w:w="1024"/>
        <w:gridCol w:w="1090"/>
        <w:gridCol w:w="1040"/>
      </w:tblGrid>
      <w:tr w:rsidR="00C84796">
        <w:trPr>
          <w:tblHeader/>
        </w:trPr>
        <w:tc>
          <w:tcPr>
            <w:tcW w:w="2336" w:type="dxa"/>
            <w:shd w:val="clear" w:color="auto" w:fill="auto"/>
            <w:vAlign w:val="center"/>
          </w:tcPr>
          <w:p w:rsidR="00C84796" w:rsidRDefault="00C84796">
            <w:pPr>
              <w:rPr>
                <w:lang w:val="en-GB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West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East 2016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West 2012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East 2012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>
            <w:pPr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West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East 2016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West 2012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East 2012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Birth Defect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Health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(0.11)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Rape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Choice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Threshold: Birth Defect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1.05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1.67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1.61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(0.08)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Threshold: Health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2.10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1.62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1.86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(0.11)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Threshold: Rape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1.35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1.70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1.70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(0.08)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(0.09)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Threshold: Choice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0.01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0.33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Observations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1259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740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2339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1117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CFI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0.99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TLI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0.98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RMSEA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0.04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SRMR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0.05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Chi-Squared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7.84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1.56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7.09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5.35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Parameters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8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8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 xml:space="preserve">Ordinal </w:t>
            </w:r>
            <w:r>
              <w:rPr>
                <w:rStyle w:val="Emphasis"/>
              </w:rPr>
              <w:t>α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0.87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 xml:space="preserve">Ordinal </w:t>
            </w:r>
            <w:r>
              <w:rPr>
                <w:rStyle w:val="Emphasis"/>
              </w:rPr>
              <w:t>ω</w:t>
            </w:r>
            <w:r>
              <w:rPr>
                <w:vertAlign w:val="subscript"/>
              </w:rPr>
              <w:t>3</w:t>
            </w:r>
            <w:r>
              <w:t xml:space="preserve"> (</w:t>
            </w:r>
            <w:r>
              <w:rPr>
                <w:rStyle w:val="Emphasis"/>
              </w:rPr>
              <w:t>ρ</w:t>
            </w:r>
            <w:r>
              <w:rPr>
                <w:rStyle w:val="Emphasis"/>
                <w:vertAlign w:val="subscript"/>
              </w:rPr>
              <w:t>NL</w:t>
            </w:r>
            <w:r>
              <w:t>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0.63</w:t>
            </w:r>
          </w:p>
        </w:tc>
      </w:tr>
    </w:tbl>
    <w:p w:rsidR="00C84796" w:rsidRDefault="00540093">
      <w:pPr>
        <w:pStyle w:val="Heading2"/>
        <w:rPr>
          <w:rFonts w:eastAsia="Times New Roman"/>
          <w:lang w:val="en-GB"/>
        </w:rPr>
      </w:pPr>
      <w:bookmarkStart w:id="3" w:name="appendix-measurement-religiosity"/>
      <w:bookmarkEnd w:id="3"/>
      <w:r>
        <w:rPr>
          <w:rFonts w:eastAsia="Times New Roman"/>
          <w:lang w:val="en-GB"/>
        </w:rPr>
        <w:t>Measurement model for religiousness</w:t>
      </w:r>
    </w:p>
    <w:p w:rsidR="00C84796" w:rsidRDefault="00540093">
      <w:pPr>
        <w:pStyle w:val="NormalWeb"/>
        <w:rPr>
          <w:lang w:val="en-GB"/>
        </w:rPr>
      </w:pPr>
      <w:r>
        <w:rPr>
          <w:lang w:val="en-GB"/>
        </w:rPr>
        <w:t>Religiousness was measured by three items from the ALLBUS study :</w:t>
      </w:r>
    </w:p>
    <w:p w:rsidR="00C84796" w:rsidRDefault="00540093">
      <w:pPr>
        <w:pStyle w:val="NormalWeb"/>
        <w:numPr>
          <w:ilvl w:val="0"/>
          <w:numId w:val="2"/>
        </w:numPr>
        <w:spacing w:before="280"/>
        <w:rPr>
          <w:lang w:val="en-GB"/>
        </w:rPr>
      </w:pPr>
      <w:r>
        <w:rPr>
          <w:lang w:val="en-GB"/>
        </w:rPr>
        <w:t>Would you describe yourself as (</w:t>
      </w:r>
      <w:r>
        <w:rPr>
          <w:rStyle w:val="Emphasis"/>
          <w:lang w:val="en-GB"/>
        </w:rPr>
        <w:t>Intensity</w:t>
      </w:r>
      <w:r>
        <w:rPr>
          <w:lang w:val="en-GB"/>
        </w:rPr>
        <w:t>: 1 extremely non-religious … 10 extremely religious)</w:t>
      </w:r>
    </w:p>
    <w:p w:rsidR="00C84796" w:rsidRDefault="00540093">
      <w:pPr>
        <w:pStyle w:val="NormalWeb"/>
        <w:numPr>
          <w:ilvl w:val="0"/>
          <w:numId w:val="2"/>
        </w:numPr>
        <w:spacing w:before="280"/>
        <w:rPr>
          <w:lang w:val="en-GB"/>
        </w:rPr>
      </w:pPr>
      <w:r>
        <w:rPr>
          <w:lang w:val="en-GB"/>
        </w:rPr>
        <w:t>About how often do you pray (</w:t>
      </w:r>
      <w:r>
        <w:rPr>
          <w:rStyle w:val="Emphasis"/>
          <w:lang w:val="en-GB"/>
        </w:rPr>
        <w:t>Prayer</w:t>
      </w:r>
      <w:r>
        <w:rPr>
          <w:lang w:val="en-GB"/>
        </w:rPr>
        <w:t>: 1 never, 2 less than several times a year, 3 several times</w:t>
      </w:r>
      <w:r>
        <w:rPr>
          <w:lang w:val="en-GB"/>
        </w:rPr>
        <w:t xml:space="preserve"> a year, 4 between one and three times a month, 5 once a week, 6 more than once a week, 7 daily)</w:t>
      </w:r>
    </w:p>
    <w:p w:rsidR="00C84796" w:rsidRDefault="00540093">
      <w:pPr>
        <w:pStyle w:val="NormalWeb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>As a rule, how often do you go to church - or to the mosque, synagogue or other house of God? (</w:t>
      </w:r>
      <w:r>
        <w:rPr>
          <w:rStyle w:val="Emphasis"/>
          <w:lang w:val="en-GB"/>
        </w:rPr>
        <w:t>Church Attendance</w:t>
      </w:r>
      <w:r>
        <w:rPr>
          <w:lang w:val="en-GB"/>
        </w:rPr>
        <w:t xml:space="preserve">: 1 never, 2 less than several times a year, 3 </w:t>
      </w:r>
      <w:r>
        <w:rPr>
          <w:lang w:val="en-GB"/>
        </w:rPr>
        <w:t>several times a year, 4 between one and three times a month, 5 once a week, 6 more than once a week)</w:t>
      </w:r>
    </w:p>
    <w:p w:rsidR="00C84796" w:rsidRDefault="00540093">
      <w:pPr>
        <w:pStyle w:val="NormalWeb"/>
        <w:rPr>
          <w:lang w:val="en-GB"/>
        </w:rPr>
      </w:pPr>
      <w:r>
        <w:rPr>
          <w:lang w:val="en-GB"/>
        </w:rPr>
        <w:t xml:space="preserve">The PRDB study used the same wording but a slightly different answer format. For </w:t>
      </w:r>
      <w:r>
        <w:rPr>
          <w:rStyle w:val="Emphasis"/>
          <w:lang w:val="en-GB"/>
        </w:rPr>
        <w:t>Church Attendance</w:t>
      </w:r>
      <w:r>
        <w:rPr>
          <w:lang w:val="en-GB"/>
        </w:rPr>
        <w:t xml:space="preserve">, there was an additional category “daily.” Because this </w:t>
      </w:r>
      <w:r>
        <w:rPr>
          <w:lang w:val="en-GB"/>
        </w:rPr>
        <w:t xml:space="preserve">was chosen by just 5 respondents, it was recoded to “more than once per week,” which brings the variable in line with the ALLBUS. For </w:t>
      </w:r>
      <w:r>
        <w:rPr>
          <w:rStyle w:val="Emphasis"/>
          <w:lang w:val="en-GB"/>
        </w:rPr>
        <w:t>Intensity</w:t>
      </w:r>
      <w:r>
        <w:rPr>
          <w:lang w:val="en-GB"/>
        </w:rPr>
        <w:t xml:space="preserve">, the PRDB used a scale with the same labels for the endpoints, but eleven instead of ten steps. Because of this </w:t>
      </w:r>
      <w:r>
        <w:rPr>
          <w:lang w:val="en-GB"/>
        </w:rPr>
        <w:t>slightly greater spread, factor loadings for this item are not strictly comparable across time.</w:t>
      </w:r>
    </w:p>
    <w:p w:rsidR="00C84796" w:rsidRDefault="00540093">
      <w:pPr>
        <w:pStyle w:val="NormalWeb"/>
        <w:spacing w:before="280" w:after="280" w:afterAutospacing="0"/>
        <w:jc w:val="center"/>
        <w:rPr>
          <w:lang w:val="en-GB"/>
        </w:rPr>
      </w:pPr>
      <w:r>
        <w:rPr>
          <w:lang w:val="en-GB"/>
        </w:rPr>
        <w:t>Table 8: Measurement of religiousness</w:t>
      </w:r>
    </w:p>
    <w:tbl>
      <w:tblPr>
        <w:tblW w:w="7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1091"/>
        <w:gridCol w:w="1024"/>
        <w:gridCol w:w="1091"/>
        <w:gridCol w:w="1039"/>
      </w:tblGrid>
      <w:tr w:rsidR="00C84796">
        <w:trPr>
          <w:tblHeader/>
        </w:trPr>
        <w:tc>
          <w:tcPr>
            <w:tcW w:w="2895" w:type="dxa"/>
            <w:shd w:val="clear" w:color="auto" w:fill="auto"/>
            <w:vAlign w:val="center"/>
          </w:tcPr>
          <w:p w:rsidR="00C84796" w:rsidRDefault="00C84796">
            <w:pPr>
              <w:rPr>
                <w:lang w:val="en-GB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West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East 2016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West 2012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East 2012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>
            <w:pPr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West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East 2016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West 2012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East 2012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Intensity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2.26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2.45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2.35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2.46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(0.09)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Prayer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1.76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1.61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2.02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1.63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Church Attendance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 xml:space="preserve">Intercept: </w:t>
            </w:r>
            <w:r>
              <w:t>Intensity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5.06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3.20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5.28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3.08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(0.08)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(0.10)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(0.08)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Intercept: Prayer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3.34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2.07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3.40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1.98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Intercept: Church Attendance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2.55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1.76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2.48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1.75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Variance: Intensity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2.59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2.05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3.19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2.11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(0.19)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(0.17)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(0.14)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(0.15)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Variance: Prayer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2.06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1.46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(0.13)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(0.09)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Variance: Church Attendance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0.36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Observations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1262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736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2356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1122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CFI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1.00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TLI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1.00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RMSEA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0.00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SRMR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0.00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Chi-Squared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0.00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Parameters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9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9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9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rPr>
                <w:rStyle w:val="Emphasis"/>
              </w:rPr>
              <w:t>α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0.83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0.82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rPr>
                <w:rStyle w:val="Emphasis"/>
              </w:rPr>
              <w:t>ω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0.68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0.71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0.69</w:t>
            </w:r>
          </w:p>
        </w:tc>
      </w:tr>
    </w:tbl>
    <w:p w:rsidR="00C84796" w:rsidRDefault="00540093">
      <w:pPr>
        <w:pStyle w:val="Heading2"/>
        <w:rPr>
          <w:rFonts w:eastAsia="Times New Roman"/>
          <w:lang w:val="en-GB"/>
        </w:rPr>
      </w:pPr>
      <w:bookmarkStart w:id="4" w:name="convergent-and-discriminant-validity-ful"/>
      <w:bookmarkEnd w:id="4"/>
      <w:r>
        <w:rPr>
          <w:rFonts w:eastAsia="Times New Roman"/>
          <w:lang w:val="en-GB"/>
        </w:rPr>
        <w:t>Convergent and discriminant validity: full models</w:t>
      </w:r>
    </w:p>
    <w:p w:rsidR="00C84796" w:rsidRDefault="00540093">
      <w:pPr>
        <w:pStyle w:val="Heading3"/>
        <w:rPr>
          <w:rFonts w:eastAsia="Times New Roman"/>
          <w:lang w:val="en-GB"/>
        </w:rPr>
      </w:pPr>
      <w:bookmarkStart w:id="5" w:name="appendix-full-models-abortion"/>
      <w:bookmarkEnd w:id="5"/>
      <w:r>
        <w:rPr>
          <w:rFonts w:eastAsia="Times New Roman"/>
          <w:lang w:val="en-GB"/>
        </w:rPr>
        <w:t>Attitudes on abortion</w:t>
      </w:r>
    </w:p>
    <w:p w:rsidR="00C84796" w:rsidRDefault="00540093">
      <w:pPr>
        <w:pStyle w:val="NormalWeb"/>
        <w:spacing w:before="280" w:after="280" w:afterAutospacing="0"/>
        <w:jc w:val="center"/>
        <w:rPr>
          <w:lang w:val="en-GB"/>
        </w:rPr>
      </w:pPr>
      <w:r>
        <w:rPr>
          <w:lang w:val="en-GB"/>
        </w:rPr>
        <w:t>Table 9: Political secularism and abortion: two-factor model</w:t>
      </w:r>
    </w:p>
    <w:tbl>
      <w:tblPr>
        <w:tblW w:w="65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1091"/>
        <w:gridCol w:w="1024"/>
        <w:gridCol w:w="1090"/>
        <w:gridCol w:w="1040"/>
      </w:tblGrid>
      <w:tr w:rsidR="00C84796">
        <w:trPr>
          <w:tblHeader/>
        </w:trPr>
        <w:tc>
          <w:tcPr>
            <w:tcW w:w="2336" w:type="dxa"/>
            <w:shd w:val="clear" w:color="auto" w:fill="auto"/>
            <w:vAlign w:val="center"/>
          </w:tcPr>
          <w:p w:rsidR="00C84796" w:rsidRDefault="00C84796">
            <w:pPr>
              <w:rPr>
                <w:lang w:val="en-GB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West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East 2016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West 2012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East 2012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>
            <w:pPr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West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East 2016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West 2012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East 2012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Science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Education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Debates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God EU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Birth Defect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Health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(0.12)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Rape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Choice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rPr>
                <w:rStyle w:val="Emphasis"/>
              </w:rPr>
              <w:t>ϕ</w:t>
            </w:r>
            <w:r>
              <w:t xml:space="preserve"> Abortion, Secularism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0.35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Science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1.47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1.09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1.39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Science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0.94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Science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0.60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Science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/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/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Education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0.82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Education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0.65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Education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0.30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0.02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Education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/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/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Debates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1.03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Debates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0.25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Debates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Debates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/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/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God EU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1.40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1.38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God EU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0.91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1.06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0.79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God EU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0.47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0.62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0.29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God EU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/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/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Threshold: Birth Defect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1.05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1.67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1.61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(0.08)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Threshold: Health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2.10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1.62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1.86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(0.11)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Threshold: Rape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1.35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1.70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1.70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(0.08)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(0.09)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Threshold: Choice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0.01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0.33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Observations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1269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740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2354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1122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CFI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0.98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0.99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TLI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0.99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RMSEA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0.03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SRMR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0.05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Parameters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25</w:t>
            </w:r>
          </w:p>
        </w:tc>
      </w:tr>
    </w:tbl>
    <w:p w:rsidR="00C84796" w:rsidRDefault="00540093">
      <w:pPr>
        <w:pStyle w:val="NormalWeb"/>
        <w:spacing w:before="280" w:after="280" w:afterAutospacing="0"/>
        <w:jc w:val="center"/>
        <w:rPr>
          <w:lang w:val="en-GB"/>
        </w:rPr>
      </w:pPr>
      <w:r>
        <w:br w:type="page"/>
      </w:r>
    </w:p>
    <w:p w:rsidR="00C84796" w:rsidRDefault="00540093">
      <w:pPr>
        <w:pStyle w:val="NormalWeb"/>
        <w:spacing w:before="280" w:after="280" w:afterAutospacing="0"/>
        <w:jc w:val="center"/>
        <w:rPr>
          <w:lang w:val="en-GB"/>
        </w:rPr>
      </w:pPr>
      <w:r>
        <w:rPr>
          <w:lang w:val="en-GB"/>
        </w:rPr>
        <w:lastRenderedPageBreak/>
        <w:t>Table 10: Political secularism and abortion: one-factor model</w:t>
      </w:r>
    </w:p>
    <w:tbl>
      <w:tblPr>
        <w:tblW w:w="65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1091"/>
        <w:gridCol w:w="1024"/>
        <w:gridCol w:w="1090"/>
        <w:gridCol w:w="1040"/>
      </w:tblGrid>
      <w:tr w:rsidR="00C84796">
        <w:trPr>
          <w:tblHeader/>
        </w:trPr>
        <w:tc>
          <w:tcPr>
            <w:tcW w:w="2336" w:type="dxa"/>
            <w:shd w:val="clear" w:color="auto" w:fill="auto"/>
            <w:vAlign w:val="center"/>
          </w:tcPr>
          <w:p w:rsidR="00C84796" w:rsidRDefault="00C84796">
            <w:pPr>
              <w:rPr>
                <w:lang w:val="en-GB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West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East 2016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West 2012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East 2012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>
            <w:pPr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West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East 2016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West 2012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East 2012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Science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Education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Debates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God EU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Birth Defect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Health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(0.12)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Rape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Choice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0.34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Science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1.47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1.09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1.39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Science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0.94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Science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0.60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 xml:space="preserve">Threshold 4: </w:t>
            </w:r>
            <w:r>
              <w:t>Science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/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/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Education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0.82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Education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0.65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</w:t>
            </w:r>
            <w:r>
              <w:t xml:space="preserve"> Education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0.30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0.02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Education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/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/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Debates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1.03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 xml:space="preserve">Threshold 2: </w:t>
            </w:r>
            <w:r>
              <w:t>Debates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0.25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Debates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Debates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/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/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God EU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1.40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1.38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God EU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0.91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1.06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0.79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God EU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0.47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0.62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0.29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God EU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/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C84796"/>
        </w:tc>
        <w:tc>
          <w:tcPr>
            <w:tcW w:w="1040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Threshold: Birth Defect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1.05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1.67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1.61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(0.08)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Threshold: Health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2.10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1.62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1.86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(0.11)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Threshold: Rape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1.35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1.70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1.70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(0.08)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(0.09)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Threshold: Choice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0.01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0.33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Observations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1269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740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2354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1122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CFI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0.85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TLI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0.79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RMSEA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0.11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SRMR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0.12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0.16</w:t>
            </w:r>
          </w:p>
        </w:tc>
      </w:tr>
      <w:tr w:rsidR="00C84796">
        <w:tc>
          <w:tcPr>
            <w:tcW w:w="2336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Parameters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28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24</w:t>
            </w:r>
          </w:p>
        </w:tc>
      </w:tr>
    </w:tbl>
    <w:p w:rsidR="00C84796" w:rsidRDefault="00540093">
      <w:pPr>
        <w:pStyle w:val="Heading3"/>
        <w:rPr>
          <w:rFonts w:eastAsia="Times New Roman"/>
          <w:lang w:val="en-GB"/>
        </w:rPr>
      </w:pPr>
      <w:bookmarkStart w:id="6" w:name="appendix-full-models-religiosity"/>
      <w:bookmarkEnd w:id="6"/>
      <w:r>
        <w:rPr>
          <w:rFonts w:eastAsia="Times New Roman"/>
          <w:lang w:val="en-GB"/>
        </w:rPr>
        <w:t>Religiousness</w:t>
      </w:r>
    </w:p>
    <w:p w:rsidR="00C84796" w:rsidRDefault="00540093">
      <w:pPr>
        <w:pStyle w:val="NormalWeb"/>
        <w:spacing w:before="280" w:after="280" w:afterAutospacing="0"/>
        <w:jc w:val="center"/>
        <w:rPr>
          <w:lang w:val="en-GB"/>
        </w:rPr>
      </w:pPr>
      <w:r>
        <w:br w:type="page"/>
      </w:r>
    </w:p>
    <w:p w:rsidR="00C84796" w:rsidRDefault="00540093">
      <w:pPr>
        <w:pStyle w:val="NormalWeb"/>
        <w:spacing w:before="280" w:after="280" w:afterAutospacing="0"/>
        <w:jc w:val="center"/>
        <w:rPr>
          <w:lang w:val="en-GB"/>
        </w:rPr>
      </w:pPr>
      <w:r>
        <w:rPr>
          <w:lang w:val="en-GB"/>
        </w:rPr>
        <w:lastRenderedPageBreak/>
        <w:t>Table 11: Political secularism and religiousness: two-factor model</w:t>
      </w:r>
    </w:p>
    <w:tbl>
      <w:tblPr>
        <w:tblW w:w="7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1091"/>
        <w:gridCol w:w="1024"/>
        <w:gridCol w:w="1091"/>
        <w:gridCol w:w="1039"/>
      </w:tblGrid>
      <w:tr w:rsidR="00C84796">
        <w:trPr>
          <w:tblHeader/>
        </w:trPr>
        <w:tc>
          <w:tcPr>
            <w:tcW w:w="2895" w:type="dxa"/>
            <w:shd w:val="clear" w:color="auto" w:fill="auto"/>
            <w:vAlign w:val="center"/>
          </w:tcPr>
          <w:p w:rsidR="00C84796" w:rsidRDefault="00C84796">
            <w:pPr>
              <w:rPr>
                <w:lang w:val="en-GB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West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East 2016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West 2012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East 2012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>
            <w:pPr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West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 xml:space="preserve">East </w:t>
            </w:r>
            <w:r>
              <w:t>2016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West 2012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East 2012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Science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Education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Debates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God EU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Intensity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2.22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2.42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2.36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2.54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(0.09)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(0.14)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(0.09)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(0.15)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Prayer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1.70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1.54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1.88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1.53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(0.12)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(0.11)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(0.10)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(0.09)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Church Attendance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rPr>
                <w:rStyle w:val="Emphasis"/>
              </w:rPr>
              <w:t>ϕ</w:t>
            </w:r>
            <w:r>
              <w:t xml:space="preserve"> Religiousness, Secularism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0.70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0.67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0.70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Intercept: Intensity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5.07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3.20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5.28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3.08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(0.08)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(0.16)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(0.15)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Intercept: Church Attendance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2.54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1.76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2.45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1.75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(0.08)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Intercept: Prayer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3.34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2.05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3.39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1.97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(0.08)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(0.16)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(0.14)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Science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1.47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1.09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1.39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Science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0.94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Science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0.60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Science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/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/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Education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0.82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Education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0.65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Education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0.30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0.02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Education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/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/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Debates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1.03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Debates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0.25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0.01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Debates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Debates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/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/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God EU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1.40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1.38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God EU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0.91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1.06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0.79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God EU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0.47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0.62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0.29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God EU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/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/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Variance: Intensity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2.77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2.15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3.17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1.71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(0.19)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(0.26)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(0.17)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(0.23)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Variance: Church Attendance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0.27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0.38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Variance: Prayer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2.29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1.99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1.03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(0.09)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(0.10)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(0.08)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Observations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1269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740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2357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1122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CFI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0.97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0.95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TLI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0.94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0.86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0.92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RMSEA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0.07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0.08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0.07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SRMR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0.02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0.03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0.03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Parameters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30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30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26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26</w:t>
            </w:r>
          </w:p>
        </w:tc>
      </w:tr>
    </w:tbl>
    <w:p w:rsidR="00C84796" w:rsidRDefault="00540093">
      <w:pPr>
        <w:pStyle w:val="NormalWeb"/>
        <w:spacing w:before="280" w:after="280" w:afterAutospacing="0"/>
        <w:jc w:val="center"/>
        <w:rPr>
          <w:lang w:val="en-GB"/>
        </w:rPr>
      </w:pPr>
      <w:r>
        <w:br w:type="page"/>
      </w:r>
    </w:p>
    <w:p w:rsidR="00C84796" w:rsidRDefault="00540093">
      <w:pPr>
        <w:pStyle w:val="NormalWeb"/>
        <w:spacing w:before="280" w:after="280" w:afterAutospacing="0"/>
        <w:jc w:val="center"/>
        <w:rPr>
          <w:lang w:val="en-GB"/>
        </w:rPr>
      </w:pPr>
      <w:r>
        <w:rPr>
          <w:lang w:val="en-GB"/>
        </w:rPr>
        <w:lastRenderedPageBreak/>
        <w:t>Table 12: Political secularism and religiousness: one-factor model model</w:t>
      </w:r>
    </w:p>
    <w:tbl>
      <w:tblPr>
        <w:tblW w:w="7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1091"/>
        <w:gridCol w:w="1024"/>
        <w:gridCol w:w="1091"/>
        <w:gridCol w:w="1039"/>
      </w:tblGrid>
      <w:tr w:rsidR="00C84796">
        <w:trPr>
          <w:tblHeader/>
        </w:trPr>
        <w:tc>
          <w:tcPr>
            <w:tcW w:w="2895" w:type="dxa"/>
            <w:shd w:val="clear" w:color="auto" w:fill="auto"/>
            <w:vAlign w:val="center"/>
          </w:tcPr>
          <w:p w:rsidR="00C84796" w:rsidRDefault="00C84796">
            <w:pPr>
              <w:rPr>
                <w:lang w:val="en-GB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West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East 2016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West 2012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East 2012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>
            <w:pPr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West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East 2016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West 2012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East 2012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Science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Education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Debates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God EU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(0.02)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Intensity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1.80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1.92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2.01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1.88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(0.09)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(0.14)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(0.09)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(0.14)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Loading: Prayer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1.41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(0.11)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(0.10)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(0.10)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(0.08)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 xml:space="preserve">Loading: Church </w:t>
            </w:r>
            <w:r>
              <w:t>Attendance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0.86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0.83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0.89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0.66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Intercept: Intensity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5.07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3.20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5.28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3.08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(0.08)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(0.16)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(0.15)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Intercept: Church Attendance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2.54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1.76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2.45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1.75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(0.08)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Intercept: Prayer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3.34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2.05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3.39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1.97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(0.08)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(0.16)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(0.14)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Science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1.47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1.09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1.39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Science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0.94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Science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0.60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Science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/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/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Education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0.82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Education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0.65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Education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0.30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0.02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 xml:space="preserve">Threshold 4: </w:t>
            </w:r>
            <w:r>
              <w:t>Education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/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/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Debates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1.03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1.29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Debates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0.25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0.50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0.01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 xml:space="preserve">Threshold 3: </w:t>
            </w:r>
            <w:r>
              <w:t>Debates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Debates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0.40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/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/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1: God EU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1.40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1.38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1.59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(0.07)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2: God EU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0.91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1.06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0.79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1.10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(0.06)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3: God EU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0.47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0.62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0.29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Threshold 4: God EU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 − </w:t>
            </w:r>
            <w:r>
              <w:t>0.14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/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(0.05)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C84796"/>
        </w:tc>
        <w:tc>
          <w:tcPr>
            <w:tcW w:w="1039" w:type="dxa"/>
            <w:shd w:val="clear" w:color="auto" w:fill="auto"/>
            <w:vAlign w:val="center"/>
          </w:tcPr>
          <w:p w:rsidR="00C84796" w:rsidRDefault="00C8479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Variance: Intensity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4.45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4.33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4.67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4.62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(0.22)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(0.30)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(0.18)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(0.27)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Variance: Church Attendance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0.98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0.87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0.78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(0.04)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Variance: Prayer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3.21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1.86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3.01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2.15</w:t>
            </w:r>
            <w:r>
              <w:rPr>
                <w:vertAlign w:val="superscript"/>
              </w:rPr>
              <w:t> </w:t>
            </w:r>
            <w:r>
              <w:rPr>
                <w:vertAlign w:val="superscript"/>
              </w:rPr>
              <w:t>***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C84796"/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(0.20)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(0.12)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(0.13)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(0.12)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Observations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1269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740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2357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1122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CFI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0.79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0.80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0.71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TLI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0.68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0.71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0.56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RMSEA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0.17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0.17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r>
              <w:t>SRMR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0.06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0.08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0.06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0.10</w:t>
            </w:r>
          </w:p>
        </w:tc>
      </w:tr>
      <w:tr w:rsidR="00C84796">
        <w:tc>
          <w:tcPr>
            <w:tcW w:w="2895" w:type="dxa"/>
            <w:shd w:val="clear" w:color="auto" w:fill="auto"/>
            <w:vAlign w:val="center"/>
          </w:tcPr>
          <w:p w:rsidR="00C84796" w:rsidRDefault="00540093">
            <w:pPr>
              <w:pStyle w:val="NormalWeb"/>
            </w:pPr>
            <w:bookmarkStart w:id="7" w:name="_GoBack"/>
            <w:bookmarkEnd w:id="7"/>
            <w:r>
              <w:t>Parameters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29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25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84796" w:rsidRDefault="00540093">
            <w:pPr>
              <w:pStyle w:val="NormalWeb"/>
              <w:spacing w:before="280" w:after="280"/>
              <w:jc w:val="center"/>
            </w:pPr>
            <w:r>
              <w:t>25</w:t>
            </w:r>
          </w:p>
        </w:tc>
      </w:tr>
    </w:tbl>
    <w:p w:rsidR="00C84796" w:rsidRDefault="00C84796" w:rsidP="00540093">
      <w:pPr>
        <w:pStyle w:val="NormalWeb"/>
        <w:spacing w:before="280" w:after="240" w:afterAutospacing="0"/>
      </w:pPr>
    </w:p>
    <w:sectPr w:rsidR="00C84796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96" w:rsidRDefault="00540093">
      <w:r>
        <w:separator/>
      </w:r>
    </w:p>
  </w:endnote>
  <w:endnote w:type="continuationSeparator" w:id="0">
    <w:p w:rsidR="00C84796" w:rsidRDefault="0054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0093">
      <w:r>
        <w:separator/>
      </w:r>
    </w:p>
  </w:footnote>
  <w:footnote w:type="continuationSeparator" w:id="0">
    <w:p w:rsidR="00000000" w:rsidRDefault="00540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1DE"/>
    <w:multiLevelType w:val="multilevel"/>
    <w:tmpl w:val="2D7C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90C0F"/>
    <w:multiLevelType w:val="multilevel"/>
    <w:tmpl w:val="94CCCC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A971743"/>
    <w:multiLevelType w:val="multilevel"/>
    <w:tmpl w:val="17128112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3">
    <w:nsid w:val="2B5E7D87"/>
    <w:multiLevelType w:val="multilevel"/>
    <w:tmpl w:val="DB22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GrammaticalErrors/>
  <w:defaultTabStop w:val="87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796"/>
    <w:rsid w:val="004B425B"/>
    <w:rsid w:val="00540093"/>
    <w:rsid w:val="00C8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uiPriority w:val="9"/>
    <w:qFormat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Heading2">
    <w:name w:val="heading 2"/>
    <w:basedOn w:val="Normal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BD56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customStyle="1" w:styleId="berschrift2Zchn">
    <w:name w:val="Überschrift 2 Zchn"/>
    <w:basedOn w:val="DefaultParagraphFont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DefaultParagraphFont"/>
    <w:uiPriority w:val="9"/>
    <w:semiHidden/>
    <w:qFormat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1Zchn">
    <w:name w:val="Überschrift 1 Zchn"/>
    <w:basedOn w:val="DefaultParagraphFont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ListLabel1">
    <w:name w:val="ListLabel 1"/>
    <w:qFormat/>
    <w:rPr>
      <w:sz w:val="14"/>
      <w:szCs w:val="14"/>
      <w:vertAlign w:val="superscript"/>
      <w:lang w:val="en-GB"/>
    </w:rPr>
  </w:style>
  <w:style w:type="character" w:customStyle="1" w:styleId="ListLabel2">
    <w:name w:val="ListLabel 2"/>
    <w:qFormat/>
    <w:rPr>
      <w:lang w:val="en-GB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lang w:val="en-US"/>
    </w:rPr>
  </w:style>
  <w:style w:type="character" w:customStyle="1" w:styleId="ListLabel5">
    <w:name w:val="ListLabel 5"/>
    <w:qFormat/>
    <w:rPr>
      <w:sz w:val="14"/>
      <w:szCs w:val="14"/>
      <w:vertAlign w:val="superscript"/>
      <w:lang w:val="en-GB"/>
    </w:rPr>
  </w:style>
  <w:style w:type="character" w:customStyle="1" w:styleId="ListLabel6">
    <w:name w:val="ListLabel 6"/>
    <w:qFormat/>
    <w:rPr>
      <w:lang w:val="en-GB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lang w:val="en-US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ListLabel9">
    <w:name w:val="ListLabel 9"/>
    <w:qFormat/>
    <w:rPr>
      <w:sz w:val="14"/>
      <w:szCs w:val="14"/>
      <w:vertAlign w:val="superscript"/>
      <w:lang w:val="en-GB"/>
    </w:rPr>
  </w:style>
  <w:style w:type="character" w:customStyle="1" w:styleId="ListLabel10">
    <w:name w:val="ListLabel 10"/>
    <w:qFormat/>
    <w:rPr>
      <w:lang w:val="en-GB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1208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12082"/>
    <w:rPr>
      <w:rFonts w:eastAsiaTheme="minorEastAsi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12082"/>
    <w:rPr>
      <w:rFonts w:eastAsiaTheme="minorEastAsia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BD5671"/>
    <w:rPr>
      <w:color w:val="605E5C"/>
      <w:shd w:val="clear" w:color="auto" w:fill="E1DFDD"/>
    </w:rPr>
  </w:style>
  <w:style w:type="character" w:customStyle="1" w:styleId="ListLabel14">
    <w:name w:val="ListLabel 14"/>
    <w:qFormat/>
    <w:rPr>
      <w:lang w:val="en-GB"/>
    </w:rPr>
  </w:style>
  <w:style w:type="character" w:customStyle="1" w:styleId="ListLabel15">
    <w:name w:val="ListLabel 15"/>
    <w:qFormat/>
    <w:rPr>
      <w:lang w:val="en-US"/>
    </w:rPr>
  </w:style>
  <w:style w:type="character" w:customStyle="1" w:styleId="ListLabel16">
    <w:name w:val="ListLabel 16"/>
    <w:qFormat/>
    <w:rPr>
      <w:lang w:val="en-US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lang w:val="en-GB"/>
    </w:rPr>
  </w:style>
  <w:style w:type="character" w:customStyle="1" w:styleId="ListLabel20">
    <w:name w:val="ListLabel 20"/>
    <w:qFormat/>
    <w:rPr>
      <w:lang w:val="en-US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lang w:val="en-GB"/>
    </w:rPr>
  </w:style>
  <w:style w:type="character" w:customStyle="1" w:styleId="ListLabel23">
    <w:name w:val="ListLabel 23"/>
    <w:qFormat/>
    <w:rPr>
      <w:lang w:val="en-US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lang w:val="en-GB"/>
    </w:rPr>
  </w:style>
  <w:style w:type="character" w:customStyle="1" w:styleId="ListLabel26">
    <w:name w:val="ListLabel 26"/>
    <w:qFormat/>
    <w:rPr>
      <w:lang w:val="en-US"/>
    </w:rPr>
  </w:style>
  <w:style w:type="character" w:customStyle="1" w:styleId="ListLabel27">
    <w:name w:val="ListLabel 27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Normal"/>
    <w:qFormat/>
    <w:pPr>
      <w:spacing w:beforeAutospacing="1" w:afterAutospacing="1"/>
    </w:pPr>
  </w:style>
  <w:style w:type="paragraph" w:customStyle="1" w:styleId="sdendnote">
    <w:name w:val="sdendnote"/>
    <w:basedOn w:val="Normal"/>
    <w:qFormat/>
    <w:pPr>
      <w:spacing w:beforeAutospacing="1"/>
      <w:ind w:left="346" w:hanging="346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</w:style>
  <w:style w:type="paragraph" w:styleId="Bibliography">
    <w:name w:val="Bibliography"/>
    <w:basedOn w:val="Normal"/>
    <w:qFormat/>
  </w:style>
  <w:style w:type="paragraph" w:customStyle="1" w:styleId="FirstParagraph">
    <w:name w:val="First Paragraph"/>
    <w:basedOn w:val="BodyText"/>
    <w:qFormat/>
  </w:style>
  <w:style w:type="paragraph" w:styleId="EndnoteText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1208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12082"/>
    <w:rPr>
      <w:b/>
      <w:bCs/>
    </w:rPr>
  </w:style>
  <w:style w:type="paragraph" w:styleId="FootnoteText">
    <w:name w:val="footnote text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3029</Words>
  <Characters>17266</Characters>
  <Application>Microsoft Office Word</Application>
  <DocSecurity>0</DocSecurity>
  <Lines>143</Lines>
  <Paragraphs>40</Paragraphs>
  <ScaleCrop>false</ScaleCrop>
  <Company/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Arzheimer, Kai</dc:creator>
  <dc:description/>
  <cp:lastModifiedBy>Manikandan B.J.</cp:lastModifiedBy>
  <cp:revision>246</cp:revision>
  <dcterms:created xsi:type="dcterms:W3CDTF">2021-12-01T09:21:00Z</dcterms:created>
  <dcterms:modified xsi:type="dcterms:W3CDTF">2022-03-14T06:54:00Z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