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4004" w:rsidRDefault="00C35651">
      <w:pPr>
        <w:pStyle w:val="Heading1"/>
        <w:spacing w:before="75" w:line="278" w:lineRule="auto"/>
        <w:ind w:right="167"/>
      </w:pPr>
      <w:r>
        <w:t xml:space="preserve">Religion and Education in Romania: Social Mobilization </w:t>
      </w:r>
      <w:r w:rsidR="00607F20">
        <w:t>and</w:t>
      </w:r>
      <w:r w:rsidR="00367810">
        <w:t xml:space="preserve"> the “</w:t>
      </w:r>
      <w:r>
        <w:t>Shadow</w:t>
      </w:r>
      <w:r w:rsidR="00367810">
        <w:t>”</w:t>
      </w:r>
      <w:r>
        <w:t xml:space="preserve"> of the European Court of Human Rights</w:t>
      </w:r>
    </w:p>
    <w:p w:rsidR="00174004" w:rsidRDefault="00174004">
      <w:pPr>
        <w:rPr>
          <w:b/>
          <w:sz w:val="30"/>
        </w:rPr>
      </w:pPr>
    </w:p>
    <w:p w:rsidR="00174004" w:rsidRDefault="00174004">
      <w:pPr>
        <w:rPr>
          <w:b/>
          <w:sz w:val="25"/>
        </w:rPr>
      </w:pPr>
      <w:bookmarkStart w:id="0" w:name="_GoBack"/>
      <w:bookmarkEnd w:id="0"/>
    </w:p>
    <w:p w:rsidR="00174004" w:rsidRDefault="00C35651">
      <w:pPr>
        <w:pStyle w:val="BodyText"/>
        <w:ind w:left="115"/>
      </w:pPr>
      <w:r>
        <w:t>Mihai Popa and Liviu Andreescu</w:t>
      </w:r>
    </w:p>
    <w:p w:rsidR="00174004" w:rsidRDefault="00174004">
      <w:pPr>
        <w:rPr>
          <w:b/>
          <w:sz w:val="26"/>
        </w:rPr>
      </w:pPr>
    </w:p>
    <w:p w:rsidR="00174004" w:rsidRDefault="00174004">
      <w:pPr>
        <w:spacing w:before="8"/>
        <w:rPr>
          <w:b/>
          <w:sz w:val="32"/>
        </w:rPr>
      </w:pPr>
    </w:p>
    <w:p w:rsidR="00174004" w:rsidRDefault="00C35651">
      <w:pPr>
        <w:pStyle w:val="Heading1"/>
      </w:pPr>
      <w:r>
        <w:t>Appendix</w:t>
      </w:r>
    </w:p>
    <w:p w:rsidR="00174004" w:rsidRDefault="00174004">
      <w:pPr>
        <w:rPr>
          <w:b/>
          <w:sz w:val="30"/>
        </w:rPr>
      </w:pPr>
    </w:p>
    <w:p w:rsidR="00174004" w:rsidRDefault="00174004">
      <w:pPr>
        <w:spacing w:before="8"/>
        <w:rPr>
          <w:b/>
          <w:sz w:val="38"/>
        </w:rPr>
      </w:pPr>
    </w:p>
    <w:p w:rsidR="00174004" w:rsidRDefault="00C35651">
      <w:pPr>
        <w:pStyle w:val="BodyText"/>
        <w:ind w:left="115"/>
      </w:pPr>
      <w:r>
        <w:t>Table 1. List of interviews</w:t>
      </w:r>
    </w:p>
    <w:p w:rsidR="00174004" w:rsidRDefault="00174004">
      <w:pPr>
        <w:spacing w:after="1"/>
        <w:rPr>
          <w:b/>
          <w:sz w:val="14"/>
        </w:rPr>
      </w:pP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8"/>
        <w:gridCol w:w="1560"/>
        <w:gridCol w:w="4478"/>
        <w:gridCol w:w="2326"/>
      </w:tblGrid>
      <w:tr w:rsidR="00174004">
        <w:trPr>
          <w:trHeight w:hRule="exact" w:val="1003"/>
        </w:trPr>
        <w:tc>
          <w:tcPr>
            <w:tcW w:w="708" w:type="dxa"/>
          </w:tcPr>
          <w:p w:rsidR="00174004" w:rsidRDefault="00C35651">
            <w:pPr>
              <w:pStyle w:val="TableParagraph"/>
              <w:spacing w:line="252" w:lineRule="exact"/>
              <w:ind w:left="167" w:right="167"/>
              <w:jc w:val="center"/>
              <w:rPr>
                <w:b/>
              </w:rPr>
            </w:pPr>
            <w:r>
              <w:rPr>
                <w:b/>
              </w:rPr>
              <w:t>No.</w:t>
            </w:r>
          </w:p>
        </w:tc>
        <w:tc>
          <w:tcPr>
            <w:tcW w:w="1560" w:type="dxa"/>
          </w:tcPr>
          <w:p w:rsidR="00174004" w:rsidRDefault="00C35651">
            <w:pPr>
              <w:pStyle w:val="TableParagraph"/>
              <w:spacing w:line="278" w:lineRule="auto"/>
              <w:ind w:left="575" w:right="303" w:hanging="252"/>
              <w:rPr>
                <w:b/>
              </w:rPr>
            </w:pPr>
            <w:r>
              <w:rPr>
                <w:b/>
              </w:rPr>
              <w:t>Interview date</w:t>
            </w:r>
          </w:p>
        </w:tc>
        <w:tc>
          <w:tcPr>
            <w:tcW w:w="4478" w:type="dxa"/>
          </w:tcPr>
          <w:p w:rsidR="00174004" w:rsidRDefault="00C35651">
            <w:pPr>
              <w:pStyle w:val="TableParagraph"/>
              <w:spacing w:line="252" w:lineRule="exact"/>
              <w:rPr>
                <w:b/>
              </w:rPr>
            </w:pPr>
            <w:r>
              <w:rPr>
                <w:b/>
              </w:rPr>
              <w:t>Interviewees’ organizational belonging</w:t>
            </w:r>
          </w:p>
        </w:tc>
        <w:tc>
          <w:tcPr>
            <w:tcW w:w="2326" w:type="dxa"/>
          </w:tcPr>
          <w:p w:rsidR="00174004" w:rsidRDefault="00C35651">
            <w:pPr>
              <w:pStyle w:val="TableParagraph"/>
              <w:spacing w:line="276" w:lineRule="auto"/>
              <w:ind w:left="105" w:right="302"/>
              <w:rPr>
                <w:b/>
              </w:rPr>
            </w:pPr>
            <w:r>
              <w:rPr>
                <w:b/>
              </w:rPr>
              <w:t>Organizational mobilization themes (not exhaustive)</w:t>
            </w:r>
          </w:p>
        </w:tc>
      </w:tr>
      <w:tr w:rsidR="00174004">
        <w:trPr>
          <w:trHeight w:hRule="exact" w:val="1584"/>
        </w:trPr>
        <w:tc>
          <w:tcPr>
            <w:tcW w:w="708" w:type="dxa"/>
          </w:tcPr>
          <w:p w:rsidR="00174004" w:rsidRDefault="00C35651">
            <w:pPr>
              <w:pStyle w:val="TableParagraph"/>
              <w:spacing w:line="247" w:lineRule="exact"/>
              <w:ind w:left="0"/>
              <w:jc w:val="center"/>
            </w:pPr>
            <w:r>
              <w:t>1</w:t>
            </w:r>
          </w:p>
        </w:tc>
        <w:tc>
          <w:tcPr>
            <w:tcW w:w="1560" w:type="dxa"/>
          </w:tcPr>
          <w:p w:rsidR="00174004" w:rsidRDefault="00C35651">
            <w:pPr>
              <w:pStyle w:val="TableParagraph"/>
              <w:spacing w:line="247" w:lineRule="exact"/>
              <w:ind w:left="0" w:right="239"/>
              <w:jc w:val="right"/>
            </w:pPr>
            <w:r>
              <w:t>5 May 2015</w:t>
            </w:r>
          </w:p>
        </w:tc>
        <w:tc>
          <w:tcPr>
            <w:tcW w:w="4478" w:type="dxa"/>
          </w:tcPr>
          <w:p w:rsidR="00174004" w:rsidRDefault="00C35651">
            <w:pPr>
              <w:pStyle w:val="TableParagraph"/>
              <w:spacing w:line="276" w:lineRule="auto"/>
              <w:ind w:right="150"/>
            </w:pPr>
            <w:r>
              <w:rPr>
                <w:i/>
              </w:rPr>
              <w:t xml:space="preserve">Association for the Defense of Human Rights in Romania – Helsinki Committee </w:t>
            </w:r>
            <w:r>
              <w:t>(</w:t>
            </w:r>
            <w:proofErr w:type="spellStart"/>
            <w:r>
              <w:t>Asociația</w:t>
            </w:r>
            <w:proofErr w:type="spellEnd"/>
            <w:r>
              <w:t xml:space="preserve"> </w:t>
            </w:r>
            <w:proofErr w:type="spellStart"/>
            <w:r>
              <w:t>pentru</w:t>
            </w:r>
            <w:proofErr w:type="spellEnd"/>
            <w:r>
              <w:t xml:space="preserve"> </w:t>
            </w:r>
            <w:proofErr w:type="spellStart"/>
            <w:r>
              <w:t>Apărarea</w:t>
            </w:r>
            <w:proofErr w:type="spellEnd"/>
            <w:r>
              <w:t xml:space="preserve"> </w:t>
            </w:r>
            <w:proofErr w:type="spellStart"/>
            <w:r>
              <w:t>Drepturilor</w:t>
            </w:r>
            <w:proofErr w:type="spellEnd"/>
            <w:r>
              <w:t xml:space="preserve"> </w:t>
            </w:r>
            <w:proofErr w:type="spellStart"/>
            <w:r>
              <w:t>Omului</w:t>
            </w:r>
            <w:proofErr w:type="spellEnd"/>
            <w:r>
              <w:t xml:space="preserve"> </w:t>
            </w:r>
            <w:proofErr w:type="spellStart"/>
            <w:r>
              <w:t>în</w:t>
            </w:r>
            <w:proofErr w:type="spellEnd"/>
            <w:r>
              <w:t xml:space="preserve"> </w:t>
            </w:r>
            <w:proofErr w:type="spellStart"/>
            <w:r>
              <w:t>România</w:t>
            </w:r>
            <w:proofErr w:type="spellEnd"/>
            <w:r>
              <w:t xml:space="preserve"> – </w:t>
            </w:r>
            <w:proofErr w:type="spellStart"/>
            <w:r>
              <w:t>Comitetul</w:t>
            </w:r>
            <w:proofErr w:type="spellEnd"/>
            <w:r>
              <w:t xml:space="preserve"> Helsinki, APADOR-CH)</w:t>
            </w:r>
          </w:p>
        </w:tc>
        <w:tc>
          <w:tcPr>
            <w:tcW w:w="2326" w:type="dxa"/>
          </w:tcPr>
          <w:p w:rsidR="00174004" w:rsidRDefault="00C35651">
            <w:pPr>
              <w:pStyle w:val="TableParagraph"/>
              <w:spacing w:line="276" w:lineRule="auto"/>
              <w:ind w:left="105" w:right="437"/>
            </w:pPr>
            <w:r>
              <w:t>Religious minority rights, separation of church and state, reproductive rights, rights of detainees</w:t>
            </w:r>
          </w:p>
        </w:tc>
      </w:tr>
      <w:tr w:rsidR="00174004">
        <w:trPr>
          <w:trHeight w:hRule="exact" w:val="713"/>
        </w:trPr>
        <w:tc>
          <w:tcPr>
            <w:tcW w:w="708" w:type="dxa"/>
          </w:tcPr>
          <w:p w:rsidR="00174004" w:rsidRDefault="00C35651">
            <w:pPr>
              <w:pStyle w:val="TableParagraph"/>
              <w:spacing w:line="249" w:lineRule="exact"/>
              <w:ind w:left="0"/>
              <w:jc w:val="center"/>
            </w:pPr>
            <w:r>
              <w:t>2</w:t>
            </w:r>
          </w:p>
        </w:tc>
        <w:tc>
          <w:tcPr>
            <w:tcW w:w="1560" w:type="dxa"/>
          </w:tcPr>
          <w:p w:rsidR="00174004" w:rsidRDefault="00C35651">
            <w:pPr>
              <w:pStyle w:val="TableParagraph"/>
              <w:spacing w:line="249" w:lineRule="exact"/>
              <w:ind w:left="0" w:right="239"/>
              <w:jc w:val="right"/>
            </w:pPr>
            <w:r>
              <w:t>6 May 2015</w:t>
            </w:r>
          </w:p>
        </w:tc>
        <w:tc>
          <w:tcPr>
            <w:tcW w:w="4478" w:type="dxa"/>
          </w:tcPr>
          <w:p w:rsidR="00174004" w:rsidRDefault="00C35651">
            <w:pPr>
              <w:pStyle w:val="TableParagraph"/>
              <w:spacing w:line="249" w:lineRule="exact"/>
            </w:pPr>
            <w:r>
              <w:rPr>
                <w:i/>
              </w:rPr>
              <w:t xml:space="preserve">Institute of Education Sciences </w:t>
            </w:r>
            <w:r>
              <w:t>(</w:t>
            </w:r>
            <w:proofErr w:type="spellStart"/>
            <w:r>
              <w:t>Institutul</w:t>
            </w:r>
            <w:proofErr w:type="spellEnd"/>
            <w:r>
              <w:t xml:space="preserve"> de</w:t>
            </w:r>
          </w:p>
          <w:p w:rsidR="00174004" w:rsidRDefault="00C35651">
            <w:pPr>
              <w:pStyle w:val="TableParagraph"/>
              <w:spacing w:before="37"/>
            </w:pPr>
            <w:proofErr w:type="spellStart"/>
            <w:r>
              <w:t>Ştiințe</w:t>
            </w:r>
            <w:proofErr w:type="spellEnd"/>
            <w:r>
              <w:t xml:space="preserve"> ale </w:t>
            </w:r>
            <w:proofErr w:type="spellStart"/>
            <w:r>
              <w:t>Educației</w:t>
            </w:r>
            <w:proofErr w:type="spellEnd"/>
            <w:r>
              <w:t>)</w:t>
            </w:r>
          </w:p>
        </w:tc>
        <w:tc>
          <w:tcPr>
            <w:tcW w:w="2326" w:type="dxa"/>
          </w:tcPr>
          <w:p w:rsidR="00174004" w:rsidRDefault="00C35651">
            <w:pPr>
              <w:pStyle w:val="TableParagraph"/>
              <w:spacing w:line="249" w:lineRule="exact"/>
              <w:ind w:left="105"/>
            </w:pPr>
            <w:r>
              <w:t>---</w:t>
            </w:r>
          </w:p>
        </w:tc>
      </w:tr>
      <w:tr w:rsidR="00174004">
        <w:trPr>
          <w:trHeight w:hRule="exact" w:val="1294"/>
        </w:trPr>
        <w:tc>
          <w:tcPr>
            <w:tcW w:w="708" w:type="dxa"/>
          </w:tcPr>
          <w:p w:rsidR="00174004" w:rsidRDefault="00C35651">
            <w:pPr>
              <w:pStyle w:val="TableParagraph"/>
              <w:spacing w:line="247" w:lineRule="exact"/>
              <w:ind w:left="0"/>
              <w:jc w:val="center"/>
            </w:pPr>
            <w:r>
              <w:t>4</w:t>
            </w:r>
          </w:p>
        </w:tc>
        <w:tc>
          <w:tcPr>
            <w:tcW w:w="1560" w:type="dxa"/>
          </w:tcPr>
          <w:p w:rsidR="00174004" w:rsidRDefault="00C35651">
            <w:pPr>
              <w:pStyle w:val="TableParagraph"/>
              <w:spacing w:line="247" w:lineRule="exact"/>
              <w:ind w:left="0" w:right="239"/>
              <w:jc w:val="right"/>
            </w:pPr>
            <w:r>
              <w:t>8 May 2015</w:t>
            </w:r>
          </w:p>
        </w:tc>
        <w:tc>
          <w:tcPr>
            <w:tcW w:w="4478" w:type="dxa"/>
          </w:tcPr>
          <w:p w:rsidR="00174004" w:rsidRPr="00655421" w:rsidRDefault="00C35651">
            <w:pPr>
              <w:pStyle w:val="TableParagraph"/>
              <w:spacing w:line="276" w:lineRule="auto"/>
              <w:ind w:right="117"/>
              <w:rPr>
                <w:lang w:val="fr-CA"/>
              </w:rPr>
            </w:pPr>
            <w:r w:rsidRPr="00655421">
              <w:rPr>
                <w:i/>
                <w:lang w:val="fr-CA"/>
              </w:rPr>
              <w:t xml:space="preserve">Centre for </w:t>
            </w:r>
            <w:proofErr w:type="spellStart"/>
            <w:r w:rsidRPr="00655421">
              <w:rPr>
                <w:i/>
                <w:lang w:val="fr-CA"/>
              </w:rPr>
              <w:t>Legal</w:t>
            </w:r>
            <w:proofErr w:type="spellEnd"/>
            <w:r w:rsidRPr="00655421">
              <w:rPr>
                <w:i/>
                <w:lang w:val="fr-CA"/>
              </w:rPr>
              <w:t xml:space="preserve"> </w:t>
            </w:r>
            <w:proofErr w:type="spellStart"/>
            <w:r w:rsidRPr="00655421">
              <w:rPr>
                <w:i/>
                <w:lang w:val="fr-CA"/>
              </w:rPr>
              <w:t>Resources</w:t>
            </w:r>
            <w:proofErr w:type="spellEnd"/>
            <w:r w:rsidRPr="00655421">
              <w:rPr>
                <w:i/>
                <w:lang w:val="fr-CA"/>
              </w:rPr>
              <w:t xml:space="preserve"> </w:t>
            </w:r>
            <w:r w:rsidRPr="00655421">
              <w:rPr>
                <w:lang w:val="fr-CA"/>
              </w:rPr>
              <w:t>(</w:t>
            </w:r>
            <w:proofErr w:type="spellStart"/>
            <w:r w:rsidRPr="00655421">
              <w:rPr>
                <w:lang w:val="fr-CA"/>
              </w:rPr>
              <w:t>Centrul</w:t>
            </w:r>
            <w:proofErr w:type="spellEnd"/>
            <w:r w:rsidRPr="00655421">
              <w:rPr>
                <w:lang w:val="fr-CA"/>
              </w:rPr>
              <w:t xml:space="preserve"> de </w:t>
            </w:r>
            <w:proofErr w:type="spellStart"/>
            <w:r w:rsidRPr="00655421">
              <w:rPr>
                <w:lang w:val="fr-CA"/>
              </w:rPr>
              <w:t>Resurse</w:t>
            </w:r>
            <w:proofErr w:type="spellEnd"/>
            <w:r w:rsidRPr="00655421">
              <w:rPr>
                <w:lang w:val="fr-CA"/>
              </w:rPr>
              <w:t xml:space="preserve"> </w:t>
            </w:r>
            <w:proofErr w:type="spellStart"/>
            <w:r w:rsidRPr="00655421">
              <w:rPr>
                <w:lang w:val="fr-CA"/>
              </w:rPr>
              <w:t>Juridice</w:t>
            </w:r>
            <w:proofErr w:type="spellEnd"/>
            <w:r w:rsidRPr="00655421">
              <w:rPr>
                <w:lang w:val="fr-CA"/>
              </w:rPr>
              <w:t>, CRJ)</w:t>
            </w:r>
          </w:p>
        </w:tc>
        <w:tc>
          <w:tcPr>
            <w:tcW w:w="2326" w:type="dxa"/>
          </w:tcPr>
          <w:p w:rsidR="00174004" w:rsidRDefault="00C35651">
            <w:pPr>
              <w:pStyle w:val="TableParagraph"/>
              <w:spacing w:line="276" w:lineRule="auto"/>
              <w:ind w:left="105" w:right="638"/>
            </w:pPr>
            <w:r>
              <w:t>Rights of institutionalized persons, religious minority rights</w:t>
            </w:r>
          </w:p>
        </w:tc>
      </w:tr>
      <w:tr w:rsidR="00174004">
        <w:trPr>
          <w:trHeight w:hRule="exact" w:val="1584"/>
        </w:trPr>
        <w:tc>
          <w:tcPr>
            <w:tcW w:w="708" w:type="dxa"/>
          </w:tcPr>
          <w:p w:rsidR="00174004" w:rsidRDefault="00C35651">
            <w:pPr>
              <w:pStyle w:val="TableParagraph"/>
              <w:spacing w:line="247" w:lineRule="exact"/>
              <w:ind w:left="0"/>
              <w:jc w:val="center"/>
            </w:pPr>
            <w:r>
              <w:t>5</w:t>
            </w:r>
          </w:p>
          <w:p w:rsidR="00174004" w:rsidRDefault="00C35651">
            <w:pPr>
              <w:pStyle w:val="TableParagraph"/>
              <w:spacing w:before="157"/>
              <w:ind w:left="167" w:right="167"/>
              <w:jc w:val="center"/>
            </w:pPr>
            <w:r>
              <w:t>12</w:t>
            </w:r>
          </w:p>
        </w:tc>
        <w:tc>
          <w:tcPr>
            <w:tcW w:w="1560" w:type="dxa"/>
          </w:tcPr>
          <w:p w:rsidR="00174004" w:rsidRDefault="00C35651">
            <w:pPr>
              <w:pStyle w:val="TableParagraph"/>
              <w:spacing w:line="247" w:lineRule="exact"/>
              <w:ind w:left="170" w:right="166"/>
              <w:jc w:val="center"/>
            </w:pPr>
            <w:r>
              <w:t>13 May 2015</w:t>
            </w:r>
          </w:p>
          <w:p w:rsidR="00174004" w:rsidRDefault="00C35651">
            <w:pPr>
              <w:pStyle w:val="TableParagraph"/>
              <w:spacing w:before="157"/>
              <w:ind w:left="170" w:right="163"/>
              <w:jc w:val="center"/>
            </w:pPr>
            <w:r>
              <w:t>3 Jul 2015</w:t>
            </w:r>
          </w:p>
        </w:tc>
        <w:tc>
          <w:tcPr>
            <w:tcW w:w="4478" w:type="dxa"/>
          </w:tcPr>
          <w:p w:rsidR="00174004" w:rsidRDefault="00C35651">
            <w:pPr>
              <w:pStyle w:val="TableParagraph"/>
              <w:spacing w:line="247" w:lineRule="exact"/>
              <w:rPr>
                <w:i/>
              </w:rPr>
            </w:pPr>
            <w:r>
              <w:rPr>
                <w:i/>
              </w:rPr>
              <w:t>Romanian Orthodox Church (Patriarchate)</w:t>
            </w:r>
          </w:p>
        </w:tc>
        <w:tc>
          <w:tcPr>
            <w:tcW w:w="2326" w:type="dxa"/>
          </w:tcPr>
          <w:p w:rsidR="00174004" w:rsidRDefault="00C35651">
            <w:pPr>
              <w:pStyle w:val="TableParagraph"/>
              <w:spacing w:line="276" w:lineRule="auto"/>
              <w:ind w:left="105" w:right="82"/>
            </w:pPr>
            <w:r>
              <w:t>Religious education, religious symbols in public schools, constitutional definition of “marriage”</w:t>
            </w:r>
          </w:p>
        </w:tc>
      </w:tr>
      <w:tr w:rsidR="00174004">
        <w:trPr>
          <w:trHeight w:hRule="exact" w:val="713"/>
        </w:trPr>
        <w:tc>
          <w:tcPr>
            <w:tcW w:w="708" w:type="dxa"/>
          </w:tcPr>
          <w:p w:rsidR="00174004" w:rsidRDefault="00C35651">
            <w:pPr>
              <w:pStyle w:val="TableParagraph"/>
              <w:spacing w:line="247" w:lineRule="exact"/>
              <w:ind w:left="0"/>
              <w:jc w:val="center"/>
            </w:pPr>
            <w:r>
              <w:t>6</w:t>
            </w:r>
          </w:p>
        </w:tc>
        <w:tc>
          <w:tcPr>
            <w:tcW w:w="1560" w:type="dxa"/>
          </w:tcPr>
          <w:p w:rsidR="00174004" w:rsidRDefault="00C35651">
            <w:pPr>
              <w:pStyle w:val="TableParagraph"/>
              <w:spacing w:line="247" w:lineRule="exact"/>
              <w:ind w:left="0" w:right="182"/>
              <w:jc w:val="right"/>
            </w:pPr>
            <w:r>
              <w:t>14 May 2015</w:t>
            </w:r>
          </w:p>
        </w:tc>
        <w:tc>
          <w:tcPr>
            <w:tcW w:w="4478" w:type="dxa"/>
          </w:tcPr>
          <w:p w:rsidR="00174004" w:rsidRPr="00655421" w:rsidRDefault="00C35651">
            <w:pPr>
              <w:pStyle w:val="TableParagraph"/>
              <w:spacing w:line="278" w:lineRule="auto"/>
              <w:ind w:right="117"/>
              <w:rPr>
                <w:lang w:val="fr-CA"/>
              </w:rPr>
            </w:pPr>
            <w:r w:rsidRPr="00655421">
              <w:rPr>
                <w:i/>
                <w:lang w:val="fr-CA"/>
              </w:rPr>
              <w:t xml:space="preserve">Centre for </w:t>
            </w:r>
            <w:proofErr w:type="spellStart"/>
            <w:r w:rsidRPr="00655421">
              <w:rPr>
                <w:i/>
                <w:lang w:val="fr-CA"/>
              </w:rPr>
              <w:t>Legal</w:t>
            </w:r>
            <w:proofErr w:type="spellEnd"/>
            <w:r w:rsidRPr="00655421">
              <w:rPr>
                <w:i/>
                <w:lang w:val="fr-CA"/>
              </w:rPr>
              <w:t xml:space="preserve"> </w:t>
            </w:r>
            <w:proofErr w:type="spellStart"/>
            <w:r w:rsidRPr="00655421">
              <w:rPr>
                <w:i/>
                <w:lang w:val="fr-CA"/>
              </w:rPr>
              <w:t>Resources</w:t>
            </w:r>
            <w:proofErr w:type="spellEnd"/>
            <w:r w:rsidRPr="00655421">
              <w:rPr>
                <w:i/>
                <w:lang w:val="fr-CA"/>
              </w:rPr>
              <w:t xml:space="preserve"> </w:t>
            </w:r>
            <w:r w:rsidRPr="00655421">
              <w:rPr>
                <w:lang w:val="fr-CA"/>
              </w:rPr>
              <w:t>(</w:t>
            </w:r>
            <w:proofErr w:type="spellStart"/>
            <w:r w:rsidRPr="00655421">
              <w:rPr>
                <w:lang w:val="fr-CA"/>
              </w:rPr>
              <w:t>Centrul</w:t>
            </w:r>
            <w:proofErr w:type="spellEnd"/>
            <w:r w:rsidRPr="00655421">
              <w:rPr>
                <w:lang w:val="fr-CA"/>
              </w:rPr>
              <w:t xml:space="preserve"> de </w:t>
            </w:r>
            <w:proofErr w:type="spellStart"/>
            <w:r w:rsidRPr="00655421">
              <w:rPr>
                <w:lang w:val="fr-CA"/>
              </w:rPr>
              <w:t>Resurse</w:t>
            </w:r>
            <w:proofErr w:type="spellEnd"/>
            <w:r w:rsidRPr="00655421">
              <w:rPr>
                <w:lang w:val="fr-CA"/>
              </w:rPr>
              <w:t xml:space="preserve"> </w:t>
            </w:r>
            <w:proofErr w:type="spellStart"/>
            <w:r w:rsidRPr="00655421">
              <w:rPr>
                <w:lang w:val="fr-CA"/>
              </w:rPr>
              <w:t>Juridice</w:t>
            </w:r>
            <w:proofErr w:type="spellEnd"/>
            <w:r w:rsidRPr="00655421">
              <w:rPr>
                <w:lang w:val="fr-CA"/>
              </w:rPr>
              <w:t>, CRJ)</w:t>
            </w:r>
          </w:p>
        </w:tc>
        <w:tc>
          <w:tcPr>
            <w:tcW w:w="2326" w:type="dxa"/>
          </w:tcPr>
          <w:p w:rsidR="00174004" w:rsidRDefault="00C35651">
            <w:pPr>
              <w:pStyle w:val="TableParagraph"/>
              <w:spacing w:line="247" w:lineRule="exact"/>
              <w:ind w:left="105"/>
              <w:rPr>
                <w:i/>
              </w:rPr>
            </w:pPr>
            <w:r>
              <w:rPr>
                <w:i/>
              </w:rPr>
              <w:t>See above</w:t>
            </w:r>
          </w:p>
        </w:tc>
      </w:tr>
      <w:tr w:rsidR="00174004">
        <w:trPr>
          <w:trHeight w:hRule="exact" w:val="1294"/>
        </w:trPr>
        <w:tc>
          <w:tcPr>
            <w:tcW w:w="708" w:type="dxa"/>
          </w:tcPr>
          <w:p w:rsidR="00174004" w:rsidRDefault="00C35651">
            <w:pPr>
              <w:pStyle w:val="TableParagraph"/>
              <w:spacing w:line="247" w:lineRule="exact"/>
              <w:ind w:left="0"/>
              <w:jc w:val="center"/>
            </w:pPr>
            <w:r>
              <w:t>8</w:t>
            </w:r>
          </w:p>
        </w:tc>
        <w:tc>
          <w:tcPr>
            <w:tcW w:w="1560" w:type="dxa"/>
          </w:tcPr>
          <w:p w:rsidR="00174004" w:rsidRDefault="00C35651">
            <w:pPr>
              <w:pStyle w:val="TableParagraph"/>
              <w:spacing w:line="247" w:lineRule="exact"/>
              <w:ind w:left="0" w:right="182"/>
              <w:jc w:val="right"/>
            </w:pPr>
            <w:r>
              <w:t>19 May 2015</w:t>
            </w:r>
          </w:p>
        </w:tc>
        <w:tc>
          <w:tcPr>
            <w:tcW w:w="4478" w:type="dxa"/>
          </w:tcPr>
          <w:p w:rsidR="00174004" w:rsidRDefault="00C35651">
            <w:pPr>
              <w:pStyle w:val="TableParagraph"/>
              <w:spacing w:line="276" w:lineRule="auto"/>
              <w:ind w:right="150"/>
            </w:pPr>
            <w:r>
              <w:rPr>
                <w:i/>
              </w:rPr>
              <w:t xml:space="preserve">Association for the Defense of Human Rights in Romania – Helsinki Committee </w:t>
            </w:r>
            <w:r>
              <w:t>(</w:t>
            </w:r>
            <w:proofErr w:type="spellStart"/>
            <w:r>
              <w:t>Asociația</w:t>
            </w:r>
            <w:proofErr w:type="spellEnd"/>
            <w:r>
              <w:t xml:space="preserve"> </w:t>
            </w:r>
            <w:proofErr w:type="spellStart"/>
            <w:r>
              <w:t>pentru</w:t>
            </w:r>
            <w:proofErr w:type="spellEnd"/>
            <w:r>
              <w:t xml:space="preserve"> </w:t>
            </w:r>
            <w:proofErr w:type="spellStart"/>
            <w:r>
              <w:t>Apărarea</w:t>
            </w:r>
            <w:proofErr w:type="spellEnd"/>
            <w:r>
              <w:t xml:space="preserve"> </w:t>
            </w:r>
            <w:proofErr w:type="spellStart"/>
            <w:r>
              <w:t>Drepturilor</w:t>
            </w:r>
            <w:proofErr w:type="spellEnd"/>
            <w:r>
              <w:t xml:space="preserve"> </w:t>
            </w:r>
            <w:proofErr w:type="spellStart"/>
            <w:r>
              <w:t>Omului</w:t>
            </w:r>
            <w:proofErr w:type="spellEnd"/>
            <w:r>
              <w:t xml:space="preserve"> </w:t>
            </w:r>
            <w:proofErr w:type="spellStart"/>
            <w:r>
              <w:t>în</w:t>
            </w:r>
            <w:proofErr w:type="spellEnd"/>
            <w:r>
              <w:t xml:space="preserve"> </w:t>
            </w:r>
            <w:proofErr w:type="spellStart"/>
            <w:r>
              <w:t>România</w:t>
            </w:r>
            <w:proofErr w:type="spellEnd"/>
            <w:r>
              <w:t xml:space="preserve"> – </w:t>
            </w:r>
            <w:proofErr w:type="spellStart"/>
            <w:r>
              <w:t>Comitetul</w:t>
            </w:r>
            <w:proofErr w:type="spellEnd"/>
            <w:r>
              <w:t xml:space="preserve"> Helsinki, APADOR-CH)</w:t>
            </w:r>
          </w:p>
        </w:tc>
        <w:tc>
          <w:tcPr>
            <w:tcW w:w="2326" w:type="dxa"/>
          </w:tcPr>
          <w:p w:rsidR="00174004" w:rsidRDefault="00C35651">
            <w:pPr>
              <w:pStyle w:val="TableParagraph"/>
              <w:spacing w:line="247" w:lineRule="exact"/>
              <w:ind w:left="105"/>
              <w:rPr>
                <w:i/>
              </w:rPr>
            </w:pPr>
            <w:r>
              <w:rPr>
                <w:i/>
              </w:rPr>
              <w:t>See above</w:t>
            </w:r>
          </w:p>
        </w:tc>
      </w:tr>
      <w:tr w:rsidR="00174004">
        <w:trPr>
          <w:trHeight w:hRule="exact" w:val="1003"/>
        </w:trPr>
        <w:tc>
          <w:tcPr>
            <w:tcW w:w="708" w:type="dxa"/>
          </w:tcPr>
          <w:p w:rsidR="00174004" w:rsidRDefault="00C35651">
            <w:pPr>
              <w:pStyle w:val="TableParagraph"/>
              <w:spacing w:line="247" w:lineRule="exact"/>
              <w:ind w:left="0"/>
              <w:jc w:val="center"/>
            </w:pPr>
            <w:r>
              <w:t>9</w:t>
            </w:r>
          </w:p>
          <w:p w:rsidR="00174004" w:rsidRDefault="00C35651">
            <w:pPr>
              <w:pStyle w:val="TableParagraph"/>
              <w:spacing w:before="157"/>
              <w:ind w:left="167" w:right="167"/>
              <w:jc w:val="center"/>
            </w:pPr>
            <w:r>
              <w:t>10</w:t>
            </w:r>
          </w:p>
        </w:tc>
        <w:tc>
          <w:tcPr>
            <w:tcW w:w="1560" w:type="dxa"/>
          </w:tcPr>
          <w:p w:rsidR="00174004" w:rsidRDefault="00C35651">
            <w:pPr>
              <w:pStyle w:val="TableParagraph"/>
              <w:spacing w:line="247" w:lineRule="exact"/>
              <w:ind w:left="189"/>
            </w:pPr>
            <w:r>
              <w:t>21 May 2015</w:t>
            </w:r>
          </w:p>
          <w:p w:rsidR="00174004" w:rsidRDefault="00C35651">
            <w:pPr>
              <w:pStyle w:val="TableParagraph"/>
              <w:spacing w:before="157"/>
              <w:ind w:left="239"/>
            </w:pPr>
            <w:r>
              <w:t>29 Jun 2015</w:t>
            </w:r>
          </w:p>
        </w:tc>
        <w:tc>
          <w:tcPr>
            <w:tcW w:w="4478" w:type="dxa"/>
          </w:tcPr>
          <w:p w:rsidR="00174004" w:rsidRDefault="00C35651">
            <w:pPr>
              <w:pStyle w:val="TableParagraph"/>
              <w:spacing w:line="276" w:lineRule="auto"/>
              <w:ind w:right="545"/>
            </w:pPr>
            <w:proofErr w:type="spellStart"/>
            <w:r>
              <w:rPr>
                <w:i/>
              </w:rPr>
              <w:t>Pro Democracy</w:t>
            </w:r>
            <w:proofErr w:type="spellEnd"/>
            <w:r>
              <w:rPr>
                <w:i/>
              </w:rPr>
              <w:t xml:space="preserve"> Association </w:t>
            </w:r>
            <w:r>
              <w:t>(</w:t>
            </w:r>
            <w:proofErr w:type="spellStart"/>
            <w:r>
              <w:t>Asociația</w:t>
            </w:r>
            <w:proofErr w:type="spellEnd"/>
            <w:r>
              <w:t xml:space="preserve"> Pro </w:t>
            </w:r>
            <w:proofErr w:type="spellStart"/>
            <w:r>
              <w:t>Democrația</w:t>
            </w:r>
            <w:proofErr w:type="spellEnd"/>
            <w:r>
              <w:t>)</w:t>
            </w:r>
          </w:p>
        </w:tc>
        <w:tc>
          <w:tcPr>
            <w:tcW w:w="2326" w:type="dxa"/>
          </w:tcPr>
          <w:p w:rsidR="00174004" w:rsidRDefault="00C35651">
            <w:pPr>
              <w:pStyle w:val="TableParagraph"/>
              <w:spacing w:line="276" w:lineRule="auto"/>
              <w:ind w:left="105" w:right="177"/>
              <w:jc w:val="both"/>
            </w:pPr>
            <w:r>
              <w:t>Electoral system, good governance, separation of state and church</w:t>
            </w:r>
          </w:p>
        </w:tc>
      </w:tr>
      <w:tr w:rsidR="00174004">
        <w:trPr>
          <w:trHeight w:hRule="exact" w:val="1003"/>
        </w:trPr>
        <w:tc>
          <w:tcPr>
            <w:tcW w:w="708" w:type="dxa"/>
          </w:tcPr>
          <w:p w:rsidR="00174004" w:rsidRDefault="00C35651">
            <w:pPr>
              <w:pStyle w:val="TableParagraph"/>
              <w:spacing w:line="247" w:lineRule="exact"/>
              <w:ind w:left="167" w:right="167"/>
              <w:jc w:val="center"/>
            </w:pPr>
            <w:r>
              <w:t>11</w:t>
            </w:r>
          </w:p>
        </w:tc>
        <w:tc>
          <w:tcPr>
            <w:tcW w:w="1560" w:type="dxa"/>
          </w:tcPr>
          <w:p w:rsidR="00174004" w:rsidRDefault="00C35651">
            <w:pPr>
              <w:pStyle w:val="TableParagraph"/>
              <w:spacing w:line="247" w:lineRule="exact"/>
              <w:ind w:left="0" w:right="230"/>
              <w:jc w:val="right"/>
            </w:pPr>
            <w:r>
              <w:t>30 Jun 2015</w:t>
            </w:r>
          </w:p>
        </w:tc>
        <w:tc>
          <w:tcPr>
            <w:tcW w:w="4478" w:type="dxa"/>
          </w:tcPr>
          <w:p w:rsidR="00174004" w:rsidRDefault="00C35651">
            <w:pPr>
              <w:pStyle w:val="TableParagraph"/>
              <w:spacing w:line="276" w:lineRule="auto"/>
              <w:ind w:right="403"/>
            </w:pPr>
            <w:r>
              <w:rPr>
                <w:i/>
              </w:rPr>
              <w:t xml:space="preserve">National Council Combating Discrimination </w:t>
            </w:r>
            <w:r>
              <w:t>(</w:t>
            </w:r>
            <w:proofErr w:type="spellStart"/>
            <w:r>
              <w:t>Consiliul</w:t>
            </w:r>
            <w:proofErr w:type="spellEnd"/>
            <w:r>
              <w:t xml:space="preserve"> </w:t>
            </w:r>
            <w:proofErr w:type="spellStart"/>
            <w:r>
              <w:t>Național</w:t>
            </w:r>
            <w:proofErr w:type="spellEnd"/>
            <w:r>
              <w:t xml:space="preserve"> </w:t>
            </w:r>
            <w:proofErr w:type="spellStart"/>
            <w:r>
              <w:t>pentru</w:t>
            </w:r>
            <w:proofErr w:type="spellEnd"/>
            <w:r>
              <w:t xml:space="preserve"> </w:t>
            </w:r>
            <w:proofErr w:type="spellStart"/>
            <w:r>
              <w:t>Combaterea</w:t>
            </w:r>
            <w:proofErr w:type="spellEnd"/>
            <w:r>
              <w:t xml:space="preserve"> </w:t>
            </w:r>
            <w:proofErr w:type="spellStart"/>
            <w:r>
              <w:t>Discriminării</w:t>
            </w:r>
            <w:proofErr w:type="spellEnd"/>
            <w:r>
              <w:t>)</w:t>
            </w:r>
          </w:p>
        </w:tc>
        <w:tc>
          <w:tcPr>
            <w:tcW w:w="2326" w:type="dxa"/>
          </w:tcPr>
          <w:p w:rsidR="00174004" w:rsidRDefault="00C35651">
            <w:pPr>
              <w:pStyle w:val="TableParagraph"/>
              <w:spacing w:line="247" w:lineRule="exact"/>
              <w:ind w:left="105"/>
            </w:pPr>
            <w:r>
              <w:t>---</w:t>
            </w:r>
          </w:p>
        </w:tc>
      </w:tr>
    </w:tbl>
    <w:p w:rsidR="00174004" w:rsidRDefault="00174004">
      <w:pPr>
        <w:spacing w:line="247" w:lineRule="exact"/>
        <w:sectPr w:rsidR="00174004">
          <w:footerReference w:type="default" r:id="rId6"/>
          <w:type w:val="continuous"/>
          <w:pgSz w:w="11910" w:h="16840"/>
          <w:pgMar w:top="1320" w:right="1300" w:bottom="1140" w:left="1300" w:header="720" w:footer="942" w:gutter="0"/>
          <w:pgNumType w:start="1"/>
          <w:cols w:space="720"/>
        </w:sectPr>
      </w:pP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8"/>
        <w:gridCol w:w="1560"/>
        <w:gridCol w:w="4478"/>
        <w:gridCol w:w="2326"/>
      </w:tblGrid>
      <w:tr w:rsidR="00174004">
        <w:trPr>
          <w:trHeight w:hRule="exact" w:val="1003"/>
        </w:trPr>
        <w:tc>
          <w:tcPr>
            <w:tcW w:w="708" w:type="dxa"/>
          </w:tcPr>
          <w:p w:rsidR="00174004" w:rsidRDefault="00C35651">
            <w:pPr>
              <w:pStyle w:val="TableParagraph"/>
              <w:spacing w:line="252" w:lineRule="exact"/>
              <w:ind w:left="187"/>
              <w:rPr>
                <w:b/>
              </w:rPr>
            </w:pPr>
            <w:r>
              <w:rPr>
                <w:b/>
              </w:rPr>
              <w:lastRenderedPageBreak/>
              <w:t>No.</w:t>
            </w:r>
          </w:p>
        </w:tc>
        <w:tc>
          <w:tcPr>
            <w:tcW w:w="1560" w:type="dxa"/>
          </w:tcPr>
          <w:p w:rsidR="00174004" w:rsidRDefault="00C35651">
            <w:pPr>
              <w:pStyle w:val="TableParagraph"/>
              <w:spacing w:line="276" w:lineRule="auto"/>
              <w:ind w:left="575" w:right="303" w:hanging="252"/>
              <w:rPr>
                <w:b/>
              </w:rPr>
            </w:pPr>
            <w:r>
              <w:rPr>
                <w:b/>
              </w:rPr>
              <w:t>Interview date</w:t>
            </w:r>
          </w:p>
        </w:tc>
        <w:tc>
          <w:tcPr>
            <w:tcW w:w="4478" w:type="dxa"/>
          </w:tcPr>
          <w:p w:rsidR="00174004" w:rsidRDefault="00C35651">
            <w:pPr>
              <w:pStyle w:val="TableParagraph"/>
              <w:spacing w:line="252" w:lineRule="exact"/>
              <w:rPr>
                <w:b/>
              </w:rPr>
            </w:pPr>
            <w:r>
              <w:rPr>
                <w:b/>
              </w:rPr>
              <w:t>Interviewees’ organizational belonging</w:t>
            </w:r>
          </w:p>
        </w:tc>
        <w:tc>
          <w:tcPr>
            <w:tcW w:w="2326" w:type="dxa"/>
          </w:tcPr>
          <w:p w:rsidR="00174004" w:rsidRDefault="00C35651">
            <w:pPr>
              <w:pStyle w:val="TableParagraph"/>
              <w:spacing w:line="276" w:lineRule="auto"/>
              <w:ind w:left="105" w:right="302"/>
              <w:rPr>
                <w:b/>
              </w:rPr>
            </w:pPr>
            <w:r>
              <w:rPr>
                <w:b/>
              </w:rPr>
              <w:t>Organizational mobilization themes (not exhaustive)</w:t>
            </w:r>
          </w:p>
        </w:tc>
      </w:tr>
      <w:tr w:rsidR="00174004">
        <w:trPr>
          <w:trHeight w:hRule="exact" w:val="1294"/>
        </w:trPr>
        <w:tc>
          <w:tcPr>
            <w:tcW w:w="708" w:type="dxa"/>
          </w:tcPr>
          <w:p w:rsidR="00174004" w:rsidRDefault="00C35651">
            <w:pPr>
              <w:pStyle w:val="TableParagraph"/>
              <w:spacing w:line="244" w:lineRule="exact"/>
              <w:ind w:left="237"/>
            </w:pPr>
            <w:r>
              <w:t>13</w:t>
            </w:r>
          </w:p>
        </w:tc>
        <w:tc>
          <w:tcPr>
            <w:tcW w:w="1560" w:type="dxa"/>
          </w:tcPr>
          <w:p w:rsidR="00174004" w:rsidRDefault="00C35651">
            <w:pPr>
              <w:pStyle w:val="TableParagraph"/>
              <w:spacing w:line="244" w:lineRule="exact"/>
              <w:ind w:left="319"/>
            </w:pPr>
            <w:r>
              <w:t>8 Jul 2015</w:t>
            </w:r>
          </w:p>
        </w:tc>
        <w:tc>
          <w:tcPr>
            <w:tcW w:w="4478" w:type="dxa"/>
          </w:tcPr>
          <w:p w:rsidR="00174004" w:rsidRDefault="00C35651">
            <w:pPr>
              <w:pStyle w:val="TableParagraph"/>
              <w:spacing w:line="276" w:lineRule="auto"/>
              <w:ind w:right="130"/>
            </w:pPr>
            <w:r>
              <w:rPr>
                <w:i/>
              </w:rPr>
              <w:t xml:space="preserve">Alliance of Christian Baptist Churches in Romania </w:t>
            </w:r>
            <w:r>
              <w:t>(</w:t>
            </w:r>
            <w:proofErr w:type="spellStart"/>
            <w:r>
              <w:t>Uniunea</w:t>
            </w:r>
            <w:proofErr w:type="spellEnd"/>
            <w:r>
              <w:t xml:space="preserve"> </w:t>
            </w:r>
            <w:proofErr w:type="spellStart"/>
            <w:r>
              <w:t>Bisericilor</w:t>
            </w:r>
            <w:proofErr w:type="spellEnd"/>
            <w:r>
              <w:t xml:space="preserve"> </w:t>
            </w:r>
            <w:proofErr w:type="spellStart"/>
            <w:r>
              <w:t>Creștine</w:t>
            </w:r>
            <w:proofErr w:type="spellEnd"/>
            <w:r>
              <w:t xml:space="preserve"> Baptiste din </w:t>
            </w:r>
            <w:proofErr w:type="spellStart"/>
            <w:r>
              <w:t>România</w:t>
            </w:r>
            <w:proofErr w:type="spellEnd"/>
            <w:r>
              <w:t>)</w:t>
            </w:r>
          </w:p>
        </w:tc>
        <w:tc>
          <w:tcPr>
            <w:tcW w:w="2326" w:type="dxa"/>
          </w:tcPr>
          <w:p w:rsidR="00174004" w:rsidRDefault="00C35651">
            <w:pPr>
              <w:pStyle w:val="TableParagraph"/>
              <w:spacing w:line="276" w:lineRule="auto"/>
              <w:ind w:left="105" w:right="382"/>
            </w:pPr>
            <w:r>
              <w:t>Religious minority rights, constitutional definition of “marriage”</w:t>
            </w:r>
          </w:p>
        </w:tc>
      </w:tr>
      <w:tr w:rsidR="00174004">
        <w:trPr>
          <w:trHeight w:hRule="exact" w:val="1294"/>
        </w:trPr>
        <w:tc>
          <w:tcPr>
            <w:tcW w:w="708" w:type="dxa"/>
          </w:tcPr>
          <w:p w:rsidR="00174004" w:rsidRDefault="00C35651">
            <w:pPr>
              <w:pStyle w:val="TableParagraph"/>
              <w:spacing w:line="244" w:lineRule="exact"/>
              <w:ind w:left="237"/>
            </w:pPr>
            <w:r>
              <w:t>14</w:t>
            </w:r>
          </w:p>
        </w:tc>
        <w:tc>
          <w:tcPr>
            <w:tcW w:w="1560" w:type="dxa"/>
          </w:tcPr>
          <w:p w:rsidR="00174004" w:rsidRDefault="00C35651">
            <w:pPr>
              <w:pStyle w:val="TableParagraph"/>
              <w:spacing w:line="244" w:lineRule="exact"/>
              <w:ind w:left="0" w:right="254"/>
              <w:jc w:val="right"/>
            </w:pPr>
            <w:r>
              <w:t>24 Jul 2015</w:t>
            </w:r>
          </w:p>
        </w:tc>
        <w:tc>
          <w:tcPr>
            <w:tcW w:w="4478" w:type="dxa"/>
          </w:tcPr>
          <w:p w:rsidR="00174004" w:rsidRDefault="00C35651">
            <w:pPr>
              <w:pStyle w:val="TableParagraph"/>
              <w:spacing w:line="244" w:lineRule="exact"/>
              <w:rPr>
                <w:i/>
              </w:rPr>
            </w:pPr>
            <w:r>
              <w:rPr>
                <w:i/>
              </w:rPr>
              <w:t>ACCEPT</w:t>
            </w:r>
          </w:p>
        </w:tc>
        <w:tc>
          <w:tcPr>
            <w:tcW w:w="2326" w:type="dxa"/>
          </w:tcPr>
          <w:p w:rsidR="00174004" w:rsidRDefault="00C35651">
            <w:pPr>
              <w:pStyle w:val="TableParagraph"/>
              <w:spacing w:line="276" w:lineRule="auto"/>
              <w:ind w:left="105" w:right="83"/>
            </w:pPr>
            <w:r>
              <w:t>LGBT rights, reproductive rights, sex education, separation of church and state</w:t>
            </w:r>
          </w:p>
        </w:tc>
      </w:tr>
      <w:tr w:rsidR="00174004">
        <w:trPr>
          <w:trHeight w:hRule="exact" w:val="1003"/>
        </w:trPr>
        <w:tc>
          <w:tcPr>
            <w:tcW w:w="708" w:type="dxa"/>
          </w:tcPr>
          <w:p w:rsidR="00174004" w:rsidRDefault="00C35651">
            <w:pPr>
              <w:pStyle w:val="TableParagraph"/>
              <w:spacing w:line="247" w:lineRule="exact"/>
              <w:ind w:left="237"/>
            </w:pPr>
            <w:r>
              <w:t>16</w:t>
            </w:r>
          </w:p>
        </w:tc>
        <w:tc>
          <w:tcPr>
            <w:tcW w:w="1560" w:type="dxa"/>
          </w:tcPr>
          <w:p w:rsidR="00174004" w:rsidRDefault="00C35651">
            <w:pPr>
              <w:pStyle w:val="TableParagraph"/>
              <w:spacing w:line="247" w:lineRule="exact"/>
              <w:ind w:left="0" w:right="197"/>
              <w:jc w:val="right"/>
            </w:pPr>
            <w:r>
              <w:t>26 Aug 2015</w:t>
            </w:r>
          </w:p>
        </w:tc>
        <w:tc>
          <w:tcPr>
            <w:tcW w:w="4478" w:type="dxa"/>
          </w:tcPr>
          <w:p w:rsidR="00174004" w:rsidRDefault="00C35651">
            <w:pPr>
              <w:pStyle w:val="TableParagraph"/>
              <w:spacing w:line="276" w:lineRule="auto"/>
              <w:ind w:right="233"/>
            </w:pPr>
            <w:proofErr w:type="spellStart"/>
            <w:r>
              <w:rPr>
                <w:i/>
              </w:rPr>
              <w:t>Asociația</w:t>
            </w:r>
            <w:proofErr w:type="spellEnd"/>
            <w:r>
              <w:rPr>
                <w:i/>
              </w:rPr>
              <w:t xml:space="preserve"> </w:t>
            </w:r>
            <w:proofErr w:type="spellStart"/>
            <w:r>
              <w:rPr>
                <w:i/>
              </w:rPr>
              <w:t>Comunităților</w:t>
            </w:r>
            <w:proofErr w:type="spellEnd"/>
            <w:r>
              <w:rPr>
                <w:i/>
              </w:rPr>
              <w:t xml:space="preserve"> Baha’i din </w:t>
            </w:r>
            <w:proofErr w:type="spellStart"/>
            <w:r>
              <w:rPr>
                <w:i/>
              </w:rPr>
              <w:t>România</w:t>
            </w:r>
            <w:proofErr w:type="spellEnd"/>
            <w:r>
              <w:rPr>
                <w:i/>
              </w:rPr>
              <w:t xml:space="preserve"> </w:t>
            </w:r>
            <w:r>
              <w:t>(The Association of Baha’i Communities from Romania)</w:t>
            </w:r>
          </w:p>
        </w:tc>
        <w:tc>
          <w:tcPr>
            <w:tcW w:w="2326" w:type="dxa"/>
          </w:tcPr>
          <w:p w:rsidR="00174004" w:rsidRDefault="00C35651">
            <w:pPr>
              <w:pStyle w:val="TableParagraph"/>
              <w:spacing w:line="247" w:lineRule="exact"/>
              <w:ind w:left="105"/>
            </w:pPr>
            <w:r>
              <w:t>---</w:t>
            </w:r>
          </w:p>
        </w:tc>
      </w:tr>
      <w:tr w:rsidR="00174004">
        <w:trPr>
          <w:trHeight w:hRule="exact" w:val="1003"/>
        </w:trPr>
        <w:tc>
          <w:tcPr>
            <w:tcW w:w="708" w:type="dxa"/>
          </w:tcPr>
          <w:p w:rsidR="00174004" w:rsidRDefault="00C35651">
            <w:pPr>
              <w:pStyle w:val="TableParagraph"/>
              <w:spacing w:line="244" w:lineRule="exact"/>
              <w:ind w:left="237"/>
            </w:pPr>
            <w:r>
              <w:t>18</w:t>
            </w:r>
          </w:p>
        </w:tc>
        <w:tc>
          <w:tcPr>
            <w:tcW w:w="1560" w:type="dxa"/>
          </w:tcPr>
          <w:p w:rsidR="00174004" w:rsidRDefault="00C35651">
            <w:pPr>
              <w:pStyle w:val="TableParagraph"/>
              <w:spacing w:line="244" w:lineRule="exact"/>
              <w:ind w:left="0" w:right="275"/>
              <w:jc w:val="right"/>
            </w:pPr>
            <w:r>
              <w:t>4 Sep 2015</w:t>
            </w:r>
          </w:p>
        </w:tc>
        <w:tc>
          <w:tcPr>
            <w:tcW w:w="4478" w:type="dxa"/>
          </w:tcPr>
          <w:p w:rsidR="00174004" w:rsidRDefault="00C35651">
            <w:pPr>
              <w:pStyle w:val="TableParagraph"/>
              <w:spacing w:line="244" w:lineRule="exact"/>
              <w:rPr>
                <w:i/>
              </w:rPr>
            </w:pPr>
            <w:proofErr w:type="spellStart"/>
            <w:r>
              <w:rPr>
                <w:i/>
              </w:rPr>
              <w:t>ActiveWatch</w:t>
            </w:r>
            <w:proofErr w:type="spellEnd"/>
          </w:p>
        </w:tc>
        <w:tc>
          <w:tcPr>
            <w:tcW w:w="2326" w:type="dxa"/>
          </w:tcPr>
          <w:p w:rsidR="00174004" w:rsidRDefault="00C35651">
            <w:pPr>
              <w:pStyle w:val="TableParagraph"/>
              <w:spacing w:line="276" w:lineRule="auto"/>
              <w:ind w:left="105" w:right="395"/>
            </w:pPr>
            <w:r>
              <w:t>Freedom of speech, separation of church and state</w:t>
            </w:r>
          </w:p>
        </w:tc>
      </w:tr>
      <w:tr w:rsidR="00174004">
        <w:trPr>
          <w:trHeight w:hRule="exact" w:val="1294"/>
        </w:trPr>
        <w:tc>
          <w:tcPr>
            <w:tcW w:w="708" w:type="dxa"/>
          </w:tcPr>
          <w:p w:rsidR="00174004" w:rsidRDefault="00C35651">
            <w:pPr>
              <w:pStyle w:val="TableParagraph"/>
              <w:spacing w:line="244" w:lineRule="exact"/>
              <w:ind w:left="237"/>
            </w:pPr>
            <w:r>
              <w:t>19</w:t>
            </w:r>
          </w:p>
        </w:tc>
        <w:tc>
          <w:tcPr>
            <w:tcW w:w="1560" w:type="dxa"/>
          </w:tcPr>
          <w:p w:rsidR="00174004" w:rsidRDefault="00C35651">
            <w:pPr>
              <w:pStyle w:val="TableParagraph"/>
              <w:spacing w:line="244" w:lineRule="exact"/>
              <w:ind w:left="0" w:right="221"/>
              <w:jc w:val="right"/>
            </w:pPr>
            <w:r>
              <w:t>10 Sep 2015</w:t>
            </w:r>
          </w:p>
        </w:tc>
        <w:tc>
          <w:tcPr>
            <w:tcW w:w="4478" w:type="dxa"/>
          </w:tcPr>
          <w:p w:rsidR="00174004" w:rsidRDefault="00C35651">
            <w:pPr>
              <w:pStyle w:val="TableParagraph"/>
              <w:spacing w:line="276" w:lineRule="auto"/>
              <w:ind w:right="362"/>
            </w:pPr>
            <w:r>
              <w:rPr>
                <w:i/>
              </w:rPr>
              <w:t xml:space="preserve">Seventh-day Adventist Church from Romania </w:t>
            </w:r>
            <w:r>
              <w:t>(</w:t>
            </w:r>
            <w:proofErr w:type="spellStart"/>
            <w:r>
              <w:t>Biserica</w:t>
            </w:r>
            <w:proofErr w:type="spellEnd"/>
            <w:r>
              <w:t xml:space="preserve"> </w:t>
            </w:r>
            <w:proofErr w:type="spellStart"/>
            <w:r>
              <w:t>Adventistă</w:t>
            </w:r>
            <w:proofErr w:type="spellEnd"/>
            <w:r>
              <w:t xml:space="preserve"> de </w:t>
            </w:r>
            <w:proofErr w:type="spellStart"/>
            <w:r>
              <w:t>Ziua</w:t>
            </w:r>
            <w:proofErr w:type="spellEnd"/>
            <w:r>
              <w:t xml:space="preserve"> a </w:t>
            </w:r>
            <w:proofErr w:type="spellStart"/>
            <w:r>
              <w:t>Șaptea</w:t>
            </w:r>
            <w:proofErr w:type="spellEnd"/>
            <w:r>
              <w:t xml:space="preserve"> din </w:t>
            </w:r>
            <w:proofErr w:type="spellStart"/>
            <w:r>
              <w:t>România</w:t>
            </w:r>
            <w:proofErr w:type="spellEnd"/>
            <w:r>
              <w:t>)</w:t>
            </w:r>
          </w:p>
        </w:tc>
        <w:tc>
          <w:tcPr>
            <w:tcW w:w="2326" w:type="dxa"/>
          </w:tcPr>
          <w:p w:rsidR="00174004" w:rsidRDefault="00C35651">
            <w:pPr>
              <w:pStyle w:val="TableParagraph"/>
              <w:spacing w:line="276" w:lineRule="auto"/>
              <w:ind w:left="105" w:right="382"/>
            </w:pPr>
            <w:r>
              <w:t>Religious minority rights, constitutional definition of “marriage”</w:t>
            </w:r>
          </w:p>
        </w:tc>
      </w:tr>
      <w:tr w:rsidR="00174004">
        <w:trPr>
          <w:trHeight w:hRule="exact" w:val="1584"/>
        </w:trPr>
        <w:tc>
          <w:tcPr>
            <w:tcW w:w="708" w:type="dxa"/>
          </w:tcPr>
          <w:p w:rsidR="00174004" w:rsidRDefault="00C35651">
            <w:pPr>
              <w:pStyle w:val="TableParagraph"/>
              <w:spacing w:line="244" w:lineRule="exact"/>
              <w:ind w:left="237"/>
            </w:pPr>
            <w:r>
              <w:t>20</w:t>
            </w:r>
          </w:p>
        </w:tc>
        <w:tc>
          <w:tcPr>
            <w:tcW w:w="1560" w:type="dxa"/>
          </w:tcPr>
          <w:p w:rsidR="00174004" w:rsidRDefault="00C35651">
            <w:pPr>
              <w:pStyle w:val="TableParagraph"/>
              <w:spacing w:line="244" w:lineRule="exact"/>
              <w:ind w:left="0" w:right="221"/>
              <w:jc w:val="right"/>
            </w:pPr>
            <w:r>
              <w:t>15 Sep 2015</w:t>
            </w:r>
          </w:p>
        </w:tc>
        <w:tc>
          <w:tcPr>
            <w:tcW w:w="4478" w:type="dxa"/>
          </w:tcPr>
          <w:p w:rsidR="00174004" w:rsidRDefault="00C35651">
            <w:pPr>
              <w:pStyle w:val="TableParagraph"/>
              <w:spacing w:line="276" w:lineRule="auto"/>
              <w:ind w:right="588"/>
            </w:pPr>
            <w:r>
              <w:rPr>
                <w:i/>
              </w:rPr>
              <w:t xml:space="preserve">Association Solidarity for Freedom of Conscience </w:t>
            </w:r>
            <w:r>
              <w:t>(</w:t>
            </w:r>
            <w:proofErr w:type="spellStart"/>
            <w:r>
              <w:t>Asociația</w:t>
            </w:r>
            <w:proofErr w:type="spellEnd"/>
            <w:r>
              <w:t xml:space="preserve"> </w:t>
            </w:r>
            <w:proofErr w:type="spellStart"/>
            <w:r>
              <w:t>Solidaritatea</w:t>
            </w:r>
            <w:proofErr w:type="spellEnd"/>
            <w:r>
              <w:t xml:space="preserve"> </w:t>
            </w:r>
            <w:proofErr w:type="spellStart"/>
            <w:r>
              <w:t>pentru</w:t>
            </w:r>
            <w:proofErr w:type="spellEnd"/>
            <w:r>
              <w:t xml:space="preserve"> </w:t>
            </w:r>
            <w:proofErr w:type="spellStart"/>
            <w:r>
              <w:t>Libertatea</w:t>
            </w:r>
            <w:proofErr w:type="spellEnd"/>
            <w:r>
              <w:t xml:space="preserve"> de </w:t>
            </w:r>
            <w:proofErr w:type="spellStart"/>
            <w:r>
              <w:t>Conștiință</w:t>
            </w:r>
            <w:proofErr w:type="spellEnd"/>
            <w:r>
              <w:t>)</w:t>
            </w:r>
          </w:p>
        </w:tc>
        <w:tc>
          <w:tcPr>
            <w:tcW w:w="2326" w:type="dxa"/>
          </w:tcPr>
          <w:p w:rsidR="00174004" w:rsidRDefault="00C35651">
            <w:pPr>
              <w:pStyle w:val="TableParagraph"/>
              <w:spacing w:line="276" w:lineRule="auto"/>
              <w:ind w:left="105" w:right="83"/>
            </w:pPr>
            <w:r>
              <w:t>Presence of religion in education, separation of church and state, religious  minority rights</w:t>
            </w:r>
          </w:p>
        </w:tc>
      </w:tr>
      <w:tr w:rsidR="00174004">
        <w:trPr>
          <w:trHeight w:hRule="exact" w:val="1877"/>
        </w:trPr>
        <w:tc>
          <w:tcPr>
            <w:tcW w:w="708" w:type="dxa"/>
          </w:tcPr>
          <w:p w:rsidR="00174004" w:rsidRDefault="00C35651">
            <w:pPr>
              <w:pStyle w:val="TableParagraph"/>
              <w:spacing w:line="244" w:lineRule="exact"/>
              <w:ind w:left="237"/>
            </w:pPr>
            <w:r>
              <w:t>22</w:t>
            </w:r>
          </w:p>
        </w:tc>
        <w:tc>
          <w:tcPr>
            <w:tcW w:w="1560" w:type="dxa"/>
          </w:tcPr>
          <w:p w:rsidR="00174004" w:rsidRDefault="00C35651">
            <w:pPr>
              <w:pStyle w:val="TableParagraph"/>
              <w:spacing w:line="244" w:lineRule="exact"/>
              <w:ind w:left="287"/>
            </w:pPr>
            <w:r>
              <w:t>7 Oct 2015</w:t>
            </w:r>
          </w:p>
        </w:tc>
        <w:tc>
          <w:tcPr>
            <w:tcW w:w="4478" w:type="dxa"/>
          </w:tcPr>
          <w:p w:rsidR="00174004" w:rsidRDefault="00C35651">
            <w:pPr>
              <w:pStyle w:val="TableParagraph"/>
              <w:spacing w:line="276" w:lineRule="auto"/>
              <w:ind w:right="215"/>
            </w:pPr>
            <w:r>
              <w:rPr>
                <w:i/>
              </w:rPr>
              <w:t xml:space="preserve">Association PRO VITA for the Born and the Unborn – Bucharest </w:t>
            </w:r>
            <w:r>
              <w:t>(</w:t>
            </w:r>
            <w:proofErr w:type="spellStart"/>
            <w:r>
              <w:t>Asociația</w:t>
            </w:r>
            <w:proofErr w:type="spellEnd"/>
            <w:r>
              <w:t xml:space="preserve"> PRO VITA </w:t>
            </w:r>
            <w:proofErr w:type="spellStart"/>
            <w:r>
              <w:t>pentru</w:t>
            </w:r>
            <w:proofErr w:type="spellEnd"/>
            <w:r>
              <w:t xml:space="preserve"> </w:t>
            </w:r>
            <w:proofErr w:type="spellStart"/>
            <w:r>
              <w:t>Născuți</w:t>
            </w:r>
            <w:proofErr w:type="spellEnd"/>
            <w:r>
              <w:t xml:space="preserve"> </w:t>
            </w:r>
            <w:proofErr w:type="spellStart"/>
            <w:r>
              <w:t>și</w:t>
            </w:r>
            <w:proofErr w:type="spellEnd"/>
            <w:r>
              <w:t xml:space="preserve"> </w:t>
            </w:r>
            <w:proofErr w:type="spellStart"/>
            <w:r>
              <w:t>Nenăscuți</w:t>
            </w:r>
            <w:proofErr w:type="spellEnd"/>
            <w:r>
              <w:t xml:space="preserve"> – </w:t>
            </w:r>
            <w:proofErr w:type="spellStart"/>
            <w:r>
              <w:t>filiala</w:t>
            </w:r>
            <w:proofErr w:type="spellEnd"/>
            <w:r>
              <w:t xml:space="preserve"> </w:t>
            </w:r>
            <w:proofErr w:type="spellStart"/>
            <w:r>
              <w:t>București</w:t>
            </w:r>
            <w:proofErr w:type="spellEnd"/>
            <w:r>
              <w:t>)</w:t>
            </w:r>
          </w:p>
        </w:tc>
        <w:tc>
          <w:tcPr>
            <w:tcW w:w="2326" w:type="dxa"/>
          </w:tcPr>
          <w:p w:rsidR="00174004" w:rsidRDefault="00C35651">
            <w:pPr>
              <w:pStyle w:val="TableParagraph"/>
              <w:spacing w:line="276" w:lineRule="auto"/>
              <w:ind w:left="105" w:right="98"/>
            </w:pPr>
            <w:r>
              <w:t>Right to life, presence of  religion in education, sex education, constitutional definition of</w:t>
            </w:r>
            <w:r>
              <w:rPr>
                <w:spacing w:val="-3"/>
              </w:rPr>
              <w:t xml:space="preserve"> </w:t>
            </w:r>
            <w:r>
              <w:t>“marriage”</w:t>
            </w:r>
          </w:p>
        </w:tc>
      </w:tr>
      <w:tr w:rsidR="00174004">
        <w:trPr>
          <w:trHeight w:hRule="exact" w:val="1874"/>
        </w:trPr>
        <w:tc>
          <w:tcPr>
            <w:tcW w:w="708" w:type="dxa"/>
          </w:tcPr>
          <w:p w:rsidR="00174004" w:rsidRDefault="00C35651">
            <w:pPr>
              <w:pStyle w:val="TableParagraph"/>
              <w:spacing w:line="244" w:lineRule="exact"/>
              <w:ind w:left="237"/>
            </w:pPr>
            <w:r>
              <w:t>23</w:t>
            </w:r>
          </w:p>
        </w:tc>
        <w:tc>
          <w:tcPr>
            <w:tcW w:w="1560" w:type="dxa"/>
          </w:tcPr>
          <w:p w:rsidR="00174004" w:rsidRDefault="00C35651">
            <w:pPr>
              <w:pStyle w:val="TableParagraph"/>
              <w:spacing w:line="244" w:lineRule="exact"/>
              <w:ind w:left="0" w:right="227"/>
              <w:jc w:val="right"/>
            </w:pPr>
            <w:r>
              <w:t>13 Oct 2015</w:t>
            </w:r>
          </w:p>
        </w:tc>
        <w:tc>
          <w:tcPr>
            <w:tcW w:w="4478" w:type="dxa"/>
          </w:tcPr>
          <w:p w:rsidR="00174004" w:rsidRDefault="00C35651">
            <w:pPr>
              <w:pStyle w:val="TableParagraph"/>
              <w:spacing w:line="276" w:lineRule="auto"/>
              <w:ind w:right="361"/>
            </w:pPr>
            <w:r>
              <w:rPr>
                <w:i/>
              </w:rPr>
              <w:t xml:space="preserve">Secular Humanist Association from Romania </w:t>
            </w:r>
            <w:r>
              <w:t>(</w:t>
            </w:r>
            <w:proofErr w:type="spellStart"/>
            <w:r>
              <w:t>Asociația</w:t>
            </w:r>
            <w:proofErr w:type="spellEnd"/>
            <w:r>
              <w:t xml:space="preserve"> Secular-</w:t>
            </w:r>
            <w:proofErr w:type="spellStart"/>
            <w:r>
              <w:t>Umanistă</w:t>
            </w:r>
            <w:proofErr w:type="spellEnd"/>
            <w:r>
              <w:t xml:space="preserve"> din </w:t>
            </w:r>
            <w:proofErr w:type="spellStart"/>
            <w:r>
              <w:t>România</w:t>
            </w:r>
            <w:proofErr w:type="spellEnd"/>
            <w:r>
              <w:t>, ASUR)</w:t>
            </w:r>
          </w:p>
        </w:tc>
        <w:tc>
          <w:tcPr>
            <w:tcW w:w="2326" w:type="dxa"/>
          </w:tcPr>
          <w:p w:rsidR="00174004" w:rsidRDefault="00C35651">
            <w:pPr>
              <w:pStyle w:val="TableParagraph"/>
              <w:spacing w:line="276" w:lineRule="auto"/>
              <w:ind w:left="105" w:right="254"/>
            </w:pPr>
            <w:r>
              <w:t>Separation of church and state, presence of religion in education, presence of science in education, sex education</w:t>
            </w:r>
          </w:p>
        </w:tc>
      </w:tr>
      <w:tr w:rsidR="00174004">
        <w:trPr>
          <w:trHeight w:hRule="exact" w:val="1003"/>
        </w:trPr>
        <w:tc>
          <w:tcPr>
            <w:tcW w:w="708" w:type="dxa"/>
          </w:tcPr>
          <w:p w:rsidR="00174004" w:rsidRDefault="00C35651">
            <w:pPr>
              <w:pStyle w:val="TableParagraph"/>
              <w:spacing w:line="244" w:lineRule="exact"/>
              <w:ind w:left="237"/>
            </w:pPr>
            <w:r>
              <w:t>24</w:t>
            </w:r>
          </w:p>
        </w:tc>
        <w:tc>
          <w:tcPr>
            <w:tcW w:w="1560" w:type="dxa"/>
          </w:tcPr>
          <w:p w:rsidR="00174004" w:rsidRDefault="00C35651">
            <w:pPr>
              <w:pStyle w:val="TableParagraph"/>
              <w:spacing w:line="244" w:lineRule="exact"/>
              <w:ind w:left="0" w:right="227"/>
              <w:jc w:val="right"/>
            </w:pPr>
            <w:r>
              <w:t>14 Oct 2015</w:t>
            </w:r>
          </w:p>
        </w:tc>
        <w:tc>
          <w:tcPr>
            <w:tcW w:w="4478" w:type="dxa"/>
          </w:tcPr>
          <w:p w:rsidR="00174004" w:rsidRDefault="00C35651">
            <w:pPr>
              <w:pStyle w:val="TableParagraph"/>
              <w:spacing w:line="276" w:lineRule="auto"/>
              <w:ind w:right="588"/>
            </w:pPr>
            <w:r>
              <w:rPr>
                <w:i/>
              </w:rPr>
              <w:t xml:space="preserve">Association Solidarity for Freedom of Conscience </w:t>
            </w:r>
            <w:r>
              <w:t>(</w:t>
            </w:r>
            <w:proofErr w:type="spellStart"/>
            <w:r>
              <w:t>Asociația</w:t>
            </w:r>
            <w:proofErr w:type="spellEnd"/>
            <w:r>
              <w:t xml:space="preserve"> </w:t>
            </w:r>
            <w:proofErr w:type="spellStart"/>
            <w:r>
              <w:t>Solidaritatea</w:t>
            </w:r>
            <w:proofErr w:type="spellEnd"/>
            <w:r>
              <w:t xml:space="preserve"> </w:t>
            </w:r>
            <w:proofErr w:type="spellStart"/>
            <w:r>
              <w:t>pentru</w:t>
            </w:r>
            <w:proofErr w:type="spellEnd"/>
            <w:r>
              <w:t xml:space="preserve"> </w:t>
            </w:r>
            <w:proofErr w:type="spellStart"/>
            <w:r>
              <w:t>Libertatea</w:t>
            </w:r>
            <w:proofErr w:type="spellEnd"/>
            <w:r>
              <w:t xml:space="preserve"> de </w:t>
            </w:r>
            <w:proofErr w:type="spellStart"/>
            <w:r>
              <w:t>Conștiință</w:t>
            </w:r>
            <w:proofErr w:type="spellEnd"/>
            <w:r>
              <w:t>)</w:t>
            </w:r>
          </w:p>
        </w:tc>
        <w:tc>
          <w:tcPr>
            <w:tcW w:w="2326" w:type="dxa"/>
          </w:tcPr>
          <w:p w:rsidR="00174004" w:rsidRDefault="00C35651">
            <w:pPr>
              <w:pStyle w:val="TableParagraph"/>
              <w:spacing w:line="244" w:lineRule="exact"/>
              <w:ind w:left="105"/>
              <w:rPr>
                <w:i/>
              </w:rPr>
            </w:pPr>
            <w:r>
              <w:rPr>
                <w:i/>
              </w:rPr>
              <w:t>See above</w:t>
            </w:r>
          </w:p>
        </w:tc>
      </w:tr>
      <w:tr w:rsidR="00174004">
        <w:trPr>
          <w:trHeight w:hRule="exact" w:val="422"/>
        </w:trPr>
        <w:tc>
          <w:tcPr>
            <w:tcW w:w="708" w:type="dxa"/>
          </w:tcPr>
          <w:p w:rsidR="00174004" w:rsidRDefault="00C35651">
            <w:pPr>
              <w:pStyle w:val="TableParagraph"/>
              <w:spacing w:line="244" w:lineRule="exact"/>
              <w:ind w:left="237"/>
            </w:pPr>
            <w:r>
              <w:t>25</w:t>
            </w:r>
          </w:p>
        </w:tc>
        <w:tc>
          <w:tcPr>
            <w:tcW w:w="1560" w:type="dxa"/>
          </w:tcPr>
          <w:p w:rsidR="00174004" w:rsidRDefault="00C35651">
            <w:pPr>
              <w:pStyle w:val="TableParagraph"/>
              <w:spacing w:line="244" w:lineRule="exact"/>
              <w:ind w:left="0" w:right="227"/>
              <w:jc w:val="right"/>
            </w:pPr>
            <w:r>
              <w:t>15 Oct 2015</w:t>
            </w:r>
          </w:p>
        </w:tc>
        <w:tc>
          <w:tcPr>
            <w:tcW w:w="4478" w:type="dxa"/>
          </w:tcPr>
          <w:p w:rsidR="00174004" w:rsidRDefault="00C35651">
            <w:pPr>
              <w:pStyle w:val="TableParagraph"/>
              <w:spacing w:line="244" w:lineRule="exact"/>
              <w:rPr>
                <w:i/>
              </w:rPr>
            </w:pPr>
            <w:r>
              <w:rPr>
                <w:i/>
              </w:rPr>
              <w:t>ACCEPT</w:t>
            </w:r>
          </w:p>
        </w:tc>
        <w:tc>
          <w:tcPr>
            <w:tcW w:w="2326" w:type="dxa"/>
          </w:tcPr>
          <w:p w:rsidR="00174004" w:rsidRDefault="00C35651">
            <w:pPr>
              <w:pStyle w:val="TableParagraph"/>
              <w:spacing w:line="244" w:lineRule="exact"/>
              <w:ind w:left="105"/>
              <w:rPr>
                <w:i/>
              </w:rPr>
            </w:pPr>
            <w:r>
              <w:rPr>
                <w:i/>
              </w:rPr>
              <w:t>See above</w:t>
            </w:r>
          </w:p>
        </w:tc>
      </w:tr>
    </w:tbl>
    <w:p w:rsidR="00174004" w:rsidRDefault="00174004">
      <w:pPr>
        <w:spacing w:line="244" w:lineRule="exact"/>
        <w:sectPr w:rsidR="00174004">
          <w:pgSz w:w="11910" w:h="16840"/>
          <w:pgMar w:top="1400" w:right="1300" w:bottom="1140" w:left="1300" w:header="0" w:footer="942" w:gutter="0"/>
          <w:cols w:space="720"/>
        </w:sectPr>
      </w:pP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8"/>
        <w:gridCol w:w="1560"/>
        <w:gridCol w:w="4478"/>
        <w:gridCol w:w="2326"/>
      </w:tblGrid>
      <w:tr w:rsidR="00174004">
        <w:trPr>
          <w:trHeight w:hRule="exact" w:val="1003"/>
        </w:trPr>
        <w:tc>
          <w:tcPr>
            <w:tcW w:w="708" w:type="dxa"/>
          </w:tcPr>
          <w:p w:rsidR="00174004" w:rsidRDefault="00C35651">
            <w:pPr>
              <w:pStyle w:val="TableParagraph"/>
              <w:spacing w:line="252" w:lineRule="exact"/>
              <w:ind w:left="187"/>
              <w:rPr>
                <w:b/>
              </w:rPr>
            </w:pPr>
            <w:r>
              <w:rPr>
                <w:b/>
              </w:rPr>
              <w:lastRenderedPageBreak/>
              <w:t>No.</w:t>
            </w:r>
          </w:p>
        </w:tc>
        <w:tc>
          <w:tcPr>
            <w:tcW w:w="1560" w:type="dxa"/>
          </w:tcPr>
          <w:p w:rsidR="00174004" w:rsidRDefault="00C35651">
            <w:pPr>
              <w:pStyle w:val="TableParagraph"/>
              <w:spacing w:line="276" w:lineRule="auto"/>
              <w:ind w:left="575" w:right="303" w:hanging="252"/>
              <w:rPr>
                <w:b/>
              </w:rPr>
            </w:pPr>
            <w:r>
              <w:rPr>
                <w:b/>
              </w:rPr>
              <w:t>Interview date</w:t>
            </w:r>
          </w:p>
        </w:tc>
        <w:tc>
          <w:tcPr>
            <w:tcW w:w="4478" w:type="dxa"/>
          </w:tcPr>
          <w:p w:rsidR="00174004" w:rsidRDefault="00C35651">
            <w:pPr>
              <w:pStyle w:val="TableParagraph"/>
              <w:spacing w:line="252" w:lineRule="exact"/>
              <w:rPr>
                <w:b/>
              </w:rPr>
            </w:pPr>
            <w:r>
              <w:rPr>
                <w:b/>
              </w:rPr>
              <w:t>Interviewees’ organizational belonging</w:t>
            </w:r>
          </w:p>
        </w:tc>
        <w:tc>
          <w:tcPr>
            <w:tcW w:w="2326" w:type="dxa"/>
          </w:tcPr>
          <w:p w:rsidR="00174004" w:rsidRDefault="00C35651">
            <w:pPr>
              <w:pStyle w:val="TableParagraph"/>
              <w:spacing w:line="276" w:lineRule="auto"/>
              <w:ind w:left="105" w:right="302"/>
              <w:rPr>
                <w:b/>
              </w:rPr>
            </w:pPr>
            <w:r>
              <w:rPr>
                <w:b/>
              </w:rPr>
              <w:t>Organizational mobilization themes (not exhaustive)</w:t>
            </w:r>
          </w:p>
        </w:tc>
      </w:tr>
      <w:tr w:rsidR="00174004">
        <w:trPr>
          <w:trHeight w:hRule="exact" w:val="1294"/>
        </w:trPr>
        <w:tc>
          <w:tcPr>
            <w:tcW w:w="708" w:type="dxa"/>
          </w:tcPr>
          <w:p w:rsidR="00174004" w:rsidRDefault="00C35651">
            <w:pPr>
              <w:pStyle w:val="TableParagraph"/>
              <w:spacing w:line="244" w:lineRule="exact"/>
              <w:ind w:left="237"/>
            </w:pPr>
            <w:r>
              <w:t>27</w:t>
            </w:r>
          </w:p>
        </w:tc>
        <w:tc>
          <w:tcPr>
            <w:tcW w:w="1560" w:type="dxa"/>
          </w:tcPr>
          <w:p w:rsidR="00174004" w:rsidRDefault="00C35651">
            <w:pPr>
              <w:pStyle w:val="TableParagraph"/>
              <w:spacing w:line="244" w:lineRule="exact"/>
              <w:ind w:left="256"/>
            </w:pPr>
            <w:r>
              <w:t>6 Nov 2015</w:t>
            </w:r>
          </w:p>
        </w:tc>
        <w:tc>
          <w:tcPr>
            <w:tcW w:w="4478" w:type="dxa"/>
          </w:tcPr>
          <w:p w:rsidR="00174004" w:rsidRDefault="00C35651">
            <w:pPr>
              <w:pStyle w:val="TableParagraph"/>
              <w:spacing w:line="276" w:lineRule="auto"/>
              <w:ind w:right="453"/>
            </w:pPr>
            <w:r>
              <w:rPr>
                <w:i/>
              </w:rPr>
              <w:t xml:space="preserve">Association ‘Parents for the Religion Class’ </w:t>
            </w:r>
            <w:r>
              <w:t>(</w:t>
            </w:r>
            <w:proofErr w:type="spellStart"/>
            <w:r>
              <w:t>Asociatia</w:t>
            </w:r>
            <w:proofErr w:type="spellEnd"/>
            <w:r>
              <w:t xml:space="preserve"> </w:t>
            </w:r>
            <w:proofErr w:type="spellStart"/>
            <w:r>
              <w:t>Părinți</w:t>
            </w:r>
            <w:proofErr w:type="spellEnd"/>
            <w:r>
              <w:t xml:space="preserve"> </w:t>
            </w:r>
            <w:proofErr w:type="spellStart"/>
            <w:r>
              <w:t>pentru</w:t>
            </w:r>
            <w:proofErr w:type="spellEnd"/>
            <w:r>
              <w:t xml:space="preserve"> Ora de </w:t>
            </w:r>
            <w:proofErr w:type="spellStart"/>
            <w:r>
              <w:t>Religie</w:t>
            </w:r>
            <w:proofErr w:type="spellEnd"/>
            <w:r>
              <w:t>, APOR)</w:t>
            </w:r>
          </w:p>
        </w:tc>
        <w:tc>
          <w:tcPr>
            <w:tcW w:w="2326" w:type="dxa"/>
          </w:tcPr>
          <w:p w:rsidR="00174004" w:rsidRDefault="00C35651">
            <w:pPr>
              <w:pStyle w:val="TableParagraph"/>
              <w:spacing w:line="276" w:lineRule="auto"/>
              <w:ind w:left="105" w:right="98"/>
            </w:pPr>
            <w:r>
              <w:t>Religious education, sex education, constitutional definition of</w:t>
            </w:r>
            <w:r>
              <w:rPr>
                <w:spacing w:val="-3"/>
              </w:rPr>
              <w:t xml:space="preserve"> </w:t>
            </w:r>
            <w:r>
              <w:t>“marriage”</w:t>
            </w:r>
          </w:p>
        </w:tc>
      </w:tr>
      <w:tr w:rsidR="00174004">
        <w:trPr>
          <w:trHeight w:hRule="exact" w:val="1294"/>
        </w:trPr>
        <w:tc>
          <w:tcPr>
            <w:tcW w:w="708" w:type="dxa"/>
          </w:tcPr>
          <w:p w:rsidR="00174004" w:rsidRDefault="00C35651">
            <w:pPr>
              <w:pStyle w:val="TableParagraph"/>
              <w:spacing w:line="244" w:lineRule="exact"/>
              <w:ind w:left="237"/>
            </w:pPr>
            <w:r>
              <w:t>29</w:t>
            </w:r>
          </w:p>
        </w:tc>
        <w:tc>
          <w:tcPr>
            <w:tcW w:w="1560" w:type="dxa"/>
          </w:tcPr>
          <w:p w:rsidR="00174004" w:rsidRDefault="00C35651">
            <w:pPr>
              <w:pStyle w:val="TableParagraph"/>
              <w:spacing w:line="244" w:lineRule="exact"/>
              <w:ind w:left="201"/>
            </w:pPr>
            <w:r>
              <w:t>20 Nov 2015</w:t>
            </w:r>
          </w:p>
        </w:tc>
        <w:tc>
          <w:tcPr>
            <w:tcW w:w="4478" w:type="dxa"/>
          </w:tcPr>
          <w:p w:rsidR="00174004" w:rsidRDefault="00C35651">
            <w:pPr>
              <w:pStyle w:val="TableParagraph"/>
              <w:spacing w:line="244" w:lineRule="exact"/>
            </w:pPr>
            <w:r>
              <w:rPr>
                <w:i/>
              </w:rPr>
              <w:t xml:space="preserve">Alliance of Families from Romania </w:t>
            </w:r>
            <w:r>
              <w:t>(</w:t>
            </w:r>
            <w:proofErr w:type="spellStart"/>
            <w:r>
              <w:t>Alianța</w:t>
            </w:r>
            <w:proofErr w:type="spellEnd"/>
          </w:p>
          <w:p w:rsidR="00174004" w:rsidRDefault="00C35651">
            <w:pPr>
              <w:pStyle w:val="TableParagraph"/>
              <w:spacing w:before="40"/>
            </w:pPr>
            <w:proofErr w:type="spellStart"/>
            <w:r>
              <w:t>Familiilor</w:t>
            </w:r>
            <w:proofErr w:type="spellEnd"/>
            <w:r>
              <w:t xml:space="preserve"> din </w:t>
            </w:r>
            <w:proofErr w:type="spellStart"/>
            <w:r>
              <w:t>România</w:t>
            </w:r>
            <w:proofErr w:type="spellEnd"/>
            <w:r>
              <w:t>, AFR)</w:t>
            </w:r>
          </w:p>
        </w:tc>
        <w:tc>
          <w:tcPr>
            <w:tcW w:w="2326" w:type="dxa"/>
          </w:tcPr>
          <w:p w:rsidR="00174004" w:rsidRDefault="00C35651">
            <w:pPr>
              <w:pStyle w:val="TableParagraph"/>
              <w:spacing w:line="276" w:lineRule="auto"/>
              <w:ind w:left="105" w:right="810"/>
            </w:pPr>
            <w:r>
              <w:t>Constitutional definition of “marriage”, sex education</w:t>
            </w:r>
          </w:p>
        </w:tc>
      </w:tr>
      <w:tr w:rsidR="00174004">
        <w:trPr>
          <w:trHeight w:hRule="exact" w:val="1294"/>
        </w:trPr>
        <w:tc>
          <w:tcPr>
            <w:tcW w:w="708" w:type="dxa"/>
          </w:tcPr>
          <w:p w:rsidR="00174004" w:rsidRDefault="00C35651">
            <w:pPr>
              <w:pStyle w:val="TableParagraph"/>
              <w:spacing w:line="247" w:lineRule="exact"/>
              <w:ind w:left="237"/>
            </w:pPr>
            <w:r>
              <w:t>30</w:t>
            </w:r>
          </w:p>
        </w:tc>
        <w:tc>
          <w:tcPr>
            <w:tcW w:w="1560" w:type="dxa"/>
          </w:tcPr>
          <w:p w:rsidR="00174004" w:rsidRDefault="00C35651">
            <w:pPr>
              <w:pStyle w:val="TableParagraph"/>
              <w:spacing w:line="247" w:lineRule="exact"/>
              <w:ind w:left="215"/>
            </w:pPr>
            <w:r>
              <w:t>16 Dec 2015</w:t>
            </w:r>
          </w:p>
        </w:tc>
        <w:tc>
          <w:tcPr>
            <w:tcW w:w="4478" w:type="dxa"/>
          </w:tcPr>
          <w:p w:rsidR="00174004" w:rsidRDefault="00C35651">
            <w:pPr>
              <w:pStyle w:val="TableParagraph"/>
              <w:spacing w:line="276" w:lineRule="auto"/>
              <w:ind w:right="423"/>
            </w:pPr>
            <w:r>
              <w:rPr>
                <w:i/>
              </w:rPr>
              <w:t xml:space="preserve">Alliance of Christian Gospel Churches in Romania </w:t>
            </w:r>
            <w:r>
              <w:t>(</w:t>
            </w:r>
            <w:proofErr w:type="spellStart"/>
            <w:r>
              <w:t>Uniunea</w:t>
            </w:r>
            <w:proofErr w:type="spellEnd"/>
            <w:r>
              <w:t xml:space="preserve"> </w:t>
            </w:r>
            <w:proofErr w:type="spellStart"/>
            <w:r>
              <w:t>Bisericilor</w:t>
            </w:r>
            <w:proofErr w:type="spellEnd"/>
            <w:r>
              <w:t xml:space="preserve"> </w:t>
            </w:r>
            <w:proofErr w:type="spellStart"/>
            <w:r>
              <w:t>Creștine</w:t>
            </w:r>
            <w:proofErr w:type="spellEnd"/>
            <w:r>
              <w:t xml:space="preserve"> </w:t>
            </w:r>
            <w:proofErr w:type="spellStart"/>
            <w:r>
              <w:t>după</w:t>
            </w:r>
            <w:proofErr w:type="spellEnd"/>
            <w:r>
              <w:t xml:space="preserve"> </w:t>
            </w:r>
            <w:proofErr w:type="spellStart"/>
            <w:r>
              <w:t>Evanghelie</w:t>
            </w:r>
            <w:proofErr w:type="spellEnd"/>
            <w:r>
              <w:t xml:space="preserve"> din </w:t>
            </w:r>
            <w:proofErr w:type="spellStart"/>
            <w:r>
              <w:t>România</w:t>
            </w:r>
            <w:proofErr w:type="spellEnd"/>
            <w:r>
              <w:t>)</w:t>
            </w:r>
          </w:p>
        </w:tc>
        <w:tc>
          <w:tcPr>
            <w:tcW w:w="2326" w:type="dxa"/>
          </w:tcPr>
          <w:p w:rsidR="00174004" w:rsidRDefault="00C35651">
            <w:pPr>
              <w:pStyle w:val="TableParagraph"/>
              <w:spacing w:line="276" w:lineRule="auto"/>
              <w:ind w:left="105" w:right="382"/>
            </w:pPr>
            <w:r>
              <w:t>Religious minority rights, constitutional definition of “marriage”</w:t>
            </w:r>
          </w:p>
        </w:tc>
      </w:tr>
      <w:tr w:rsidR="00174004">
        <w:trPr>
          <w:trHeight w:hRule="exact" w:val="422"/>
        </w:trPr>
        <w:tc>
          <w:tcPr>
            <w:tcW w:w="708" w:type="dxa"/>
          </w:tcPr>
          <w:p w:rsidR="00174004" w:rsidRDefault="00C35651">
            <w:pPr>
              <w:pStyle w:val="TableParagraph"/>
              <w:spacing w:line="247" w:lineRule="exact"/>
              <w:ind w:left="237"/>
            </w:pPr>
            <w:r>
              <w:t>37</w:t>
            </w:r>
          </w:p>
        </w:tc>
        <w:tc>
          <w:tcPr>
            <w:tcW w:w="1560" w:type="dxa"/>
          </w:tcPr>
          <w:p w:rsidR="00174004" w:rsidRDefault="00C35651">
            <w:pPr>
              <w:pStyle w:val="TableParagraph"/>
              <w:spacing w:line="247" w:lineRule="exact"/>
              <w:ind w:left="239"/>
            </w:pPr>
            <w:r>
              <w:t>10 Jun 2016</w:t>
            </w:r>
          </w:p>
        </w:tc>
        <w:tc>
          <w:tcPr>
            <w:tcW w:w="4478" w:type="dxa"/>
          </w:tcPr>
          <w:p w:rsidR="00174004" w:rsidRDefault="00C35651">
            <w:pPr>
              <w:pStyle w:val="TableParagraph"/>
              <w:spacing w:line="247" w:lineRule="exact"/>
              <w:rPr>
                <w:i/>
              </w:rPr>
            </w:pPr>
            <w:r>
              <w:rPr>
                <w:i/>
              </w:rPr>
              <w:t>ACCEPT</w:t>
            </w:r>
          </w:p>
        </w:tc>
        <w:tc>
          <w:tcPr>
            <w:tcW w:w="2326" w:type="dxa"/>
          </w:tcPr>
          <w:p w:rsidR="00174004" w:rsidRDefault="00C35651">
            <w:pPr>
              <w:pStyle w:val="TableParagraph"/>
              <w:spacing w:line="247" w:lineRule="exact"/>
              <w:ind w:left="105"/>
              <w:rPr>
                <w:i/>
              </w:rPr>
            </w:pPr>
            <w:r>
              <w:rPr>
                <w:i/>
              </w:rPr>
              <w:t>See above</w:t>
            </w:r>
          </w:p>
        </w:tc>
      </w:tr>
      <w:tr w:rsidR="00174004">
        <w:trPr>
          <w:trHeight w:hRule="exact" w:val="1003"/>
        </w:trPr>
        <w:tc>
          <w:tcPr>
            <w:tcW w:w="708" w:type="dxa"/>
          </w:tcPr>
          <w:p w:rsidR="00174004" w:rsidRDefault="00C35651">
            <w:pPr>
              <w:pStyle w:val="TableParagraph"/>
              <w:spacing w:line="244" w:lineRule="exact"/>
              <w:ind w:left="237"/>
            </w:pPr>
            <w:r>
              <w:t>38</w:t>
            </w:r>
          </w:p>
        </w:tc>
        <w:tc>
          <w:tcPr>
            <w:tcW w:w="1560" w:type="dxa"/>
          </w:tcPr>
          <w:p w:rsidR="00174004" w:rsidRDefault="00C35651">
            <w:pPr>
              <w:pStyle w:val="TableParagraph"/>
              <w:spacing w:line="244" w:lineRule="exact"/>
              <w:ind w:left="256"/>
            </w:pPr>
            <w:r>
              <w:t>1 Nov 2016</w:t>
            </w:r>
          </w:p>
        </w:tc>
        <w:tc>
          <w:tcPr>
            <w:tcW w:w="4478" w:type="dxa"/>
          </w:tcPr>
          <w:p w:rsidR="00174004" w:rsidRDefault="00C35651">
            <w:pPr>
              <w:pStyle w:val="TableParagraph"/>
              <w:spacing w:line="276" w:lineRule="auto"/>
              <w:ind w:right="233"/>
            </w:pPr>
            <w:proofErr w:type="spellStart"/>
            <w:r>
              <w:rPr>
                <w:i/>
              </w:rPr>
              <w:t>Asociația</w:t>
            </w:r>
            <w:proofErr w:type="spellEnd"/>
            <w:r>
              <w:rPr>
                <w:i/>
              </w:rPr>
              <w:t xml:space="preserve"> </w:t>
            </w:r>
            <w:proofErr w:type="spellStart"/>
            <w:r>
              <w:rPr>
                <w:i/>
              </w:rPr>
              <w:t>Comunităților</w:t>
            </w:r>
            <w:proofErr w:type="spellEnd"/>
            <w:r>
              <w:rPr>
                <w:i/>
              </w:rPr>
              <w:t xml:space="preserve"> Baha’i din </w:t>
            </w:r>
            <w:proofErr w:type="spellStart"/>
            <w:r>
              <w:rPr>
                <w:i/>
              </w:rPr>
              <w:t>România</w:t>
            </w:r>
            <w:proofErr w:type="spellEnd"/>
            <w:r>
              <w:rPr>
                <w:i/>
              </w:rPr>
              <w:t xml:space="preserve"> </w:t>
            </w:r>
            <w:r>
              <w:t>(The Association of Baha’i Communities from Romania)</w:t>
            </w:r>
          </w:p>
        </w:tc>
        <w:tc>
          <w:tcPr>
            <w:tcW w:w="2326" w:type="dxa"/>
          </w:tcPr>
          <w:p w:rsidR="00174004" w:rsidRDefault="00C35651">
            <w:pPr>
              <w:pStyle w:val="TableParagraph"/>
              <w:spacing w:line="244" w:lineRule="exact"/>
              <w:ind w:left="105"/>
            </w:pPr>
            <w:r>
              <w:t>---</w:t>
            </w:r>
          </w:p>
        </w:tc>
      </w:tr>
      <w:tr w:rsidR="00174004">
        <w:trPr>
          <w:trHeight w:hRule="exact" w:val="1003"/>
        </w:trPr>
        <w:tc>
          <w:tcPr>
            <w:tcW w:w="708" w:type="dxa"/>
          </w:tcPr>
          <w:p w:rsidR="00174004" w:rsidRDefault="00C35651">
            <w:pPr>
              <w:pStyle w:val="TableParagraph"/>
              <w:spacing w:line="244" w:lineRule="exact"/>
              <w:ind w:left="237"/>
            </w:pPr>
            <w:r>
              <w:t>46</w:t>
            </w:r>
          </w:p>
        </w:tc>
        <w:tc>
          <w:tcPr>
            <w:tcW w:w="1560" w:type="dxa"/>
          </w:tcPr>
          <w:p w:rsidR="00174004" w:rsidRDefault="00C35651">
            <w:pPr>
              <w:pStyle w:val="TableParagraph"/>
              <w:spacing w:line="244" w:lineRule="exact"/>
              <w:ind w:left="244"/>
            </w:pPr>
            <w:r>
              <w:t>27 Jan 2017</w:t>
            </w:r>
          </w:p>
        </w:tc>
        <w:tc>
          <w:tcPr>
            <w:tcW w:w="4478" w:type="dxa"/>
          </w:tcPr>
          <w:p w:rsidR="00174004" w:rsidRDefault="00C35651">
            <w:pPr>
              <w:pStyle w:val="TableParagraph"/>
              <w:spacing w:line="244" w:lineRule="exact"/>
              <w:rPr>
                <w:i/>
              </w:rPr>
            </w:pPr>
            <w:proofErr w:type="spellStart"/>
            <w:r>
              <w:rPr>
                <w:i/>
              </w:rPr>
              <w:t>Euroregional</w:t>
            </w:r>
            <w:proofErr w:type="spellEnd"/>
            <w:r>
              <w:rPr>
                <w:i/>
              </w:rPr>
              <w:t xml:space="preserve"> Center for Public Initiatives</w:t>
            </w:r>
          </w:p>
          <w:p w:rsidR="00174004" w:rsidRDefault="00C35651">
            <w:pPr>
              <w:pStyle w:val="TableParagraph"/>
              <w:spacing w:before="37"/>
            </w:pPr>
            <w:r>
              <w:t>(</w:t>
            </w:r>
            <w:proofErr w:type="spellStart"/>
            <w:r>
              <w:t>Centrul</w:t>
            </w:r>
            <w:proofErr w:type="spellEnd"/>
            <w:r>
              <w:t xml:space="preserve"> </w:t>
            </w:r>
            <w:proofErr w:type="spellStart"/>
            <w:r>
              <w:t>Euroregional</w:t>
            </w:r>
            <w:proofErr w:type="spellEnd"/>
            <w:r>
              <w:t xml:space="preserve"> </w:t>
            </w:r>
            <w:proofErr w:type="spellStart"/>
            <w:r>
              <w:t>pentru</w:t>
            </w:r>
            <w:proofErr w:type="spellEnd"/>
            <w:r>
              <w:t xml:space="preserve"> </w:t>
            </w:r>
            <w:proofErr w:type="spellStart"/>
            <w:r>
              <w:t>Inițiative</w:t>
            </w:r>
            <w:proofErr w:type="spellEnd"/>
            <w:r>
              <w:t xml:space="preserve"> </w:t>
            </w:r>
            <w:proofErr w:type="spellStart"/>
            <w:r>
              <w:t>Publice</w:t>
            </w:r>
            <w:proofErr w:type="spellEnd"/>
            <w:r>
              <w:t>)</w:t>
            </w:r>
          </w:p>
        </w:tc>
        <w:tc>
          <w:tcPr>
            <w:tcW w:w="2326" w:type="dxa"/>
          </w:tcPr>
          <w:p w:rsidR="00174004" w:rsidRDefault="00C35651">
            <w:pPr>
              <w:pStyle w:val="TableParagraph"/>
              <w:spacing w:line="276" w:lineRule="auto"/>
              <w:ind w:left="105" w:right="408"/>
              <w:jc w:val="both"/>
            </w:pPr>
            <w:r>
              <w:t>Reproductive rights, separation of church and state</w:t>
            </w:r>
          </w:p>
        </w:tc>
      </w:tr>
    </w:tbl>
    <w:p w:rsidR="00174004" w:rsidRDefault="00174004">
      <w:pPr>
        <w:rPr>
          <w:b/>
          <w:sz w:val="20"/>
        </w:rPr>
      </w:pPr>
    </w:p>
    <w:p w:rsidR="00174004" w:rsidRDefault="00174004">
      <w:pPr>
        <w:rPr>
          <w:b/>
          <w:sz w:val="20"/>
        </w:rPr>
      </w:pPr>
    </w:p>
    <w:p w:rsidR="00174004" w:rsidRDefault="00174004">
      <w:pPr>
        <w:rPr>
          <w:b/>
          <w:sz w:val="20"/>
        </w:rPr>
      </w:pPr>
    </w:p>
    <w:p w:rsidR="00174004" w:rsidRDefault="00174004">
      <w:pPr>
        <w:spacing w:before="5"/>
        <w:rPr>
          <w:b/>
          <w:sz w:val="26"/>
        </w:rPr>
      </w:pPr>
    </w:p>
    <w:p w:rsidR="00174004" w:rsidRDefault="00C35651">
      <w:pPr>
        <w:pStyle w:val="BodyText"/>
        <w:spacing w:before="90" w:line="278" w:lineRule="auto"/>
        <w:ind w:left="115" w:right="521"/>
      </w:pPr>
      <w:r>
        <w:t>Table 2. List of Court cases relevant for religion-and-education issues and additional cases referenced in the article (arranged in chronological order)</w:t>
      </w:r>
    </w:p>
    <w:p w:rsidR="00174004" w:rsidRDefault="00174004">
      <w:pPr>
        <w:spacing w:before="2" w:after="1"/>
        <w:rPr>
          <w:b/>
          <w:sz w:val="17"/>
        </w:r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97"/>
        <w:gridCol w:w="1560"/>
        <w:gridCol w:w="5806"/>
      </w:tblGrid>
      <w:tr w:rsidR="00174004">
        <w:trPr>
          <w:trHeight w:hRule="exact" w:val="900"/>
        </w:trPr>
        <w:tc>
          <w:tcPr>
            <w:tcW w:w="1697" w:type="dxa"/>
          </w:tcPr>
          <w:p w:rsidR="00174004" w:rsidRDefault="00C35651">
            <w:pPr>
              <w:pStyle w:val="TableParagraph"/>
              <w:spacing w:line="276" w:lineRule="auto"/>
              <w:ind w:left="105" w:right="132"/>
              <w:rPr>
                <w:b/>
              </w:rPr>
            </w:pPr>
            <w:r>
              <w:rPr>
                <w:b/>
              </w:rPr>
              <w:t>Case name and year</w:t>
            </w:r>
          </w:p>
        </w:tc>
        <w:tc>
          <w:tcPr>
            <w:tcW w:w="1560" w:type="dxa"/>
          </w:tcPr>
          <w:p w:rsidR="00174004" w:rsidRDefault="00C35651">
            <w:pPr>
              <w:pStyle w:val="TableParagraph"/>
              <w:spacing w:line="276" w:lineRule="auto"/>
              <w:ind w:right="138"/>
              <w:rPr>
                <w:b/>
              </w:rPr>
            </w:pPr>
            <w:r>
              <w:rPr>
                <w:b/>
              </w:rPr>
              <w:t>Relevant ECHR article</w:t>
            </w:r>
          </w:p>
        </w:tc>
        <w:tc>
          <w:tcPr>
            <w:tcW w:w="5806" w:type="dxa"/>
          </w:tcPr>
          <w:p w:rsidR="00174004" w:rsidRDefault="00C35651">
            <w:pPr>
              <w:pStyle w:val="TableParagraph"/>
              <w:spacing w:line="252" w:lineRule="exact"/>
              <w:rPr>
                <w:b/>
              </w:rPr>
            </w:pPr>
            <w:r>
              <w:rPr>
                <w:b/>
              </w:rPr>
              <w:t>Short description</w:t>
            </w:r>
          </w:p>
        </w:tc>
      </w:tr>
      <w:tr w:rsidR="00174004">
        <w:trPr>
          <w:trHeight w:hRule="exact" w:val="2165"/>
        </w:trPr>
        <w:tc>
          <w:tcPr>
            <w:tcW w:w="1697" w:type="dxa"/>
          </w:tcPr>
          <w:p w:rsidR="00174004" w:rsidRDefault="00C35651">
            <w:pPr>
              <w:pStyle w:val="TableParagraph"/>
              <w:spacing w:line="276" w:lineRule="auto"/>
              <w:ind w:left="105" w:right="254"/>
              <w:rPr>
                <w:i/>
              </w:rPr>
            </w:pPr>
            <w:proofErr w:type="spellStart"/>
            <w:r>
              <w:rPr>
                <w:i/>
              </w:rPr>
              <w:t>Kjeldsen</w:t>
            </w:r>
            <w:proofErr w:type="spellEnd"/>
            <w:r>
              <w:rPr>
                <w:i/>
              </w:rPr>
              <w:t>, Busk Madsen and Pedersen v.</w:t>
            </w:r>
          </w:p>
          <w:p w:rsidR="00174004" w:rsidRDefault="00C35651">
            <w:pPr>
              <w:pStyle w:val="TableParagraph"/>
              <w:spacing w:before="1"/>
              <w:ind w:left="105"/>
            </w:pPr>
            <w:r>
              <w:rPr>
                <w:i/>
              </w:rPr>
              <w:t xml:space="preserve">Denmark </w:t>
            </w:r>
            <w:r>
              <w:t>(1976)</w:t>
            </w:r>
          </w:p>
        </w:tc>
        <w:tc>
          <w:tcPr>
            <w:tcW w:w="1560" w:type="dxa"/>
          </w:tcPr>
          <w:p w:rsidR="00174004" w:rsidRDefault="00C35651">
            <w:pPr>
              <w:pStyle w:val="TableParagraph"/>
              <w:spacing w:line="247" w:lineRule="exact"/>
            </w:pPr>
            <w:r>
              <w:t>Art. 2 of</w:t>
            </w:r>
          </w:p>
          <w:p w:rsidR="00174004" w:rsidRDefault="00C35651">
            <w:pPr>
              <w:pStyle w:val="TableParagraph"/>
              <w:spacing w:before="37"/>
            </w:pPr>
            <w:r>
              <w:t>Protocol no. 1</w:t>
            </w:r>
          </w:p>
        </w:tc>
        <w:tc>
          <w:tcPr>
            <w:tcW w:w="5806" w:type="dxa"/>
          </w:tcPr>
          <w:p w:rsidR="00174004" w:rsidRDefault="00C35651">
            <w:pPr>
              <w:pStyle w:val="TableParagraph"/>
              <w:spacing w:line="276" w:lineRule="auto"/>
              <w:ind w:right="139"/>
            </w:pPr>
            <w:r>
              <w:t>Applicants complained about the obligation of their children to attend, despite parents’ strong religious convictions, compulsory sex education classes in the state school. The Court found that mandatory sex education in public schools does not violate parental freedom as long as the information is conveyed objectively and the curriculum does not seek to indoctrinate.</w:t>
            </w:r>
          </w:p>
        </w:tc>
      </w:tr>
    </w:tbl>
    <w:p w:rsidR="00174004" w:rsidRDefault="00174004">
      <w:pPr>
        <w:spacing w:line="276" w:lineRule="auto"/>
        <w:sectPr w:rsidR="00174004">
          <w:pgSz w:w="11910" w:h="16840"/>
          <w:pgMar w:top="1400" w:right="1300" w:bottom="1200" w:left="1300" w:header="0" w:footer="942" w:gutter="0"/>
          <w:cols w:space="720"/>
        </w:sect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97"/>
        <w:gridCol w:w="1560"/>
        <w:gridCol w:w="5806"/>
      </w:tblGrid>
      <w:tr w:rsidR="00174004">
        <w:trPr>
          <w:trHeight w:hRule="exact" w:val="900"/>
        </w:trPr>
        <w:tc>
          <w:tcPr>
            <w:tcW w:w="1697" w:type="dxa"/>
          </w:tcPr>
          <w:p w:rsidR="00174004" w:rsidRDefault="00C35651">
            <w:pPr>
              <w:pStyle w:val="TableParagraph"/>
              <w:spacing w:line="276" w:lineRule="auto"/>
              <w:ind w:left="105" w:right="132"/>
              <w:rPr>
                <w:b/>
              </w:rPr>
            </w:pPr>
            <w:r>
              <w:rPr>
                <w:b/>
              </w:rPr>
              <w:lastRenderedPageBreak/>
              <w:t>Case name and year</w:t>
            </w:r>
          </w:p>
        </w:tc>
        <w:tc>
          <w:tcPr>
            <w:tcW w:w="1560" w:type="dxa"/>
          </w:tcPr>
          <w:p w:rsidR="00174004" w:rsidRDefault="00C35651">
            <w:pPr>
              <w:pStyle w:val="TableParagraph"/>
              <w:spacing w:line="276" w:lineRule="auto"/>
              <w:ind w:right="138"/>
              <w:rPr>
                <w:b/>
              </w:rPr>
            </w:pPr>
            <w:r>
              <w:rPr>
                <w:b/>
              </w:rPr>
              <w:t>Relevant ECHR article</w:t>
            </w:r>
          </w:p>
        </w:tc>
        <w:tc>
          <w:tcPr>
            <w:tcW w:w="5806" w:type="dxa"/>
          </w:tcPr>
          <w:p w:rsidR="00174004" w:rsidRDefault="00C35651">
            <w:pPr>
              <w:pStyle w:val="TableParagraph"/>
              <w:spacing w:line="252" w:lineRule="exact"/>
              <w:rPr>
                <w:b/>
              </w:rPr>
            </w:pPr>
            <w:r>
              <w:rPr>
                <w:b/>
              </w:rPr>
              <w:t>Short description</w:t>
            </w:r>
          </w:p>
        </w:tc>
      </w:tr>
      <w:tr w:rsidR="00174004">
        <w:trPr>
          <w:trHeight w:hRule="exact" w:val="2237"/>
        </w:trPr>
        <w:tc>
          <w:tcPr>
            <w:tcW w:w="1697" w:type="dxa"/>
          </w:tcPr>
          <w:p w:rsidR="00174004" w:rsidRDefault="00C35651">
            <w:pPr>
              <w:pStyle w:val="TableParagraph"/>
              <w:spacing w:line="276" w:lineRule="auto"/>
              <w:ind w:left="105" w:right="523"/>
            </w:pPr>
            <w:proofErr w:type="spellStart"/>
            <w:r>
              <w:rPr>
                <w:i/>
              </w:rPr>
              <w:t>Dahlab</w:t>
            </w:r>
            <w:proofErr w:type="spellEnd"/>
            <w:r>
              <w:rPr>
                <w:i/>
              </w:rPr>
              <w:t xml:space="preserve"> v. Switzerland </w:t>
            </w:r>
            <w:r>
              <w:t>(2001)</w:t>
            </w:r>
          </w:p>
        </w:tc>
        <w:tc>
          <w:tcPr>
            <w:tcW w:w="1560" w:type="dxa"/>
          </w:tcPr>
          <w:p w:rsidR="00174004" w:rsidRDefault="00C35651">
            <w:pPr>
              <w:pStyle w:val="TableParagraph"/>
              <w:spacing w:line="247" w:lineRule="exact"/>
            </w:pPr>
            <w:r>
              <w:t>Art. 9</w:t>
            </w:r>
          </w:p>
        </w:tc>
        <w:tc>
          <w:tcPr>
            <w:tcW w:w="5806" w:type="dxa"/>
          </w:tcPr>
          <w:p w:rsidR="00174004" w:rsidRDefault="00C35651">
            <w:pPr>
              <w:pStyle w:val="TableParagraph"/>
              <w:spacing w:line="276" w:lineRule="auto"/>
              <w:ind w:right="108"/>
            </w:pPr>
            <w:r>
              <w:t>A school teacher complained of the school authorities’ infringement of religious freedom by prohibiting her to wear a headscarf while teaching, even in the absence of a request from parents. The application was rejected as ‘manifestly ill- founded’, in light of the age of the primary school students, when they are particularly impressionable and hence exposed to</w:t>
            </w:r>
            <w:r>
              <w:rPr>
                <w:spacing w:val="-1"/>
              </w:rPr>
              <w:t xml:space="preserve"> </w:t>
            </w:r>
            <w:r>
              <w:t>indoctrination.</w:t>
            </w:r>
          </w:p>
        </w:tc>
      </w:tr>
      <w:tr w:rsidR="00174004">
        <w:trPr>
          <w:trHeight w:hRule="exact" w:val="2748"/>
        </w:trPr>
        <w:tc>
          <w:tcPr>
            <w:tcW w:w="1697" w:type="dxa"/>
          </w:tcPr>
          <w:p w:rsidR="00174004" w:rsidRDefault="00C35651">
            <w:pPr>
              <w:pStyle w:val="TableParagraph"/>
              <w:spacing w:line="276" w:lineRule="auto"/>
              <w:ind w:left="105" w:right="187"/>
            </w:pPr>
            <w:proofErr w:type="spellStart"/>
            <w:r>
              <w:rPr>
                <w:i/>
              </w:rPr>
              <w:t>Refah</w:t>
            </w:r>
            <w:proofErr w:type="spellEnd"/>
            <w:r>
              <w:rPr>
                <w:i/>
              </w:rPr>
              <w:t xml:space="preserve"> </w:t>
            </w:r>
            <w:proofErr w:type="spellStart"/>
            <w:r>
              <w:rPr>
                <w:i/>
              </w:rPr>
              <w:t>Partisi</w:t>
            </w:r>
            <w:proofErr w:type="spellEnd"/>
            <w:r>
              <w:rPr>
                <w:i/>
              </w:rPr>
              <w:t xml:space="preserve"> v. Turkey </w:t>
            </w:r>
            <w:r>
              <w:t>(2003)</w:t>
            </w:r>
          </w:p>
        </w:tc>
        <w:tc>
          <w:tcPr>
            <w:tcW w:w="1560" w:type="dxa"/>
          </w:tcPr>
          <w:p w:rsidR="00174004" w:rsidRDefault="00C35651">
            <w:pPr>
              <w:pStyle w:val="TableParagraph"/>
              <w:spacing w:line="244" w:lineRule="exact"/>
            </w:pPr>
            <w:r>
              <w:t>Art. 11</w:t>
            </w:r>
          </w:p>
        </w:tc>
        <w:tc>
          <w:tcPr>
            <w:tcW w:w="5806" w:type="dxa"/>
          </w:tcPr>
          <w:p w:rsidR="00174004" w:rsidRDefault="00C35651">
            <w:pPr>
              <w:pStyle w:val="TableParagraph"/>
              <w:spacing w:line="276" w:lineRule="auto"/>
              <w:ind w:right="113"/>
            </w:pPr>
            <w:r>
              <w:t>The Turkish Welfare Party (</w:t>
            </w:r>
            <w:proofErr w:type="spellStart"/>
            <w:r>
              <w:rPr>
                <w:i/>
              </w:rPr>
              <w:t>Refah</w:t>
            </w:r>
            <w:proofErr w:type="spellEnd"/>
            <w:r>
              <w:rPr>
                <w:i/>
              </w:rPr>
              <w:t xml:space="preserve"> </w:t>
            </w:r>
            <w:proofErr w:type="spellStart"/>
            <w:r>
              <w:rPr>
                <w:i/>
              </w:rPr>
              <w:t>Partisi</w:t>
            </w:r>
            <w:proofErr w:type="spellEnd"/>
            <w:r>
              <w:t>) was disestablished by the Constitutional Court due to its being an anti-secularist organization that threatened Turkey’s secular order, and its leaders were prohibited from exercising some of their political rights for a limited period of time. The Grand Chamber considered that the Party’s commitment to imposing sharia law in Turkey represented a danger to Turkish democracy, and that the Constitutional Court acted legitimately in response to a “pressing social need”.</w:t>
            </w:r>
          </w:p>
        </w:tc>
      </w:tr>
      <w:tr w:rsidR="00174004">
        <w:trPr>
          <w:trHeight w:hRule="exact" w:val="2748"/>
        </w:trPr>
        <w:tc>
          <w:tcPr>
            <w:tcW w:w="1697" w:type="dxa"/>
          </w:tcPr>
          <w:p w:rsidR="00174004" w:rsidRDefault="00C35651">
            <w:pPr>
              <w:pStyle w:val="TableParagraph"/>
              <w:spacing w:line="276" w:lineRule="auto"/>
              <w:ind w:left="105" w:right="272"/>
            </w:pPr>
            <w:proofErr w:type="spellStart"/>
            <w:r>
              <w:rPr>
                <w:i/>
              </w:rPr>
              <w:t>Karner</w:t>
            </w:r>
            <w:proofErr w:type="spellEnd"/>
            <w:r>
              <w:rPr>
                <w:i/>
              </w:rPr>
              <w:t xml:space="preserve"> v. Austria </w:t>
            </w:r>
            <w:r>
              <w:t>(2003)</w:t>
            </w:r>
          </w:p>
        </w:tc>
        <w:tc>
          <w:tcPr>
            <w:tcW w:w="1560" w:type="dxa"/>
          </w:tcPr>
          <w:p w:rsidR="00174004" w:rsidRDefault="00C35651">
            <w:pPr>
              <w:pStyle w:val="TableParagraph"/>
              <w:spacing w:line="244" w:lineRule="exact"/>
            </w:pPr>
            <w:r>
              <w:t>Art. 8</w:t>
            </w:r>
          </w:p>
          <w:p w:rsidR="00174004" w:rsidRDefault="00C35651">
            <w:pPr>
              <w:pStyle w:val="TableParagraph"/>
              <w:spacing w:before="157"/>
            </w:pPr>
            <w:r>
              <w:t>Art. 14</w:t>
            </w:r>
          </w:p>
        </w:tc>
        <w:tc>
          <w:tcPr>
            <w:tcW w:w="5806" w:type="dxa"/>
          </w:tcPr>
          <w:p w:rsidR="00174004" w:rsidRDefault="00C35651">
            <w:pPr>
              <w:pStyle w:val="TableParagraph"/>
              <w:spacing w:line="276" w:lineRule="auto"/>
              <w:ind w:right="168"/>
            </w:pPr>
            <w:r>
              <w:t>The surviving partner from a same-sex couple complained about the Austrian state’s failure to grant him a tenancy right to the partners’ home. In recognizing an infringement of the plaintiff’s rights, the Court noted that the margin of appreciation is narrow in cases of differential treatment based on sexual orientation; and that the state had failed to show that the denial of tenancy was proportionate to the public interest. Still, the Court explicitly failed to consider whether the case fell within the scope of ‘family life’.</w:t>
            </w:r>
          </w:p>
        </w:tc>
      </w:tr>
      <w:tr w:rsidR="00174004">
        <w:trPr>
          <w:trHeight w:hRule="exact" w:val="2167"/>
        </w:trPr>
        <w:tc>
          <w:tcPr>
            <w:tcW w:w="1697" w:type="dxa"/>
          </w:tcPr>
          <w:p w:rsidR="00174004" w:rsidRDefault="00C35651">
            <w:pPr>
              <w:pStyle w:val="TableParagraph"/>
              <w:spacing w:line="244" w:lineRule="exact"/>
              <w:ind w:left="105"/>
              <w:rPr>
                <w:i/>
              </w:rPr>
            </w:pPr>
            <w:proofErr w:type="spellStart"/>
            <w:r>
              <w:rPr>
                <w:i/>
              </w:rPr>
              <w:t>Şahin</w:t>
            </w:r>
            <w:proofErr w:type="spellEnd"/>
            <w:r>
              <w:rPr>
                <w:i/>
              </w:rPr>
              <w:t xml:space="preserve"> v. Turkey</w:t>
            </w:r>
          </w:p>
          <w:p w:rsidR="00174004" w:rsidRDefault="00C35651">
            <w:pPr>
              <w:pStyle w:val="TableParagraph"/>
              <w:spacing w:before="40"/>
              <w:ind w:left="105"/>
            </w:pPr>
            <w:r>
              <w:t>(2005)</w:t>
            </w:r>
          </w:p>
        </w:tc>
        <w:tc>
          <w:tcPr>
            <w:tcW w:w="1560" w:type="dxa"/>
          </w:tcPr>
          <w:p w:rsidR="00174004" w:rsidRDefault="00C35651">
            <w:pPr>
              <w:pStyle w:val="TableParagraph"/>
              <w:spacing w:line="244" w:lineRule="exact"/>
            </w:pPr>
            <w:r>
              <w:t>Art. 9</w:t>
            </w:r>
          </w:p>
          <w:p w:rsidR="00174004" w:rsidRDefault="00C35651">
            <w:pPr>
              <w:pStyle w:val="TableParagraph"/>
              <w:spacing w:before="160"/>
            </w:pPr>
            <w:r>
              <w:t>Art. 2 of</w:t>
            </w:r>
          </w:p>
          <w:p w:rsidR="00174004" w:rsidRDefault="00C35651">
            <w:pPr>
              <w:pStyle w:val="TableParagraph"/>
              <w:spacing w:before="37"/>
            </w:pPr>
            <w:r>
              <w:t>Protocol no. 1</w:t>
            </w:r>
          </w:p>
        </w:tc>
        <w:tc>
          <w:tcPr>
            <w:tcW w:w="5806" w:type="dxa"/>
          </w:tcPr>
          <w:p w:rsidR="00174004" w:rsidRDefault="00C35651">
            <w:pPr>
              <w:pStyle w:val="TableParagraph"/>
              <w:spacing w:line="276" w:lineRule="auto"/>
              <w:ind w:right="83"/>
            </w:pPr>
            <w:r>
              <w:t>A devout medical student in Istanbul was denied attendance to lectures and exams if wearing a headscarf. She complained of a violation of her right to education. The Grand Chamber found no violation of Article 9 and Article 2 Protocol no. 1, arguing that the restriction of the applicant’s exercise of her religious freedom was justified by the government’s aim to promote Turkey’s secular order.</w:t>
            </w:r>
          </w:p>
        </w:tc>
      </w:tr>
      <w:tr w:rsidR="00174004">
        <w:trPr>
          <w:trHeight w:hRule="exact" w:val="1877"/>
        </w:trPr>
        <w:tc>
          <w:tcPr>
            <w:tcW w:w="1697" w:type="dxa"/>
          </w:tcPr>
          <w:p w:rsidR="00174004" w:rsidRDefault="00C35651">
            <w:pPr>
              <w:pStyle w:val="TableParagraph"/>
              <w:spacing w:line="276" w:lineRule="auto"/>
              <w:ind w:left="105" w:right="138"/>
            </w:pPr>
            <w:r>
              <w:rPr>
                <w:i/>
              </w:rPr>
              <w:t xml:space="preserve">Hasan and </w:t>
            </w:r>
            <w:proofErr w:type="spellStart"/>
            <w:r>
              <w:rPr>
                <w:i/>
              </w:rPr>
              <w:t>Eylem</w:t>
            </w:r>
            <w:proofErr w:type="spellEnd"/>
            <w:r>
              <w:rPr>
                <w:i/>
              </w:rPr>
              <w:t xml:space="preserve"> </w:t>
            </w:r>
            <w:proofErr w:type="spellStart"/>
            <w:r>
              <w:rPr>
                <w:i/>
              </w:rPr>
              <w:t>Zengin</w:t>
            </w:r>
            <w:proofErr w:type="spellEnd"/>
            <w:r>
              <w:rPr>
                <w:i/>
              </w:rPr>
              <w:t xml:space="preserve"> v. Turkey </w:t>
            </w:r>
            <w:r>
              <w:t>(2007)</w:t>
            </w:r>
          </w:p>
        </w:tc>
        <w:tc>
          <w:tcPr>
            <w:tcW w:w="1560" w:type="dxa"/>
          </w:tcPr>
          <w:p w:rsidR="00174004" w:rsidRDefault="00C35651">
            <w:pPr>
              <w:pStyle w:val="TableParagraph"/>
              <w:spacing w:line="244" w:lineRule="exact"/>
            </w:pPr>
            <w:r>
              <w:t>Art. 2 of</w:t>
            </w:r>
          </w:p>
          <w:p w:rsidR="00174004" w:rsidRDefault="00C35651">
            <w:pPr>
              <w:pStyle w:val="TableParagraph"/>
              <w:spacing w:before="37"/>
            </w:pPr>
            <w:r>
              <w:t>Protocol no. 1</w:t>
            </w:r>
          </w:p>
        </w:tc>
        <w:tc>
          <w:tcPr>
            <w:tcW w:w="5806" w:type="dxa"/>
          </w:tcPr>
          <w:p w:rsidR="00174004" w:rsidRDefault="00C35651">
            <w:pPr>
              <w:pStyle w:val="TableParagraph"/>
              <w:spacing w:line="276" w:lineRule="auto"/>
              <w:ind w:right="98"/>
              <w:jc w:val="both"/>
            </w:pPr>
            <w:r>
              <w:t>Applicants of the minority Alevi faith were unable to secure an exemption from a course in allegedly Sunni-biased Islamic religious education. The Court ruled the case a violation of Article 2 of Protocol no. 1, specifically noting the prominent role of Islam in the curriculum and the fact that exemption was available only to specific faith groups (Christian and Jewish).</w:t>
            </w:r>
          </w:p>
        </w:tc>
      </w:tr>
    </w:tbl>
    <w:p w:rsidR="00174004" w:rsidRDefault="00174004">
      <w:pPr>
        <w:spacing w:line="276" w:lineRule="auto"/>
        <w:jc w:val="both"/>
        <w:sectPr w:rsidR="00174004">
          <w:pgSz w:w="11910" w:h="16840"/>
          <w:pgMar w:top="1400" w:right="1300" w:bottom="1140" w:left="1300" w:header="0" w:footer="942" w:gutter="0"/>
          <w:cols w:space="720"/>
        </w:sect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97"/>
        <w:gridCol w:w="1560"/>
        <w:gridCol w:w="5806"/>
      </w:tblGrid>
      <w:tr w:rsidR="00174004">
        <w:trPr>
          <w:trHeight w:hRule="exact" w:val="900"/>
        </w:trPr>
        <w:tc>
          <w:tcPr>
            <w:tcW w:w="1697" w:type="dxa"/>
          </w:tcPr>
          <w:p w:rsidR="00174004" w:rsidRDefault="00C35651">
            <w:pPr>
              <w:pStyle w:val="TableParagraph"/>
              <w:spacing w:line="276" w:lineRule="auto"/>
              <w:ind w:left="105" w:right="132"/>
              <w:rPr>
                <w:b/>
              </w:rPr>
            </w:pPr>
            <w:r>
              <w:rPr>
                <w:b/>
              </w:rPr>
              <w:lastRenderedPageBreak/>
              <w:t>Case name and year</w:t>
            </w:r>
          </w:p>
        </w:tc>
        <w:tc>
          <w:tcPr>
            <w:tcW w:w="1560" w:type="dxa"/>
          </w:tcPr>
          <w:p w:rsidR="00174004" w:rsidRDefault="00C35651">
            <w:pPr>
              <w:pStyle w:val="TableParagraph"/>
              <w:spacing w:line="276" w:lineRule="auto"/>
              <w:ind w:right="138"/>
              <w:rPr>
                <w:b/>
              </w:rPr>
            </w:pPr>
            <w:r>
              <w:rPr>
                <w:b/>
              </w:rPr>
              <w:t>Relevant ECHR article</w:t>
            </w:r>
          </w:p>
        </w:tc>
        <w:tc>
          <w:tcPr>
            <w:tcW w:w="5806" w:type="dxa"/>
          </w:tcPr>
          <w:p w:rsidR="00174004" w:rsidRDefault="00C35651">
            <w:pPr>
              <w:pStyle w:val="TableParagraph"/>
              <w:spacing w:line="252" w:lineRule="exact"/>
              <w:rPr>
                <w:b/>
              </w:rPr>
            </w:pPr>
            <w:r>
              <w:rPr>
                <w:b/>
              </w:rPr>
              <w:t>Short description</w:t>
            </w:r>
          </w:p>
        </w:tc>
      </w:tr>
      <w:tr w:rsidR="00174004">
        <w:trPr>
          <w:trHeight w:hRule="exact" w:val="2458"/>
        </w:trPr>
        <w:tc>
          <w:tcPr>
            <w:tcW w:w="1697" w:type="dxa"/>
          </w:tcPr>
          <w:p w:rsidR="00174004" w:rsidRDefault="00C35651">
            <w:pPr>
              <w:pStyle w:val="TableParagraph"/>
              <w:spacing w:line="276" w:lineRule="auto"/>
              <w:ind w:left="105" w:right="468"/>
              <w:rPr>
                <w:i/>
              </w:rPr>
            </w:pPr>
            <w:proofErr w:type="spellStart"/>
            <w:r>
              <w:rPr>
                <w:i/>
              </w:rPr>
              <w:t>Folgerø</w:t>
            </w:r>
            <w:proofErr w:type="spellEnd"/>
            <w:r>
              <w:rPr>
                <w:i/>
              </w:rPr>
              <w:t xml:space="preserve"> and Others v.</w:t>
            </w:r>
          </w:p>
          <w:p w:rsidR="00174004" w:rsidRDefault="00C35651">
            <w:pPr>
              <w:pStyle w:val="TableParagraph"/>
              <w:spacing w:before="1"/>
              <w:ind w:left="105"/>
            </w:pPr>
            <w:r>
              <w:rPr>
                <w:i/>
              </w:rPr>
              <w:t xml:space="preserve">Norway </w:t>
            </w:r>
            <w:r>
              <w:t>(2007)</w:t>
            </w:r>
          </w:p>
        </w:tc>
        <w:tc>
          <w:tcPr>
            <w:tcW w:w="1560" w:type="dxa"/>
          </w:tcPr>
          <w:p w:rsidR="00174004" w:rsidRDefault="00C35651">
            <w:pPr>
              <w:pStyle w:val="TableParagraph"/>
              <w:spacing w:line="247" w:lineRule="exact"/>
            </w:pPr>
            <w:r>
              <w:t>Art. 2 of</w:t>
            </w:r>
          </w:p>
          <w:p w:rsidR="00174004" w:rsidRDefault="00C35651">
            <w:pPr>
              <w:pStyle w:val="TableParagraph"/>
              <w:spacing w:before="37"/>
            </w:pPr>
            <w:r>
              <w:t>Protocol no. 1</w:t>
            </w:r>
          </w:p>
        </w:tc>
        <w:tc>
          <w:tcPr>
            <w:tcW w:w="5806" w:type="dxa"/>
          </w:tcPr>
          <w:p w:rsidR="00174004" w:rsidRDefault="00C35651">
            <w:pPr>
              <w:pStyle w:val="TableParagraph"/>
              <w:spacing w:line="276" w:lineRule="auto"/>
              <w:ind w:right="192"/>
            </w:pPr>
            <w:r>
              <w:t>A change in the Norwegian school curriculum replaced religious education and ethics classes with a unified subject, from which the applicants failed to exempt their children despite an alleged excessive focus on Christianity. The Grand Chamber determined a violation of Article 2 of Protocol no. 1 on the right to education, recognizing the emphasis on Christianity and pointing to the rather cumbersome exemption procedures.</w:t>
            </w:r>
          </w:p>
        </w:tc>
      </w:tr>
      <w:tr w:rsidR="00174004">
        <w:trPr>
          <w:trHeight w:hRule="exact" w:val="1586"/>
        </w:trPr>
        <w:tc>
          <w:tcPr>
            <w:tcW w:w="1697" w:type="dxa"/>
          </w:tcPr>
          <w:p w:rsidR="00174004" w:rsidRPr="00655421" w:rsidRDefault="00C35651">
            <w:pPr>
              <w:pStyle w:val="TableParagraph"/>
              <w:spacing w:line="276" w:lineRule="auto"/>
              <w:ind w:left="105" w:right="285"/>
              <w:rPr>
                <w:lang w:val="fr-CA"/>
              </w:rPr>
            </w:pPr>
            <w:proofErr w:type="spellStart"/>
            <w:r w:rsidRPr="00655421">
              <w:rPr>
                <w:i/>
                <w:lang w:val="fr-CA"/>
              </w:rPr>
              <w:t>Dogru</w:t>
            </w:r>
            <w:proofErr w:type="spellEnd"/>
            <w:r w:rsidRPr="00655421">
              <w:rPr>
                <w:i/>
                <w:lang w:val="fr-CA"/>
              </w:rPr>
              <w:t xml:space="preserve"> v. France; </w:t>
            </w:r>
            <w:proofErr w:type="spellStart"/>
            <w:r w:rsidRPr="00655421">
              <w:rPr>
                <w:i/>
                <w:lang w:val="fr-CA"/>
              </w:rPr>
              <w:t>Kervanci</w:t>
            </w:r>
            <w:proofErr w:type="spellEnd"/>
            <w:r w:rsidRPr="00655421">
              <w:rPr>
                <w:i/>
                <w:lang w:val="fr-CA"/>
              </w:rPr>
              <w:t xml:space="preserve"> v. France </w:t>
            </w:r>
            <w:r w:rsidRPr="00655421">
              <w:rPr>
                <w:lang w:val="fr-CA"/>
              </w:rPr>
              <w:t>(2008)</w:t>
            </w:r>
          </w:p>
        </w:tc>
        <w:tc>
          <w:tcPr>
            <w:tcW w:w="1560" w:type="dxa"/>
          </w:tcPr>
          <w:p w:rsidR="00174004" w:rsidRDefault="00C35651">
            <w:pPr>
              <w:pStyle w:val="TableParagraph"/>
              <w:spacing w:line="247" w:lineRule="exact"/>
            </w:pPr>
            <w:r>
              <w:t>Art. 9</w:t>
            </w:r>
          </w:p>
        </w:tc>
        <w:tc>
          <w:tcPr>
            <w:tcW w:w="5806" w:type="dxa"/>
          </w:tcPr>
          <w:p w:rsidR="00174004" w:rsidRDefault="00C35651">
            <w:pPr>
              <w:pStyle w:val="TableParagraph"/>
              <w:spacing w:line="276" w:lineRule="auto"/>
              <w:ind w:right="388"/>
            </w:pPr>
            <w:r>
              <w:t>Muslim children were expelled from school after repeatedly refusing to remove headscarves during physical education classes. The Court found no violation of Article 9, among others invoking the reasonable nature of restrictions during sports classes for reasons of safety.</w:t>
            </w:r>
          </w:p>
        </w:tc>
      </w:tr>
      <w:tr w:rsidR="00174004">
        <w:trPr>
          <w:trHeight w:hRule="exact" w:val="1874"/>
        </w:trPr>
        <w:tc>
          <w:tcPr>
            <w:tcW w:w="1697" w:type="dxa"/>
          </w:tcPr>
          <w:p w:rsidR="00174004" w:rsidRDefault="00C35651">
            <w:pPr>
              <w:pStyle w:val="TableParagraph"/>
              <w:spacing w:line="276" w:lineRule="auto"/>
              <w:ind w:left="105" w:right="285"/>
            </w:pPr>
            <w:proofErr w:type="spellStart"/>
            <w:r>
              <w:rPr>
                <w:i/>
              </w:rPr>
              <w:t>Grzelak</w:t>
            </w:r>
            <w:proofErr w:type="spellEnd"/>
            <w:r>
              <w:rPr>
                <w:i/>
              </w:rPr>
              <w:t xml:space="preserve"> v. Poland </w:t>
            </w:r>
            <w:r>
              <w:t>(2010)</w:t>
            </w:r>
          </w:p>
        </w:tc>
        <w:tc>
          <w:tcPr>
            <w:tcW w:w="1560" w:type="dxa"/>
          </w:tcPr>
          <w:p w:rsidR="00174004" w:rsidRDefault="00C35651">
            <w:pPr>
              <w:pStyle w:val="TableParagraph"/>
              <w:spacing w:line="244" w:lineRule="exact"/>
            </w:pPr>
            <w:r>
              <w:t>Art. 9</w:t>
            </w:r>
          </w:p>
          <w:p w:rsidR="00174004" w:rsidRDefault="00C35651">
            <w:pPr>
              <w:pStyle w:val="TableParagraph"/>
              <w:spacing w:before="157"/>
            </w:pPr>
            <w:r>
              <w:t>Art. 14</w:t>
            </w:r>
          </w:p>
        </w:tc>
        <w:tc>
          <w:tcPr>
            <w:tcW w:w="5806" w:type="dxa"/>
          </w:tcPr>
          <w:p w:rsidR="00174004" w:rsidRDefault="00C35651">
            <w:pPr>
              <w:pStyle w:val="TableParagraph"/>
              <w:spacing w:line="276" w:lineRule="auto"/>
              <w:ind w:right="119"/>
            </w:pPr>
            <w:r>
              <w:t>The child of agnostic parents did not attend religious education classes but, despite parents’ request, did not receive an alternative class either. The lack of a grade was visible on the child’s school records. The Court found a violation of Article 14 in conjunction with Article 9, among others by referring to the absence of a grade as stigmatizing for the child.</w:t>
            </w:r>
          </w:p>
        </w:tc>
      </w:tr>
      <w:tr w:rsidR="00174004">
        <w:trPr>
          <w:trHeight w:hRule="exact" w:val="2167"/>
        </w:trPr>
        <w:tc>
          <w:tcPr>
            <w:tcW w:w="1697" w:type="dxa"/>
          </w:tcPr>
          <w:p w:rsidR="00174004" w:rsidRDefault="00C35651">
            <w:pPr>
              <w:pStyle w:val="TableParagraph"/>
              <w:spacing w:line="244" w:lineRule="exact"/>
              <w:ind w:left="105"/>
              <w:rPr>
                <w:i/>
              </w:rPr>
            </w:pPr>
            <w:proofErr w:type="spellStart"/>
            <w:r>
              <w:rPr>
                <w:i/>
              </w:rPr>
              <w:t>Lautsi</w:t>
            </w:r>
            <w:proofErr w:type="spellEnd"/>
            <w:r>
              <w:rPr>
                <w:i/>
              </w:rPr>
              <w:t xml:space="preserve"> v. Italy</w:t>
            </w:r>
          </w:p>
          <w:p w:rsidR="00174004" w:rsidRDefault="00C35651">
            <w:pPr>
              <w:pStyle w:val="TableParagraph"/>
              <w:spacing w:before="37"/>
              <w:ind w:left="105"/>
            </w:pPr>
            <w:r>
              <w:t>(2011)</w:t>
            </w:r>
          </w:p>
        </w:tc>
        <w:tc>
          <w:tcPr>
            <w:tcW w:w="1560" w:type="dxa"/>
          </w:tcPr>
          <w:p w:rsidR="00174004" w:rsidRDefault="00C35651">
            <w:pPr>
              <w:pStyle w:val="TableParagraph"/>
              <w:spacing w:line="244" w:lineRule="exact"/>
            </w:pPr>
            <w:r>
              <w:t>Art. 9</w:t>
            </w:r>
          </w:p>
          <w:p w:rsidR="00174004" w:rsidRDefault="00C35651">
            <w:pPr>
              <w:pStyle w:val="TableParagraph"/>
              <w:spacing w:before="157"/>
            </w:pPr>
            <w:r>
              <w:t>Art. 2 of</w:t>
            </w:r>
          </w:p>
          <w:p w:rsidR="00174004" w:rsidRDefault="00C35651">
            <w:pPr>
              <w:pStyle w:val="TableParagraph"/>
              <w:spacing w:before="40"/>
            </w:pPr>
            <w:r>
              <w:t>Protocol no. 1</w:t>
            </w:r>
          </w:p>
        </w:tc>
        <w:tc>
          <w:tcPr>
            <w:tcW w:w="5806" w:type="dxa"/>
          </w:tcPr>
          <w:p w:rsidR="00174004" w:rsidRDefault="00C35651">
            <w:pPr>
              <w:pStyle w:val="TableParagraph"/>
              <w:spacing w:line="276" w:lineRule="auto"/>
              <w:ind w:right="101"/>
            </w:pPr>
            <w:r>
              <w:t>Applicants complained about the presence of crucifixes in state school classrooms attended by their children. Specifically, requests to remove these crucifixes mandated under state regulations were rejected. The Grand Chamber of the Court reversed an initial Chamber decision, pointing out that the state acted within the margin of appreciation because the crucifixes did not amount to a form of indoctrination.</w:t>
            </w:r>
          </w:p>
        </w:tc>
      </w:tr>
      <w:tr w:rsidR="00174004">
        <w:trPr>
          <w:trHeight w:hRule="exact" w:val="2458"/>
        </w:trPr>
        <w:tc>
          <w:tcPr>
            <w:tcW w:w="1697" w:type="dxa"/>
          </w:tcPr>
          <w:p w:rsidR="00174004" w:rsidRDefault="00C35651">
            <w:pPr>
              <w:pStyle w:val="TableParagraph"/>
              <w:spacing w:line="276" w:lineRule="auto"/>
              <w:ind w:left="105" w:right="297"/>
            </w:pPr>
            <w:proofErr w:type="spellStart"/>
            <w:r>
              <w:rPr>
                <w:i/>
              </w:rPr>
              <w:t>Oliari</w:t>
            </w:r>
            <w:proofErr w:type="spellEnd"/>
            <w:r>
              <w:rPr>
                <w:i/>
              </w:rPr>
              <w:t xml:space="preserve"> and Others v. Italy </w:t>
            </w:r>
            <w:r>
              <w:t>(2015)</w:t>
            </w:r>
          </w:p>
        </w:tc>
        <w:tc>
          <w:tcPr>
            <w:tcW w:w="1560" w:type="dxa"/>
          </w:tcPr>
          <w:p w:rsidR="00174004" w:rsidRDefault="00C35651">
            <w:pPr>
              <w:pStyle w:val="TableParagraph"/>
              <w:spacing w:line="244" w:lineRule="exact"/>
            </w:pPr>
            <w:r>
              <w:t>Art. 8</w:t>
            </w:r>
          </w:p>
        </w:tc>
        <w:tc>
          <w:tcPr>
            <w:tcW w:w="5806" w:type="dxa"/>
          </w:tcPr>
          <w:p w:rsidR="00174004" w:rsidRDefault="00C35651">
            <w:pPr>
              <w:pStyle w:val="TableParagraph"/>
              <w:spacing w:line="276" w:lineRule="auto"/>
              <w:ind w:right="121"/>
            </w:pPr>
            <w:r>
              <w:t>Several same-sex couples in Italy complained about being discriminated against due to the lack of an option, under Italian law, enabling them to enter into either marriage or another form of civil union. The Court found a violation of Article 8 of the ECHR, considering that the legal arrangements in Italy failed to provide adequate protection for stable couples such as those of the applicants, even despite calls to that effect by the Italian Constitutional Court.</w:t>
            </w:r>
          </w:p>
        </w:tc>
      </w:tr>
    </w:tbl>
    <w:p w:rsidR="00C35651" w:rsidRDefault="00C35651"/>
    <w:sectPr w:rsidR="00C35651">
      <w:pgSz w:w="11910" w:h="16840"/>
      <w:pgMar w:top="1400" w:right="1300" w:bottom="1140" w:left="1300" w:header="0" w:footer="94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7F5A" w:rsidRDefault="00007F5A">
      <w:r>
        <w:separator/>
      </w:r>
    </w:p>
  </w:endnote>
  <w:endnote w:type="continuationSeparator" w:id="0">
    <w:p w:rsidR="00007F5A" w:rsidRDefault="00007F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4004" w:rsidRDefault="00655421">
    <w:pPr>
      <w:pStyle w:val="BodyText"/>
      <w:spacing w:line="14" w:lineRule="auto"/>
      <w:rPr>
        <w:b w:val="0"/>
        <w:sz w:val="20"/>
      </w:rPr>
    </w:pPr>
    <w:r>
      <w:rPr>
        <w:noProof/>
      </w:rPr>
      <mc:AlternateContent>
        <mc:Choice Requires="wps">
          <w:drawing>
            <wp:anchor distT="0" distB="0" distL="114300" distR="114300" simplePos="0" relativeHeight="251657728" behindDoc="1" locked="0" layoutInCell="1" allowOverlap="1">
              <wp:simplePos x="0" y="0"/>
              <wp:positionH relativeFrom="page">
                <wp:posOffset>6564630</wp:posOffset>
              </wp:positionH>
              <wp:positionV relativeFrom="page">
                <wp:posOffset>9916160</wp:posOffset>
              </wp:positionV>
              <wp:extent cx="121920" cy="165735"/>
              <wp:effectExtent l="1905" t="63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4004" w:rsidRDefault="00C35651">
                          <w:pPr>
                            <w:spacing w:line="245" w:lineRule="exact"/>
                            <w:ind w:left="40"/>
                            <w:rPr>
                              <w:rFonts w:ascii="Calibri"/>
                            </w:rPr>
                          </w:pPr>
                          <w:r>
                            <w:fldChar w:fldCharType="begin"/>
                          </w:r>
                          <w:r>
                            <w:rPr>
                              <w:rFonts w:ascii="Calibri"/>
                            </w:rPr>
                            <w:instrText xml:space="preserve"> PAGE </w:instrText>
                          </w:r>
                          <w:r>
                            <w:fldChar w:fldCharType="separate"/>
                          </w:r>
                          <w:r w:rsidR="00367810">
                            <w:rPr>
                              <w:rFonts w:ascii="Calibri"/>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16.9pt;margin-top:780.8pt;width:9.6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nbZqQIAAKgFAAAOAAAAZHJzL2Uyb0RvYy54bWysVNtunDAQfa/Uf7D8TriEvYDCRsmyVJXS&#10;i5T0A7xgFqvGprZ3Ia367x2bZbNJVKlqy4M1tsdn5swc5up6aDk6UKWZFBkOLwKMqChlxcQuw18e&#10;Cm+JkTZEVIRLQTP8SDW+Xr19c9V3KY1kI3lFFQIQodO+y3BjTJf6vi4b2hJ9ITsq4LKWqiUGtmrn&#10;V4r0gN5yPwqCud9LVXVKllRrOM3HS7xy+HVNS/OprjU1iGcYcjNuVW7d2tVfXZF0p0jXsPKYBvmL&#10;LFrCBAQ9QeXEELRX7BVUy0oltazNRSlbX9Y1K6njAGzC4AWb+4Z01HGB4ujuVCb9/2DLj4fPCrEK&#10;eoeRIC206IEOBt3KAYW2On2nU3C678DNDHBsPS1T3d3J8qtGQq4bInb0RinZN5RUkJ176Z89HXG0&#10;Bdn2H2QFYcjeSAc01Kq1gFAMBOjQpcdTZ2wqpQ0ZhUkENyVchfPZ4nJmc/NJOj3ulDbvqGyRNTKs&#10;oPEOnBzutBldJxcbS8iCce6az8WzA8AcTyA0PLV3NgnXyx9JkGyWm2XsxdF848VBnns3xTr25kW4&#10;mOWX+Xqdhz9t3DBOG1ZVVNgwk67C+M/6dlT4qIiTsrTkrLJwNiWtdts1V+hAQNeF+44FOXPzn6fh&#10;6gVcXlAKozi4jRKvmC8XXlzEMy9ZBEsvCJPbZB7ESZwXzyndMUH/nRLqM5zMotmopd9yC9z3mhtJ&#10;W2ZgcnDWZnh5ciKpVeBGVK61hjA+2melsOk/lQLaPTXa6dVKdBSrGbYDoFgRb2X1CMpVEpQFIoRx&#10;B0Yj1XeMehgdGdbf9kRRjPh7Aeq3c2Yy1GRsJ4OIEp5m2GA0mmszzqN9p9iuAeTx/xLyBv6Qmjn1&#10;PmUBqdsNjANH4ji67Lw53zuvpwG7+gUAAP//AwBQSwMEFAAGAAgAAAAhAGNU68jiAAAADwEAAA8A&#10;AABkcnMvZG93bnJldi54bWxMj8FOwzAQRO9I/IO1SNyoXaKmJcSpKgQnJEQaDhyd2E2sxusQu234&#10;ezanctvZHc2+ybeT69nZjMF6lLBcCGAGG68tthK+qreHDbAQFWrVezQSfk2AbXF7k6tM+wuW5ryP&#10;LaMQDJmS0MU4ZJyHpjNOhYUfDNLt4EenIsmx5XpUFwp3PX8UIuVOWaQPnRrMS2ea4/7kJOy+sXy1&#10;Px/1Z3kobVU9CXxPj1Le3027Z2DRTPFqhhmf0KEgptqfUAfWkxZJQuyRplW6TIHNHrFKqGA97zbr&#10;NfAi5/97FH8AAAD//wMAUEsBAi0AFAAGAAgAAAAhALaDOJL+AAAA4QEAABMAAAAAAAAAAAAAAAAA&#10;AAAAAFtDb250ZW50X1R5cGVzXS54bWxQSwECLQAUAAYACAAAACEAOP0h/9YAAACUAQAACwAAAAAA&#10;AAAAAAAAAAAvAQAAX3JlbHMvLnJlbHNQSwECLQAUAAYACAAAACEAwrp22akCAACoBQAADgAAAAAA&#10;AAAAAAAAAAAuAgAAZHJzL2Uyb0RvYy54bWxQSwECLQAUAAYACAAAACEAY1TryOIAAAAPAQAADwAA&#10;AAAAAAAAAAAAAAADBQAAZHJzL2Rvd25yZXYueG1sUEsFBgAAAAAEAAQA8wAAABIGAAAAAA==&#10;" filled="f" stroked="f">
              <v:textbox inset="0,0,0,0">
                <w:txbxContent>
                  <w:p w:rsidR="00174004" w:rsidRDefault="00C35651">
                    <w:pPr>
                      <w:spacing w:line="245" w:lineRule="exact"/>
                      <w:ind w:left="40"/>
                      <w:rPr>
                        <w:rFonts w:ascii="Calibri"/>
                      </w:rPr>
                    </w:pPr>
                    <w:r>
                      <w:fldChar w:fldCharType="begin"/>
                    </w:r>
                    <w:r>
                      <w:rPr>
                        <w:rFonts w:ascii="Calibri"/>
                      </w:rPr>
                      <w:instrText xml:space="preserve"> PAGE </w:instrText>
                    </w:r>
                    <w:r>
                      <w:fldChar w:fldCharType="separate"/>
                    </w:r>
                    <w:r w:rsidR="00367810">
                      <w:rPr>
                        <w:rFonts w:ascii="Calibri"/>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7F5A" w:rsidRDefault="00007F5A">
      <w:r>
        <w:separator/>
      </w:r>
    </w:p>
  </w:footnote>
  <w:footnote w:type="continuationSeparator" w:id="0">
    <w:p w:rsidR="00007F5A" w:rsidRDefault="00007F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004"/>
    <w:rsid w:val="00007F5A"/>
    <w:rsid w:val="00174004"/>
    <w:rsid w:val="00367810"/>
    <w:rsid w:val="00607F20"/>
    <w:rsid w:val="00655421"/>
    <w:rsid w:val="00C35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F96C49E-C18A-4CDC-BBA7-22FFCBF9D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15"/>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1418</Words>
  <Characters>8084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Mihai</dc:creator>
  <cp:lastModifiedBy>Mihai Popa</cp:lastModifiedBy>
  <cp:revision>3</cp:revision>
  <dcterms:created xsi:type="dcterms:W3CDTF">2019-01-15T20:51:00Z</dcterms:created>
  <dcterms:modified xsi:type="dcterms:W3CDTF">2019-01-15T20:53:00Z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2018-01-10T00:00:00Z</vt:filetime>
  </property>
  <property fmtid="{D5CDD505-2E9C-101B-9397-08002B2CF9AE}" pid="3" name="Creator">
    <vt:lpwstr>Acrobat PDFMaker 15 for Word</vt:lpwstr>
  </property>
  <property fmtid="{D5CDD505-2E9C-101B-9397-08002B2CF9AE}" pid="4" name="LastSaved">
    <vt:filetime>2018-03-21T00:00:00Z</vt:filetime>
  </property>
</Properties>
</file>