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595F" w14:textId="77777777" w:rsidR="00445890" w:rsidRDefault="00445890" w:rsidP="00445890">
      <w:pPr>
        <w:spacing w:before="0" w:after="0" w:line="480" w:lineRule="auto"/>
        <w:contextualSpacing/>
        <w:rPr>
          <w:rFonts w:cs="Times New Roman"/>
          <w:szCs w:val="24"/>
        </w:rPr>
      </w:pPr>
    </w:p>
    <w:p w14:paraId="407B480F" w14:textId="77777777" w:rsidR="00445890" w:rsidRPr="00AD45D4" w:rsidRDefault="00445890" w:rsidP="00445890">
      <w:pPr>
        <w:pStyle w:val="Heading1"/>
        <w:keepNext w:val="0"/>
        <w:numPr>
          <w:ilvl w:val="0"/>
          <w:numId w:val="17"/>
        </w:numPr>
        <w:spacing w:line="276" w:lineRule="auto"/>
        <w:contextualSpacing w:val="0"/>
        <w:jc w:val="left"/>
      </w:pPr>
      <w:r w:rsidRPr="00AD45D4">
        <w:t>Appendix A: Formulae for Various Rates Discussed</w:t>
      </w:r>
    </w:p>
    <w:p w14:paraId="54884A47" w14:textId="77777777" w:rsidR="00445890" w:rsidRPr="00AD45D4" w:rsidRDefault="00445890" w:rsidP="00445890">
      <w:pPr>
        <w:pStyle w:val="Heading2"/>
        <w:keepNext w:val="0"/>
        <w:numPr>
          <w:ilvl w:val="1"/>
          <w:numId w:val="17"/>
        </w:numPr>
        <w:spacing w:after="200" w:line="276" w:lineRule="auto"/>
        <w:contextualSpacing w:val="0"/>
      </w:pPr>
      <w:r w:rsidRPr="00AD45D4">
        <w:t>Traditional Turnover Rate (over 12 months)</w:t>
      </w:r>
    </w:p>
    <w:p w14:paraId="0B96760A" w14:textId="77777777" w:rsidR="00445890" w:rsidRPr="00AD45D4" w:rsidRDefault="00445890" w:rsidP="00445890">
      <w:pPr>
        <w:spacing w:after="0" w:line="276" w:lineRule="auto"/>
        <w:rPr>
          <w:rFonts w:ascii="Helvetica LT Com Light"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 separations</m:t>
              </m:r>
            </m:num>
            <m:den>
              <m:r>
                <m:rPr>
                  <m:nor/>
                </m:rPr>
                <w:rPr>
                  <w:rFonts w:ascii="Helvetica LT Com Light" w:hAnsi="Helvetica LT Com Light" w:cs="Times New Roman"/>
                  <w:szCs w:val="24"/>
                </w:rPr>
                <m:t>avg headcount</m:t>
              </m:r>
            </m:den>
          </m:f>
          <m:r>
            <m:rPr>
              <m:nor/>
            </m:rPr>
            <w:rPr>
              <w:rFonts w:ascii="Helvetica LT Com Light" w:hAnsi="Helvetica LT Com Light" w:cs="Times New Roman"/>
              <w:szCs w:val="24"/>
            </w:rPr>
            <m:t xml:space="preserve"> × 100</m:t>
          </m:r>
        </m:oMath>
      </m:oMathPara>
    </w:p>
    <w:p w14:paraId="263B14DB" w14:textId="77777777" w:rsidR="00445890" w:rsidRPr="00AD45D4" w:rsidRDefault="00445890" w:rsidP="00445890">
      <w:pPr>
        <w:spacing w:after="0" w:line="276" w:lineRule="auto"/>
        <w:rPr>
          <w:rFonts w:ascii="Helvetica LT Com Light"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sum of separations during the past 12 months</m:t>
              </m:r>
            </m:num>
            <m:den>
              <m:r>
                <m:rPr>
                  <m:nor/>
                </m:rPr>
                <w:rPr>
                  <w:rFonts w:ascii="Helvetica LT Com Light" w:hAnsi="Helvetica LT Com Light" w:cs="Times New Roman"/>
                  <w:szCs w:val="24"/>
                </w:rPr>
                <m:t>avg of headcount snapshots from end of each of the past 12 months</m:t>
              </m:r>
            </m:den>
          </m:f>
          <m:r>
            <m:rPr>
              <m:nor/>
            </m:rPr>
            <w:rPr>
              <w:rFonts w:ascii="Helvetica LT Com Light" w:hAnsi="Helvetica LT Com Light" w:cs="Times New Roman"/>
              <w:szCs w:val="24"/>
            </w:rPr>
            <m:t xml:space="preserve"> × 100</m:t>
          </m:r>
        </m:oMath>
      </m:oMathPara>
    </w:p>
    <w:p w14:paraId="439BEA61" w14:textId="77777777" w:rsidR="00445890" w:rsidRPr="00AD45D4" w:rsidRDefault="00445890" w:rsidP="00445890">
      <w:pPr>
        <w:spacing w:after="0" w:line="276" w:lineRule="auto"/>
        <w:jc w:val="both"/>
        <w:rPr>
          <w:rFonts w:ascii="Helvetica LT Com Light" w:hAnsi="Helvetica LT Com Light" w:cs="Times New Roman"/>
          <w:szCs w:val="24"/>
        </w:rPr>
      </w:pPr>
      <w:r w:rsidRPr="00AD45D4">
        <w:rPr>
          <w:rFonts w:ascii="Helvetica LT Com Light" w:hAnsi="Helvetica LT Com Light" w:cs="Times New Roman"/>
          <w:szCs w:val="24"/>
        </w:rPr>
        <w:t xml:space="preserve">This rate </w:t>
      </w:r>
      <w:r>
        <w:rPr>
          <w:rFonts w:ascii="Helvetica LT Com Light" w:hAnsi="Helvetica LT Com Light" w:cs="Times New Roman"/>
          <w:szCs w:val="24"/>
        </w:rPr>
        <w:t>is</w:t>
      </w:r>
      <w:r w:rsidRPr="00AD45D4">
        <w:rPr>
          <w:rFonts w:ascii="Helvetica LT Com Light" w:hAnsi="Helvetica LT Com Light" w:cs="Times New Roman"/>
          <w:szCs w:val="24"/>
        </w:rPr>
        <w:t xml:space="preserve"> the most commonly used and comparable to </w:t>
      </w:r>
      <w:r>
        <w:rPr>
          <w:rFonts w:ascii="Helvetica LT Com Light" w:hAnsi="Helvetica LT Com Light" w:cs="Times New Roman"/>
          <w:szCs w:val="24"/>
        </w:rPr>
        <w:t>current</w:t>
      </w:r>
      <w:r w:rsidRPr="00AD45D4">
        <w:rPr>
          <w:rFonts w:ascii="Helvetica LT Com Light" w:hAnsi="Helvetica LT Com Light" w:cs="Times New Roman"/>
          <w:szCs w:val="24"/>
        </w:rPr>
        <w:t xml:space="preserve"> benchmarks.</w:t>
      </w:r>
    </w:p>
    <w:p w14:paraId="4F7B5664" w14:textId="77777777" w:rsidR="00445890" w:rsidRPr="00AD45D4" w:rsidRDefault="00445890" w:rsidP="00445890">
      <w:pPr>
        <w:pStyle w:val="Heading2"/>
        <w:keepNext w:val="0"/>
        <w:numPr>
          <w:ilvl w:val="1"/>
          <w:numId w:val="17"/>
        </w:numPr>
        <w:spacing w:after="200" w:line="276" w:lineRule="auto"/>
        <w:contextualSpacing w:val="0"/>
      </w:pPr>
      <w:r w:rsidRPr="00AD45D4">
        <w:t>Enhanced Traditional Turnove</w:t>
      </w:r>
      <w:bookmarkStart w:id="0" w:name="_GoBack"/>
      <w:bookmarkEnd w:id="0"/>
      <w:r w:rsidRPr="00AD45D4">
        <w:t>r Rate (over 365 days)</w:t>
      </w:r>
    </w:p>
    <w:p w14:paraId="49AE1B49" w14:textId="77777777" w:rsidR="00445890" w:rsidRPr="00AD45D4" w:rsidRDefault="00445890" w:rsidP="00445890">
      <w:pPr>
        <w:spacing w:after="0" w:line="276" w:lineRule="auto"/>
        <w:rPr>
          <w:rFonts w:ascii="Helvetica LT Com Light"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 separations</m:t>
              </m:r>
            </m:num>
            <m:den>
              <m:r>
                <m:rPr>
                  <m:nor/>
                </m:rPr>
                <w:rPr>
                  <w:rFonts w:ascii="Helvetica LT Com Light" w:hAnsi="Helvetica LT Com Light" w:cs="Times New Roman"/>
                  <w:szCs w:val="24"/>
                </w:rPr>
                <m:t xml:space="preserve">avg headcount </m:t>
              </m:r>
            </m:den>
          </m:f>
          <m:r>
            <m:rPr>
              <m:nor/>
            </m:rPr>
            <w:rPr>
              <w:rFonts w:ascii="Helvetica LT Com Light" w:hAnsi="Helvetica LT Com Light" w:cs="Times New Roman"/>
              <w:szCs w:val="24"/>
            </w:rPr>
            <m:t xml:space="preserve"> × 100</m:t>
          </m:r>
        </m:oMath>
      </m:oMathPara>
    </w:p>
    <w:p w14:paraId="37599B02" w14:textId="77777777" w:rsidR="00445890" w:rsidRPr="00AD45D4" w:rsidRDefault="00445890" w:rsidP="00445890">
      <w:pPr>
        <w:spacing w:after="0" w:line="276" w:lineRule="auto"/>
        <w:rPr>
          <w:rFonts w:ascii="Helvetica LT Com Light"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sum of separations during the past 365 days</m:t>
              </m:r>
            </m:num>
            <m:den>
              <m:r>
                <m:rPr>
                  <m:nor/>
                </m:rPr>
                <w:rPr>
                  <w:rFonts w:ascii="Helvetica LT Com Light" w:hAnsi="Helvetica LT Com Light" w:cs="Times New Roman"/>
                  <w:szCs w:val="24"/>
                </w:rPr>
                <m:t>avg of headcount snapshots from end of each of the past 365 days</m:t>
              </m:r>
            </m:den>
          </m:f>
          <m:r>
            <m:rPr>
              <m:nor/>
            </m:rPr>
            <w:rPr>
              <w:rFonts w:ascii="Helvetica LT Com Light" w:hAnsi="Helvetica LT Com Light" w:cs="Times New Roman"/>
              <w:szCs w:val="24"/>
            </w:rPr>
            <m:t xml:space="preserve"> × 100</m:t>
          </m:r>
        </m:oMath>
      </m:oMathPara>
    </w:p>
    <w:p w14:paraId="039C6D41" w14:textId="77777777" w:rsidR="00445890" w:rsidRPr="00AD45D4" w:rsidRDefault="00445890" w:rsidP="00445890">
      <w:pPr>
        <w:spacing w:after="0" w:line="276" w:lineRule="auto"/>
        <w:jc w:val="both"/>
        <w:rPr>
          <w:rFonts w:ascii="Helvetica LT Com Light" w:hAnsi="Helvetica LT Com Light" w:cs="Times New Roman"/>
          <w:szCs w:val="24"/>
        </w:rPr>
      </w:pPr>
      <w:r w:rsidRPr="00AD45D4">
        <w:rPr>
          <w:rFonts w:ascii="Helvetica LT Com Light" w:hAnsi="Helvetica LT Com Light" w:cs="Times New Roman"/>
          <w:szCs w:val="24"/>
        </w:rPr>
        <w:t>This rate has the benefit of being comparable to traditional turnover rates, while being slightly more accurate.</w:t>
      </w:r>
    </w:p>
    <w:p w14:paraId="2317FBB4" w14:textId="77777777" w:rsidR="00445890" w:rsidRPr="00AD45D4" w:rsidRDefault="00445890" w:rsidP="00445890">
      <w:pPr>
        <w:pStyle w:val="Heading2"/>
        <w:keepNext w:val="0"/>
        <w:numPr>
          <w:ilvl w:val="1"/>
          <w:numId w:val="17"/>
        </w:numPr>
        <w:spacing w:after="200" w:line="276" w:lineRule="auto"/>
        <w:contextualSpacing w:val="0"/>
      </w:pPr>
      <w:r w:rsidRPr="00AD45D4">
        <w:t>Realized Turnover Rate (over 365 days)</w:t>
      </w:r>
    </w:p>
    <w:p w14:paraId="6A1FFEDB" w14:textId="77777777" w:rsidR="00445890" w:rsidRPr="00AD45D4" w:rsidRDefault="00445890" w:rsidP="00445890">
      <w:pPr>
        <w:spacing w:after="0" w:line="276" w:lineRule="auto"/>
        <w:rPr>
          <w:rFonts w:ascii="Helvetica LT Com Light"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 separations</m:t>
              </m:r>
            </m:num>
            <m:den>
              <m:r>
                <m:rPr>
                  <m:nor/>
                </m:rPr>
                <w:rPr>
                  <w:rFonts w:ascii="Helvetica LT Com Light" w:hAnsi="Helvetica LT Com Light" w:cs="Times New Roman"/>
                  <w:szCs w:val="24"/>
                </w:rPr>
                <m:t># opportunities to separate</m:t>
              </m:r>
            </m:den>
          </m:f>
          <m:r>
            <m:rPr>
              <m:nor/>
            </m:rPr>
            <w:rPr>
              <w:rFonts w:ascii="Helvetica LT Com Light" w:hAnsi="Helvetica LT Com Light" w:cs="Times New Roman"/>
              <w:szCs w:val="24"/>
            </w:rPr>
            <m:t xml:space="preserve"> × 100</m:t>
          </m:r>
        </m:oMath>
      </m:oMathPara>
    </w:p>
    <w:p w14:paraId="688108EC" w14:textId="77777777" w:rsidR="00445890" w:rsidRPr="00AD45D4" w:rsidRDefault="00445890" w:rsidP="00445890">
      <w:pPr>
        <w:spacing w:after="0" w:line="276" w:lineRule="auto"/>
        <w:ind w:left="-270"/>
        <w:rPr>
          <w:rFonts w:ascii="Helvetica LT Com Light"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sum of separations during the past 365 days</m:t>
              </m:r>
            </m:num>
            <m:den>
              <m:r>
                <m:rPr>
                  <m:nor/>
                </m:rPr>
                <w:rPr>
                  <w:rFonts w:ascii="Helvetica LT Com Light" w:hAnsi="Helvetica LT Com Light" w:cs="Times New Roman"/>
                  <w:szCs w:val="24"/>
                </w:rPr>
                <m:t>#</m:t>
              </m:r>
              <m:r>
                <m:rPr>
                  <m:nor/>
                </m:rPr>
                <w:rPr>
                  <w:rFonts w:ascii="Helvetica LT Com Light" w:hAnsi="Helvetica LT Com Light" w:cs="Times New Roman"/>
                  <w:spacing w:val="-20"/>
                  <w:szCs w:val="24"/>
                </w:rPr>
                <m:t xml:space="preserve"> days each employee could have separated in the past 365 days summed across all employees</m:t>
              </m:r>
            </m:den>
          </m:f>
          <m:r>
            <m:rPr>
              <m:nor/>
            </m:rPr>
            <w:rPr>
              <w:rFonts w:ascii="Helvetica LT Com Light" w:hAnsi="Helvetica LT Com Light" w:cs="Times New Roman"/>
              <w:szCs w:val="24"/>
            </w:rPr>
            <m:t xml:space="preserve"> × 100</m:t>
          </m:r>
        </m:oMath>
      </m:oMathPara>
    </w:p>
    <w:p w14:paraId="39403F1E" w14:textId="77777777" w:rsidR="00445890" w:rsidRPr="00AD45D4" w:rsidRDefault="00445890" w:rsidP="00445890">
      <w:pPr>
        <w:spacing w:after="0" w:line="276" w:lineRule="auto"/>
        <w:rPr>
          <w:rFonts w:ascii="Helvetica LT Com Light" w:eastAsiaTheme="minorEastAsia"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Enhanced Traditional Turnover Rate</m:t>
              </m:r>
            </m:num>
            <m:den>
              <m:r>
                <m:rPr>
                  <m:nor/>
                </m:rPr>
                <w:rPr>
                  <w:rFonts w:ascii="Helvetica LT Com Light" w:hAnsi="Helvetica LT Com Light" w:cs="Times New Roman"/>
                  <w:szCs w:val="24"/>
                </w:rPr>
                <m:t>365</m:t>
              </m:r>
            </m:den>
          </m:f>
        </m:oMath>
      </m:oMathPara>
    </w:p>
    <w:p w14:paraId="70C245A0" w14:textId="77777777" w:rsidR="00445890" w:rsidRPr="00AD45D4" w:rsidRDefault="00445890" w:rsidP="00445890">
      <w:pPr>
        <w:spacing w:after="0" w:line="276" w:lineRule="auto"/>
        <w:jc w:val="both"/>
        <w:rPr>
          <w:rFonts w:ascii="Helvetica LT Com Light" w:eastAsiaTheme="minorEastAsia" w:hAnsi="Helvetica LT Com Light" w:cs="Times New Roman"/>
          <w:szCs w:val="24"/>
        </w:rPr>
      </w:pPr>
      <w:r w:rsidRPr="00AD45D4">
        <w:rPr>
          <w:rFonts w:ascii="Helvetica LT Com Light" w:eastAsiaTheme="minorEastAsia" w:hAnsi="Helvetica LT Com Light" w:cs="Times New Roman"/>
          <w:szCs w:val="24"/>
        </w:rPr>
        <w:t xml:space="preserve">This rate has the benefit of being the most accurate and easy to interpret </w:t>
      </w:r>
      <w:r w:rsidRPr="00AD45D4">
        <w:rPr>
          <w:rFonts w:ascii="Helvetica LT Com Light" w:eastAsiaTheme="minorEastAsia" w:hAnsi="Helvetica LT Com Light" w:cs="Times New Roman"/>
          <w:i/>
          <w:szCs w:val="24"/>
        </w:rPr>
        <w:t>correctly</w:t>
      </w:r>
      <w:r w:rsidRPr="00AD45D4">
        <w:rPr>
          <w:rFonts w:ascii="Helvetica LT Com Light" w:eastAsiaTheme="minorEastAsia" w:hAnsi="Helvetica LT Com Light" w:cs="Times New Roman"/>
          <w:szCs w:val="24"/>
        </w:rPr>
        <w:t>. It should also be noted that when separation and headcount numbers are large enough to yield interpretable ratios</w:t>
      </w:r>
      <w:r>
        <w:rPr>
          <w:rFonts w:ascii="Helvetica LT Com Light" w:eastAsiaTheme="minorEastAsia" w:hAnsi="Helvetica LT Com Light" w:cs="Times New Roman"/>
          <w:szCs w:val="24"/>
        </w:rPr>
        <w:t>,</w:t>
      </w:r>
      <w:r w:rsidRPr="00AD45D4">
        <w:rPr>
          <w:rFonts w:ascii="Helvetica LT Com Light" w:eastAsiaTheme="minorEastAsia" w:hAnsi="Helvetica LT Com Light" w:cs="Times New Roman"/>
          <w:szCs w:val="24"/>
        </w:rPr>
        <w:t xml:space="preserve"> this same rate can also be used at the month</w:t>
      </w:r>
      <w:r>
        <w:rPr>
          <w:rFonts w:ascii="Helvetica LT Com Light" w:eastAsiaTheme="minorEastAsia" w:hAnsi="Helvetica LT Com Light" w:cs="Times New Roman"/>
          <w:szCs w:val="24"/>
        </w:rPr>
        <w:t xml:space="preserve"> </w:t>
      </w:r>
      <w:r w:rsidRPr="00AD45D4">
        <w:rPr>
          <w:rFonts w:ascii="Helvetica LT Com Light" w:eastAsiaTheme="minorEastAsia" w:hAnsi="Helvetica LT Com Light" w:cs="Times New Roman"/>
          <w:szCs w:val="24"/>
        </w:rPr>
        <w:t>level, week</w:t>
      </w:r>
      <w:r>
        <w:rPr>
          <w:rFonts w:ascii="Helvetica LT Com Light" w:eastAsiaTheme="minorEastAsia" w:hAnsi="Helvetica LT Com Light" w:cs="Times New Roman"/>
          <w:szCs w:val="24"/>
        </w:rPr>
        <w:t xml:space="preserve"> </w:t>
      </w:r>
      <w:r w:rsidRPr="00AD45D4">
        <w:rPr>
          <w:rFonts w:ascii="Helvetica LT Com Light" w:eastAsiaTheme="minorEastAsia" w:hAnsi="Helvetica LT Com Light" w:cs="Times New Roman"/>
          <w:szCs w:val="24"/>
        </w:rPr>
        <w:t>level, or even day</w:t>
      </w:r>
      <w:r>
        <w:rPr>
          <w:rFonts w:ascii="Helvetica LT Com Light" w:eastAsiaTheme="minorEastAsia" w:hAnsi="Helvetica LT Com Light" w:cs="Times New Roman"/>
          <w:szCs w:val="24"/>
        </w:rPr>
        <w:t xml:space="preserve"> </w:t>
      </w:r>
      <w:r w:rsidRPr="00AD45D4">
        <w:rPr>
          <w:rFonts w:ascii="Helvetica LT Com Light" w:eastAsiaTheme="minorEastAsia" w:hAnsi="Helvetica LT Com Light" w:cs="Times New Roman"/>
          <w:szCs w:val="24"/>
        </w:rPr>
        <w:t>level to more closely monitor turnover</w:t>
      </w:r>
      <w:r>
        <w:rPr>
          <w:rFonts w:ascii="Helvetica LT Com Light" w:eastAsiaTheme="minorEastAsia" w:hAnsi="Helvetica LT Com Light" w:cs="Times New Roman"/>
          <w:szCs w:val="24"/>
        </w:rPr>
        <w:t>. This rate also scales accurately across other levels of analysis (e.g., individual, group, organization). Notably, a similar approach can also be used to compute promotion rates, counterproductive behavior rates, and other metrics that involve a discrete set of opportunities and a subset of occurrences over a time period:</w:t>
      </w:r>
    </w:p>
    <w:p w14:paraId="67F60242" w14:textId="77777777" w:rsidR="00445890" w:rsidRPr="00AD45D4" w:rsidRDefault="00445890" w:rsidP="00445890">
      <w:pPr>
        <w:spacing w:after="0" w:line="276" w:lineRule="auto"/>
        <w:rPr>
          <w:rFonts w:ascii="Helvetica LT Com Light" w:eastAsiaTheme="minorEastAsia"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 separations in past month</m:t>
              </m:r>
            </m:num>
            <m:den>
              <m:r>
                <m:rPr>
                  <m:nor/>
                </m:rPr>
                <w:rPr>
                  <w:rFonts w:ascii="Helvetica LT Com Light" w:hAnsi="Helvetica LT Com Light" w:cs="Times New Roman"/>
                  <w:szCs w:val="24"/>
                </w:rPr>
                <m:t># opportunities to separate in past month</m:t>
              </m:r>
            </m:den>
          </m:f>
          <m:r>
            <m:rPr>
              <m:nor/>
            </m:rPr>
            <w:rPr>
              <w:rFonts w:ascii="Helvetica LT Com Light" w:hAnsi="Helvetica LT Com Light" w:cs="Times New Roman"/>
              <w:szCs w:val="24"/>
            </w:rPr>
            <m:t xml:space="preserve"> × 100</m:t>
          </m:r>
        </m:oMath>
      </m:oMathPara>
    </w:p>
    <w:p w14:paraId="63C196FC" w14:textId="77777777" w:rsidR="00445890" w:rsidRPr="00AD45D4" w:rsidRDefault="00445890" w:rsidP="00445890">
      <w:pPr>
        <w:spacing w:after="0" w:line="276" w:lineRule="auto"/>
        <w:rPr>
          <w:rFonts w:ascii="Helvetica LT Com Light" w:eastAsiaTheme="minorEastAsia" w:hAnsi="Helvetica LT Com Light" w:cs="Times New Roman"/>
          <w:szCs w:val="24"/>
        </w:rPr>
      </w:pPr>
      <m:oMathPara>
        <m:oMath>
          <m:r>
            <m:rPr>
              <m:nor/>
            </m:rPr>
            <w:rPr>
              <w:rFonts w:ascii="Helvetica LT Com Light" w:hAnsi="Helvetica LT Com Light" w:cs="Times New Roman"/>
              <w:szCs w:val="24"/>
            </w:rPr>
            <m:t xml:space="preserve">= </m:t>
          </m:r>
          <m:f>
            <m:fPr>
              <m:ctrlPr>
                <w:rPr>
                  <w:rFonts w:ascii="Cambria Math" w:hAnsi="Cambria Math" w:cs="Times New Roman"/>
                  <w:i/>
                  <w:szCs w:val="24"/>
                </w:rPr>
              </m:ctrlPr>
            </m:fPr>
            <m:num>
              <m:r>
                <m:rPr>
                  <m:nor/>
                </m:rPr>
                <w:rPr>
                  <w:rFonts w:ascii="Helvetica LT Com Light" w:hAnsi="Helvetica LT Com Light" w:cs="Times New Roman"/>
                  <w:szCs w:val="24"/>
                </w:rPr>
                <m:t>sum of separations during the past month</m:t>
              </m:r>
            </m:num>
            <m:den>
              <m:r>
                <m:rPr>
                  <m:nor/>
                </m:rPr>
                <w:rPr>
                  <w:rFonts w:ascii="Helvetica LT Com Light" w:hAnsi="Helvetica LT Com Light" w:cs="Times New Roman"/>
                  <w:szCs w:val="24"/>
                </w:rPr>
                <m:t># days each employee could have separated in the past month summed across all employees</m:t>
              </m:r>
            </m:den>
          </m:f>
          <m:r>
            <m:rPr>
              <m:nor/>
            </m:rPr>
            <w:rPr>
              <w:rFonts w:ascii="Helvetica LT Com Light" w:hAnsi="Helvetica LT Com Light" w:cs="Times New Roman"/>
              <w:szCs w:val="24"/>
            </w:rPr>
            <m:t xml:space="preserve"> × 100</m:t>
          </m:r>
        </m:oMath>
      </m:oMathPara>
    </w:p>
    <w:p w14:paraId="14CA28CD" w14:textId="77777777" w:rsidR="00445890" w:rsidRPr="00AD45D4" w:rsidRDefault="00445890" w:rsidP="00445890">
      <w:pPr>
        <w:spacing w:before="0" w:after="0" w:line="276" w:lineRule="auto"/>
        <w:rPr>
          <w:rFonts w:ascii="Helvetica LT Com Light" w:eastAsiaTheme="minorEastAsia" w:hAnsi="Helvetica LT Com Light" w:cs="Times New Roman"/>
          <w:szCs w:val="24"/>
        </w:rPr>
      </w:pPr>
      <w:r w:rsidRPr="00AD45D4">
        <w:rPr>
          <w:rFonts w:ascii="Helvetica LT Com Light" w:eastAsiaTheme="minorEastAsia" w:hAnsi="Helvetica LT Com Light" w:cs="Times New Roman"/>
          <w:szCs w:val="24"/>
        </w:rPr>
        <w:br w:type="page"/>
      </w:r>
    </w:p>
    <w:p w14:paraId="2A8BFF7D" w14:textId="77777777" w:rsidR="00445890" w:rsidRPr="00AD45D4" w:rsidRDefault="00445890" w:rsidP="00445890">
      <w:pPr>
        <w:pStyle w:val="Heading1"/>
        <w:keepNext w:val="0"/>
        <w:numPr>
          <w:ilvl w:val="0"/>
          <w:numId w:val="17"/>
        </w:numPr>
        <w:spacing w:line="276" w:lineRule="auto"/>
        <w:contextualSpacing w:val="0"/>
        <w:jc w:val="left"/>
      </w:pPr>
      <w:r w:rsidRPr="00AD45D4">
        <w:lastRenderedPageBreak/>
        <w:t xml:space="preserve">Appendix B: Turnover Rate Comparisons </w:t>
      </w:r>
      <w:r>
        <w:t>W</w:t>
      </w:r>
      <w:r w:rsidRPr="00AD45D4">
        <w:t>ith Example Data</w:t>
      </w:r>
    </w:p>
    <w:p w14:paraId="57D52F08" w14:textId="77777777" w:rsidR="00445890" w:rsidRPr="00AD45D4" w:rsidRDefault="00445890" w:rsidP="00445890">
      <w:pPr>
        <w:spacing w:before="0" w:after="0"/>
        <w:ind w:firstLine="567"/>
        <w:jc w:val="both"/>
        <w:rPr>
          <w:rFonts w:ascii="Helvetica LT Com Light" w:hAnsi="Helvetica LT Com Light"/>
        </w:rPr>
      </w:pPr>
      <w:r w:rsidRPr="00AD45D4">
        <w:rPr>
          <w:rFonts w:ascii="Helvetica LT Com Light" w:hAnsi="Helvetica LT Com Light"/>
        </w:rPr>
        <w:t xml:space="preserve">Data below were generated for illustrative purposes but are based on real trends and scenarios observed by the author in </w:t>
      </w:r>
      <w:r>
        <w:rPr>
          <w:rFonts w:ascii="Helvetica LT Com Light" w:hAnsi="Helvetica LT Com Light"/>
        </w:rPr>
        <w:t xml:space="preserve">dozens of </w:t>
      </w:r>
      <w:r w:rsidRPr="00AD45D4">
        <w:rPr>
          <w:rFonts w:ascii="Helvetica LT Com Light" w:hAnsi="Helvetica LT Com Light"/>
        </w:rPr>
        <w:t>organizations across economic sectors and geographic regions.</w:t>
      </w:r>
    </w:p>
    <w:p w14:paraId="287A30D5" w14:textId="77777777" w:rsidR="00445890" w:rsidRPr="00AD45D4" w:rsidRDefault="00445890" w:rsidP="00445890">
      <w:pPr>
        <w:spacing w:before="0" w:after="0"/>
        <w:rPr>
          <w:rFonts w:ascii="Helvetica LT Com Light" w:hAnsi="Helvetica LT Com Light"/>
        </w:rPr>
      </w:pPr>
    </w:p>
    <w:p w14:paraId="72B01692" w14:textId="77777777" w:rsidR="00445890" w:rsidRPr="00AD45D4" w:rsidRDefault="00445890" w:rsidP="00445890">
      <w:pPr>
        <w:pStyle w:val="Heading2"/>
        <w:keepNext w:val="0"/>
        <w:numPr>
          <w:ilvl w:val="1"/>
          <w:numId w:val="17"/>
        </w:numPr>
        <w:spacing w:after="200" w:line="276" w:lineRule="auto"/>
        <w:contextualSpacing w:val="0"/>
      </w:pPr>
      <w:r w:rsidRPr="00AD45D4">
        <w:t xml:space="preserve">Example 1: </w:t>
      </w:r>
    </w:p>
    <w:p w14:paraId="685ECBE8" w14:textId="77777777" w:rsidR="00445890" w:rsidRPr="00AD45D4" w:rsidRDefault="00445890" w:rsidP="00445890">
      <w:pPr>
        <w:spacing w:before="0" w:after="0"/>
        <w:ind w:firstLine="567"/>
        <w:jc w:val="both"/>
        <w:rPr>
          <w:rFonts w:ascii="Helvetica LT Com Light" w:hAnsi="Helvetica LT Com Light"/>
        </w:rPr>
      </w:pPr>
      <w:r w:rsidRPr="00AD45D4">
        <w:rPr>
          <w:rFonts w:ascii="Helvetica LT Com Light" w:hAnsi="Helvetica LT Com Light"/>
        </w:rPr>
        <w:t xml:space="preserve">After </w:t>
      </w:r>
      <w:r>
        <w:rPr>
          <w:rFonts w:ascii="Helvetica LT Com Light" w:hAnsi="Helvetica LT Com Light"/>
        </w:rPr>
        <w:t xml:space="preserve">a </w:t>
      </w:r>
      <w:r w:rsidRPr="00AD45D4">
        <w:rPr>
          <w:rFonts w:ascii="Helvetica LT Com Light" w:hAnsi="Helvetica LT Com Light"/>
        </w:rPr>
        <w:t>reorganization and site closure in January 2018, a large portion of the employees at the consolidated site left the organization. The CEO’s dashboard shows the traditional turno</w:t>
      </w:r>
      <w:r>
        <w:rPr>
          <w:rFonts w:ascii="Helvetica LT Com Light" w:hAnsi="Helvetica LT Com Light"/>
        </w:rPr>
        <w:t>ver rate for the site at 900%. Sh</w:t>
      </w:r>
      <w:r w:rsidRPr="00AD45D4">
        <w:rPr>
          <w:rFonts w:ascii="Helvetica LT Com Light" w:hAnsi="Helvetica LT Com Light"/>
        </w:rPr>
        <w:t xml:space="preserve">e wants to know how that is possible </w:t>
      </w:r>
      <w:r>
        <w:rPr>
          <w:rFonts w:ascii="Helvetica LT Com Light" w:hAnsi="Helvetica LT Com Light"/>
        </w:rPr>
        <w:t>because</w:t>
      </w:r>
      <w:r w:rsidRPr="00AD45D4">
        <w:rPr>
          <w:rFonts w:ascii="Helvetica LT Com Light" w:hAnsi="Helvetica LT Com Light"/>
        </w:rPr>
        <w:t xml:space="preserve"> the roles were not even back</w:t>
      </w:r>
      <w:r>
        <w:rPr>
          <w:rFonts w:ascii="Helvetica LT Com Light" w:hAnsi="Helvetica LT Com Light"/>
        </w:rPr>
        <w:t xml:space="preserve"> </w:t>
      </w:r>
      <w:r w:rsidRPr="00AD45D4">
        <w:rPr>
          <w:rFonts w:ascii="Helvetica LT Com Light" w:hAnsi="Helvetica LT Com Light"/>
        </w:rPr>
        <w:t>filled.</w:t>
      </w:r>
    </w:p>
    <w:p w14:paraId="17C180A4" w14:textId="77777777" w:rsidR="00445890" w:rsidRPr="00AD45D4" w:rsidRDefault="00445890" w:rsidP="00445890">
      <w:pPr>
        <w:spacing w:before="0" w:after="0"/>
        <w:jc w:val="both"/>
        <w:rPr>
          <w:rFonts w:ascii="Helvetica LT Com Light" w:hAnsi="Helvetica LT Com Light"/>
        </w:rPr>
      </w:pPr>
    </w:p>
    <w:p w14:paraId="7570C2A1"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 xml:space="preserve">Explanation </w:t>
      </w:r>
    </w:p>
    <w:p w14:paraId="01E79D64" w14:textId="77777777" w:rsidR="00445890" w:rsidRPr="00AD45D4" w:rsidRDefault="00445890" w:rsidP="00445890">
      <w:pPr>
        <w:spacing w:before="0" w:after="0"/>
        <w:ind w:firstLine="567"/>
        <w:jc w:val="both"/>
        <w:rPr>
          <w:rFonts w:ascii="Helvetica LT Com Light" w:hAnsi="Helvetica LT Com Light"/>
        </w:rPr>
      </w:pPr>
      <w:r w:rsidRPr="00AD45D4">
        <w:rPr>
          <w:rFonts w:ascii="Helvetica LT Com Light" w:hAnsi="Helvetica LT Com Light"/>
        </w:rPr>
        <w:t xml:space="preserve">The CEO may be thinking that the roles have each turned over </w:t>
      </w:r>
      <w:r>
        <w:rPr>
          <w:rFonts w:ascii="Helvetica LT Com Light" w:hAnsi="Helvetica LT Com Light"/>
        </w:rPr>
        <w:t>nine</w:t>
      </w:r>
      <w:r w:rsidRPr="00AD45D4">
        <w:rPr>
          <w:rFonts w:ascii="Helvetica LT Com Light" w:hAnsi="Helvetica LT Com Light"/>
        </w:rPr>
        <w:t xml:space="preserve"> times but that is not the correct interpretation of a traditional turnover rate. The traditional turnover rate and even the enhanced turnover rate are misleading in this case because the number of terminations is so much larger than the number of employees in the organization before and after the restructuring. The realized turnover rate most clearly depicts the situation: </w:t>
      </w:r>
      <w:r>
        <w:rPr>
          <w:rFonts w:ascii="Helvetica LT Com Light" w:hAnsi="Helvetica LT Com Light"/>
        </w:rPr>
        <w:t>O</w:t>
      </w:r>
      <w:r w:rsidRPr="00AD45D4">
        <w:rPr>
          <w:rFonts w:ascii="Helvetica LT Com Light" w:hAnsi="Helvetica LT Com Light"/>
        </w:rPr>
        <w:t xml:space="preserve">f the 6,080 opportunities employees had to leave the organization in the past year, 90 (1.48%) were realized. </w:t>
      </w:r>
    </w:p>
    <w:p w14:paraId="2D8DC565" w14:textId="77777777" w:rsidR="00445890" w:rsidRPr="00AD45D4" w:rsidRDefault="00445890" w:rsidP="00445890">
      <w:pPr>
        <w:spacing w:before="0" w:after="0"/>
        <w:ind w:firstLine="567"/>
        <w:jc w:val="both"/>
        <w:rPr>
          <w:rFonts w:ascii="Helvetica LT Com Light" w:hAnsi="Helvetica LT Com Light" w:cs="Times New Roman"/>
        </w:rPr>
      </w:pPr>
      <w:r w:rsidRPr="00AD45D4">
        <w:rPr>
          <w:rFonts w:ascii="Helvetica LT Com Light" w:hAnsi="Helvetica LT Com Light"/>
        </w:rPr>
        <w:t xml:space="preserve">Note: </w:t>
      </w:r>
      <w:r w:rsidRPr="00AD45D4">
        <w:rPr>
          <w:rFonts w:ascii="Helvetica LT Com Light" w:hAnsi="Helvetica LT Com Light" w:cs="Times New Roman"/>
        </w:rPr>
        <w:t>One could argue that the traditional 1-month turnover rate (93%) is sufficient here. However, a key advantage to the realized turnover rate is that it does not require the timeframe to be adjusted to make the metric look sensible; the metric and interpretation are consistently relevant.</w:t>
      </w:r>
    </w:p>
    <w:p w14:paraId="32DA72C9" w14:textId="77777777" w:rsidR="00445890" w:rsidRPr="00AD45D4" w:rsidRDefault="00445890" w:rsidP="00445890">
      <w:pPr>
        <w:spacing w:before="0" w:after="0"/>
        <w:ind w:firstLine="567"/>
        <w:rPr>
          <w:rFonts w:ascii="Helvetica LT Com Light" w:hAnsi="Helvetica LT Com Light"/>
        </w:rPr>
      </w:pPr>
    </w:p>
    <w:p w14:paraId="01725141"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Rates:</w:t>
      </w:r>
    </w:p>
    <w:tbl>
      <w:tblPr>
        <w:tblW w:w="7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8"/>
        <w:gridCol w:w="1708"/>
        <w:gridCol w:w="1708"/>
        <w:gridCol w:w="1708"/>
      </w:tblGrid>
      <w:tr w:rsidR="00445890" w:rsidRPr="00AD45D4" w14:paraId="6BBD8DD0" w14:textId="77777777" w:rsidTr="009A4DA1">
        <w:trPr>
          <w:trHeight w:val="300"/>
          <w:jc w:val="center"/>
        </w:trPr>
        <w:tc>
          <w:tcPr>
            <w:tcW w:w="252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19A3E1FD" w14:textId="77777777" w:rsidR="00445890" w:rsidRPr="00AD45D4" w:rsidRDefault="00445890" w:rsidP="009A4DA1">
            <w:pPr>
              <w:widowControl w:val="0"/>
              <w:spacing w:before="0" w:after="0"/>
              <w:rPr>
                <w:rFonts w:ascii="Helvetica LT Com Light" w:hAnsi="Helvetica LT Com Light" w:cs="Times New Roman"/>
                <w:szCs w:val="24"/>
              </w:rPr>
            </w:pPr>
          </w:p>
        </w:tc>
        <w:tc>
          <w:tcPr>
            <w:tcW w:w="170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3F21634E"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Traditional turnover rate (rolling 12 months)</w:t>
            </w:r>
          </w:p>
        </w:tc>
        <w:tc>
          <w:tcPr>
            <w:tcW w:w="170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7EEB75BF"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Enhanced traditional turnover (rolling 365 days)</w:t>
            </w:r>
          </w:p>
        </w:tc>
        <w:tc>
          <w:tcPr>
            <w:tcW w:w="170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2A1110C8"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Realized turnover rate (rolling 12 months)</w:t>
            </w:r>
          </w:p>
        </w:tc>
      </w:tr>
      <w:tr w:rsidR="00445890" w:rsidRPr="00AD45D4" w14:paraId="08EB26E3" w14:textId="77777777" w:rsidTr="009A4DA1">
        <w:trPr>
          <w:trHeight w:val="300"/>
          <w:jc w:val="center"/>
        </w:trPr>
        <w:tc>
          <w:tcPr>
            <w:tcW w:w="2528" w:type="dxa"/>
            <w:tcBorders>
              <w:top w:val="single" w:sz="4" w:space="0" w:color="000000"/>
              <w:left w:val="single" w:sz="4" w:space="0" w:color="FFFFFF"/>
              <w:bottom w:val="single" w:sz="4" w:space="0" w:color="auto"/>
              <w:right w:val="single" w:sz="4" w:space="0" w:color="FFFFFF"/>
            </w:tcBorders>
            <w:tcMar>
              <w:top w:w="0" w:type="dxa"/>
              <w:left w:w="40" w:type="dxa"/>
              <w:bottom w:w="0" w:type="dxa"/>
              <w:right w:w="40" w:type="dxa"/>
            </w:tcMar>
            <w:vAlign w:val="center"/>
          </w:tcPr>
          <w:p w14:paraId="61F65780" w14:textId="77777777" w:rsidR="00445890" w:rsidRPr="00AD45D4" w:rsidRDefault="00445890" w:rsidP="009A4DA1">
            <w:pPr>
              <w:widowControl w:val="0"/>
              <w:spacing w:before="0" w:after="0"/>
              <w:rPr>
                <w:rFonts w:ascii="Helvetica LT Com Light" w:hAnsi="Helvetica LT Com Light" w:cs="Times New Roman"/>
                <w:szCs w:val="24"/>
              </w:rPr>
            </w:pPr>
            <w:r w:rsidRPr="00AD45D4">
              <w:rPr>
                <w:rFonts w:ascii="Helvetica LT Com Light" w:hAnsi="Helvetica LT Com Light" w:cs="Times New Roman"/>
                <w:szCs w:val="24"/>
              </w:rPr>
              <w:t>As of Feb 1, 2018</w:t>
            </w:r>
          </w:p>
        </w:tc>
        <w:tc>
          <w:tcPr>
            <w:tcW w:w="1708" w:type="dxa"/>
            <w:tcBorders>
              <w:top w:val="single" w:sz="4" w:space="0" w:color="000000"/>
              <w:left w:val="single" w:sz="4" w:space="0" w:color="FFFFFF"/>
              <w:bottom w:val="single" w:sz="4" w:space="0" w:color="auto"/>
              <w:right w:val="single" w:sz="4" w:space="0" w:color="FFFFFF"/>
            </w:tcBorders>
            <w:tcMar>
              <w:top w:w="0" w:type="dxa"/>
              <w:left w:w="40" w:type="dxa"/>
              <w:bottom w:w="0" w:type="dxa"/>
              <w:right w:w="40" w:type="dxa"/>
            </w:tcMar>
            <w:vAlign w:val="center"/>
          </w:tcPr>
          <w:p w14:paraId="4287BBEA"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900.00%</w:t>
            </w:r>
          </w:p>
        </w:tc>
        <w:tc>
          <w:tcPr>
            <w:tcW w:w="1708" w:type="dxa"/>
            <w:tcBorders>
              <w:top w:val="single" w:sz="4" w:space="0" w:color="000000"/>
              <w:left w:val="single" w:sz="4" w:space="0" w:color="FFFFFF"/>
              <w:bottom w:val="single" w:sz="4" w:space="0" w:color="auto"/>
              <w:right w:val="single" w:sz="4" w:space="0" w:color="FFFFFF"/>
            </w:tcBorders>
            <w:tcMar>
              <w:top w:w="0" w:type="dxa"/>
              <w:left w:w="40" w:type="dxa"/>
              <w:bottom w:w="0" w:type="dxa"/>
              <w:right w:w="40" w:type="dxa"/>
            </w:tcMar>
            <w:vAlign w:val="center"/>
          </w:tcPr>
          <w:p w14:paraId="6C40E7DB"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517.32%</w:t>
            </w:r>
          </w:p>
        </w:tc>
        <w:tc>
          <w:tcPr>
            <w:tcW w:w="1708" w:type="dxa"/>
            <w:tcBorders>
              <w:top w:val="single" w:sz="4" w:space="0" w:color="000000"/>
              <w:left w:val="single" w:sz="4" w:space="0" w:color="FFFFFF"/>
              <w:bottom w:val="single" w:sz="4" w:space="0" w:color="auto"/>
              <w:right w:val="single" w:sz="4" w:space="0" w:color="FFFFFF"/>
            </w:tcBorders>
            <w:tcMar>
              <w:top w:w="0" w:type="dxa"/>
              <w:left w:w="40" w:type="dxa"/>
              <w:bottom w:w="0" w:type="dxa"/>
              <w:right w:w="40" w:type="dxa"/>
            </w:tcMar>
            <w:vAlign w:val="center"/>
          </w:tcPr>
          <w:p w14:paraId="110BB353"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1.42%</w:t>
            </w:r>
          </w:p>
        </w:tc>
      </w:tr>
    </w:tbl>
    <w:p w14:paraId="403F7AA0" w14:textId="77777777" w:rsidR="00445890" w:rsidRPr="00AD45D4" w:rsidRDefault="00445890" w:rsidP="00445890">
      <w:pPr>
        <w:spacing w:before="0" w:after="0"/>
        <w:rPr>
          <w:rFonts w:ascii="Helvetica LT Com Light" w:hAnsi="Helvetica LT Com Light"/>
        </w:rPr>
      </w:pPr>
    </w:p>
    <w:p w14:paraId="5E5033C0" w14:textId="77777777" w:rsidR="00445890" w:rsidRPr="00AD45D4" w:rsidRDefault="00445890" w:rsidP="00445890">
      <w:pPr>
        <w:pStyle w:val="Heading3"/>
        <w:numPr>
          <w:ilvl w:val="2"/>
          <w:numId w:val="21"/>
        </w:numPr>
        <w:spacing w:line="240" w:lineRule="auto"/>
        <w:ind w:left="562" w:hanging="562"/>
        <w:contextualSpacing w:val="0"/>
        <w:rPr>
          <w:rFonts w:ascii="Helvetica LT Com Light" w:hAnsi="Helvetica LT Com Light"/>
        </w:rPr>
      </w:pPr>
      <w:r w:rsidRPr="00AD45D4">
        <w:rPr>
          <w:rFonts w:ascii="Helvetica LT Com Light" w:hAnsi="Helvetica LT Com Light"/>
        </w:rPr>
        <w:t>Data:</w:t>
      </w:r>
    </w:p>
    <w:tbl>
      <w:tblPr>
        <w:tblW w:w="7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500"/>
        <w:gridCol w:w="1500"/>
        <w:gridCol w:w="1500"/>
        <w:gridCol w:w="1500"/>
      </w:tblGrid>
      <w:tr w:rsidR="00445890" w:rsidRPr="00AD45D4" w14:paraId="04BC89CA" w14:textId="77777777" w:rsidTr="009A4DA1">
        <w:trPr>
          <w:trHeight w:val="300"/>
          <w:jc w:val="center"/>
        </w:trPr>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45DE2E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Date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77AED2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Headcount</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08D596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Separations</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05047A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Daily </w:t>
            </w:r>
            <w:r>
              <w:rPr>
                <w:rFonts w:ascii="Helvetica LT Com Light" w:hAnsi="Helvetica LT Com Light" w:cs="Times New Roman"/>
                <w:szCs w:val="24"/>
              </w:rPr>
              <w:t>t</w:t>
            </w:r>
            <w:r w:rsidRPr="00AD45D4">
              <w:rPr>
                <w:rFonts w:ascii="Helvetica LT Com Light" w:hAnsi="Helvetica LT Com Light" w:cs="Times New Roman"/>
                <w:szCs w:val="24"/>
              </w:rPr>
              <w:t xml:space="preserve">urnover </w:t>
            </w:r>
            <w:r>
              <w:rPr>
                <w:rFonts w:ascii="Helvetica LT Com Light" w:hAnsi="Helvetica LT Com Light" w:cs="Times New Roman"/>
                <w:szCs w:val="24"/>
              </w:rPr>
              <w:t>r</w:t>
            </w:r>
            <w:r w:rsidRPr="00AD45D4">
              <w:rPr>
                <w:rFonts w:ascii="Helvetica LT Com Light" w:hAnsi="Helvetica LT Com Light" w:cs="Times New Roman"/>
                <w:szCs w:val="24"/>
              </w:rPr>
              <w:t>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17D295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Enhanced monthly turnover rate </w:t>
            </w:r>
          </w:p>
        </w:tc>
      </w:tr>
      <w:tr w:rsidR="00445890" w:rsidRPr="00AD45D4" w14:paraId="5F30BCE7" w14:textId="77777777" w:rsidTr="009A4DA1">
        <w:trPr>
          <w:trHeight w:val="300"/>
          <w:jc w:val="center"/>
        </w:trPr>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4FFECD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1-Jan-17</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7D1F37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31A37D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681C4B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2086672C"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B67974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CBD3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7A80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91ED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4DF8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86C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DCD4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227D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428A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BAED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2FB6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804B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2699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C48D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6414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7ADC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77C8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6120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052B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E210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9882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DB5C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675A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F6A4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F416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1E1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337A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E3E5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E813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B31D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BC20A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47B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D297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106C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31C3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2342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58FD5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3D07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471E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6656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00DC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1E1D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8FEA1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FC68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53D4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1C51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81C1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E587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92657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14A2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9935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97B7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7265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ABA98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DA26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4BA1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8D32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E050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8E87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FD3B5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9CEA6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167C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A389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EFF1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225D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6B0B4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488D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D947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87FB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D733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EBB8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1330E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9FF35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6371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FFE0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56B2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0ACF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F52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BD35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467E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7AB1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F366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BE5F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5A71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ABD1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C92B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74F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E223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70D9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48608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0140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A2D0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13EB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3595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B62A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92FD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07AFE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088B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D945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563C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49D1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0474F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61A7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F3DC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5B5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F7D6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A54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BFC1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7C8D4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5616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E81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F2A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788D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707A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388A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446B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DEF8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E115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0771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07F1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533C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2AB3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3529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721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581D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346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9DC4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AF4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8D6C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96A6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6E9C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7A3D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7816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9314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920F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A76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7437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6FAE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E998A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0CEF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0F3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9219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A19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F430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7B5E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91F1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F7C7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B255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81A9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210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EC1F1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C4C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627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731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FAE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010A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7120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71AB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C532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2902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393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82CFF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F5A6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E887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B3F8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F78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BB9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F9DC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4590E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006A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013E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259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C20F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C96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1921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D56E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FECF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625E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DC15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B25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5C108C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2102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70D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A03F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AD08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324F15"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054FE46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EFD8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5462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4C41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7B88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29CA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6E651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F9E9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7938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7099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BC41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4BC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3BF35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2918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99A9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1769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34F7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FB857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500F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F2DA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A993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009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C896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48CF9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41BB6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78E7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6766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CB04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7421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26EC3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6B1B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C001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0132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FF85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A23A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A9E96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03D1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0FF7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8A9E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E0A8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B7F0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87A64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69A7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792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AC2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04B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CB3B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B42E8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50AFB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520E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0549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E982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4877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27EA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0C530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7216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627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92D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69E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8100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4CE76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DA9E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001F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FAA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CCB3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11649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EE3CD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56E9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1A0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8421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149B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B11E4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ADFD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4FB8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70D8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316C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1390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574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7858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DBCC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2F7D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F3C6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1433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A35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7093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E5E2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3342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8376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6D1B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BD18E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3A3A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E9E4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DD53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D964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FE52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9D28F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A84B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F4F3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2A1F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F888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A9F3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FA8AB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E7D04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6155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1555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7C66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5BB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719ED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D10C3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2E58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F711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55E2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D5E3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A2B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80F50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CEC3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AC7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38CE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5C46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F7CD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7BFA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461B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A4D7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FE18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09DE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B1EA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80B5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D4B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6914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633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624C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12422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13074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B24A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E58B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1660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7C2D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E48D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8182A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0B50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025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68F3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5828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12F6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8BFBF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D5F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B532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5BA1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4D9C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88575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CF1B7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4D74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79D5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F967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FDF8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3BD1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8BA7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5D6B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FFE0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59C7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559D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7938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323F0EB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ACCE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845D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167C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AA0F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2FCFAD"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3B471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2579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A3B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BEA1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48C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C8140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2F15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5A1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98F8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8770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B90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00A7B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3BC3D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5909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E159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3154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75A7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B5D1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E1F56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D588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F549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0BA3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BC9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B1AA5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8C31C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9114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C33A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BABD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14E1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20774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AC02E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5DD9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6693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2339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659C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3155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8741E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F720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A668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0F51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A410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452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68851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BBE4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43F6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5F77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680F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A08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E3D28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C67C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B550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DC06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E4A6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D001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A10B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03F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690B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EDD3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E351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C0B9B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ADE36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35AC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16B4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0494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C2FD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76692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14A0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F9AA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017B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F735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BA00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C30E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41BA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6DD8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74F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4E4F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5571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F320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6851E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A6FF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AA1B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F56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AB23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6C64E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B172E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19FB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D82A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E291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F17C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04C0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3B03D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90B6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4A6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927D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E709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D881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1B255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0F4A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4A3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30D8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DFD2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A550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6DBFD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736C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207A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1A0E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A93E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DDDCD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26E23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6509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3B72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9E3C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957C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D785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E81C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151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63E0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9A16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5A1A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BE2D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F92B3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A3C7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1F79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72E3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9901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E67A9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F5F0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FC11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64C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4B05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17B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6446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4780B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0A7F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F02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9460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3DB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7504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B132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212F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2D6D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CFFB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E223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662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2EEA5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DA8F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C55B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5E82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39A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1149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ED589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E057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8DAD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349A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0B6A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06FB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67E43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6C89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D741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FA1B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1045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4CC67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B6215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AA98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AC18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3A32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5D5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F9A83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64B7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2AC4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B3DE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5AFA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9C6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6F142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B08C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D5A8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B88E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2F0F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7AF5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A29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14D140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1C35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47AB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7F74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B1D6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89BAD4"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EEBBE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D77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DA48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21B2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D7A8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706BF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323D0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EE61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0E3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743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0A97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6CDBA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C2E46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5CF0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904F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389B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C1AA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B722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1400AA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190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E276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FAE6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7816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15B15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F445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E572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59E3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69D2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C80B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7EC26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2AE0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24C5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B0BE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95D8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61E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204CB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7BF28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0171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7B68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70A8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F8B9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0387C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C4F54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13B8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950F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F4B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74F7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CACF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5C78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023A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9D33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C610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823D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7F9A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473D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8E11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53DC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D45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BDC5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4AF2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5A0E0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1B89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68FA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5DF0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DA01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6B6D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B0287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DA3B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23C6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8BE8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5E68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E3228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5DEB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C9F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49A5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F77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A4F4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3EE82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60540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17CF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923A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D67A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2B08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ECD97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BE7AA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8331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085F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4842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30F0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81B3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0BE3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7306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CFC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07FC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7767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D323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02A72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1485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4ED7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B5BD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793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10B52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5C91D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D38B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A17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7981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FDA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8A41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1E3B6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541D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F138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207D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7525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28E67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89D5B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DA70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09B0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C198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06C6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EF407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4C3C4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D809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E3B7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0247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6D34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76F2C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C3585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B1E3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6194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117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1DB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AC8D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25E78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2215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9B98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2B25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4146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3750D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9F4C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029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26B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0D65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F3CA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A601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B718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54BA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4BF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EC30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0FF7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84A4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7F67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280D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A1AC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5208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0B9D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9FB21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528D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BF23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C3DB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D6D9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5BFA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A307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FAC1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17A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99BA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CA0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EC51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0FBE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35FA9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CEEE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91E6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4151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DF1D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83ED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6485B4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DBBC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D7F9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8BE9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8DE9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FE531"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6A4C5B1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E34B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E48A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9C94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0A60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221A0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213F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50AE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3F35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EF98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AD59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4F5FF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11B30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9D4B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56D1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A396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C017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FA1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FA18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0E0E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5AA0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D2A3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792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F9107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A0CD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85DE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B9E8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11C5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E8F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2E8B4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72449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E630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E175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5C04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34AD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F92E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4925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BE68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B790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920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9E71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9D6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5BDB8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3A45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8B87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CA7F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7C05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FB64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06FE6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16E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E903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D15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7B0D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BEFD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5997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5ABA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AE5E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5F02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F80C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B662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8AA44A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AFE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D85F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D598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4789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7BF67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5F27BB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17F7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71A0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267E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D1C8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0207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FAA7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8134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D2CE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590D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6D71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B9262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A2DDB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F60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15BD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008B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FE54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FDFB6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D6FA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205E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DAA2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99C1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9A74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7078C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4E87F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5DC2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092D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149E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DD2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58EB7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2F33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367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779E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161F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C86F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5FFB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9A0B9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C4B5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6B78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E87B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D52C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2001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5416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BC1B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739C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3E23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EBC1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70C57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43ABF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52B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9B67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E02B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90A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0A46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2274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28B5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C099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D547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2449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292FF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CA35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E7F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0291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9522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59BF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21D3E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5C08B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7C1C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B65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4278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C63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29EEF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46F59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BD92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AECA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8C60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6591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9683B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F9B3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4794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177C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0DA6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BB20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DBA2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A3768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617F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57A2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976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553D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23DB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45ED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06B0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24C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6BF7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07B5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CCC8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6D70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B2A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8F56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CC7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C0C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7B6F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79E5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2EC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83E1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7DC3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92B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94C5E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07A9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5A8F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4691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49AB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5592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E86F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123B3F8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FD70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E427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981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472B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5B00D1"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6163B72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01AD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72D0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C4EB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9CFF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F468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3AFA0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7694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FA5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5F0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C713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514E7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45008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96A2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D69F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B8D2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859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3668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83084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31BB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03ED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B2D0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E653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17AE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A3F8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E1BA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CEED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6F8C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7A9B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9EDD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E58A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88C1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6B50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000A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97E4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16486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91FB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FADD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0D29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FC7A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FAD4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A5E0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938C4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5F3D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BFA8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ABA9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97E3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10C64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304E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A3F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D501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A37E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2C28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27854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9DFCDA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3ACB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AE3F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BD79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FE7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6C92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E2361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E0B2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26A2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31FB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896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DCC7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42897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41CD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6FA3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EAD7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6C2B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C5D32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B8D75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A13F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1688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873B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0F17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F503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2B4E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E81E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E044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9D72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B32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E41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88A86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72B3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5081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7CD9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B8EF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BCD6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6C85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B120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3AB6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8036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C1BE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A65DE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7FB9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5087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5AC6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72C5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FF8A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78C73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D1D1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FF8E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FF2B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2704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E78F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71B8F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DE35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6B22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28D7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DAD3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FADC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F91D1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31CE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80B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C65A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9325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0705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7DD3C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E902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D1F5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CD7D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5DEE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9F87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0E5BE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E150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8FC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91BC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39C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D1DD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2775D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1C88F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058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A1EA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9C6B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DDC6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7762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0A29E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BF3A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3636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DE28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C799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E2D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3A31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F71C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18A4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72C0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6193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544D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E0FD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82BF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F2B7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6D2C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4691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1F85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ABFAD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6E72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2522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9E4A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A4DA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5E09D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67A80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C392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91F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90F5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8B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4EF70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E5C9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A6E0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FB95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A51C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4962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2B4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609AC7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442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2B30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217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2A9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6C5BC8"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F98D04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2972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1582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290B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ABDF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9BF1D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D0B0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7BA0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C314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EEC0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6E7C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B8BA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3F6B0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1CBB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4F8C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C582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3686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39D1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1179C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F9D1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E1FD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CA0F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BAC6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6F7CC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242AC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7907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22B0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CF16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A21B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05373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ADB02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8AAA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BEBA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0FEA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A760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33B7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93453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CAE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BD09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2DCD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B9A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E3A73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55FF0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D26E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E36C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CDB0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F3FF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AA67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DD04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2669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283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5B31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8579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99945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5242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02B1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5EEB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80AC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6CC1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74B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6D46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C30A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6D24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0BCD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300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8C60E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7B87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4496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4138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1D7F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C10C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FDD2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81788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03B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C2E2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65F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665D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8910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36B5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F91C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284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30B8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2895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0E008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D54D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D7F8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6B69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C3C1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E865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89DC4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608F6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1613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FF9C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5D5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A070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0A8A1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F239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69AC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0D39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6B3C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F914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8358C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A0A8E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8D9C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C0D1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3697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689C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49E9F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10E7C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7C84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F03F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B2BB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CB6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3D2F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5CC2B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99AB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5F67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1474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D56B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9B45A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0706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BEF5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CAC8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80E1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2DB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BC474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BDEB4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98B2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FE2E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4284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DB7F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1D9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B7ED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F8F3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A5C3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3859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BE5D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1A01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00A73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8DA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A2F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42A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465A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168B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9EDDC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1C45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9A42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01B1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026A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BFF1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9043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B032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9DA6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0B58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5D41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9B01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DC09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81E7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F7E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B48B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54A2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EA9ED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C83E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70CE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B938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B883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8C39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755EF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452B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1B7D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A885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1F58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9DE8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EEE7F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23AA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EE9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377E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F88E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6CA7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6BBC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7C1207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421A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EB7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025B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397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869BC1"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AA950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BDDD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DBED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41B0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717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C98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913BD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2FB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3828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67B9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3208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8B50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18F4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B0F2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514B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CCB8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DBEE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5FD2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BBA2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7B9A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D3AB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67B9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36CA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079A6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A5876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6491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9DC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CC3C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32BC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85BCB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A55BB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4778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E095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C969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E4ED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827A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20BBA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BDD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27EB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8899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715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A6192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4FCFB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CBA3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3ECC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3694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F261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83FB6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753B0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E190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772E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3960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3D9E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EA882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4D66C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6611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B177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4EF2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EAE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5DB74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AC531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6CB2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0569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A730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0929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854B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44EB7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FD85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003C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3078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8C72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1F08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44EA0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0B1E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8D04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FC62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4CD1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20E6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5F9FA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D3B8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60E1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C143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549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E63A8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EE99D8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7C07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2D51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A310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AA76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842E1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5EDF5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4CDD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3A7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9CCA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2133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BF7E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B25B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AA0F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1228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B2DC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C665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208C4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806D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75E9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B1C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8E51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D738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9739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23054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F16F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53D5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30F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F8E0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CF6A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0B375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8D54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EA9E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CE59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42EF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EEAA6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350C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57A2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FD5A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9506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25E6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F7BD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2FB47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3C35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D4FC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EE33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3851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9CECA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C9CF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BCF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C7A5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3184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C4E9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32AAA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CD25E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1D59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0E85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2A1A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5600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6F7AF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2EE37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3F6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8054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3ACF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2F5C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F7601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8E235D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D94F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CECA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3DE2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249A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3FB3D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966D9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3835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6C12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631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AF1A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A87B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87A1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F7D5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7B6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BB80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4B0A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E1B2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C0485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56D5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4B05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1CB8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F17B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286B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DB9468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53B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D75A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A6C0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2DFA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ED67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36ABAA8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D318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0C2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1B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0AE9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9C426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EAFCF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BAD4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6C18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F59E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D71B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477A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1B8A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A945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EB9B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C74B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BA1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885B1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AD7A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90AD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666A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1382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8A5C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1CD89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6DE08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4A57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0749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274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A2A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13FA1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A745E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4B80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84C0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CB0B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8CB2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B8692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54BA4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179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2205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3EC1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9B37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B643D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373F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7B6B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C66D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6D0F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FF51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D89E2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FF82D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98EB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8F89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A96A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6D9A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7A5C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F1F4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4B00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5BD6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51E6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4FB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4E893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978393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33C7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750B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3926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7FBA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2D5D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C92B9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6D1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04D8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E86A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5A42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C1FB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69DBC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9A22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1A84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777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5BE2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1820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C6F3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4E3B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5DDE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9A6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EE05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62BBB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45EF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72A8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AA90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661E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CD4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2360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F687C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FFA0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C723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A29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1C4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17BE9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5672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C3EB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3FE9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FB0D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441E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45E4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864E4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77DF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402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C77B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D658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0CA7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F62A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76E9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DEC0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86D5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CBAD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B93A1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E02A5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C34F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C72F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8156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DA08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64FC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FA94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50E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C220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5A0C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B0EB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3D4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1E0A6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1BBD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4E77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543B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4B6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1C06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442C4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82D2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D1C5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478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D735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34022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4232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34E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C94E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E728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FA6D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4D4A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CAE4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8D0F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A87D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D6A9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2F57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3E8D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53BF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331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B016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C91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0B9B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691B9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2EFE4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011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D952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EF6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5E48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17C0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8F5C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D97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0CBB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8489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666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E886F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30F07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EF68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7F08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888C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71CD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D72EF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3B6B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8553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30-Sep-17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7B8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CF24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A60C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40B3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4E4CF2B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8A20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206C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F87E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2941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C2C6AE"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5DF97D8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08AA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2D8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B9AB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E217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B74C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BB66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5173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A6A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6928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4005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0DE94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33A20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D3D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4E51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9279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4DEA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1971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EDC8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DCC5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9A7E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EA96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989A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6CEDD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D7B073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43A6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644A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85BD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D34B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A5AD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A905E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D012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5D1D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39F0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CE72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15BA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F526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5344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846C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4E00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7567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2358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FD73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5EB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E3C5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0C45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DD3E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A82E1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2CC94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4FC5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342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F649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809A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C3EB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98FA3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32D0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862B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3AF7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41BC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EF47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CC0E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C3CB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4A3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610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44A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5D01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2A2A6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4A3F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6D44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15B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4380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9AF1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A4A2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AA16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1EA5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AD15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0F0B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3D745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88418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041F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48A2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E20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7064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D0EFB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E0F61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46B0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97F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C7CB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D700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4CA2D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A2946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0D04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6800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E75F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4B66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A8D28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76B88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245F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1A0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2CF2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6584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A567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37DB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90CD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26DB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DC6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4E1A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B72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056EE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E7C0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171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207D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7B9E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85D9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43F0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7D45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D3A9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19E7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D67B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440A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3251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6082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7A3D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8E23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EFF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C20B2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EBF2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66B0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958A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FB01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74ED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C93B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60916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B03A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B0D4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DCC3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3766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6E3E8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6D651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B74B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EA7F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31D3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9002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CA56B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D493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CB65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FD7E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F83C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3B82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14B0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43C8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38A9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BFDA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296E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7AEB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B4FC6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F079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734C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4AD0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23E3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DB34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6B00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8DB4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62E4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E652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077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8ACA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84E6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4104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5051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5779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CECE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CDBF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34EBA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D8F92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4C76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5F34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E18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B36A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16CD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2D56F2A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DA75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E61B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B627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2073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E9B1CD"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469FC1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A770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918A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7556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7F2C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D7B74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C2EF3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DB35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97FA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71D7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F12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53AA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9F7D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5EE9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4287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4FE4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B54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E5E56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61AF1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9EC8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7272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9B2C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0585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D7E4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86E21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87BC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6414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6B54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A0B7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AD905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52D6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9BBA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4FE6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3C10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969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40E3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52EB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08D8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6BB9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BB77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D8B2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54E7F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7924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1158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901C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AFDE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03C8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3FED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C1248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807C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3526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0640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E532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C2298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81ED6E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A3E1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0659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A475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329B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2046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D0C8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282C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45B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B26E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4943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A73CB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9E455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7A4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25FC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4EEA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8065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D594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58C4E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7DD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6978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3187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F49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2C0F6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33B7C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86B8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6F0C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4005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11D9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DB398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E5BB7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21A0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1A9A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B050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01D6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8FACD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800E0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55D9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93CE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6643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4672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91D4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221B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A7C5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58E8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E6F8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D186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2C7F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C17E3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8A69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EF93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F088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AC45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FAF6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186B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132A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41A9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0571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CF0A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C9A6F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59B7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ECE8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26D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1428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5525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9CD3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30DE2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F0B7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AAD5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C2B6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9D7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380BF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3CC58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C822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D099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1B3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276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38E88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42D28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72A1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97C9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0DC2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EB8B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5B651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BC655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92E8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F3E1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C2E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E46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A226E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28EC2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9B4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E749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000A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A034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16AE4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5477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F77E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AA12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9986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D258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8B35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01CA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820F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8983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9139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5391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176A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DF0B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DBD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F2F1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1AA5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DF1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8486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2FF4A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B639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BFFB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19E1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FEA4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0393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1043F8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C8EC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13A8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23D1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29B5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2310B0"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00A48A1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405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547D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63B7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72E8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4E9B3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6F5A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5214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FABF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9F63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C51D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01B45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2F25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F92A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E522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76E0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824C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B044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0209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C802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D7A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EF9F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CD09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EBF4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0D30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2DC0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668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1BFA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5AB1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65AF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8536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0AB5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2AA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FB9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CA1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35D6F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D099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8F36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7B6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B4D9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FC84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7C338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F40F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933D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A2CC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90C4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0B2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31E39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5DB5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F492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A1FD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7E17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4D2F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2847F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BA9A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583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EE8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CD0A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1853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59526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C027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BC4D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F660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DB14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A652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B97B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CC48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BC7B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EA9D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ACA5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443B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66EF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C4C2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FED0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86E6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889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FA7F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53B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BBBB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58FC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DE8C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B7BF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4057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6181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77EC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04D2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2D3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3EEB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E368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35367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87B6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AB0A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C47F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6AEB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D684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B0610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8F76D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8119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C121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05B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3D1D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9B29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59B2B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CEA8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1904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C8C2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DB29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B75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BEDD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2A82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EBCE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DD9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69C9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700D6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B732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544E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552F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0D98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94B8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86C1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754A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2AE2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399D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6EB4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CBC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F1C8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50031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C418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EBF7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7E36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F6D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45B57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5299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92F6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0662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FD29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3B85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731E0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5E9B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CE0F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30E2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5D7A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2795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8F2A8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E762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9110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099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ED4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C29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6348A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4D4E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BB8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7D77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4CFA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3C67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4C11A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B7A8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D28F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CB0F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2937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3403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7C75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D82CB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BA9D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3A61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BCE3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8377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FC07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9D480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382F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91F5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7B68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5785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A27C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955B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E05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3B2A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EB27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67C1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690F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665B4C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D7CA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76F1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1ED6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139E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B1D59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220D5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9B84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273E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8BD3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21C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8E676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E36E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6B9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FBC4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BEB2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E23C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4952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E9880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132D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D84F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5C8C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8C6C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2203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27A0B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14F0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6D7E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A008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752B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1351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9B17F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4D1E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AA4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78A5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6C0A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EEE5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33970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F413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91D1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18BE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4F96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41FA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FF50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36C1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A6C4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C821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1F7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66B37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03FE1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B911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EE13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6E66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62BA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1D0C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84D77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38C7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3EC4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515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0C2A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23D4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1B14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4A6C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2808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CC9F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1F00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533B6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3A7B8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E56E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D9E4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D29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C99F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06716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615BB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A1B9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57D8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20FE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AAC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53C96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EA98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084E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AFC8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B032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F83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6DFF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6C828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F44E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7866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F78C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A70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46B3C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EAD2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88B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5B3D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37C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ACE8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6D308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33F4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8B18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34AD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E04A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87BA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1D32D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45AF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EDF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3E9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FF86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D78D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56A0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4DD5B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7D64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80FD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98B1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6F2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E87E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E856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0D1D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227B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BB2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70F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E8469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3914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5442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7EE7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888C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7313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B4FC1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137916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8C5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24FE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408C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68AC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B9853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8FE8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D1E5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68B0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38A0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7BAE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D9D36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314F1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DE92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AF23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FAD8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D0A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9174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2133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B407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93E4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AC28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95E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92FDD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2FDF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DA5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5031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6FC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715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DA5D0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86EB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8F21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1417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C9C9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4AD1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DC6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8613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FA16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C8E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2AF2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A0B8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E3E9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0E77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AFFC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680F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284E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57DD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E63F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33CA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59F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91F0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F47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EB7D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F93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63116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D9E6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7911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72E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A34D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E45A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92.69%</w:t>
            </w:r>
          </w:p>
        </w:tc>
      </w:tr>
      <w:tr w:rsidR="00445890" w:rsidRPr="00AD45D4" w14:paraId="1F0D16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DA0C0E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15B8E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4803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996A9D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3FEBFB3" w14:textId="77777777" w:rsidR="00445890" w:rsidRPr="00AD45D4" w:rsidRDefault="00445890" w:rsidP="009A4DA1">
            <w:pPr>
              <w:widowControl w:val="0"/>
              <w:spacing w:before="0" w:after="0"/>
              <w:jc w:val="right"/>
              <w:rPr>
                <w:rFonts w:ascii="Helvetica LT Com Light" w:hAnsi="Helvetica LT Com Light" w:cs="Times New Roman"/>
                <w:szCs w:val="24"/>
              </w:rPr>
            </w:pPr>
          </w:p>
        </w:tc>
      </w:tr>
      <w:tr w:rsidR="00445890" w:rsidRPr="00AD45D4" w14:paraId="63F981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4123EB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FCD33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3FAB9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5A5913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BC01BDC"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2CB53B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5ED604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94AA7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5C632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B53E94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D28AE5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13F7AA0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3FAE61C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E93E1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F164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2065E2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9581A5A"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D6AD8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F43161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B2CBF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6ABC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337BE7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C91B8C9"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17AE3D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7064C2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6-Feb-18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A3FA3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3C4F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6968D4A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5B40EF2"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6A6ABD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285738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ADF9A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4E6B6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87C41E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1F97783"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518FC82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BFF1EF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53888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96F9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F2BF2A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64093DAB"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1441E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3FD48E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E247C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E8FEF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28A9A8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A581C57"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3B35514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D617F7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630CD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F12E1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398252E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7B44E86"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C937A7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77B1E0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ADBB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0BBCA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751C70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374C7E3B"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11461E9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0CF248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B9AA2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0B8A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27A05C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E3CE5BB"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3F13A8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A0F35C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90023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B1E4C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3AA2763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59EFB19"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791DCB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020F17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DD8BC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470CE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0C6F70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C006E3D"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7B8F68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1CC7DE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067CE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F1908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A42F5F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5E20965"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B3759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7B40C6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C074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C1374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B72162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2C99A75"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84FCF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57A7C5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00861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252FE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FAC251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A187BBD"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6048302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8E9E31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B9B13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D045F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3E18533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63E54CE"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9CB953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C6C801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7BD5F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CC411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CEAF46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CAE67A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0B9E2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2290CB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D9B43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E3F68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976652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E1257AA"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759ACC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363FE98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EFE72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843CC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E1B93A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2FD2C56"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3157CB7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EB4EA0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82FC7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1C269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402368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3F24BED"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6EA7B9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025848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5AD36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6D5A3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532A6EC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DE8CC1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D583D2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6C94965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5867D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93791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999621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2C54D410"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465700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4D2E1A9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EF98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6C43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8528A0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1855DA0"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19FCA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286CF0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BFF76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834AC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2D826F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095AF619"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65B539A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6A39395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58DA5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BD92A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12AFCFF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vAlign w:val="bottom"/>
          </w:tcPr>
          <w:p w14:paraId="7DCABCAD"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0460F11" w14:textId="77777777" w:rsidTr="009A4DA1">
        <w:trPr>
          <w:trHeight w:val="300"/>
          <w:jc w:val="center"/>
        </w:trPr>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7471786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28-Feb-18</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4026201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11A96C8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2BB4E83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563D1471" w14:textId="77777777" w:rsidR="00445890" w:rsidRPr="00AD45D4" w:rsidRDefault="00445890" w:rsidP="009A4DA1">
            <w:pPr>
              <w:widowControl w:val="0"/>
              <w:spacing w:before="0" w:after="0"/>
              <w:jc w:val="right"/>
              <w:rPr>
                <w:rFonts w:ascii="Helvetica LT Com Light" w:hAnsi="Helvetica LT Com Light" w:cs="Times New Roman"/>
                <w:szCs w:val="24"/>
              </w:rPr>
            </w:pPr>
            <w:r>
              <w:rPr>
                <w:rFonts w:ascii="Helvetica LT Com Light" w:hAnsi="Helvetica LT Com Light" w:cs="Times New Roman"/>
                <w:szCs w:val="24"/>
              </w:rPr>
              <w:t>0.0</w:t>
            </w:r>
            <w:r w:rsidRPr="00AD45D4">
              <w:rPr>
                <w:rFonts w:ascii="Helvetica LT Com Light" w:hAnsi="Helvetica LT Com Light" w:cs="Times New Roman"/>
                <w:szCs w:val="24"/>
              </w:rPr>
              <w:t>0%</w:t>
            </w:r>
          </w:p>
        </w:tc>
      </w:tr>
    </w:tbl>
    <w:p w14:paraId="1ABCB4C1" w14:textId="77777777" w:rsidR="00445890" w:rsidRPr="00AD45D4"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Note. Daily turnover rate = (separations on day/headcount that day) * 100.</w:t>
      </w:r>
    </w:p>
    <w:p w14:paraId="546EFEB8" w14:textId="77777777" w:rsidR="00445890" w:rsidRPr="00AD45D4"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 xml:space="preserve">Enhanced monthly turnover rate = (separations in a month/average </w:t>
      </w:r>
      <w:r>
        <w:rPr>
          <w:rFonts w:ascii="Helvetica LT Com Light" w:hAnsi="Helvetica LT Com Light" w:cs="Times New Roman"/>
          <w:i/>
          <w:szCs w:val="24"/>
        </w:rPr>
        <w:t xml:space="preserve">daily </w:t>
      </w:r>
      <w:r w:rsidRPr="00AD45D4">
        <w:rPr>
          <w:rFonts w:ascii="Helvetica LT Com Light" w:hAnsi="Helvetica LT Com Light" w:cs="Times New Roman"/>
          <w:i/>
          <w:szCs w:val="24"/>
        </w:rPr>
        <w:t>headcount that month) * 100.</w:t>
      </w:r>
      <w:r w:rsidRPr="00AD45D4">
        <w:rPr>
          <w:rFonts w:ascii="Helvetica LT Com Light" w:hAnsi="Helvetica LT Com Light" w:cs="Times New Roman"/>
          <w:i/>
          <w:szCs w:val="24"/>
        </w:rPr>
        <w:br w:type="page"/>
      </w:r>
    </w:p>
    <w:p w14:paraId="412EC052" w14:textId="77777777" w:rsidR="00445890" w:rsidRPr="00AD45D4" w:rsidRDefault="00445890" w:rsidP="00445890">
      <w:pPr>
        <w:pStyle w:val="Heading2"/>
        <w:keepNext w:val="0"/>
        <w:numPr>
          <w:ilvl w:val="1"/>
          <w:numId w:val="17"/>
        </w:numPr>
        <w:spacing w:after="200" w:line="276" w:lineRule="auto"/>
        <w:contextualSpacing w:val="0"/>
      </w:pPr>
      <w:r w:rsidRPr="00AD45D4">
        <w:lastRenderedPageBreak/>
        <w:t xml:space="preserve">Example 2: </w:t>
      </w:r>
    </w:p>
    <w:p w14:paraId="3994DDB6" w14:textId="77777777" w:rsidR="00445890" w:rsidRPr="00AD45D4" w:rsidRDefault="00445890" w:rsidP="00445890">
      <w:pPr>
        <w:spacing w:before="0" w:after="0"/>
        <w:ind w:firstLine="567"/>
        <w:jc w:val="both"/>
        <w:rPr>
          <w:rFonts w:ascii="Helvetica LT Com Light" w:hAnsi="Helvetica LT Com Light"/>
        </w:rPr>
      </w:pPr>
      <w:r w:rsidRPr="00AD45D4">
        <w:rPr>
          <w:rFonts w:ascii="Helvetica LT Com Light" w:hAnsi="Helvetica LT Com Light"/>
        </w:rPr>
        <w:t>The leader of a sa</w:t>
      </w:r>
      <w:r>
        <w:rPr>
          <w:rFonts w:ascii="Helvetica LT Com Light" w:hAnsi="Helvetica LT Com Light"/>
        </w:rPr>
        <w:t>les division is building out his</w:t>
      </w:r>
      <w:r w:rsidRPr="00AD45D4">
        <w:rPr>
          <w:rFonts w:ascii="Helvetica LT Com Light" w:hAnsi="Helvetica LT Com Light"/>
        </w:rPr>
        <w:t xml:space="preserve"> team for a product launch and wants to </w:t>
      </w:r>
      <w:r>
        <w:rPr>
          <w:rFonts w:ascii="Helvetica LT Com Light" w:hAnsi="Helvetica LT Com Light"/>
        </w:rPr>
        <w:t>know if the turnover rate for his</w:t>
      </w:r>
      <w:r w:rsidRPr="00AD45D4">
        <w:rPr>
          <w:rFonts w:ascii="Helvetica LT Com Light" w:hAnsi="Helvetica LT Com Light"/>
        </w:rPr>
        <w:t xml:space="preserve"> division is low or high compared to the rest of the organization and trending up or down over time. The traditional rolling 12-month turnover rate for the rest of the organization is 22%.</w:t>
      </w:r>
    </w:p>
    <w:p w14:paraId="1F0A5361" w14:textId="77777777" w:rsidR="00445890" w:rsidRPr="00AD45D4" w:rsidRDefault="00445890" w:rsidP="00445890">
      <w:pPr>
        <w:spacing w:before="0" w:after="0"/>
        <w:ind w:firstLine="567"/>
        <w:rPr>
          <w:rFonts w:ascii="Helvetica LT Com Light" w:hAnsi="Helvetica LT Com Light"/>
        </w:rPr>
      </w:pPr>
      <w:r w:rsidRPr="00AD45D4">
        <w:rPr>
          <w:rFonts w:ascii="Helvetica LT Com Light" w:hAnsi="Helvetica LT Com Light"/>
        </w:rPr>
        <w:t xml:space="preserve"> </w:t>
      </w:r>
    </w:p>
    <w:p w14:paraId="6A2D75EB"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Explanation</w:t>
      </w:r>
    </w:p>
    <w:p w14:paraId="6D11B5B9" w14:textId="77777777" w:rsidR="00445890" w:rsidRPr="00AD45D4" w:rsidRDefault="00445890" w:rsidP="00445890">
      <w:pPr>
        <w:spacing w:before="0" w:after="0"/>
        <w:ind w:firstLine="567"/>
        <w:jc w:val="both"/>
        <w:rPr>
          <w:rFonts w:ascii="Helvetica LT Com Light" w:hAnsi="Helvetica LT Com Light"/>
        </w:rPr>
      </w:pPr>
      <w:r w:rsidRPr="00AD45D4">
        <w:rPr>
          <w:rFonts w:ascii="Helvetica LT Com Light" w:hAnsi="Helvetica LT Com Light"/>
        </w:rPr>
        <w:t xml:space="preserve">According to the traditional rolling 12-month turnover rates, the division’s turnover rate as of February 1, 2018 is below the rest of the organization (see table below). In contrast, the enhanced and realized turnover rates reflect the fact that the number of separations at the end of January 2018 is considerably higher than the rest of the </w:t>
      </w:r>
      <w:r>
        <w:rPr>
          <w:rFonts w:ascii="Helvetica LT Com Light" w:hAnsi="Helvetica LT Com Light"/>
        </w:rPr>
        <w:t>organization’s rolling 12-month</w:t>
      </w:r>
      <w:r w:rsidRPr="00AD45D4">
        <w:rPr>
          <w:rFonts w:ascii="Helvetica LT Com Light" w:hAnsi="Helvetica LT Com Light"/>
        </w:rPr>
        <w:t xml:space="preserve"> turnover rate.</w:t>
      </w:r>
    </w:p>
    <w:p w14:paraId="5B7575FD" w14:textId="77777777" w:rsidR="00445890" w:rsidRPr="00AD45D4" w:rsidRDefault="00445890" w:rsidP="00445890">
      <w:pPr>
        <w:spacing w:before="0" w:after="0"/>
        <w:ind w:firstLine="567"/>
        <w:jc w:val="both"/>
        <w:rPr>
          <w:rFonts w:ascii="Helvetica LT Com Light" w:hAnsi="Helvetica LT Com Light"/>
        </w:rPr>
      </w:pPr>
      <w:r w:rsidRPr="00AD45D4">
        <w:rPr>
          <w:rFonts w:ascii="Helvetica LT Com Light" w:hAnsi="Helvetica LT Com Light"/>
        </w:rPr>
        <w:t>Compared to the traditional rolling 12-month turnover rate, on January 1, 2018 it appears that turnover in the sales division is declining (30% vs. 20%). In contrast, the enhanced and realized turnover rates indicate that turnover has gone up (e.g., 31% to 58%). The increase in the rolling 12-month realized turnover rate from 0.08% to 0.16% provides even more intuitive information, suggesting that nearly twice as many turnover opportunities have been realized in the February 2017 thru January 2018 timeframe than in the January 2017 thru December 2017 timeframe.</w:t>
      </w:r>
    </w:p>
    <w:p w14:paraId="443C4772" w14:textId="77777777" w:rsidR="00445890" w:rsidRPr="00AD45D4" w:rsidRDefault="00445890" w:rsidP="00445890">
      <w:pPr>
        <w:spacing w:before="0" w:after="0"/>
        <w:rPr>
          <w:rFonts w:ascii="Helvetica LT Com Light" w:hAnsi="Helvetica LT Com Light"/>
        </w:rPr>
      </w:pPr>
    </w:p>
    <w:p w14:paraId="578DC6C4"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Rates:</w:t>
      </w:r>
    </w:p>
    <w:tbl>
      <w:tblPr>
        <w:tblW w:w="7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8"/>
        <w:gridCol w:w="1708"/>
        <w:gridCol w:w="1708"/>
        <w:gridCol w:w="1708"/>
      </w:tblGrid>
      <w:tr w:rsidR="00445890" w:rsidRPr="00AD45D4" w14:paraId="543CC4B4" w14:textId="77777777" w:rsidTr="009A4DA1">
        <w:trPr>
          <w:trHeight w:val="300"/>
          <w:jc w:val="center"/>
        </w:trPr>
        <w:tc>
          <w:tcPr>
            <w:tcW w:w="252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750F2BAF" w14:textId="77777777" w:rsidR="00445890" w:rsidRPr="00AD45D4" w:rsidRDefault="00445890" w:rsidP="009A4DA1">
            <w:pPr>
              <w:widowControl w:val="0"/>
              <w:spacing w:before="0" w:after="0"/>
              <w:rPr>
                <w:rFonts w:ascii="Helvetica LT Com Light" w:hAnsi="Helvetica LT Com Light" w:cs="Times New Roman"/>
                <w:szCs w:val="24"/>
              </w:rPr>
            </w:pPr>
          </w:p>
        </w:tc>
        <w:tc>
          <w:tcPr>
            <w:tcW w:w="170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620BDAA6"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Traditional turnover rate (rolling 12 months)</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bottom"/>
          </w:tcPr>
          <w:p w14:paraId="7BCFF8BA"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Enhanced traditional turnover (rolling 365 days)</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bottom"/>
          </w:tcPr>
          <w:p w14:paraId="74860362"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Realized turnover rate (rolling 12 months)</w:t>
            </w:r>
          </w:p>
        </w:tc>
      </w:tr>
      <w:tr w:rsidR="00445890" w:rsidRPr="00AD45D4" w14:paraId="0514CFB5" w14:textId="77777777" w:rsidTr="009A4DA1">
        <w:trPr>
          <w:trHeight w:val="300"/>
          <w:jc w:val="center"/>
        </w:trPr>
        <w:tc>
          <w:tcPr>
            <w:tcW w:w="2528" w:type="dxa"/>
            <w:tcBorders>
              <w:top w:val="single" w:sz="4" w:space="0" w:color="000000"/>
              <w:left w:val="single" w:sz="4" w:space="0" w:color="FFFFFF"/>
              <w:bottom w:val="single" w:sz="4" w:space="0" w:color="FFFFFF"/>
              <w:right w:val="single" w:sz="4" w:space="0" w:color="FFFFFF"/>
            </w:tcBorders>
            <w:tcMar>
              <w:top w:w="0" w:type="dxa"/>
              <w:left w:w="40" w:type="dxa"/>
              <w:bottom w:w="0" w:type="dxa"/>
              <w:right w:w="40" w:type="dxa"/>
            </w:tcMar>
            <w:vAlign w:val="center"/>
          </w:tcPr>
          <w:p w14:paraId="3A532234" w14:textId="77777777" w:rsidR="00445890" w:rsidRPr="00AD45D4" w:rsidRDefault="00445890" w:rsidP="009A4DA1">
            <w:pPr>
              <w:widowControl w:val="0"/>
              <w:spacing w:before="0" w:after="0"/>
              <w:rPr>
                <w:rFonts w:ascii="Helvetica LT Com Light" w:hAnsi="Helvetica LT Com Light" w:cs="Times New Roman"/>
                <w:szCs w:val="24"/>
              </w:rPr>
            </w:pPr>
            <w:r w:rsidRPr="00AD45D4">
              <w:rPr>
                <w:rFonts w:ascii="Helvetica LT Com Light" w:hAnsi="Helvetica LT Com Light" w:cs="Times New Roman"/>
                <w:szCs w:val="24"/>
              </w:rPr>
              <w:t>As of Jan 1, 2018</w:t>
            </w:r>
          </w:p>
        </w:tc>
        <w:tc>
          <w:tcPr>
            <w:tcW w:w="1708" w:type="dxa"/>
            <w:tcBorders>
              <w:top w:val="single" w:sz="4" w:space="0" w:color="000000"/>
              <w:left w:val="single" w:sz="4" w:space="0" w:color="FFFFFF"/>
              <w:bottom w:val="single" w:sz="4" w:space="0" w:color="FFFFFF"/>
              <w:right w:val="single" w:sz="4" w:space="0" w:color="FFFFFF"/>
            </w:tcBorders>
            <w:tcMar>
              <w:top w:w="0" w:type="dxa"/>
              <w:left w:w="40" w:type="dxa"/>
              <w:bottom w:w="0" w:type="dxa"/>
              <w:right w:w="40" w:type="dxa"/>
            </w:tcMar>
            <w:vAlign w:val="center"/>
          </w:tcPr>
          <w:p w14:paraId="2254058D"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30.00%</w:t>
            </w:r>
          </w:p>
        </w:tc>
        <w:tc>
          <w:tcPr>
            <w:tcW w:w="1708" w:type="dxa"/>
            <w:tcBorders>
              <w:left w:val="single" w:sz="4" w:space="0" w:color="FFFFFF"/>
              <w:bottom w:val="single" w:sz="4" w:space="0" w:color="FFFFFF"/>
              <w:right w:val="single" w:sz="4" w:space="0" w:color="FFFFFF"/>
            </w:tcBorders>
            <w:tcMar>
              <w:top w:w="0" w:type="dxa"/>
              <w:left w:w="40" w:type="dxa"/>
              <w:bottom w:w="0" w:type="dxa"/>
              <w:right w:w="40" w:type="dxa"/>
            </w:tcMar>
            <w:vAlign w:val="center"/>
          </w:tcPr>
          <w:p w14:paraId="0C65B1D7"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30.75%</w:t>
            </w:r>
          </w:p>
        </w:tc>
        <w:tc>
          <w:tcPr>
            <w:tcW w:w="1708" w:type="dxa"/>
            <w:tcBorders>
              <w:left w:val="single" w:sz="4" w:space="0" w:color="FFFFFF"/>
              <w:bottom w:val="single" w:sz="4" w:space="0" w:color="FFFFFF"/>
              <w:right w:val="single" w:sz="4" w:space="0" w:color="FFFFFF"/>
            </w:tcBorders>
            <w:tcMar>
              <w:top w:w="0" w:type="dxa"/>
              <w:left w:w="40" w:type="dxa"/>
              <w:bottom w:w="0" w:type="dxa"/>
              <w:right w:w="40" w:type="dxa"/>
            </w:tcMar>
            <w:vAlign w:val="center"/>
          </w:tcPr>
          <w:p w14:paraId="346440C0"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0.08%</w:t>
            </w:r>
          </w:p>
        </w:tc>
      </w:tr>
      <w:tr w:rsidR="00445890" w:rsidRPr="00AD45D4" w14:paraId="40D46FA2" w14:textId="77777777" w:rsidTr="009A4DA1">
        <w:trPr>
          <w:trHeight w:val="300"/>
          <w:jc w:val="center"/>
        </w:trPr>
        <w:tc>
          <w:tcPr>
            <w:tcW w:w="2528" w:type="dxa"/>
            <w:tcBorders>
              <w:top w:val="single" w:sz="4" w:space="0" w:color="FFFFFF"/>
              <w:left w:val="single" w:sz="4" w:space="0" w:color="FFFFFF"/>
              <w:bottom w:val="single" w:sz="4" w:space="0" w:color="auto"/>
              <w:right w:val="single" w:sz="4" w:space="0" w:color="FFFFFF"/>
            </w:tcBorders>
            <w:tcMar>
              <w:top w:w="0" w:type="dxa"/>
              <w:left w:w="40" w:type="dxa"/>
              <w:bottom w:w="0" w:type="dxa"/>
              <w:right w:w="40" w:type="dxa"/>
            </w:tcMar>
            <w:vAlign w:val="center"/>
          </w:tcPr>
          <w:p w14:paraId="0A7110F3" w14:textId="77777777" w:rsidR="00445890" w:rsidRPr="00AD45D4" w:rsidRDefault="00445890" w:rsidP="009A4DA1">
            <w:pPr>
              <w:widowControl w:val="0"/>
              <w:spacing w:before="0" w:after="0"/>
              <w:rPr>
                <w:rFonts w:ascii="Helvetica LT Com Light" w:hAnsi="Helvetica LT Com Light" w:cs="Times New Roman"/>
                <w:szCs w:val="24"/>
              </w:rPr>
            </w:pPr>
            <w:r w:rsidRPr="00AD45D4">
              <w:rPr>
                <w:rFonts w:ascii="Helvetica LT Com Light" w:hAnsi="Helvetica LT Com Light" w:cs="Times New Roman"/>
                <w:szCs w:val="24"/>
              </w:rPr>
              <w:t>As of Feb 1, 2018</w:t>
            </w:r>
          </w:p>
        </w:tc>
        <w:tc>
          <w:tcPr>
            <w:tcW w:w="1708" w:type="dxa"/>
            <w:tcBorders>
              <w:top w:val="single" w:sz="4" w:space="0" w:color="FFFFFF"/>
              <w:left w:val="single" w:sz="4" w:space="0" w:color="FFFFFF"/>
              <w:bottom w:val="single" w:sz="4" w:space="0" w:color="auto"/>
              <w:right w:val="single" w:sz="4" w:space="0" w:color="FFFFFF"/>
            </w:tcBorders>
            <w:tcMar>
              <w:top w:w="0" w:type="dxa"/>
              <w:left w:w="40" w:type="dxa"/>
              <w:bottom w:w="0" w:type="dxa"/>
              <w:right w:w="40" w:type="dxa"/>
            </w:tcMar>
            <w:vAlign w:val="center"/>
          </w:tcPr>
          <w:p w14:paraId="2EA3E49D"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20.00%</w:t>
            </w:r>
          </w:p>
        </w:tc>
        <w:tc>
          <w:tcPr>
            <w:tcW w:w="1708" w:type="dxa"/>
            <w:tcBorders>
              <w:top w:val="single" w:sz="4" w:space="0" w:color="FFFFFF"/>
              <w:left w:val="single" w:sz="4" w:space="0" w:color="FFFFFF"/>
              <w:bottom w:val="single" w:sz="4" w:space="0" w:color="auto"/>
              <w:right w:val="single" w:sz="4" w:space="0" w:color="FFFFFF"/>
            </w:tcBorders>
            <w:tcMar>
              <w:top w:w="0" w:type="dxa"/>
              <w:left w:w="40" w:type="dxa"/>
              <w:bottom w:w="0" w:type="dxa"/>
              <w:right w:w="40" w:type="dxa"/>
            </w:tcMar>
            <w:vAlign w:val="center"/>
          </w:tcPr>
          <w:p w14:paraId="60862690"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57.62%</w:t>
            </w:r>
          </w:p>
        </w:tc>
        <w:tc>
          <w:tcPr>
            <w:tcW w:w="1708" w:type="dxa"/>
            <w:tcBorders>
              <w:top w:val="single" w:sz="4" w:space="0" w:color="FFFFFF"/>
              <w:left w:val="single" w:sz="4" w:space="0" w:color="FFFFFF"/>
              <w:bottom w:val="single" w:sz="4" w:space="0" w:color="auto"/>
              <w:right w:val="single" w:sz="4" w:space="0" w:color="FFFFFF"/>
            </w:tcBorders>
            <w:tcMar>
              <w:top w:w="0" w:type="dxa"/>
              <w:left w:w="40" w:type="dxa"/>
              <w:bottom w:w="0" w:type="dxa"/>
              <w:right w:w="40" w:type="dxa"/>
            </w:tcMar>
            <w:vAlign w:val="center"/>
          </w:tcPr>
          <w:p w14:paraId="15823FC0"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0.16%</w:t>
            </w:r>
          </w:p>
        </w:tc>
      </w:tr>
    </w:tbl>
    <w:p w14:paraId="30CB6D3F" w14:textId="77777777" w:rsidR="00445890" w:rsidRPr="00AD45D4" w:rsidRDefault="00445890" w:rsidP="00445890">
      <w:pPr>
        <w:spacing w:before="0" w:after="0"/>
        <w:rPr>
          <w:rFonts w:ascii="Helvetica LT Com Light" w:hAnsi="Helvetica LT Com Light"/>
        </w:rPr>
      </w:pPr>
    </w:p>
    <w:p w14:paraId="072AEA19"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Data:</w:t>
      </w:r>
    </w:p>
    <w:tbl>
      <w:tblPr>
        <w:tblW w:w="7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500"/>
        <w:gridCol w:w="1500"/>
        <w:gridCol w:w="1500"/>
        <w:gridCol w:w="1500"/>
      </w:tblGrid>
      <w:tr w:rsidR="00445890" w:rsidRPr="00AD45D4" w14:paraId="1D90328A" w14:textId="77777777" w:rsidTr="009A4DA1">
        <w:trPr>
          <w:trHeight w:val="300"/>
          <w:jc w:val="center"/>
        </w:trPr>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14637D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Date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47C8D4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Headcount</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7E919F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Separations</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339F91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Daily </w:t>
            </w:r>
            <w:r>
              <w:rPr>
                <w:rFonts w:ascii="Helvetica LT Com Light" w:hAnsi="Helvetica LT Com Light" w:cs="Times New Roman"/>
                <w:szCs w:val="24"/>
              </w:rPr>
              <w:t>t</w:t>
            </w:r>
            <w:r w:rsidRPr="00AD45D4">
              <w:rPr>
                <w:rFonts w:ascii="Helvetica LT Com Light" w:hAnsi="Helvetica LT Com Light" w:cs="Times New Roman"/>
                <w:szCs w:val="24"/>
              </w:rPr>
              <w:t xml:space="preserve">urnover </w:t>
            </w:r>
            <w:r>
              <w:rPr>
                <w:rFonts w:ascii="Helvetica LT Com Light" w:hAnsi="Helvetica LT Com Light" w:cs="Times New Roman"/>
                <w:szCs w:val="24"/>
              </w:rPr>
              <w:t>r</w:t>
            </w:r>
            <w:r w:rsidRPr="00AD45D4">
              <w:rPr>
                <w:rFonts w:ascii="Helvetica LT Com Light" w:hAnsi="Helvetica LT Com Light" w:cs="Times New Roman"/>
                <w:szCs w:val="24"/>
              </w:rPr>
              <w:t>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0BAD97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Enhanced monthly turnover rate </w:t>
            </w:r>
          </w:p>
        </w:tc>
      </w:tr>
      <w:tr w:rsidR="00445890" w:rsidRPr="00AD45D4" w14:paraId="360C31D3" w14:textId="77777777" w:rsidTr="009A4DA1">
        <w:trPr>
          <w:trHeight w:val="300"/>
          <w:jc w:val="center"/>
        </w:trPr>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3FEFA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1-Jan-17</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68AB39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0BBEDA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33E0CD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523E2B3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5D5309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E02D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EED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36C5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4EC6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15867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5BB3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B600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2F9B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789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0D7B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7238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333E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F31F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12F5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7098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A3C4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C1A06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CDC3D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E7E4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475E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FA6F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036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6920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5B29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DE84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86EB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FC99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A218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5C1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9D8A0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58B8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B12D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3B7A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CD8F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0B53E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C5EE9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C5C7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8CDE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52E8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B11B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74394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E20D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5F37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F253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7450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46EF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6E7D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703B7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38FC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3C3B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D1FE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0E23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825E8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1703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59A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2A8D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71EE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E25E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4B5C0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A2A14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F459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123F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CA7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7979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408E5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81E6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115D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3D19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108B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BEB7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94EE2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00E8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681E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5A3E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2DB6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B8D4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C5314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3398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EA49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1D1B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B3FC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EC6F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E0A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D0AD5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6390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A20D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8DC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33B2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65C8A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C2D0D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963B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7531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FECE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46CC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2E42B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BD167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D341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977E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D6E4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02A6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B7EAF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B621D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1390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AA8D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1033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85E0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0A85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709D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3D54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EFF2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4248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EE33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2A2E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8011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600E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0665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6A12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440C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918AA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646C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1987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7859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0AFA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389C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D6B8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3848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0F9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9364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142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0D25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67BFD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B258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550B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AA9F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432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F7DC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EFC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A2122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0ABA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B27B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39CA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2ABA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4615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A0FE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9F1C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1F40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F3A8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8253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BA497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1313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E84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FEEA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749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5A0F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15A9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745C6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D629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080C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93D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51AE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99E1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F4A31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08D2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841D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7A58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9FA0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DDF4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34A7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22C8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7115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5010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95F2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9005A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3DDA1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10E4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2451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65B3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ACA6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817A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65E0F4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3FF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D310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3EA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F39C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B8855B"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66F33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04A0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8622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DFDC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1A8E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D6D3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3D604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1EF3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7BEB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1583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68D1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426C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B57C0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455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6AF6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6E05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D4C8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09881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5E3D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648E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BFBD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DAA3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CCBE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ACB31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788C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7055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9AAE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167C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B439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18A4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AAFB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A073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7563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7F23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7511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36A02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C1FF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461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46A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2F35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1745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C997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2B14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6F89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F23C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0774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FF05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7C64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9418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CF74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C5D9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3CAE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FC20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6F22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290E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858B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506D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7DB6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DBC2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AF46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D7028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1881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3610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30F8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BA0B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5E1E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A343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81D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D058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64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5C64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95C4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FD5A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57AD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B2F9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1772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924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589FF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B6C5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77CC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E498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B2EF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A855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D328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CED2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BC73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AE26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FF9D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39EA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F7283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708B6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61B6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9209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7AF2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C79F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2FC3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EF69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A16D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FFFF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06A5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F715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ED98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B50A0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A90C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3FC8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0A33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87F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22737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180AF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4F82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5979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65A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477B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4F87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D3EA8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68CE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BEC7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FFD7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EF89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82B7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DF7EC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930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1582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3559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BA82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1F97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1282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4418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61C2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074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710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FB05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47A7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29BE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7F97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E36A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8162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AF33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4834D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FAC1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B77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562E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39E2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C3CAC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FB92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F63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3493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0D3F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34C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5C96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180D7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40CF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5381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B81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A1DA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40556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2E690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C90E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506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1CD5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2B65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EE7C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59C24C8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7FDF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AFEB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FADC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F79D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6F2A9C"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552A3E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FD2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294C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080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FA3E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3C2A2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7695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A082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B61C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64B8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0231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7103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85B1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4C89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4195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1268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879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A315B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0B5F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F669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3BB3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5913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44F0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BF757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3FD1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6DE7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D49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DB00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9C34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97024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B16B0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508A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D09C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8C1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139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89BA0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93FE8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634A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2266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D1DC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0799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8BCF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794AE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98F0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5E1E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D2DB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8C7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5BAFF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80DD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3C3D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11B0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9C93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DA75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1EE5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CD63F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D92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E44E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B2FA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36AA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2DA2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26449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165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1EFC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D015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E5C4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AFF3B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7086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2258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9BCC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0D69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9BB1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EFC54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2ADD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D870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5608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9325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0ABC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14B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76219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8FA4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AF94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16C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FC63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8417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B5A8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F3C1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503A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D0F6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7BE9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BD781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1D9DA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16F0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1999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1F64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57D4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77C71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81F96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355F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A5BF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B931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9A36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2020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25759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4A19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D31D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19F2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6FB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5AEC3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EA2EF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1CF9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A5F0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0FD4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5710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2F695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4E1A8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972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5258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1D02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0529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0DDF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01BA2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5D5D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D7EB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6DF5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63B2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FABE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B1FDD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4FDE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2946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93D2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F902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F3696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F991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7C8B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0E44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688F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5980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AF16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DA783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953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F002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8DE0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DA85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4A2E2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14C1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42F0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136D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5204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7B69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9A35F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10E52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5639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D86F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2A69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0BD0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44662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80C4A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32E4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73EC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4D24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BF9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FC98D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EE5D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0606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3DCE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32E9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3311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3A3AC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0362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945C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A5CE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E72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ADD5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727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3C72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F2AE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0A8A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7E68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7BC8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B559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10.00%</w:t>
            </w:r>
          </w:p>
        </w:tc>
      </w:tr>
      <w:tr w:rsidR="00445890" w:rsidRPr="00AD45D4" w14:paraId="024A66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FA7E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DF04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996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AB29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637349"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68C662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5C51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A78A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7413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2DA5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2836A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E61C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C88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87D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E598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0771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A2FD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E2883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E549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5478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48C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B9BB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64D8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6E8C8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914F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B5C5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6E07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101D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B3E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9ACAA8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1150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6F4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DC01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4065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9261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5E9C8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1629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4898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19CB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91A9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159E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6DE2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A83F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8DD5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4D3B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2C5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6E1D7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1B98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8CD6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0E3A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1C0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6B4C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59EE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7558D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A89C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7B86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EDFE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37DB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DDCFB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CBFE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E42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A4D9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2D7D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3945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3AB2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0358C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FD8C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03DC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1C9D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D826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42E2C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A559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713A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EB3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6CC7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1E23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4AB2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ABDEC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7026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9199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BBA4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A4FD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F6B1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08429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8DF2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678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6F94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AA94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0215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E25B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EF28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0285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B867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5AD6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D3A8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5850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D67B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427E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08FA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7895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019F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AC2E5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111F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FA6E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5C8F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FB58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6DF06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6BE5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7A2B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F5D9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93DF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E392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7B54A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51D61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4602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E311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13FE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16FE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3E3A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CA32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8EA4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4761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72C0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540B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3F48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51DD1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A55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AA24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43C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F9BB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9619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D20F9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9BCF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76AC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BA93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C12E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1AAFA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0833A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ACA6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8291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2577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5DEF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C77CB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5AE4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B1CA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AF57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AA9C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770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D2718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C298A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0FDC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7AFC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4AE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26EB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1CBE7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B70CA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66B0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7FD9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B693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3BDB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67B5D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6B29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6E75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A95C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4271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14D9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F86C9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3CE9D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17D6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9571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3292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3A9B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6664F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4D574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E451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C98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183E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15BD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1D6F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1E14FAC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1A1D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ED87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86CA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20F4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431F50"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434DBFB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69A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8C5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8230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D43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261DB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BCF7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C043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E170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A9A9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CBE6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44B4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24F77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69DE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985D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58B8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A03C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2E594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CBD89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35E9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FE4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33AB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3681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0722B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B86E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40FA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09B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DCB5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2AFD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58BF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1EC93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663B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08C1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F568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BCBE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DAEF6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F96C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1AF1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9D07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3DA2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811A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CFB9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51B1B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E7E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0326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E43A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A8AD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1561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42064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1CBC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6C4D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E8D1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AD7D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C1A0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AEEF4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F7A1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01E8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49E5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FA7A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45B7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AD3B6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1F00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6578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AAD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38FA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FCA7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64A2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CBD2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5E19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1491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2677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A77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9ABC7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C11D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AD3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BC34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2EEC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2FE6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50439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3C55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9C91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882E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C92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5DCB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050F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D11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C703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D29E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2338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3C57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59B78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4312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3A33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CC91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058C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E91F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B5679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E377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5A73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1970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EB1C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B3118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2054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5451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D394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FD2F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21DC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1B6C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AABD3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5C9F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5BFB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56E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3B6B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943B1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1C52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8B5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BE37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6EE4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3557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5C39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5698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9C61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4BF3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C842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A33E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A8B5E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DFB2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1651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3E81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FF43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BB2B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7371C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73F0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DE63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A249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0E3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8A81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A3FED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1AA8F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183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B661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C01A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C54B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31EA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53889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D087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F505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E5B7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BF49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6FE29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5A84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AC51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EB9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1C3D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7333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9536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C088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AC6F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0BB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8A8E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9487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114CE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91A3E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4FA1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E0CD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30DB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A82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59AEB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50ED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4A09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527D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B5A9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5AA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044ED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ABD2C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BA53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27C6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F008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7F8F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A060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42E129A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C2FF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DA5D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443D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0A39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3C499F"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84AC6E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08FF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2BC0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9040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0677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23CBB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D04AC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BD78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B8C3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3C34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B0AF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3CDBF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C97AC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D2AF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956D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8BA3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9FB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DF18D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A2A1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77F7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4EFC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2D4D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104F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BB61C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1598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11EB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7305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A3E6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DA86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6A1E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A1E0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601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053A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A95E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95C2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28C0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226A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8E0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011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6D24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2BBC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ED42A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B8174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4DC0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EDA2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911F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8513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3AF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1FB11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60FF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3367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141D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AACA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3876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C81AE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D93A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9A08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5141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5508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2BEA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AA9EA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BDDA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6BAA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68F5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8F71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F50A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DD6B4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952E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3543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7097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6C7C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82B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0A92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69E6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BC96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8F8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A10F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EA13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F394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AFD0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D5A7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C62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46A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07CA9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C071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9926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7053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4C38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10A8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2CFBA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4AC5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C53D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CF79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7F26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F0FA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D4A1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02C8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799A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A58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D14D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A5F1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356F7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DAF5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D7A7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4199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A18F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02A5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89ADB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F0FE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01ED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206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E26B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168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7A393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E36F4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7329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0126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FAE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83C1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99AF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829BF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2FD2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B5DE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2C90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B06F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BD8AC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961B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5FC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DEC1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76F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6449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5792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B5B7D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B370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E2C5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B8C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CBF0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E203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6E7EC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5A48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9208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652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B976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F2533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BA1B0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0292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B83C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D8A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E50D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49C29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E70C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ABBA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0C7A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BAF6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7DC3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B1FA9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670D5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E7E8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CB2D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A70E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E005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2E54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58F98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773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A0B9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F1F1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D43B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0414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E96A6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D45B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C767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AEB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98B2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F8E1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10.00%</w:t>
            </w:r>
          </w:p>
        </w:tc>
      </w:tr>
      <w:tr w:rsidR="00445890" w:rsidRPr="00AD45D4" w14:paraId="6DDC13B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A484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7B34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B5F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7839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37559C"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891A69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ED4F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17D9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F647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DCF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6D13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A9192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B08B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F20F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468B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5A3C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C8F6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DCA6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3607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BBD4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D7F5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F337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9A773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6FAB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2A3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6D79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D77C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3D0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E14D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DD768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6A3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8E82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283D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C0A6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D73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A2B16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189E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972A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4AD4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766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8A1DB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DF66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7D62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27D3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F857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9F9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224C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FF340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5B27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F673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CACA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C2BF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320BE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72D7B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7A95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C178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3CF8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247B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9154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6833E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CA71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6B7C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9F04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8A3D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69C9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1A54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BCA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AD04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9941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7B77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A272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0D916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191D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7D1B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751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5FCC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398E1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5D883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8EFB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5224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4F30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0A04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120A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EFDF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3EB9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6183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F178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7D2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672B2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D176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5076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CE4C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47B1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692A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89355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A3302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B9D3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FB3D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6644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5EF7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42618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5E12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7A70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92A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E1E4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17D6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5140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5D48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E96D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0E29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56DD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7E96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711C7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CCBE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B390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EC5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E9C6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6AD8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05C7B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7886A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EE0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AB3E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8581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D66E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4B228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C96D4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D1DC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0F95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ED46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E73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856D9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CF03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7224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F77E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B1AF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A722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2205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96B66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C1FB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B04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6E72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23BB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CFB6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719A7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E0BE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C8A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8F2A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6C3B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6ED7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59C7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3FC1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149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DB57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B347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C9F21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527D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3833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24FC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FE42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52B7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494E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38806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B0B8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A4D0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F162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4D7F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21153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24FD0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A3C9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7680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26ED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C2F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343D6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717C0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0BB0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7121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135A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8B4F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6A775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13224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B00B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B83F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7531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E8CB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D94A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7CB2BC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1787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BE43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480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243E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758D19"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64CC02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E7A2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403D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736A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BC1D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CE48C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49D8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98C3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DB5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81F3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6CDA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F53D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00223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169F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F0FA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BEC3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4F64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C516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E21F4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2DEB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B364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2F1D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7B9E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70CFD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2B40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D5EA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9749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FA0E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04CB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08EA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EA44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460F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BFA3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F72E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C426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F8C6A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1E19D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5097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CABA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EF3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7863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98B9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5AB8E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D211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F3E8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314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9D24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80055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93A3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7409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210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543C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A31C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8D08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A48BB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E7F8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9CE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B767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FB07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61FFF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683D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9059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086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00F7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2FB2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D19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8C54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54E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784C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2C8A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C364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F90D9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CE06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8013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8038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3DA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AB64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4B38C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0E75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EE99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749D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C7C7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4F54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68AEF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1763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B725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2861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3125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86A2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1B5EF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40C69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44A4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EF0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2020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7F71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3AF7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D6FF5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F70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299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CEF1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16FB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BD5E4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EEC28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0EB1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B1EB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A035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38A3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E6AFA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CEE28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A8F1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C95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00C7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FA4C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59DF0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FC346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D4D8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797B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7B0C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A38B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2FFC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17FB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7289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1BE8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C322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017D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3270A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1D520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1CFD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4418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611B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5EF4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DBE6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5239D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E0F8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9775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8BB3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6809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32BB8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A3484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828F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D1A8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4CF5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80CD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61BD2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FF8BF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19B3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1477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2FA4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D2C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3DB2C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1C410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A9C4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F54A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3A37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6764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91F2C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0E71F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F821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1808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FE58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A087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6D10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47B8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36A1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E4D2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3CB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57DE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109C4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F3D0C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8EC0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69BB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4B6A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4D2E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1064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A79AC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9CA9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1993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378D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463B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5400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709E5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918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7055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99C7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9529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771FC0"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1BF5F7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BF47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174F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5EC9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5462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5298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731CF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BEBB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2E60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482C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DB2A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E82F8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45C70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2BE7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A58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0CA0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8023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EBE8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C23C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F08A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076D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129F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8B69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59594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5A5B2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8B66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CF3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8091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54F9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FFC14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5826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C39A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1DD2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1F46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EF6C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2BC6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CDF7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D450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3143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ECEB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1648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ED4D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7FB1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906D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C23C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A513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E202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86FC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3DEDB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0DD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E13B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B4A2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D36B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CBF9E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8109A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D4D8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7DA7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8AF9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8CA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DC60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8C084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5AF8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FA05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B2FD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AAB8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71F3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0DF8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2665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0A4A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C74B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A886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4E187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1FD1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FD94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A8D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5F7B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1EDD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2C51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64EAE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C38C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ECAD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CE4E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7F9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F6FD6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B6BC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93A0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93EF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557A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3FA5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BF8DF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C5318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793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55E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77C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9308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BF239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CD1C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0A8B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9D07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0ED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18A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8650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1DC0F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CED8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9D6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442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32A3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A81AE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FA9A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8015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CE46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6CE2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3933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83D12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7855C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F9C3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D102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854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EA69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EBDC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832D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7F7D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F4BE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3AC5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C122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4CDB3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5A1F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E4F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F90B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DC9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6983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20EA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7C9E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26A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6CE5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B6DF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A908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C31EA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1677B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E8C5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E9F7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235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8A22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519D9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88EBEA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FCE3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BC34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4148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8FD5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FB5F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05B28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35F4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E809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BA99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926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576D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03304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9F56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D8EF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5EF4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D181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66E2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C3621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6105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ACD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27BA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1D26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4BE5F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8896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961E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2BB5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BEE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B6F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2689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10.00%</w:t>
            </w:r>
          </w:p>
        </w:tc>
      </w:tr>
      <w:tr w:rsidR="00445890" w:rsidRPr="00AD45D4" w14:paraId="3486BEA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F588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79B6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9FB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47CA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30570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90FB5A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4CA5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71EB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C0F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DD0B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1FB9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91616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B8E4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2B35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BF5D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80F9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DE19D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CCDE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53B8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D973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2137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7D7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C6CDA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29F89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897B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653F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393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847D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DEFA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78CD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31A4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7AC3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B91E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C767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82F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8620D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62D6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CEF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4D25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DAC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FF0C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18EC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A76C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F800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3F77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E18E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11E8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2D5A4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2949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F199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A666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AAAD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C484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6229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ED6D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9260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8FA0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12D1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FA1E1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7A49A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E30E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BBB3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D2DB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2C70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DA3D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B93A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68B6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3CB1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706F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6703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F81E8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5AE59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0FB9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5331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A123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E081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D5C7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A8773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2670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C522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D711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C5B6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6B0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96E200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F333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06F0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4048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9D9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5BF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B5CFC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CF5B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F139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37FC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E1A2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28C9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B77B9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F056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2379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FB4E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0124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DE719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8D3F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0D98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8F84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E7FC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D196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912D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82F7B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C5E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1762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2ED3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78F8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EE28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EAF61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666A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05C3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2917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658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4F3D2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E0D2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F84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C6B2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B5B0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4849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34926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B9078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0ABA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9080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AD10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68A4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8C698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8F945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62BB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C9C2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3DCE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2D76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28995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13A4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39CE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C627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EE31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E477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B767B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0EBF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A784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85A0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7AF5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201D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2225B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706FB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D32E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AF16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0C3A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3E7E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82292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7AB0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7A97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0274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60F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FEE4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51B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68D07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D66C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19A2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87B5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5CAB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30423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1FBDF1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12E7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50E4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4B73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A9BF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1FC60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E83C5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A96C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BB69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639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71A2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7349E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93EA9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5F28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A462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71EC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7ECB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5F18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4BBBC1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0AB4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B5E2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B287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F2F7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11A389"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104864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0483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2FA1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4D16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5647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FD1CD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D7C4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4B5B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0AB3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8F7A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E31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BC24A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4C35E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A329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7BFF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F635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7429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60168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11F8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BD57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56A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9D44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8B4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2FAD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126E9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8379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E12A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3247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E200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2D0B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7BF8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8E4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C780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A5E1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CE12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B7852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C1BD1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E48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4DD3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ABBD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8F6C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6936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1EF8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7F2F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4F66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08CF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0F9E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474B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E3465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036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0D7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3E8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D9E0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9687C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8DA1D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0F47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3CEB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14DE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995D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96217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240F6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86EB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0D4B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587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FCFC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7D1F3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001E2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70F4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55F7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FD92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E17B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5CB7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54090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9092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42FA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8CB8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94AE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04559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13D5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EBFB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2EC3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17C2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9057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6F62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97ED0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F020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2AF1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6D22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BE94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5C498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5A6F3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0A4C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37EA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25C5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064F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362C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5800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6A0F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DC2F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28CD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665E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6787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B3069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0649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4A83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A9AE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108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D335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B0898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1034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C5AE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C085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D8ED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182E2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F5D40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98F2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A2FA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6222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E093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9735C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4D74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D2E8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24E0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D0F4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4014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71EA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8243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7022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F3A4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ED67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9FD2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6DA5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5756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6ACC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2747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E7C3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3173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2609E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A66BF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746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4400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D72B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BDB8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5291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F475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88E7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A95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D7C1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1F3D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93B0D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6FC7F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5D2A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300C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614F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2892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880D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F27A8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57A9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03BC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696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F02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D3A8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210C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5367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BE5C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E9BB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BC40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F97C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B66968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DDF6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33CA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DD08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958A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E5D6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D3B35E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A8B4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2139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AC0E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C1D0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5D3807"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4612AE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9035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7024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289C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0C9A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7D25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9CA4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AE09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9EA1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953B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11C3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8807B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BEFDA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6E75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9127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9599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404E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1CFA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E7D4A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617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994A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DA93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64CE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5F6D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F6185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D6F7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D606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CF54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DAC9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70519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0234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11AF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A5A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E4D0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2EA8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1252D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36C94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A951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AFA0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BDBC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E426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AB85B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9025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D386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D8C5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2A6C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1CE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D25EE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B9C0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0AE2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337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C900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2C2F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24AAC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B505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0F98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5D52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23EF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9BD7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9FC77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8CFBF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BE8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F51A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0092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FE9E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F80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F5629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AA9D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55EF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C94E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D0EC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0CED3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A8238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364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B393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2146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9725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74532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04C2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6758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CBF5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88F7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A2F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8F28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EECC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024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7074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41AF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0390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CAECE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492A1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30FC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65AA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C07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CBD9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6BFB4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079E0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5681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A1BD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EC88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459B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7D11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8CC08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46F1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AC80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C086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01C8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7249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8A8CD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C2EA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AF4E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5A80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04CE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7F02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C95C1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49F3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FDA5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CE2A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44FE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F1F82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CA3FD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DE9E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64D4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4624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E6DE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E0091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ACE8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006F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BDA6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A06A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17FF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BA2F1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5BFE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5520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C15A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C3A5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B42E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6AC6D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91636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5280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132F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1F7D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631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66E5F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6FC3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9EB6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C503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2D39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647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C5844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C1D9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A612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1A41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4B4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B46D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E0379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3AFAF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CD52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E4FD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027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46D7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D7179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5D6D9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C5B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BC6C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9D13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F270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50CE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BCF3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41E1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7A3B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521E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7526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DDA5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2FCB9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DDDC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5506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DB36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D52E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69B4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113A54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A196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202C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5C9B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403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B63B75"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6CDD7C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B8BA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DEAB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5CE6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05BE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77DFB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F87E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DCC4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66FF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76F6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EA06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086A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9C812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1E67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76E1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B92A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9230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6A932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18702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13BF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AB9D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C4C2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65EA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7DBC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7B2E7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92C3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CC9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C61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B009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6555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A53C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B1F4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F337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B74E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EAF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E894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CC481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7B1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0012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DD09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B02C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B69DB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2B88A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F6B4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8244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853F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F09F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1E79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4984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2606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CB67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43CD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3342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9A1C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2707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5C34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531E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B488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F4D7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0B14B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1132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5E45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8DCB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BE9A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42AE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29A7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0454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DC24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7E05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949F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26B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180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91CAF8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24F1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6442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69BF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D997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9F2A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86B07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879F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0CE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1C3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3E62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50CA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B741F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2C4C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8835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7326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8C18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85D7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27DE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A13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79B6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6449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7103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99D2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7EC7C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870E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5573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31F7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E705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D662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DCEA2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3F8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1EA8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4328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79B3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F486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7400A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0FF8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B9EC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AC02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F038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B994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43412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960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14A0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556F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A551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2388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01F15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733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1F70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3445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8F0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E49C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10981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3CB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EB34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E39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2668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9018B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28ABB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A891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092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2CEE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CB6A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BB22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1BD99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50BC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6655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C5A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5EE2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30CC5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33123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77EB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9424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42E6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867F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2DC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AEE1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4DB1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AEA5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FF2E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54B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C1DC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6F6E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6DA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DAFE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593A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2920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0C5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89C6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E2B8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C230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CDAD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7E24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3E13C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107B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83D8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26DC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710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AE41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240C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A6C828" w14:textId="77777777" w:rsidTr="009A4DA1">
        <w:trPr>
          <w:trHeight w:val="300"/>
          <w:jc w:val="center"/>
        </w:trPr>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596B09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31-Jan-18</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7A47D3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250</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307785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7438A8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3CA9FE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16.91%</w:t>
            </w:r>
          </w:p>
        </w:tc>
      </w:tr>
    </w:tbl>
    <w:p w14:paraId="7959877C" w14:textId="77777777" w:rsidR="00445890" w:rsidRPr="00AD45D4" w:rsidRDefault="00445890" w:rsidP="00445890">
      <w:pPr>
        <w:spacing w:before="0" w:after="0"/>
        <w:ind w:left="1170" w:right="1137"/>
        <w:rPr>
          <w:rFonts w:ascii="Helvetica LT Com Light" w:hAnsi="Helvetica LT Com Light"/>
          <w:i/>
        </w:rPr>
      </w:pPr>
      <w:r w:rsidRPr="00AD45D4">
        <w:rPr>
          <w:rFonts w:ascii="Helvetica LT Com Light" w:hAnsi="Helvetica LT Com Light"/>
          <w:i/>
        </w:rPr>
        <w:t>Note. Daily turnover rate = (separations on day/headcount that day) * 100.</w:t>
      </w:r>
    </w:p>
    <w:p w14:paraId="7AAFA1E5" w14:textId="77777777" w:rsidR="00445890" w:rsidRPr="00AD45D4" w:rsidRDefault="00445890" w:rsidP="00445890">
      <w:pPr>
        <w:spacing w:before="0" w:after="0"/>
        <w:ind w:left="1170" w:right="1137"/>
        <w:rPr>
          <w:rFonts w:ascii="Helvetica LT Com Light" w:hAnsi="Helvetica LT Com Light"/>
          <w:i/>
        </w:rPr>
      </w:pPr>
      <w:r w:rsidRPr="00AD45D4">
        <w:rPr>
          <w:rFonts w:ascii="Helvetica LT Com Light" w:hAnsi="Helvetica LT Com Light"/>
          <w:i/>
        </w:rPr>
        <w:t xml:space="preserve">Enhanced monthly turnover rate = (separations in a month/average </w:t>
      </w:r>
      <w:r>
        <w:rPr>
          <w:rFonts w:ascii="Helvetica LT Com Light" w:hAnsi="Helvetica LT Com Light"/>
          <w:i/>
        </w:rPr>
        <w:t xml:space="preserve">daily </w:t>
      </w:r>
      <w:r w:rsidRPr="00AD45D4">
        <w:rPr>
          <w:rFonts w:ascii="Helvetica LT Com Light" w:hAnsi="Helvetica LT Com Light"/>
          <w:i/>
        </w:rPr>
        <w:t>headcount that month) * 100.</w:t>
      </w:r>
    </w:p>
    <w:p w14:paraId="3EE2C627" w14:textId="77777777" w:rsidR="00445890" w:rsidRPr="00AD45D4" w:rsidRDefault="00445890" w:rsidP="00445890">
      <w:pPr>
        <w:spacing w:before="0" w:after="0"/>
        <w:ind w:left="1170" w:right="1137"/>
        <w:rPr>
          <w:rFonts w:ascii="Helvetica LT Com Light" w:hAnsi="Helvetica LT Com Light"/>
          <w:i/>
        </w:rPr>
      </w:pPr>
      <w:r w:rsidRPr="00AD45D4">
        <w:rPr>
          <w:rFonts w:ascii="Helvetica LT Com Light" w:hAnsi="Helvetica LT Com Light"/>
          <w:i/>
        </w:rPr>
        <w:t>A new hire is made at the end of every few months to replace the employees that separate. 240 new hires are made on January 31, 2018 to build out the team.</w:t>
      </w:r>
      <w:r w:rsidRPr="00AD45D4">
        <w:rPr>
          <w:rFonts w:ascii="Helvetica LT Com Light" w:hAnsi="Helvetica LT Com Light"/>
          <w:i/>
        </w:rPr>
        <w:br w:type="page"/>
      </w:r>
    </w:p>
    <w:p w14:paraId="1CD898AB" w14:textId="77777777" w:rsidR="00445890" w:rsidRPr="00AD45D4" w:rsidRDefault="00445890" w:rsidP="00445890">
      <w:pPr>
        <w:pStyle w:val="Heading2"/>
        <w:keepNext w:val="0"/>
        <w:numPr>
          <w:ilvl w:val="1"/>
          <w:numId w:val="17"/>
        </w:numPr>
        <w:spacing w:after="200" w:line="276" w:lineRule="auto"/>
        <w:contextualSpacing w:val="0"/>
      </w:pPr>
      <w:r w:rsidRPr="00AD45D4">
        <w:lastRenderedPageBreak/>
        <w:t xml:space="preserve">Example 3: </w:t>
      </w:r>
    </w:p>
    <w:p w14:paraId="3C658B13" w14:textId="77777777" w:rsidR="00445890" w:rsidRPr="00AD45D4" w:rsidRDefault="00445890" w:rsidP="00445890">
      <w:pPr>
        <w:spacing w:before="0" w:after="0"/>
        <w:ind w:firstLine="567"/>
        <w:rPr>
          <w:rFonts w:ascii="Helvetica LT Com Light" w:hAnsi="Helvetica LT Com Light"/>
        </w:rPr>
      </w:pPr>
      <w:r w:rsidRPr="00AD45D4">
        <w:rPr>
          <w:rFonts w:ascii="Helvetica LT Com Light" w:hAnsi="Helvetica LT Com Light"/>
        </w:rPr>
        <w:t xml:space="preserve">A small company with </w:t>
      </w:r>
      <w:r>
        <w:rPr>
          <w:rFonts w:ascii="Helvetica LT Com Light" w:hAnsi="Helvetica LT Com Light"/>
        </w:rPr>
        <w:t>100</w:t>
      </w:r>
      <w:r w:rsidRPr="00AD45D4">
        <w:rPr>
          <w:rFonts w:ascii="Helvetica LT Com Light" w:hAnsi="Helvetica LT Com Light"/>
        </w:rPr>
        <w:t xml:space="preserve"> employees is acquired on March 15, 2017</w:t>
      </w:r>
      <w:r>
        <w:rPr>
          <w:rFonts w:ascii="Helvetica LT Com Light" w:hAnsi="Helvetica LT Com Light"/>
        </w:rPr>
        <w:t>,</w:t>
      </w:r>
      <w:r w:rsidRPr="00AD45D4">
        <w:rPr>
          <w:rFonts w:ascii="Helvetica LT Com Light" w:hAnsi="Helvetica LT Com Light"/>
        </w:rPr>
        <w:t xml:space="preserve"> and they do not have accurate records of headcount or separations from before the acquisition. The leadership team of the parent company knows there was significant turnover in the first </w:t>
      </w:r>
      <w:r>
        <w:rPr>
          <w:rFonts w:ascii="Helvetica LT Com Light" w:hAnsi="Helvetica LT Com Light"/>
        </w:rPr>
        <w:t>2</w:t>
      </w:r>
      <w:r w:rsidRPr="00AD45D4">
        <w:rPr>
          <w:rFonts w:ascii="Helvetica LT Com Light" w:hAnsi="Helvetica LT Com Light"/>
        </w:rPr>
        <w:t xml:space="preserve"> months after the acquisition as well as considerable growth of the team via hiring. At the end of September, the parent company is keenly interested to know if the turnover rate is higher for the acquired company than the parent company. T</w:t>
      </w:r>
      <w:r>
        <w:rPr>
          <w:rFonts w:ascii="Helvetica LT Com Light" w:hAnsi="Helvetica LT Com Light"/>
        </w:rPr>
        <w:t>he traditional rolling 12-month</w:t>
      </w:r>
      <w:r w:rsidRPr="00AD45D4">
        <w:rPr>
          <w:rFonts w:ascii="Helvetica LT Com Light" w:hAnsi="Helvetica LT Com Light"/>
        </w:rPr>
        <w:t xml:space="preserve"> turnover rate for the parent company is 11% but technically cannot be computed for the acquired company </w:t>
      </w:r>
      <w:r>
        <w:rPr>
          <w:rFonts w:ascii="Helvetica LT Com Light" w:hAnsi="Helvetica LT Com Light"/>
        </w:rPr>
        <w:t>because</w:t>
      </w:r>
      <w:r w:rsidRPr="00AD45D4">
        <w:rPr>
          <w:rFonts w:ascii="Helvetica LT Com Light" w:hAnsi="Helvetica LT Com Light"/>
        </w:rPr>
        <w:t xml:space="preserve"> they still do not have </w:t>
      </w:r>
      <w:r>
        <w:rPr>
          <w:rFonts w:ascii="Helvetica LT Com Light" w:hAnsi="Helvetica LT Com Light"/>
        </w:rPr>
        <w:t>12</w:t>
      </w:r>
      <w:r w:rsidRPr="00AD45D4">
        <w:rPr>
          <w:rFonts w:ascii="Helvetica LT Com Light" w:hAnsi="Helvetica LT Com Light"/>
        </w:rPr>
        <w:t xml:space="preserve"> months of headcount and separation data.</w:t>
      </w:r>
    </w:p>
    <w:p w14:paraId="1E951F29" w14:textId="77777777" w:rsidR="00445890" w:rsidRPr="00AD45D4" w:rsidRDefault="00445890" w:rsidP="00445890">
      <w:pPr>
        <w:spacing w:before="0" w:after="0"/>
        <w:ind w:firstLine="567"/>
        <w:rPr>
          <w:rFonts w:ascii="Helvetica LT Com Light" w:hAnsi="Helvetica LT Com Light"/>
        </w:rPr>
      </w:pPr>
    </w:p>
    <w:p w14:paraId="59D937C4"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Explanation</w:t>
      </w:r>
    </w:p>
    <w:p w14:paraId="7D3D4C2A" w14:textId="77777777" w:rsidR="00445890" w:rsidRPr="00AD45D4" w:rsidRDefault="00445890" w:rsidP="00445890">
      <w:pPr>
        <w:spacing w:before="0" w:after="0"/>
        <w:ind w:firstLine="567"/>
        <w:jc w:val="both"/>
        <w:rPr>
          <w:rFonts w:ascii="Helvetica LT Com Light" w:hAnsi="Helvetica LT Com Light"/>
        </w:rPr>
      </w:pPr>
      <w:r>
        <w:rPr>
          <w:rFonts w:ascii="Helvetica LT Com Light" w:hAnsi="Helvetica LT Com Light"/>
        </w:rPr>
        <w:t>A traditional rolling 12-month</w:t>
      </w:r>
      <w:r w:rsidRPr="00AD45D4">
        <w:rPr>
          <w:rFonts w:ascii="Helvetica LT Com Light" w:hAnsi="Helvetica LT Com Light"/>
        </w:rPr>
        <w:t xml:space="preserve"> turnover rate can be estimated based on the five and a half months of data they do have, but that would not account for seasonal fluctuations (e.g., turnover spikes at the end of the calendar year or just after bonus payouts). A traditional 1-month turnover rate can be calculated but will be misleading if it uses the typical month-end snapshot in the denominator. A more accurate comparison is accomplished using realized turnover rates. </w:t>
      </w:r>
    </w:p>
    <w:p w14:paraId="339FF207" w14:textId="77777777" w:rsidR="00445890" w:rsidRPr="00AD45D4" w:rsidRDefault="00445890" w:rsidP="00445890">
      <w:pPr>
        <w:spacing w:before="0" w:after="0"/>
        <w:ind w:firstLine="567"/>
        <w:rPr>
          <w:rFonts w:ascii="Helvetica LT Com Light" w:hAnsi="Helvetica LT Com Light"/>
        </w:rPr>
      </w:pPr>
    </w:p>
    <w:p w14:paraId="1A14B94F"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Turnover rates for each month: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196"/>
        <w:gridCol w:w="2198"/>
        <w:gridCol w:w="2042"/>
        <w:gridCol w:w="2042"/>
      </w:tblGrid>
      <w:tr w:rsidR="00445890" w:rsidRPr="00AD45D4" w14:paraId="6720B21D" w14:textId="77777777" w:rsidTr="009A4DA1">
        <w:trPr>
          <w:jc w:val="center"/>
        </w:trPr>
        <w:tc>
          <w:tcPr>
            <w:tcW w:w="1098" w:type="dxa"/>
            <w:tcBorders>
              <w:bottom w:val="single" w:sz="4" w:space="0" w:color="auto"/>
            </w:tcBorders>
            <w:vAlign w:val="bottom"/>
          </w:tcPr>
          <w:p w14:paraId="2815B91C"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Month</w:t>
            </w:r>
          </w:p>
        </w:tc>
        <w:tc>
          <w:tcPr>
            <w:tcW w:w="2196" w:type="dxa"/>
            <w:tcBorders>
              <w:bottom w:val="single" w:sz="4" w:space="0" w:color="auto"/>
            </w:tcBorders>
            <w:vAlign w:val="bottom"/>
          </w:tcPr>
          <w:p w14:paraId="646B1D7E"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Parent company traditional 1-month turnover rate</w:t>
            </w:r>
          </w:p>
        </w:tc>
        <w:tc>
          <w:tcPr>
            <w:tcW w:w="2198" w:type="dxa"/>
            <w:tcBorders>
              <w:bottom w:val="single" w:sz="4" w:space="0" w:color="auto"/>
            </w:tcBorders>
            <w:vAlign w:val="bottom"/>
          </w:tcPr>
          <w:p w14:paraId="7C575F0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Acquired group traditional 1-month turnover rate</w:t>
            </w:r>
          </w:p>
        </w:tc>
        <w:tc>
          <w:tcPr>
            <w:tcW w:w="2042" w:type="dxa"/>
            <w:tcBorders>
              <w:bottom w:val="single" w:sz="4" w:space="0" w:color="auto"/>
            </w:tcBorders>
            <w:vAlign w:val="bottom"/>
          </w:tcPr>
          <w:p w14:paraId="3EE6BF0E"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Parent company realized 1-month turnover rate</w:t>
            </w:r>
          </w:p>
        </w:tc>
        <w:tc>
          <w:tcPr>
            <w:tcW w:w="2042" w:type="dxa"/>
            <w:tcBorders>
              <w:bottom w:val="single" w:sz="4" w:space="0" w:color="auto"/>
            </w:tcBorders>
            <w:vAlign w:val="bottom"/>
          </w:tcPr>
          <w:p w14:paraId="353C58A0"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Acquired group realized 1-month turnover rate</w:t>
            </w:r>
          </w:p>
        </w:tc>
      </w:tr>
      <w:tr w:rsidR="00445890" w:rsidRPr="00AD45D4" w14:paraId="501BAE14" w14:textId="77777777" w:rsidTr="009A4DA1">
        <w:trPr>
          <w:jc w:val="center"/>
        </w:trPr>
        <w:tc>
          <w:tcPr>
            <w:tcW w:w="1098" w:type="dxa"/>
            <w:tcBorders>
              <w:top w:val="single" w:sz="4" w:space="0" w:color="auto"/>
            </w:tcBorders>
            <w:vAlign w:val="center"/>
          </w:tcPr>
          <w:p w14:paraId="6C5DE104"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March</w:t>
            </w:r>
          </w:p>
        </w:tc>
        <w:tc>
          <w:tcPr>
            <w:tcW w:w="2196" w:type="dxa"/>
            <w:tcBorders>
              <w:top w:val="single" w:sz="4" w:space="0" w:color="auto"/>
            </w:tcBorders>
            <w:vAlign w:val="center"/>
          </w:tcPr>
          <w:p w14:paraId="688E5887"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0.92%</w:t>
            </w:r>
          </w:p>
        </w:tc>
        <w:tc>
          <w:tcPr>
            <w:tcW w:w="2198" w:type="dxa"/>
            <w:tcBorders>
              <w:top w:val="single" w:sz="4" w:space="0" w:color="auto"/>
            </w:tcBorders>
            <w:vAlign w:val="center"/>
          </w:tcPr>
          <w:p w14:paraId="37E71979"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100.00%</w:t>
            </w:r>
          </w:p>
        </w:tc>
        <w:tc>
          <w:tcPr>
            <w:tcW w:w="2042" w:type="dxa"/>
            <w:tcBorders>
              <w:top w:val="single" w:sz="4" w:space="0" w:color="auto"/>
            </w:tcBorders>
            <w:vAlign w:val="center"/>
          </w:tcPr>
          <w:p w14:paraId="37C8F60C"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c>
          <w:tcPr>
            <w:tcW w:w="2042" w:type="dxa"/>
            <w:tcBorders>
              <w:top w:val="single" w:sz="4" w:space="0" w:color="auto"/>
            </w:tcBorders>
            <w:vAlign w:val="center"/>
          </w:tcPr>
          <w:p w14:paraId="339401F4"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5.56%</w:t>
            </w:r>
          </w:p>
        </w:tc>
      </w:tr>
      <w:tr w:rsidR="00445890" w:rsidRPr="00AD45D4" w14:paraId="295348A9" w14:textId="77777777" w:rsidTr="009A4DA1">
        <w:trPr>
          <w:jc w:val="center"/>
        </w:trPr>
        <w:tc>
          <w:tcPr>
            <w:tcW w:w="1098" w:type="dxa"/>
            <w:vAlign w:val="center"/>
          </w:tcPr>
          <w:p w14:paraId="50F21732"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April</w:t>
            </w:r>
          </w:p>
        </w:tc>
        <w:tc>
          <w:tcPr>
            <w:tcW w:w="2196" w:type="dxa"/>
            <w:vAlign w:val="center"/>
          </w:tcPr>
          <w:p w14:paraId="7270C283"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1.17%</w:t>
            </w:r>
          </w:p>
        </w:tc>
        <w:tc>
          <w:tcPr>
            <w:tcW w:w="2198" w:type="dxa"/>
            <w:vAlign w:val="center"/>
          </w:tcPr>
          <w:p w14:paraId="6AE30443"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25.00%</w:t>
            </w:r>
          </w:p>
        </w:tc>
        <w:tc>
          <w:tcPr>
            <w:tcW w:w="2042" w:type="dxa"/>
            <w:vAlign w:val="center"/>
          </w:tcPr>
          <w:p w14:paraId="2227751A"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0.04%</w:t>
            </w:r>
          </w:p>
        </w:tc>
        <w:tc>
          <w:tcPr>
            <w:tcW w:w="2042" w:type="dxa"/>
            <w:vAlign w:val="center"/>
          </w:tcPr>
          <w:p w14:paraId="5EC43C89"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0.85%</w:t>
            </w:r>
          </w:p>
        </w:tc>
      </w:tr>
      <w:tr w:rsidR="00445890" w:rsidRPr="00AD45D4" w14:paraId="62E8D4A5" w14:textId="77777777" w:rsidTr="009A4DA1">
        <w:trPr>
          <w:jc w:val="center"/>
        </w:trPr>
        <w:tc>
          <w:tcPr>
            <w:tcW w:w="1098" w:type="dxa"/>
            <w:vAlign w:val="center"/>
          </w:tcPr>
          <w:p w14:paraId="7B173CA7"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May</w:t>
            </w:r>
          </w:p>
        </w:tc>
        <w:tc>
          <w:tcPr>
            <w:tcW w:w="2196" w:type="dxa"/>
            <w:vAlign w:val="center"/>
          </w:tcPr>
          <w:p w14:paraId="457EDAE3"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0.86%</w:t>
            </w:r>
          </w:p>
        </w:tc>
        <w:tc>
          <w:tcPr>
            <w:tcW w:w="2198" w:type="dxa"/>
            <w:vAlign w:val="center"/>
          </w:tcPr>
          <w:p w14:paraId="2EA018F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1.00%</w:t>
            </w:r>
          </w:p>
        </w:tc>
        <w:tc>
          <w:tcPr>
            <w:tcW w:w="2042" w:type="dxa"/>
            <w:vAlign w:val="center"/>
          </w:tcPr>
          <w:p w14:paraId="4EEBC301"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c>
          <w:tcPr>
            <w:tcW w:w="2042" w:type="dxa"/>
            <w:vAlign w:val="center"/>
          </w:tcPr>
          <w:p w14:paraId="45A4EB6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r>
      <w:tr w:rsidR="00445890" w:rsidRPr="00AD45D4" w14:paraId="076741EA" w14:textId="77777777" w:rsidTr="009A4DA1">
        <w:trPr>
          <w:jc w:val="center"/>
        </w:trPr>
        <w:tc>
          <w:tcPr>
            <w:tcW w:w="1098" w:type="dxa"/>
            <w:vAlign w:val="center"/>
          </w:tcPr>
          <w:p w14:paraId="1932972F"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June</w:t>
            </w:r>
          </w:p>
        </w:tc>
        <w:tc>
          <w:tcPr>
            <w:tcW w:w="2196" w:type="dxa"/>
            <w:vAlign w:val="center"/>
          </w:tcPr>
          <w:p w14:paraId="44DEA65D"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1.05%</w:t>
            </w:r>
          </w:p>
        </w:tc>
        <w:tc>
          <w:tcPr>
            <w:tcW w:w="2198" w:type="dxa"/>
            <w:vAlign w:val="center"/>
          </w:tcPr>
          <w:p w14:paraId="2CA111C8"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0.67%</w:t>
            </w:r>
          </w:p>
        </w:tc>
        <w:tc>
          <w:tcPr>
            <w:tcW w:w="2042" w:type="dxa"/>
            <w:vAlign w:val="center"/>
          </w:tcPr>
          <w:p w14:paraId="3A33F0E3"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0.04%</w:t>
            </w:r>
          </w:p>
        </w:tc>
        <w:tc>
          <w:tcPr>
            <w:tcW w:w="2042" w:type="dxa"/>
            <w:vAlign w:val="center"/>
          </w:tcPr>
          <w:p w14:paraId="75ACF606"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r>
      <w:tr w:rsidR="00445890" w:rsidRPr="00AD45D4" w14:paraId="1E821689" w14:textId="77777777" w:rsidTr="009A4DA1">
        <w:trPr>
          <w:jc w:val="center"/>
        </w:trPr>
        <w:tc>
          <w:tcPr>
            <w:tcW w:w="1098" w:type="dxa"/>
            <w:vAlign w:val="center"/>
          </w:tcPr>
          <w:p w14:paraId="1F5859B1"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July</w:t>
            </w:r>
          </w:p>
        </w:tc>
        <w:tc>
          <w:tcPr>
            <w:tcW w:w="2196" w:type="dxa"/>
            <w:vAlign w:val="center"/>
          </w:tcPr>
          <w:p w14:paraId="1B75B12C"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0.94%</w:t>
            </w:r>
          </w:p>
        </w:tc>
        <w:tc>
          <w:tcPr>
            <w:tcW w:w="2198" w:type="dxa"/>
            <w:vAlign w:val="center"/>
          </w:tcPr>
          <w:p w14:paraId="0D1A9E9C"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0.60%</w:t>
            </w:r>
          </w:p>
        </w:tc>
        <w:tc>
          <w:tcPr>
            <w:tcW w:w="2042" w:type="dxa"/>
            <w:vAlign w:val="center"/>
          </w:tcPr>
          <w:p w14:paraId="51436DE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c>
          <w:tcPr>
            <w:tcW w:w="2042" w:type="dxa"/>
            <w:vAlign w:val="center"/>
          </w:tcPr>
          <w:p w14:paraId="22DD4A8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r>
      <w:tr w:rsidR="00445890" w:rsidRPr="00AD45D4" w14:paraId="069A5548" w14:textId="77777777" w:rsidTr="009A4DA1">
        <w:trPr>
          <w:jc w:val="center"/>
        </w:trPr>
        <w:tc>
          <w:tcPr>
            <w:tcW w:w="1098" w:type="dxa"/>
            <w:tcBorders>
              <w:bottom w:val="single" w:sz="4" w:space="0" w:color="auto"/>
            </w:tcBorders>
            <w:vAlign w:val="center"/>
          </w:tcPr>
          <w:p w14:paraId="7FA73D4A" w14:textId="77777777" w:rsidR="00445890" w:rsidRPr="00AD45D4" w:rsidRDefault="00445890" w:rsidP="009A4DA1">
            <w:pPr>
              <w:spacing w:before="0" w:after="0"/>
              <w:rPr>
                <w:rFonts w:ascii="Helvetica LT Com Light" w:hAnsi="Helvetica LT Com Light" w:cs="Times New Roman"/>
                <w:szCs w:val="24"/>
              </w:rPr>
            </w:pPr>
            <w:r w:rsidRPr="00AD45D4">
              <w:rPr>
                <w:rFonts w:ascii="Helvetica LT Com Light" w:hAnsi="Helvetica LT Com Light" w:cs="Times New Roman"/>
                <w:szCs w:val="24"/>
              </w:rPr>
              <w:t>August</w:t>
            </w:r>
          </w:p>
        </w:tc>
        <w:tc>
          <w:tcPr>
            <w:tcW w:w="2196" w:type="dxa"/>
            <w:tcBorders>
              <w:bottom w:val="single" w:sz="4" w:space="0" w:color="auto"/>
            </w:tcBorders>
            <w:vAlign w:val="center"/>
          </w:tcPr>
          <w:p w14:paraId="4DE73093"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1.15%</w:t>
            </w:r>
          </w:p>
        </w:tc>
        <w:tc>
          <w:tcPr>
            <w:tcW w:w="2198" w:type="dxa"/>
            <w:tcBorders>
              <w:bottom w:val="single" w:sz="4" w:space="0" w:color="auto"/>
            </w:tcBorders>
            <w:vAlign w:val="center"/>
          </w:tcPr>
          <w:p w14:paraId="393F586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0.57%</w:t>
            </w:r>
          </w:p>
        </w:tc>
        <w:tc>
          <w:tcPr>
            <w:tcW w:w="2042" w:type="dxa"/>
            <w:tcBorders>
              <w:bottom w:val="single" w:sz="4" w:space="0" w:color="auto"/>
            </w:tcBorders>
            <w:vAlign w:val="center"/>
          </w:tcPr>
          <w:p w14:paraId="4E307CC8"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0.04%</w:t>
            </w:r>
          </w:p>
        </w:tc>
        <w:tc>
          <w:tcPr>
            <w:tcW w:w="2042" w:type="dxa"/>
            <w:tcBorders>
              <w:bottom w:val="single" w:sz="4" w:space="0" w:color="auto"/>
            </w:tcBorders>
            <w:vAlign w:val="center"/>
          </w:tcPr>
          <w:p w14:paraId="352FD20F" w14:textId="77777777" w:rsidR="00445890" w:rsidRPr="00AD45D4" w:rsidRDefault="00445890" w:rsidP="009A4DA1">
            <w:pPr>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0.03%</w:t>
            </w:r>
          </w:p>
        </w:tc>
      </w:tr>
    </w:tbl>
    <w:p w14:paraId="69C657BD" w14:textId="77777777" w:rsidR="00445890" w:rsidRPr="00AD45D4" w:rsidRDefault="00445890" w:rsidP="00445890">
      <w:pPr>
        <w:spacing w:before="0" w:after="0"/>
        <w:rPr>
          <w:rFonts w:ascii="Helvetica LT Com Light" w:hAnsi="Helvetica LT Com Light"/>
        </w:rPr>
      </w:pPr>
    </w:p>
    <w:p w14:paraId="7920CA6B"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Data:</w:t>
      </w:r>
    </w:p>
    <w:tbl>
      <w:tblPr>
        <w:tblW w:w="7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500"/>
        <w:gridCol w:w="1500"/>
        <w:gridCol w:w="1500"/>
        <w:gridCol w:w="1500"/>
      </w:tblGrid>
      <w:tr w:rsidR="00445890" w:rsidRPr="00AD45D4" w14:paraId="11B4F158" w14:textId="77777777" w:rsidTr="009A4DA1">
        <w:trPr>
          <w:trHeight w:val="300"/>
          <w:jc w:val="center"/>
        </w:trPr>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7A0266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Date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4914D2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Headcount</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3ED038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Separations</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5525C7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Daily turnover rate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255D91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Enhanced monthly turnover rate </w:t>
            </w:r>
          </w:p>
        </w:tc>
      </w:tr>
      <w:tr w:rsidR="00445890" w:rsidRPr="00AD45D4" w14:paraId="083B34B8" w14:textId="77777777" w:rsidTr="009A4DA1">
        <w:trPr>
          <w:trHeight w:val="300"/>
          <w:jc w:val="center"/>
        </w:trPr>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659B7D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1-Jan-17</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191E41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38B451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78B2C0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7C87FE7E"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0B24F8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621D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15B3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91FF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10DC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F0D4E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9BBF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5BBB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463C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8287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04C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93E3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A269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0332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B2D8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3773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520D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E963B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4AD8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C191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F98A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55F1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27B3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26DF2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4BA26D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6BBB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0478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9D70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F4C3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06320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EFB3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71AA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A8BA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684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DBCF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B857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FDF1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B528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E0BA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5908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B923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8DFBB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DF781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BE0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7EF7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DA20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214F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E615C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95692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0F1F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259E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3756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F98F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078C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B9DB8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EEE1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240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922F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38D6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87D9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0A994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2824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CC8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345B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957C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C9C80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6A569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A79E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70B1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54CC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2D22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9DAC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C682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8899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87CB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9163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A173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E9C8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6F99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ED2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5499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8CAD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DE4A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CEDFE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178EA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5BBB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27F2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7ECF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ECDF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3735C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D4CA5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C96C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4B82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E24C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96B5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B5A70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6E409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485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6C6F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F387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B3F9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7D5D3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BE9E2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B044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47BC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0512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B081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6D51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D3BA4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95B0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9B8A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0E92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222C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1E3B3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67126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9D05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856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5A31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2749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3D014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FA74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38EA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818E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4D27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F5E5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1C75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AAA2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66A9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80CD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6787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C849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110B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4A480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33A0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FC9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DFA2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6B42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E8D54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43AF9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BA02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FD8B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EA6D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C43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5DB7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527AC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B4B7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E732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9585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405E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7E8F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C07B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3E21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AA58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0A4B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09E7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2AE9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E3BB8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45EA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43C6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265E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457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ADE98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6A82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9CFB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760E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7CC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11D4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10B7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7CA7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DE9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0D7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7896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1FAE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7D2EE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468A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20E5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17FC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4963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8716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7BDF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r>
      <w:tr w:rsidR="00445890" w:rsidRPr="00AD45D4" w14:paraId="2FF945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3B48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5C43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867D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3E8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6DB658"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E379A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DFCF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1EA6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E2F4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830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2B1E5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EAF4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41BC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E06D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C8FD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A309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C3218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E7BAB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B715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BE1A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0A2A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090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8F56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039A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264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FCFB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436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C03B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A8C1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78C4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5819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C3E8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B18B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3468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924B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1E006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20F6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97DD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1A16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E5B3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2929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EA67C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01A9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D68E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19A0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2D53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F80BD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CC46E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B49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6387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C36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2E3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3FA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A02F7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8A3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2D67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F647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1564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BEB7D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0F1B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49B9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4E0D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7194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23D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8DC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DE50F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9A18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A87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591A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5B1F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D94FF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EE53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D5B6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CB10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4DA7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127F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B12BE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FC2D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F8B9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0109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C5C0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85E4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968F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0E70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7930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4E88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328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CEAE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00CE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58AA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FCC1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8F57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23E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B6C5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CFBB7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21E18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94AA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6836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F410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2C58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4012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0EE5B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D638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4C4B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EE1D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E30B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3F6B9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337B8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F1B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2014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CE12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CD7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1023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D0AD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16D2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87AE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32CA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125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5A00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C5FD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913A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7BF4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68E1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AE72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5EB8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E74EF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8D34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2FB4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37A4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BF79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98CC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842BF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CF3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9DE8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F405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7FD7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0BA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2FB5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97AA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74CF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46B4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86C6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83751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793C0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5EF1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785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9F8E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2657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1633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8A87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00D8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6E0A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8B04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44DD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F289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8E8B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83A1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DAB1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DD92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0B1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F434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E74F2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779F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2608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18B9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9BD8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CB36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r>
      <w:tr w:rsidR="00445890" w:rsidRPr="00AD45D4" w14:paraId="201801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D343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D682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66DF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A0D5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306825"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5BB79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F3C0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B0A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1626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DA91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0D13C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9801A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2A57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687D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AE60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BF08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BC305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1603D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8441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DEF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5D54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7649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F593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5DBEEB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9EE1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31FF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2C3D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4A4E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BA73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BF1D8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61E9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47B9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A35F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8CE3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F572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B94B8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BA9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FE3E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BAAC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689B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1E052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EE3EC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2E9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CAE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4D24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747F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539E5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E281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EC3E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2784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1DA7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BFFC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49663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EAC6B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936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095A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EB5B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270E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5884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40DB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D667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A67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6844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1FFB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FFC54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17E8A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258D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3BD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77C8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4874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ADAEC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7ADA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463E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E694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D9FC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C277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6C0EA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AB01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281A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9707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03B1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AE96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C8EF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AC8D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7096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4B5A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EE5A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0927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4BF2C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9DB0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CDF0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7E0D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C90F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D2F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F62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750A52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9A3D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2A4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DEE8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9889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D93EF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8F190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DD92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4378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6C2A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CA2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0A41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1277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C000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EAA6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140E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8E43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B18A4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A6ED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923F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ABAC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152E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5C5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A074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F89E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2C3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6B5E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1171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47C4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40B1F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DA3C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F063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17C8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6907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4CD1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0C385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3A2783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49D4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6B5A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6B37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33CD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3D86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2BD1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EB56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6F1C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ACA1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DEE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A4FA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87C75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00C3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5550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F023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BEA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EC9E7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32E6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F84B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7431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8DA6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3DB6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A10B1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25DF8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D28A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0EF6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16FF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4C53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5205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422C6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FC19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59E2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5761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7C1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03864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7830C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AF30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D191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C693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07B1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29E6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B3ED9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F3B0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B430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BADD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CA43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92FB0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4B0631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ADA0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00BF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BECE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FCC9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514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94.44%</w:t>
            </w:r>
          </w:p>
        </w:tc>
      </w:tr>
      <w:tr w:rsidR="00445890" w:rsidRPr="00AD45D4" w14:paraId="44E85B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D74F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2376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6EE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962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33F91B"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4B8B44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12A2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E411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713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0AE1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5716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E1E0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D44B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7267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0C56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5AE9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A9D1C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AAF2D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72C3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CB5E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E714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0DE7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7DDD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F6E5C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3263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32CA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9D2D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EBDC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683CF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B0A5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DA09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B0B1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9E35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1B4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4A59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2394D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D8B2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4E86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24E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14DA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1D67C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05BDF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12AC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5DE5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2AF3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CF6C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824E6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6B25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54DD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C384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BDD6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CE23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1F97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9C386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8070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5D22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0552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3229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7237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E88C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1B90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819C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7070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98A9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9D2D8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3AA1E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5E34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0306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2973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4259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6C064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81A6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62AE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CA87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C3F0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E4E9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EBE3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9E47D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E78D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3CF6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D3D8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23C1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CD5E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CEEAB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367C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61E7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F669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28F8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CD875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9DBF4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0FC9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D63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1A2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AD13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D515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2221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BEC3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51A5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3D92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2F8A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D6951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904D5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69CB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403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0090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B272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9DA1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2695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F3EA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6ADB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63E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3CA2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624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50056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3FC8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033A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F347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0423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C84D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E8EC9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EC04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87CC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B86B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0A55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7A3F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E142E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C85D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A5B4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F863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04B8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20A18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5CC48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D0A5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59F8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A16F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379F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E683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B260B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EBED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1614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22E2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6932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B242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12C45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354A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898A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8871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851E3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E562F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B6B3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0449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7732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D6C1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1FC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F1C2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F9F52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1D68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413E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F51A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FD4B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36878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00298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3F93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0A21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C4D3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0EA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22BE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815F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46F2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C638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6662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F003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D5BB5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A0A8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3DBD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993C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AEA5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1FD6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814E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25.42%</w:t>
            </w:r>
          </w:p>
        </w:tc>
      </w:tr>
      <w:tr w:rsidR="00445890" w:rsidRPr="00AD45D4" w14:paraId="42FA655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7011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52BC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0856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DE86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CDCB3C"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1C09488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0E51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6BFD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F45F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FB4D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EB257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E51D6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305E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A161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819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506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4CFF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BBD6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A61F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0DDA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86FE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D247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4F30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71F3E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2530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B08B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E1E3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EC74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35B51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C3E51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A69A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768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C30D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F3ED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ECE96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08B9A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37C1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0CDC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56E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2B71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BE4F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647C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7F6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5768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FA1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B299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A6C1C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56AF4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1992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17E7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31B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19B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B55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92B6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FE8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C614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1569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85D5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64C2D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4D1B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8344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D98A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A7A7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C0FE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F377F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F105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49E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BCDA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0B5A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44B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F6A3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039F6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7386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0289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73B0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5873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62668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BAC1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064C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BADC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9EA6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5942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5D8B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5177F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44F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CA05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3CC6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EF1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D4C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D71CB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7398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A648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297C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A72B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2BA7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0BE0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6B4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0358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7422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62EF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9A85C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30DE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A66B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6521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B653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BB94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E4EC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961F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D921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043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8656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A3F5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1004D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68C91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4F76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8F98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ECC4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4AA5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AC2EC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7B390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BD18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5356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FDB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0B26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A646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6084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47D1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47B2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9333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2947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B15D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248AD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D3C4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3790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B3DE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6344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4E76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1803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FA7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D95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942B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5E27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4DA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D336E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5DC2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F793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E65E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D383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5E5A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0D4F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EDF8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6757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98B4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530D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2FC7B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24529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C239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1A7F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9DF1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4256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0BCF8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EE4D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8062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4679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A5C4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8048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5EF5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65C34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2F4D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C730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9E24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1B0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4489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5F2E1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223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07D8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FF2A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B91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A552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3DDB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783F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2E1F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893E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29A6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EE62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1.00%</w:t>
            </w:r>
          </w:p>
        </w:tc>
      </w:tr>
      <w:tr w:rsidR="00445890" w:rsidRPr="00AD45D4" w14:paraId="09148A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BA0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C06E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65D4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2A6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D59727"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A8B88C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93B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8EA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25D6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A2E6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76B1B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8825D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0BEE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C875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43CA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CE1F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8CEDB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4BAAA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20E1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7DAC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40DC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5EDA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8D6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54FD2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DF85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0A3F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3031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FA4D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8BDAC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375C6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09A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B62E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640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A5F1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2B9D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5B42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E14A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F475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3A8D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6269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848E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6871A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17DF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E8D0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80D3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2FD9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A78A1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7AC27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DE39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5708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F1A7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AA42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B2EEA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66B98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83B0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187F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DBF0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9F87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201F8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4146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E7C2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145E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87BB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262E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FD45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81B6C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D47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F65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392D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92E3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2FD16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E1D87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D15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4C43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BA26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68F6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C4C0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B169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DE2C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4C32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47D0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14C4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BA1B2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63C9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1E0A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8A2C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DE35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A493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CBAA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0EA6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901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CA3D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A70A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5850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224DC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08CC4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26D7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63B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A68A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0DFE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E2133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9166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916D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1CD9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E251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64A4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F776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7B5C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02F7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EF0F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44B6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1912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F704A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6DD88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8949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60C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729B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61E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99841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6AE7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868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7DC9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B578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E82A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BA70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615D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220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093E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BD2F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D7EA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58B69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2F98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585B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DBC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C807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DC55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DB9D5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C0B4D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EFB4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ED4F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022F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F6AA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097B0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16AFE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E5C5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486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08C6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C05C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B5F22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83BD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6741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5826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DBA8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E496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7354A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06486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1326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C714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75C3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A0D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390F2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E1C4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50C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7F6E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B8A7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1191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05718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D7DE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4F73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047D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4A5E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10CA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3192C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D6B5F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07B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DCB1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9593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5882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9AEF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0.99%</w:t>
            </w:r>
          </w:p>
        </w:tc>
      </w:tr>
      <w:tr w:rsidR="00445890" w:rsidRPr="00AD45D4" w14:paraId="7CB6B45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0FA1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A4D4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74C7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C75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CA6CA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0CC714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31EC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53D4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1A2A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CC3A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AB1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41BCA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6623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7C64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279D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CF10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C456C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8D88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EF1A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D967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7533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3F39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2DE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3E6EB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AF8A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655A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4783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79E7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C52C3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880F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29FF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DB0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A2FD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F464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CA43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6A3F2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D2CF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5E7D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FF2F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D66D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2A0E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8B376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0660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A300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263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80EA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A5E6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4136F6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D9EF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CD41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6324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785A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CC3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0895C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A5F6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165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8DE0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E23E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823A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419A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67E5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E55E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6EC7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D914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F9125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ACB49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1B3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FD2C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9627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7CEE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DDC3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7625D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98AB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FE9C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C321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D956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D69DF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674D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970D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780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47C2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0454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2F0F3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9AAB5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276B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662E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1F99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5030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6BBFD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0CC8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FC24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085E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1C7D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14FB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0AA94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745F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53E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CA37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C2C3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CDB3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60CB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8266E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7C11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A574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7FF9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A3DE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8F3F7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37E3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B2D8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3045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F9B1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1118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EE47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FB06F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157A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0B09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6905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0FB3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6CF4E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5CA3A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4750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69A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8209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AE51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66AF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8F020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FE18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FA00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E88E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A85E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44842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369C1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4D4D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650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EC2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DBD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3A0DF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57E7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0FE7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232B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56B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383B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43E9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6FA9C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6991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0713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7BA5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7B5D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B25B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5E900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D245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E02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748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5E4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B211B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6A26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7D0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A70E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F89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B8A8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37093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124F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67A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4E8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D6CC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6C86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71AD4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C65E1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6E49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125F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EB0C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5C13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5883D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F07B9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48D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788B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8408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514F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6684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1E44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C306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E625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45ED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A552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50C1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0.99%</w:t>
            </w:r>
          </w:p>
        </w:tc>
      </w:tr>
      <w:tr w:rsidR="00445890" w:rsidRPr="00AD45D4" w14:paraId="36047E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202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5E32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B73C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AAA3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3E02F7"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51A280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6359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794B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5D6C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10EA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F060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4457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3553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D52E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59A8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F7C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4CE04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07A1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EC68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CD4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19C5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C506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86521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1B904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B898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AFF7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AE7D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059A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F9180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FE202E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7B7F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DA7E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2EFD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BBE1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C06B5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CE9D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972B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7221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8F11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976C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2C0BD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8BF1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6DED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3E09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0F46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20C1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B2B9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9BA5A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AA9F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DBC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24E2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1BA3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55EE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A2E06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2E9B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0157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91B9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7F6F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F5ED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FD8C6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88AC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C2C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71A9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6F9E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1537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0806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FFF9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092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C98D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C3F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2420B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82E94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FB31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A071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3AC3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5F73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9D45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09367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3C88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5762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6121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3D7D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F66E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30BE6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7B1C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04B0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02BA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C5F9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06928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99B52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0562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9E47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2B65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E98B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A4F00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A25F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C78D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81F8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1919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7B1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95747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F825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2799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38A5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37F5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E23B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000CC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B94DC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CA85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6366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6EE9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DDA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EBF14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2022B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C30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3517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F88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C9B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36D1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0646B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E010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E74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5F5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7447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E73C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59F16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4A7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265B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A180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CE22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20A4A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AED03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8F39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9C48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9327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6FC7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3FA52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7220F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7761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D875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0DB0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2FA8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5A26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7BBC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6709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F2E3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D27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A570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D0EF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4B96B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0E3F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757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9BA2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AEFC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25CB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8C863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2F5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E2C1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0E6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369A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C3CC9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EF8DD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0598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C348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850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6BE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8F1A4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F85C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21B4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0E81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9781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DA9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95054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86F36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F95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F87B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496</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9EDB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F87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FD613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B6243F" w14:textId="77777777" w:rsidTr="009A4DA1">
        <w:trPr>
          <w:trHeight w:val="300"/>
          <w:jc w:val="center"/>
        </w:trPr>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6E34F6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31-Aug-17</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vAlign w:val="center"/>
          </w:tcPr>
          <w:p w14:paraId="00D175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rPr>
              <w:t>700</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vAlign w:val="center"/>
          </w:tcPr>
          <w:p w14:paraId="7EA4AC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rPr>
              <w:t>0</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0E6E40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4" w:space="0" w:color="auto"/>
              <w:right w:val="single" w:sz="6" w:space="0" w:color="FFFFFF"/>
            </w:tcBorders>
            <w:tcMar>
              <w:top w:w="0" w:type="dxa"/>
              <w:left w:w="40" w:type="dxa"/>
              <w:bottom w:w="0" w:type="dxa"/>
              <w:right w:w="40" w:type="dxa"/>
            </w:tcMar>
          </w:tcPr>
          <w:p w14:paraId="36A666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0.80%</w:t>
            </w:r>
          </w:p>
        </w:tc>
      </w:tr>
    </w:tbl>
    <w:p w14:paraId="6E995B20" w14:textId="77777777" w:rsidR="00445890" w:rsidRPr="00AD45D4"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Note. New hires: 50 on April 1, 100 on April 2, 102 on June 30, 205 on July 31, and 204 August 31.</w:t>
      </w:r>
    </w:p>
    <w:p w14:paraId="0C49DD74" w14:textId="77777777" w:rsidR="00445890" w:rsidRPr="00AD45D4"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Daily turnover rate = (separations on day/headcount that day) * 100.</w:t>
      </w:r>
    </w:p>
    <w:p w14:paraId="08C16451" w14:textId="77777777" w:rsidR="00445890" w:rsidRPr="00AD45D4"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 xml:space="preserve">Enhanced monthly turnover rate = (separations in a month/average </w:t>
      </w:r>
      <w:r>
        <w:rPr>
          <w:rFonts w:ascii="Helvetica LT Com Light" w:hAnsi="Helvetica LT Com Light" w:cs="Times New Roman"/>
          <w:i/>
          <w:szCs w:val="24"/>
        </w:rPr>
        <w:t xml:space="preserve">daily </w:t>
      </w:r>
      <w:r w:rsidRPr="00AD45D4">
        <w:rPr>
          <w:rFonts w:ascii="Helvetica LT Com Light" w:hAnsi="Helvetica LT Com Light" w:cs="Times New Roman"/>
          <w:i/>
          <w:szCs w:val="24"/>
        </w:rPr>
        <w:t>headcount that month) * 100.</w:t>
      </w:r>
      <w:r w:rsidRPr="00AD45D4">
        <w:rPr>
          <w:rFonts w:ascii="Helvetica LT Com Light" w:hAnsi="Helvetica LT Com Light" w:cs="Times New Roman"/>
          <w:i/>
          <w:szCs w:val="24"/>
        </w:rPr>
        <w:br w:type="page"/>
      </w:r>
    </w:p>
    <w:p w14:paraId="7E321B3D" w14:textId="77777777" w:rsidR="00445890" w:rsidRPr="00AD45D4" w:rsidRDefault="00445890" w:rsidP="00445890">
      <w:pPr>
        <w:pStyle w:val="Heading2"/>
        <w:keepNext w:val="0"/>
        <w:numPr>
          <w:ilvl w:val="1"/>
          <w:numId w:val="17"/>
        </w:numPr>
        <w:spacing w:after="200" w:line="276" w:lineRule="auto"/>
        <w:contextualSpacing w:val="0"/>
      </w:pPr>
      <w:r w:rsidRPr="00AD45D4">
        <w:lastRenderedPageBreak/>
        <w:t xml:space="preserve">Example 4: </w:t>
      </w:r>
    </w:p>
    <w:p w14:paraId="634BEC9E" w14:textId="77777777" w:rsidR="00445890" w:rsidRPr="00AD45D4" w:rsidRDefault="00445890" w:rsidP="00445890">
      <w:pPr>
        <w:spacing w:before="0" w:after="0"/>
        <w:ind w:firstLine="567"/>
        <w:rPr>
          <w:rFonts w:ascii="Helvetica LT Com Light" w:hAnsi="Helvetica LT Com Light"/>
        </w:rPr>
      </w:pPr>
      <w:r w:rsidRPr="00AD45D4">
        <w:rPr>
          <w:rFonts w:ascii="Helvetica LT Com Light" w:hAnsi="Helvetica LT Com Light"/>
        </w:rPr>
        <w:t xml:space="preserve">A small organization merges with a larger one and a </w:t>
      </w:r>
      <w:r>
        <w:rPr>
          <w:rFonts w:ascii="Helvetica LT Com Light" w:hAnsi="Helvetica LT Com Light"/>
        </w:rPr>
        <w:t>restructuring</w:t>
      </w:r>
      <w:r w:rsidRPr="00AD45D4">
        <w:rPr>
          <w:rFonts w:ascii="Helvetica LT Com Light" w:hAnsi="Helvetica LT Com Light"/>
        </w:rPr>
        <w:t xml:space="preserve"> occurs. Five employees from the small organization separate immediately on January 1, 2017</w:t>
      </w:r>
      <w:r>
        <w:rPr>
          <w:rFonts w:ascii="Helvetica LT Com Light" w:hAnsi="Helvetica LT Com Light"/>
        </w:rPr>
        <w:t>;</w:t>
      </w:r>
      <w:r w:rsidRPr="00AD45D4">
        <w:rPr>
          <w:rFonts w:ascii="Helvetica LT Com Light" w:hAnsi="Helvetica LT Com Light"/>
        </w:rPr>
        <w:t xml:space="preserve"> the remaining </w:t>
      </w:r>
      <w:r>
        <w:rPr>
          <w:rFonts w:ascii="Helvetica LT Com Light" w:hAnsi="Helvetica LT Com Light"/>
        </w:rPr>
        <w:t>5</w:t>
      </w:r>
      <w:r w:rsidRPr="00AD45D4">
        <w:rPr>
          <w:rFonts w:ascii="Helvetica LT Com Light" w:hAnsi="Helvetica LT Com Light"/>
        </w:rPr>
        <w:t xml:space="preserve"> are incorporated into a group of </w:t>
      </w:r>
      <w:r>
        <w:rPr>
          <w:rFonts w:ascii="Helvetica LT Com Light" w:hAnsi="Helvetica LT Com Light"/>
        </w:rPr>
        <w:t>45</w:t>
      </w:r>
      <w:r w:rsidRPr="00AD45D4">
        <w:rPr>
          <w:rFonts w:ascii="Helvetica LT Com Light" w:hAnsi="Helvetica LT Com Light"/>
        </w:rPr>
        <w:t xml:space="preserve"> employees within the united company at the end of February 2017, and this team loses </w:t>
      </w:r>
      <w:r>
        <w:rPr>
          <w:rFonts w:ascii="Helvetica LT Com Light" w:hAnsi="Helvetica LT Com Light"/>
        </w:rPr>
        <w:t>25</w:t>
      </w:r>
      <w:r w:rsidRPr="00AD45D4">
        <w:rPr>
          <w:rFonts w:ascii="Helvetica LT Com Light" w:hAnsi="Helvetica LT Com Light"/>
        </w:rPr>
        <w:t xml:space="preserve"> members to a start-up on January 1, 2018.</w:t>
      </w:r>
    </w:p>
    <w:p w14:paraId="72C1542B" w14:textId="77777777" w:rsidR="00445890" w:rsidRPr="00AD45D4" w:rsidRDefault="00445890" w:rsidP="00445890">
      <w:pPr>
        <w:spacing w:before="0" w:after="0"/>
        <w:ind w:firstLine="567"/>
        <w:rPr>
          <w:rFonts w:ascii="Helvetica LT Com Light" w:hAnsi="Helvetica LT Com Light"/>
        </w:rPr>
      </w:pPr>
    </w:p>
    <w:p w14:paraId="7DC6EF9A"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Explanation</w:t>
      </w:r>
    </w:p>
    <w:p w14:paraId="53E2DC0F" w14:textId="77777777" w:rsidR="00445890" w:rsidRPr="00AD45D4" w:rsidRDefault="00445890" w:rsidP="00445890">
      <w:pPr>
        <w:spacing w:before="0" w:after="0"/>
        <w:ind w:firstLine="567"/>
        <w:jc w:val="both"/>
        <w:rPr>
          <w:rFonts w:ascii="Helvetica LT Com Light" w:hAnsi="Helvetica LT Com Light" w:cs="Times New Roman"/>
          <w:szCs w:val="24"/>
        </w:rPr>
      </w:pPr>
      <w:r w:rsidRPr="00AD45D4">
        <w:rPr>
          <w:rFonts w:ascii="Helvetica LT Com Light" w:hAnsi="Helvetica LT Com Light" w:cs="Times New Roman"/>
          <w:szCs w:val="24"/>
        </w:rPr>
        <w:t xml:space="preserve">The traditional turnover rate trend diverges from the enhanced rate trend and appears to be lower on February 1, 2018 than March 1, 2018, because the February 2017 reorganization is beyond the rolling </w:t>
      </w:r>
      <w:r>
        <w:rPr>
          <w:rFonts w:ascii="Helvetica LT Com Light" w:hAnsi="Helvetica LT Com Light" w:cs="Times New Roman"/>
          <w:szCs w:val="24"/>
        </w:rPr>
        <w:t>12</w:t>
      </w:r>
      <w:r w:rsidRPr="00AD45D4">
        <w:rPr>
          <w:rFonts w:ascii="Helvetica LT Com Light" w:hAnsi="Helvetica LT Com Light" w:cs="Times New Roman"/>
          <w:szCs w:val="24"/>
        </w:rPr>
        <w:t>-month timeframe of the turnover metrics shown on March 1, 2018.</w:t>
      </w:r>
      <w:r>
        <w:rPr>
          <w:rFonts w:ascii="Helvetica LT Com Light" w:hAnsi="Helvetica LT Com Light" w:cs="Times New Roman"/>
          <w:szCs w:val="24"/>
        </w:rPr>
        <w:t xml:space="preserve"> The realized turnover rate adapts to handle these scenarios and can even be viewed on a finer timescale to gain a nuanced understanding of the trends.</w:t>
      </w:r>
    </w:p>
    <w:p w14:paraId="412101B1" w14:textId="77777777" w:rsidR="00445890" w:rsidRPr="00AD45D4" w:rsidRDefault="00445890" w:rsidP="00445890">
      <w:pPr>
        <w:spacing w:before="0" w:after="0"/>
        <w:ind w:firstLine="567"/>
        <w:rPr>
          <w:rFonts w:ascii="Helvetica LT Com Light" w:hAnsi="Helvetica LT Com Light"/>
        </w:rPr>
      </w:pPr>
    </w:p>
    <w:p w14:paraId="2A4ABFC4"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Rates: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8"/>
        <w:gridCol w:w="1708"/>
        <w:gridCol w:w="1708"/>
        <w:gridCol w:w="1708"/>
        <w:gridCol w:w="1708"/>
      </w:tblGrid>
      <w:tr w:rsidR="00445890" w:rsidRPr="00AD45D4" w14:paraId="4E57062B" w14:textId="77777777" w:rsidTr="009A4DA1">
        <w:trPr>
          <w:trHeight w:val="300"/>
          <w:jc w:val="center"/>
        </w:trPr>
        <w:tc>
          <w:tcPr>
            <w:tcW w:w="252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10AB7B3A" w14:textId="77777777" w:rsidR="00445890" w:rsidRPr="00AD45D4" w:rsidRDefault="00445890" w:rsidP="009A4DA1">
            <w:pPr>
              <w:widowControl w:val="0"/>
              <w:spacing w:before="0" w:after="0"/>
              <w:rPr>
                <w:rFonts w:ascii="Helvetica LT Com Light" w:hAnsi="Helvetica LT Com Light" w:cs="Times New Roman"/>
                <w:szCs w:val="24"/>
              </w:rPr>
            </w:pPr>
          </w:p>
        </w:tc>
        <w:tc>
          <w:tcPr>
            <w:tcW w:w="1708" w:type="dxa"/>
            <w:tcBorders>
              <w:top w:val="single" w:sz="4" w:space="0" w:color="FFFFFF"/>
              <w:left w:val="single" w:sz="4" w:space="0" w:color="FFFFFF"/>
              <w:bottom w:val="single" w:sz="4" w:space="0" w:color="000000"/>
              <w:right w:val="single" w:sz="4" w:space="0" w:color="FFFFFF"/>
            </w:tcBorders>
            <w:tcMar>
              <w:top w:w="0" w:type="dxa"/>
              <w:left w:w="40" w:type="dxa"/>
              <w:bottom w:w="0" w:type="dxa"/>
              <w:right w:w="40" w:type="dxa"/>
            </w:tcMar>
            <w:vAlign w:val="bottom"/>
          </w:tcPr>
          <w:p w14:paraId="1DA31C51"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Traditional turnover rate (rolling 12 months)</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bottom"/>
          </w:tcPr>
          <w:p w14:paraId="15820467"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Enhanced traditional turnover (rolling 365 days)</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bottom"/>
          </w:tcPr>
          <w:p w14:paraId="37EFA701"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Realized turnover rate (rolling 12 months)</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bottom"/>
          </w:tcPr>
          <w:p w14:paraId="7FE6A50E"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Realized turnover rate (1 month)</w:t>
            </w:r>
          </w:p>
        </w:tc>
      </w:tr>
      <w:tr w:rsidR="00445890" w:rsidRPr="00AD45D4" w14:paraId="70448161" w14:textId="77777777" w:rsidTr="009A4DA1">
        <w:trPr>
          <w:trHeight w:val="300"/>
          <w:jc w:val="center"/>
        </w:trPr>
        <w:tc>
          <w:tcPr>
            <w:tcW w:w="252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bottom"/>
          </w:tcPr>
          <w:p w14:paraId="7B9471AA" w14:textId="77777777" w:rsidR="00445890" w:rsidRPr="00AD45D4" w:rsidRDefault="00445890" w:rsidP="009A4DA1">
            <w:pPr>
              <w:widowControl w:val="0"/>
              <w:spacing w:before="0" w:after="0"/>
              <w:rPr>
                <w:rFonts w:ascii="Helvetica LT Com Light" w:hAnsi="Helvetica LT Com Light" w:cs="Times New Roman"/>
                <w:szCs w:val="24"/>
              </w:rPr>
            </w:pPr>
            <w:r w:rsidRPr="00AD45D4">
              <w:rPr>
                <w:rFonts w:ascii="Helvetica LT Com Light" w:hAnsi="Helvetica LT Com Light" w:cs="Times New Roman"/>
                <w:szCs w:val="24"/>
              </w:rPr>
              <w:t>As of Feb 1, 2018</w:t>
            </w:r>
          </w:p>
        </w:tc>
        <w:tc>
          <w:tcPr>
            <w:tcW w:w="170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center"/>
          </w:tcPr>
          <w:p w14:paraId="08D982FE"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52.17%</w:t>
            </w:r>
          </w:p>
        </w:tc>
        <w:tc>
          <w:tcPr>
            <w:tcW w:w="170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center"/>
          </w:tcPr>
          <w:p w14:paraId="1B83040C"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56.03%</w:t>
            </w:r>
          </w:p>
        </w:tc>
        <w:tc>
          <w:tcPr>
            <w:tcW w:w="170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center"/>
          </w:tcPr>
          <w:p w14:paraId="0C3EF590"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0.15%</w:t>
            </w:r>
          </w:p>
        </w:tc>
        <w:tc>
          <w:tcPr>
            <w:tcW w:w="1708" w:type="dxa"/>
            <w:tcBorders>
              <w:top w:val="single" w:sz="4" w:space="0" w:color="FFFFFF"/>
              <w:left w:val="single" w:sz="4" w:space="0" w:color="FFFFFF"/>
              <w:bottom w:val="single" w:sz="4" w:space="0" w:color="FFFFFF"/>
              <w:right w:val="single" w:sz="4" w:space="0" w:color="FFFFFF"/>
            </w:tcBorders>
            <w:tcMar>
              <w:top w:w="0" w:type="dxa"/>
              <w:left w:w="40" w:type="dxa"/>
              <w:bottom w:w="0" w:type="dxa"/>
              <w:right w:w="40" w:type="dxa"/>
            </w:tcMar>
            <w:vAlign w:val="center"/>
          </w:tcPr>
          <w:p w14:paraId="665F4770"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3.13%</w:t>
            </w:r>
          </w:p>
        </w:tc>
      </w:tr>
      <w:tr w:rsidR="00445890" w:rsidRPr="00AD45D4" w14:paraId="2930698F" w14:textId="77777777" w:rsidTr="009A4DA1">
        <w:trPr>
          <w:trHeight w:val="300"/>
          <w:jc w:val="center"/>
        </w:trPr>
        <w:tc>
          <w:tcPr>
            <w:tcW w:w="2528" w:type="dxa"/>
            <w:tcBorders>
              <w:top w:val="single" w:sz="4" w:space="0" w:color="FFFFFF"/>
              <w:left w:val="single" w:sz="4" w:space="0" w:color="FFFFFF"/>
              <w:right w:val="single" w:sz="4" w:space="0" w:color="FFFFFF"/>
            </w:tcBorders>
            <w:tcMar>
              <w:top w:w="0" w:type="dxa"/>
              <w:left w:w="40" w:type="dxa"/>
              <w:bottom w:w="0" w:type="dxa"/>
              <w:right w:w="40" w:type="dxa"/>
            </w:tcMar>
            <w:vAlign w:val="bottom"/>
          </w:tcPr>
          <w:p w14:paraId="0F246372" w14:textId="77777777" w:rsidR="00445890" w:rsidRPr="00AD45D4" w:rsidRDefault="00445890" w:rsidP="009A4DA1">
            <w:pPr>
              <w:widowControl w:val="0"/>
              <w:spacing w:before="0" w:after="0"/>
              <w:rPr>
                <w:rFonts w:ascii="Helvetica LT Com Light" w:hAnsi="Helvetica LT Com Light" w:cs="Times New Roman"/>
                <w:szCs w:val="24"/>
              </w:rPr>
            </w:pPr>
            <w:r w:rsidRPr="00AD45D4">
              <w:rPr>
                <w:rFonts w:ascii="Helvetica LT Com Light" w:hAnsi="Helvetica LT Com Light" w:cs="Times New Roman"/>
                <w:szCs w:val="24"/>
              </w:rPr>
              <w:t>As of Mar 1, 2018</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center"/>
          </w:tcPr>
          <w:p w14:paraId="0207D3FA"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54.55%</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center"/>
          </w:tcPr>
          <w:p w14:paraId="015BBCD8"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54.32%</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center"/>
          </w:tcPr>
          <w:p w14:paraId="37686597"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0.15%</w:t>
            </w:r>
          </w:p>
        </w:tc>
        <w:tc>
          <w:tcPr>
            <w:tcW w:w="1708" w:type="dxa"/>
            <w:tcBorders>
              <w:top w:val="single" w:sz="4" w:space="0" w:color="FFFFFF"/>
              <w:left w:val="single" w:sz="4" w:space="0" w:color="FFFFFF"/>
              <w:right w:val="single" w:sz="4" w:space="0" w:color="FFFFFF"/>
            </w:tcBorders>
            <w:tcMar>
              <w:top w:w="0" w:type="dxa"/>
              <w:left w:w="40" w:type="dxa"/>
              <w:bottom w:w="0" w:type="dxa"/>
              <w:right w:w="40" w:type="dxa"/>
            </w:tcMar>
            <w:vAlign w:val="center"/>
          </w:tcPr>
          <w:p w14:paraId="3B0E2864" w14:textId="77777777" w:rsidR="00445890" w:rsidRPr="00AD45D4" w:rsidRDefault="00445890" w:rsidP="009A4DA1">
            <w:pPr>
              <w:widowControl w:val="0"/>
              <w:spacing w:before="0" w:after="0"/>
              <w:jc w:val="center"/>
              <w:rPr>
                <w:rFonts w:ascii="Helvetica LT Com Light" w:hAnsi="Helvetica LT Com Light" w:cs="Times New Roman"/>
                <w:szCs w:val="24"/>
              </w:rPr>
            </w:pPr>
            <w:r w:rsidRPr="00AD45D4">
              <w:rPr>
                <w:rFonts w:ascii="Helvetica LT Com Light" w:hAnsi="Helvetica LT Com Light" w:cs="Times New Roman"/>
                <w:szCs w:val="24"/>
              </w:rPr>
              <w:t xml:space="preserve">0.00% </w:t>
            </w:r>
          </w:p>
        </w:tc>
      </w:tr>
    </w:tbl>
    <w:p w14:paraId="414E55A3" w14:textId="77777777" w:rsidR="00445890" w:rsidRDefault="00445890" w:rsidP="00445890">
      <w:pPr>
        <w:spacing w:before="0" w:after="0"/>
        <w:jc w:val="center"/>
        <w:rPr>
          <w:rFonts w:ascii="Helvetica LT Com Light" w:hAnsi="Helvetica LT Com Light"/>
        </w:rPr>
      </w:pPr>
    </w:p>
    <w:p w14:paraId="75381B03" w14:textId="77777777" w:rsidR="00445890" w:rsidRDefault="00445890" w:rsidP="00445890">
      <w:pPr>
        <w:spacing w:before="0" w:after="0"/>
        <w:jc w:val="center"/>
        <w:rPr>
          <w:rFonts w:ascii="Helvetica LT Com Light" w:hAnsi="Helvetica LT Com Light"/>
        </w:rPr>
      </w:pPr>
      <w:r w:rsidRPr="00AD45D4">
        <w:rPr>
          <w:rFonts w:ascii="Helvetica LT Com Light" w:hAnsi="Helvetica LT Com Light"/>
          <w:noProof/>
        </w:rPr>
        <w:drawing>
          <wp:inline distT="0" distB="0" distL="0" distR="0" wp14:anchorId="0A459029" wp14:editId="29B82500">
            <wp:extent cx="3505200" cy="36576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4714944" w14:textId="77777777" w:rsidR="00445890" w:rsidRPr="00AD45D4" w:rsidRDefault="00445890" w:rsidP="00445890">
      <w:pPr>
        <w:spacing w:before="0" w:after="0"/>
        <w:jc w:val="center"/>
        <w:rPr>
          <w:rFonts w:ascii="Helvetica LT Com Light" w:hAnsi="Helvetica LT Com Light"/>
        </w:rPr>
      </w:pPr>
    </w:p>
    <w:p w14:paraId="09145CE5" w14:textId="77777777" w:rsidR="00445890" w:rsidRPr="00AD45D4" w:rsidRDefault="00445890" w:rsidP="00445890">
      <w:pPr>
        <w:pStyle w:val="Heading3"/>
        <w:numPr>
          <w:ilvl w:val="2"/>
          <w:numId w:val="21"/>
        </w:numPr>
        <w:spacing w:line="240" w:lineRule="auto"/>
        <w:contextualSpacing w:val="0"/>
        <w:rPr>
          <w:rFonts w:ascii="Helvetica LT Com Light" w:hAnsi="Helvetica LT Com Light"/>
        </w:rPr>
      </w:pPr>
      <w:r w:rsidRPr="00AD45D4">
        <w:rPr>
          <w:rFonts w:ascii="Helvetica LT Com Light" w:hAnsi="Helvetica LT Com Light"/>
        </w:rPr>
        <w:t>Data:</w:t>
      </w:r>
    </w:p>
    <w:tbl>
      <w:tblPr>
        <w:tblW w:w="75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500"/>
        <w:gridCol w:w="1500"/>
        <w:gridCol w:w="1500"/>
        <w:gridCol w:w="1500"/>
      </w:tblGrid>
      <w:tr w:rsidR="00445890" w:rsidRPr="00AD45D4" w14:paraId="1B2DE49D" w14:textId="77777777" w:rsidTr="009A4DA1">
        <w:trPr>
          <w:trHeight w:val="300"/>
          <w:jc w:val="center"/>
        </w:trPr>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6D3C70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Date</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42B841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Headcount</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31C5D8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Separations</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0E0896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Daily turnover rate </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vAlign w:val="bottom"/>
          </w:tcPr>
          <w:p w14:paraId="7A86A9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 xml:space="preserve">Enhanced monthly turnover rate  </w:t>
            </w:r>
          </w:p>
        </w:tc>
      </w:tr>
      <w:tr w:rsidR="00445890" w:rsidRPr="00AD45D4" w14:paraId="4F39DE1C" w14:textId="77777777" w:rsidTr="009A4DA1">
        <w:trPr>
          <w:trHeight w:val="300"/>
          <w:jc w:val="center"/>
        </w:trPr>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4AA810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1-Jan-17</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2C8686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3FD596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7FEC61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000000"/>
              <w:left w:val="single" w:sz="6" w:space="0" w:color="FFFFFF"/>
              <w:bottom w:val="single" w:sz="6" w:space="0" w:color="FFFFFF"/>
              <w:right w:val="single" w:sz="6" w:space="0" w:color="FFFFFF"/>
            </w:tcBorders>
            <w:tcMar>
              <w:top w:w="0" w:type="dxa"/>
              <w:left w:w="40" w:type="dxa"/>
              <w:bottom w:w="0" w:type="dxa"/>
              <w:right w:w="40" w:type="dxa"/>
            </w:tcMar>
          </w:tcPr>
          <w:p w14:paraId="2A530D81"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E2D255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0AC6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726B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748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EB15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9C9C8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263D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FDFC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323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2E2B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733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B2EC7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84A5B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1871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A3E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388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483B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2D43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A8574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D6AA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686F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7983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AE9C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C4316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F85AC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29C3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39C9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FF2A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1D44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E7E2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D1F2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BEB0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59C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FFAF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FEDB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2D884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457101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5D32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13F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AA6B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E906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BA839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7A9F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124E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492B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270F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96B4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8E91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039D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15F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FE3B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41E2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9F35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DC8C6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87DBF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C476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0F49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337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03B7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AF70D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D9B64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0F5F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CF16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AE63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2265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D11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FCBA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33B3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8AE3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4EC2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76DC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EECB5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16C7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9DDC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2FE9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0B6E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AD91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AB924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D1DB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F6AE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9EE9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64CA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B0D8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71E7A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E6F47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D8B6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E5FB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E564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7F0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B410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F304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D20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0EA2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8708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4BD1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B7D1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547C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11E6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B8F9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36A5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6ED0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4B7F0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3B2F8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36F0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B990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F13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C96F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B71F5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BF0BD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9BAB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1057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FB79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6607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31EF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73463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365C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8F02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7274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DC31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54AC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7A024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58B1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ABA8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787C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3F7A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C782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5D8EA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B71C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C049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C06B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EC6C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FD36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E1156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356E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CFF3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B044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47D0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214F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A6D2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001A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2EB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3C15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0F74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04AE7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929B4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F27A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6029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14D8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C1B6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7138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32DE9E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5B3B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0EEE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E5D9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D6E2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C0815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E979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3F9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3193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F119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64B0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CD95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15881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DA3D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8605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7B17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27C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9EA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8FE62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1E0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DC61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8E03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1A8A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42890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90DDE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7C3A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BC1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5BC3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6739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027D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96.88%</w:t>
            </w:r>
          </w:p>
        </w:tc>
      </w:tr>
      <w:tr w:rsidR="00445890" w:rsidRPr="00AD45D4" w14:paraId="4C75DAF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9E0E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91FE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DF68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AF30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F1C740"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5E399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DDAD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A080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785D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70A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527F1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7BE9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72C0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59F8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9FCD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E50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7A7F8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FC520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69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B969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0CC8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6F89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0D0EC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D9460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E425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7F47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D8F2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DD76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13C78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8840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5F59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F196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2D10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D39A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C97B3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4617A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15A0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B3AE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29CB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68E5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3A010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05C27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0523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3B3E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E026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2270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37AD7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9F9AB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02E1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7EB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5BCD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DE2B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31F5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2F3E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FEA6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4C6E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4633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3E5B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36D25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7094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88FB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37F7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2638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6412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1E10A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209A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EAC7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058A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8FAC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CF5A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D979C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B3ACC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C8D8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1FF4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EF18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8FE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D05A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90044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043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B743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37B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D800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9A468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41BF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0004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B31F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BCE3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6A51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CF28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F136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5178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740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FBB7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C71A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44F1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D9894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B2A0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CEE4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179C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D71E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B4A9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84B8E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7410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A449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9CEB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03C0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FFCC4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D043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B859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59A6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9CA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DBC7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88FFF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46F8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B4BC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AB58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7BD8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38AF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EAD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1FF24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B0E9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EF6F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923B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094E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60DE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E3670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9E0B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2AE2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43BF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878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CE50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4B56E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F589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98D4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1765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AB17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C13C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8F7D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5160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6D8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1486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89E1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8AD8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18BF5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8F7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DD3B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F8C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21C9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48B37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1B2B36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70EC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1DB1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1E2E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E0D7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B018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AAF17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984F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1F81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B7C8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A49D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33149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B15A4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FDB2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28-Feb-17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6FC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E2EC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98E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D75A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0551A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E02E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5B47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DCB6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5791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724F3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6832BC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D89C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087B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7991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189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5A170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0769E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729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3D52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93B1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FB24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C4413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AFFB6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7755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1351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A0D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5FCF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98242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5503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4D90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A16A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81EA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FE04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F8655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CABBF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84EA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2AC1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5B1F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CC06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269FB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5E446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92C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4263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EEC7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67D8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EAB63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1693C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726E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17F4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01A1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96CC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D05D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603E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2FFE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3E94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E118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8363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7D92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8CC06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469B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D321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8D6C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159C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251B1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D5D7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BD3B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65D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5E87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894D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6EEF0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04514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C5E7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5CC8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9121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C651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CB4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B7C4D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AFFD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9BCB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E0D3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1096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75C2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8EFD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077B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0C0A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05D0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319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BE17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6536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A46A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982F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6946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B245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1F6B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3C31A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E7D2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8C96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7646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8CB6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4C328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8F232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4992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8FF4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98D6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722A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DC4D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C1F17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4432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1E0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8D4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F8A63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0E6E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A082C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9D9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052B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61F1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6770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66964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516B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6DE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4ACB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782D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6F53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EB84C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0926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A864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1294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DE57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D2C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2073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02E6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0E7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A0D5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3C29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2196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8B532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99C46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4702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409A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7B1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D504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0C5E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81D95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1099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52E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6032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84D3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B713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2E067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C4A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3983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7377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C090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0E5D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0C753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BB57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29F9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46C6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4169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78BD8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4957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FA3C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8A7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7921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FAE2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51F2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40BF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1B5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28-Mar-17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CF42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BFE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C638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A9F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5780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080F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4B2F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7AA5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193F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97A31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B7E3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FC64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A815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5D40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8D76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982B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77CD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ADA9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4C2B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2FA5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F975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1144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232EA7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1804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A6E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DD97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FEB0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D785A3"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0F6171D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EAA7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D4C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DE12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7637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3AB5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FD28E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999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6687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77A1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8AC2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4B1F5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1BAEE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166A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0928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5EDD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6D86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DF43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DF56A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1186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6180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9B75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F706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B362B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70C43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0B4F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EC58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105D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DAD3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E886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1766B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2457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40D4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2B0F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01F6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5BC81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835D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CCE8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D40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D291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2E70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AC4FE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134DD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D14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F599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8DF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832C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4E836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E7FB2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9E52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CCFC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F74A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EFCD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B182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9A20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9B10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C6EA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0DDE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2440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BEFA6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4A6B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AC2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9821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E95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AC9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182B8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1303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FF74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1A69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496A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810C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C0F20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82CEB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77BF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F297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B4BC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AE72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7E9E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5B3A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102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0894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259E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0C3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5F2D5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7A6EA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476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E4C3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3313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8948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B6CB6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7E9094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8376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775A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D369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8120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19E7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154DE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16D9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A371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3985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B4AB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22A65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87420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F268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B146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E9E7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752E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98C9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892DE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FD7B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CD5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1021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D951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1E114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2F809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B1D2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D22B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E952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1FAE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654C5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5B46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654E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7A40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F94A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AB3D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59C80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463F0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B612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0322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447B8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4506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09BA8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E345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EE17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F986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A339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98B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9A8B6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BBFB8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E9C5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5427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E51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D59D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F51F3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93092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ADDD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1C7D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037A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90FF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99D9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B56D5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634E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D166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678F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06B0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9B025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AC253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3083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22C7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4F3C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D69B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26A5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3DAB1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1C9D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C4AE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771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EDE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307D2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C5E4A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D86E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30-Apr-17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842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C743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7D48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41F7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50573EF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E2D7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705A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5566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45D5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1BB0B7"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9ACB20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164A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384E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2F62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E365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AC650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7587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37AE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2403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648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0FD3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211D8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2315D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2B8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DE89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45A0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D71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89AF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C148F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08CF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0BC8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0CEA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99A2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077FD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66853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199D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AE9E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F37F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831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459B6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610FA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10A8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195E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3AAC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F9CE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86F4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BB1B3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A358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77FD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48F3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BFFC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4713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309EC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0F6B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92CD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D7BC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590F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AC40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0D39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489B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8726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E4FF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3B82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0F892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9BAD4D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71C2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4FF0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D079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5C8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9F56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733F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529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71A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F0CB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C503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14D6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65A2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884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C213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704E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6E78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0DC5A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2161D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DEC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6A7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1FF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166A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EDFD7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22294D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B299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C4C4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AC30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DC70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C81D8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F7108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B50E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FAB4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FC7D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6102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A682D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00A82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4301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9338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FDDB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D635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CFC6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B6D4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408C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A25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4EF9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C257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938DE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6D662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15EF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905D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6E5C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E62D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78840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9FC8A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F55B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D1D1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5B25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848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E362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22E17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2D7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83D1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188D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F711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777DD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CE76D8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3170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39E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E013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4818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E33EA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6B0D3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28E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0AE4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F33F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CC61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CBA44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DFC79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E7D3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9FFB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902C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0DEB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FEDFE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18CB4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F94B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CD28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9EFC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477BB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617D8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795E57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3A4D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AC22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A61D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C136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52C67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9AA3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9176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7720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3185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E222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5A19C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DF78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8813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65C1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AB3C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4D34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F53A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5ED4E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14B2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013F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E16F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8DA5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1840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59196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1B28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E0C9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A1B8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36F8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F77BE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61D5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109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31-May-17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3994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08C9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1F41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1CC9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77AB059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4FFD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AA0C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AB44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7A73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A6A8EB"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0D22064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01E0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01D6E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9ED4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4F12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97E4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F3746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6C6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0443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952F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5739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341AC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FA9F4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C614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E6D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50C7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F13A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D2F2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F827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0329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6769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5960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1AA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494C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520530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09A4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0113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586A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0085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16EA1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08D24C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DC3A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E7B9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564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A9C6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43D69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6E954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C95E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47D8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3A95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9930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EF284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9784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6561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483F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B82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ACB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CCD86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D5C9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D500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8E6E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28A3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0BE7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B09F2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BDB4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AE46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DE27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9185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BC24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D2D18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CA482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CE57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0A4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78F9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FDC3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3CC7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8101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F1F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A138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0BCF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CD9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C548A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5A1CD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1C41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027F9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E5A2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949F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ABD6B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FEFBF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11AB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E422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FB18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DB4C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2198C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85933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8D83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FF11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54F1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3D6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FAD8B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2830FB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19D7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6172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6900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3E72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C520A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91D61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FDF5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C9F9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624B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0A24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2E76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CB219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CF35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38E7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9E5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8152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58A55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215B6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D47F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372B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879D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BE77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0D80D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A10A2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0E69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F0A0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4801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675A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0194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34CEF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0F6F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22-Jun-17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2733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F2B8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AD9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53DE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6617A7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F594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4935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9F3C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E0AD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7681E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63CA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A501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25278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6988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A1EF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6D911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C0ED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5A15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F903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02AB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BC8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E9B4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BCB7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563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84CD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DD09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5AF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E81D6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EA909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D30E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CFDE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54D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0CE9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5390E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4DB53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BA99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AAFA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766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D131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65B7E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BBED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2D1E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F9C3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CC87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79AFA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360F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6E38B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9CA8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30-Jun-17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FB26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F571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1CC3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7A99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18BB024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826E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C834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976D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55D0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340545"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ADBC2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5352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8965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0716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E96A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95474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576B6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BF08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A85B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DA1B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620B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5015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3E3389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157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4372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8874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E329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B3918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B4CEE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FDFF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52B4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D040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376E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A63E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C324E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7189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ACF0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946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70DC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D0FE9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0F98F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6C2B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C24F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81B9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BCF5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78B1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2198A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6D25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43DE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75B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46A74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8CAEF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08326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E9B40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AC52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E4D5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D7FA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9F157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D20C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836D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0D4C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4450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D171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EDDA0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57319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3AED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B91A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D15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458F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A9776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81B7F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155E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D7DB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805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6BB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6360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14D1FE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7AC8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5BA4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444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A8696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E0ACA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A2F28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CE67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9EB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8D6A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4308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BB4DC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6658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3E0F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DF333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BD21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92D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EDBC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B68CB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57DE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0050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27F8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846D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5BD2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8026D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40DC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600D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F6C4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E9EA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E2C3D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8FB7B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5EB2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FCC6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5A9F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B4A0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8E9FA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AD1D6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88A0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9496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5B93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453F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A61CD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40534C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4EB6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C735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50F3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8F71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FB700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CDA4EA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C587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F702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1F83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FD50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159A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F1C271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077A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F3CF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6783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23CF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D8540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A2901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14B7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CCFC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EC89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611D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AFB7C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267E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1C90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E045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E0F3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48F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5FFAD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01E0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DDDB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2EF1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E4F1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1480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A1D1F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1B36D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07D5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8EBC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D6A0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C912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E46C4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DF0B2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1395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5816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5EEE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F3D3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0780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4425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BC20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2C2B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8CD7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282D8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6816E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78D18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4CD6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D3BA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A4E2A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9844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7BBFC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FD03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0B87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5386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5990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0CCE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4D1A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BF661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7B14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31-Jul-17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C66B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0B30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5E3D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6F8E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51FD97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BB81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5598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CDBA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7D46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177C04"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38A359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BAE7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4AF3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7762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1530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EBDD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D7186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A8FF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556E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6CCCB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F614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81DB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D46479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CF28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59C8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69DB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1D67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2793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3FE9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3469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B3EB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6F5B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12A3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10EC2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8A9144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DAD9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E832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E6D9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3BA4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1D5DE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1FA67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7BD7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F650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7F5B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EC97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827DC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41247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4201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2EC6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7C76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CFD7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987EB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A832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21C7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F2F9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5C35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8A6C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62B4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24679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398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4860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A91E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1638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895F9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BA21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7CA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0BA4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B7B9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64F2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C81AD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7CC206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F16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EBF3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DA75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E24F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F74A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3FA222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0436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BA54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4EF2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B6EB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6DDD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5364A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E0F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AD7A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341D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5BE6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3CF4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C7BCB7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494B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E868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0E91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E3A0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9C6FD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4FD9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38B8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1153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BB99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FACAF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4A093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0572A7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5F58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CA9B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ACD8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0854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ABD2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1D3074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0481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DD72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768F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6242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93529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E7CCF5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CBD6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E3BD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F488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1852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332E1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0D08A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2B67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3A98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FE8B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3FF8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1B22A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16BE0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12D5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8425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9B6D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B48CD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8C794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894B0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8566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C06A3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B78D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B7B4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91B2E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F1E49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10B9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B831F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6114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D78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10AF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DBF4C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4D4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C1EA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4EA9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B7AB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5FA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AD7C0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4998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62F7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B981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B88A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ACE4F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DDCD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F080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7F9C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B305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F78E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2739B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F5D4E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28B9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5682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668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C22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E4AE0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612A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F68E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CEF8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20FC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93FE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98EA4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8D490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9E75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FD36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11A7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580A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A9E39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40C70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38B4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7308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0C509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7C0F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5D95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183A0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1F42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31-Aug-17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A4A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166B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1E4C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67A0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098F3DD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B867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E61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D6697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97EF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DE91E1"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1BCE32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43C6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2BD0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DDF2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AB87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86F6F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E8C3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633A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C105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FDC6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A8F7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2AED9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9FC6C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970D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F31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8699F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CE0C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C1532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D1873E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9A72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33E6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0BE7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B7D8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FFD19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F2A7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2374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358D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8436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3B56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74F54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40677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1543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C1A2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82EC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C8FC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97D65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1355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144D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E0C5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F870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F7A7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D979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9E54C3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B4F4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0951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8290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FD07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239A5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EE4D59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A95B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18EA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D908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229E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25A0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C18C8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E32F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A67C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02BB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D379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DC864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D9844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BDC9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ECAA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675C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6048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DB13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8D53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93BD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CB09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3973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2257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8DEB6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39CB75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C236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ADB7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5553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7CE2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2F6DD8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7B23BF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3178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DF9A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322E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25B4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9ADA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F2D88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B306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1C07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47A7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E0D7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C27A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E180A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A55C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69110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BFF9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C77B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DEBD7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4411C1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53C87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3F50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08F0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FA4F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CB4C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E51FC9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DF744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7D6E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0753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2D19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42A2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A8C237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30B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F9F4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1ED6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2A82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E2F2E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7D0F44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3946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5368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E2D7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6344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461CE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C521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3776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C9BC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60D0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36E4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EE732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3D4151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A9904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1121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3861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F0A2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A7C24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0949B8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3B3A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3F29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2E6C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0BDD5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386C0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58CD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1EC4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545A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258A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407E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42523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B1452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D6C9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0C5F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C841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967B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049D5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D980B5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9B4D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FDDB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E337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E552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9203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7DCFE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F7A2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11D0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6C32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D299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5D61C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298B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9E00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9091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31B3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C6CA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4690A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5C06FB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CE068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30-Sep-17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DC81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4F58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FCD7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D79D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2A408CC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8999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4CA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9E40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0D24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44F1E0C"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112F2A7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6651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44970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6352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5604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EF4B7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85E48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7CD1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9026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3075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13FC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D63A4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45086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9BB2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2B2E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AF0A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B211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2416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74134D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5F4E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62A95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075C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642D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29D7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8668E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950C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130F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42A6C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0406C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84601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F408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7D1B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9BB3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539E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EF20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ACF9B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8CC021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CFF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1493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E2F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248E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84F5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8CA28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7972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A62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D583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2200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852FE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A5F5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4463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A03C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4E56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5A00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E1C74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A01C5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8AC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5289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787C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466B1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885E8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87F91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6C1CA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9343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8AA4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C7BC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97D9B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DF4C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B45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5882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88A7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9023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9C07A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09B587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8D07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5CE9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256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7131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8125F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4138A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9E9D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1605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DCB4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F4EA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D3752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F3F292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27F5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011E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0515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0B05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E257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69B10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1AEC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4F2A5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CBF6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BF86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8C24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85A43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B897D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A594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4B69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21D1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6D7DF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0185DF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F918F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3F66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49C5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1F59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A6FBD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21C1D5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D8C3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D808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C3B0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4C0E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E5E8A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A1183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9FAE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ED17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B62C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D6D4A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A867C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5F0F7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2B3CF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CFA0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4E6D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CB2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D8819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83984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4606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6608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72B1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12C6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4C05B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9F223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76D5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EF68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84C6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CAA3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E68C3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999E72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F1070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A675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F581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6548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97B8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C9EB6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45394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B333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CCC0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13DEC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558B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CB015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57EFD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999B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FF6D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2311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71D37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D29F11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FFDA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70FD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A9297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A8FE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484FC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8B91F7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12F1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29-Oct-17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B81B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06F2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87A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C71D3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9BE1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F84F6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0AE6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4BE6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D1DD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34BF4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D0AA2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31BC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31-Oct-17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201E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4B66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AE2B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C1D9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408658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1CD8C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B574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173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F470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8759A2"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706FDB1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EB8C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6DE0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4E8C2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627E2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8F099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9A2192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35F2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1DD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EFB44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E456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C6CC8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F94D2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AC0E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C30D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E4F4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8821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6A603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0DDBC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10EB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29E7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AF74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20AC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893D9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23E7F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B4FA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0248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A5A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9284E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00C21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BB3582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85E9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649B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A7AAA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4B7B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CAD0A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958A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49C6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616E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DB0C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C75C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EFF4F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778E0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E041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2C19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EAF4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B10D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55A3BD"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48AC4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91AD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C4FE2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68A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FF34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7D3C9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C53F4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9893A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6599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B52AC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7F2B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67DE3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D57F9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1A13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6D43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CAC8F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8CD2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865E1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BB3A6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8B88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1025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6ACF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A813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EFF5F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943D21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BC541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F1D11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EE383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EE806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C19A2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4934B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DF82D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AC2F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9BAC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F66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72FE5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05C1B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C1AB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D4A75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24D2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9A48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D9A7C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4676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5C6E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0C469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CCA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0299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CE74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0F8B0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3FE88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C857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2644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2F078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40EEA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51877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546A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903E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97956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4C4E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71AD7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F8892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AAC8F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EDB9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E4D0D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2C2F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2DF7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7DE3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6DB01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09ED8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EB09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0CD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32088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00466E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9E06D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7936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3568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F68B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4C026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215775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EBBA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6093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1604B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BFC27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94FF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7E9B9B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90154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8E1CD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F627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5EAB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D664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76A8F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85E2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48128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FC45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03F6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07132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077A5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3CF7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FD442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2C83D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CA38E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F6BEE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8AB38D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ED39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B7E1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575B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6E00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27DF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DE4FC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B173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AE300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7426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E94C5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2274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03E48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BAA1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C2DB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7354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8C9A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0047B8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61A0CD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63CE6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30-Nov-17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F18BA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8737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65F5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78387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1B0CD35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6A3F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5D93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6A09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03797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57094D"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5261E09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144B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B2B4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D471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15B6B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0F920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82C13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F12C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475C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C362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AF79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E2527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5E0F7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3B9CA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F63A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375C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D98C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2F8F1B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A671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84FA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8F287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0FFF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B760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EB8DA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3283A8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508A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E182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45D86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8ABD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96D2F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6FC18A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5A1C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170E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A154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3D33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E3FA0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0909A2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4B13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28315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F8FA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9E51F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BA566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0C4D4D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77D9D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ECBBA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E72E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E9761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3B9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7748D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26D50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C6ACE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E316F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F4084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EE2E6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E20F04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3219B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11-Dec-17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11C2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853D8E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B4B6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BC3A9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84F2E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AE8E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9C27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9D68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C0DB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AE447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A12EA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675CD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6069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C33B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CB071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DB85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39518A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88727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9D4F3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F421E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C68F7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7A803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455B5B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E0206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8DA4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3EB9A9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9715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32363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61BD3F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29051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BB46A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634D6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9D74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7859D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6CED69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9F87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1AE1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55255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86CA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063FE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B7E500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0C205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42C67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C470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1F1A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33676F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BF22E1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D04B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E6668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F805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F55C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F3FB0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CE6B4B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DFB7A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9610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0803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7421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3CCF3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BBD910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AED53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36CD4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6D70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769E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ACBC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338AC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7093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C922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3FFCC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D0370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DCDDB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D6B91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5FDC7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98C7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12380B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A0CA8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2BBF5E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18477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86F34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2FE1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F57A3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5E718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3681A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150E4D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7BA1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F2D8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5B0F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9592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5E78E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E8D96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67414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F22D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2896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72BA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F2425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57FD9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EA1D2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6DA3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2D38B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E634C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837DD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C44ACF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CAE43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A32AC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AD626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A5975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AA95E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A15894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AC2A2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D9799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19D5B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28BB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9EA46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127D68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3FAF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41504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B0EA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246A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2748F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314A24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5E7B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31-Dec-17</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A2579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062C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F7F1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E63F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r w:rsidR="00445890" w:rsidRPr="00AD45D4" w14:paraId="39DA7FB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A29AE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1DFF6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DB66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06D7D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938176" w14:textId="77777777" w:rsidR="00445890" w:rsidRPr="00AD45D4" w:rsidRDefault="00445890" w:rsidP="009A4DA1">
            <w:pPr>
              <w:spacing w:before="0" w:after="0"/>
              <w:jc w:val="right"/>
              <w:rPr>
                <w:rFonts w:ascii="Helvetica LT Com Light" w:hAnsi="Helvetica LT Com Light" w:cs="Times New Roman"/>
                <w:szCs w:val="24"/>
              </w:rPr>
            </w:pPr>
          </w:p>
        </w:tc>
      </w:tr>
      <w:tr w:rsidR="00445890" w:rsidRPr="00AD45D4" w14:paraId="2CF37C8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62158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E191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86567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B1178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DFBA1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253618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3FCC4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0DEF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89A9F0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D3763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6A9E9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CBE5B7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D0200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696CB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7B3BA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AB895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C00CF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AAA8D5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C6AD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F1811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F2071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074FA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889AE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47C62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BFC45B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0AC5B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5091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F3F4C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302261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3F248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DE84E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D9D9A8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3D72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5C94F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CBDD3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D3E2B2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DE737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100D4D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F29E9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BBCA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5BEA7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9F2765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0B185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5B0B37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E1C67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8825E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22611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AFE865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B36F3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BDF85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5EC919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996CD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F0ABE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1572F96"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73B8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752AB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F59C2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3876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1EB6C9"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FA2437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8C95CF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0014B6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B65AB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C26C5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FC3A51F"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A440E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F02343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2993C7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B1035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D9C1E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EF7AB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819C86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FDA6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F2782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F9362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A068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BDFE9D0"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51DDC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28CF6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AAB6E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836C29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7D4B19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5ADBC4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B82D0B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5B3E24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FB93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D14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E28D30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341127"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6F9721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8D1A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2F1E5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AB50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D2B3D9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E6CAA8"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36C90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9A94C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4A678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7208E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CC202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F9F4F3"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700FCF8"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ACAAE3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8B49C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9B300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8EBF2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474A7A"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BD2B16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F576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E2609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9F44E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246FB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DFD3F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0CA0673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ED532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79BCD9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2C07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178A0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1869D1"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619DECC1"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A59A1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14C1F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61EC4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B188F4"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BDFBE8C"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D9E54D3"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290978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lastRenderedPageBreak/>
              <w:t>23-Jan-18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0121A1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17ED9F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7CB6C3"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7C1E2B"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96C489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E29109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6D9CC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24AC8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FA906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829A74"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52B9726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293A1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AA68CDF"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77454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A91E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F150E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17EEFE4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66B40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147B5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6CD289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9B6DEA"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0D49F46"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7599C2F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69C8B1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E916AF0"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C07B1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3FE02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787F39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2F225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DA9F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C1B782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DDEC61"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C20826"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F7B82"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43F20E8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839905"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29-Jan-18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922AFB"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87DB09"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1EAF2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5AEAE5"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2A3A6F2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824723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30-Jan-18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3E76A7"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5ADA3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72E30C"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7D267E" w14:textId="77777777" w:rsidR="00445890" w:rsidRPr="00AD45D4" w:rsidRDefault="00445890" w:rsidP="009A4DA1">
            <w:pPr>
              <w:spacing w:before="0" w:after="0"/>
              <w:rPr>
                <w:rFonts w:ascii="Helvetica LT Com Light" w:hAnsi="Helvetica LT Com Light" w:cs="Times New Roman"/>
                <w:szCs w:val="24"/>
              </w:rPr>
            </w:pPr>
          </w:p>
        </w:tc>
      </w:tr>
      <w:tr w:rsidR="00445890" w:rsidRPr="00AD45D4" w14:paraId="3E4E120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C76B5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31-Jan-18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36E7EBD"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00FC18"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D3D99E"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3506562" w14:textId="77777777" w:rsidR="00445890" w:rsidRPr="00AD45D4" w:rsidRDefault="00445890" w:rsidP="009A4DA1">
            <w:pPr>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96.88%</w:t>
            </w:r>
          </w:p>
        </w:tc>
      </w:tr>
      <w:tr w:rsidR="00445890" w:rsidRPr="00AD45D4" w14:paraId="07D9405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417786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74008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4542D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021047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B65B4B" w14:textId="77777777" w:rsidR="00445890" w:rsidRPr="00AD45D4" w:rsidRDefault="00445890" w:rsidP="009A4DA1">
            <w:pPr>
              <w:widowControl w:val="0"/>
              <w:spacing w:before="0" w:after="0"/>
              <w:jc w:val="right"/>
              <w:rPr>
                <w:rFonts w:ascii="Helvetica LT Com Light" w:hAnsi="Helvetica LT Com Light" w:cs="Times New Roman"/>
                <w:szCs w:val="24"/>
              </w:rPr>
            </w:pPr>
          </w:p>
        </w:tc>
      </w:tr>
      <w:tr w:rsidR="00445890" w:rsidRPr="00AD45D4" w14:paraId="2D75E32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84FE7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D2357B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A3AE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E2041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C38FF2"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3DE51CC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96FC8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3-Feb-18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6349F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91A8BE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754B8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E009CF"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72D69DF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8D91D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4-Feb-18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211B5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225C2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D35261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02507E"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71134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E77867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5-Feb-18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E6CC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50F20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162C70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57AE78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1D9E53B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05F8D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6-Feb-18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28131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71420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1FEFD3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458F7C"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20702A3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FECB9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7-Feb-18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2D4D1C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98046B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9258D4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0A9E2D7"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1858AF5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A10979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8-Feb-18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93346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F4DF2A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6333C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C65933"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2E150222"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D4AED0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9-Feb-18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73F24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221AE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F07F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90F50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2055981B"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6FF9E1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10-Feb-18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613DC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8C290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0FBA2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A664443"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AEBEE7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EB90E8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11-Feb-18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C6E951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95AD44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C8F36F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D3C3C8D"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26EF8D09"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8287E8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12-Feb-18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48B1AC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8FD37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B0170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5714EF9"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4B7E9E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025F4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13-Feb-18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0EB5F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675F8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CC9A57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DDF975"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3D90B62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95FC9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14-Feb-18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072DD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D76E29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E0290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693C246"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5CD204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3A8848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15-Feb-18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2F210A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B74D09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B743F5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5AE2BA6"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7702179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5BF44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16-Feb-18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7B6E8E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F12176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196FD7"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EE44A45"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7DA78200"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5137CF"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17-Feb-18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4D6BC3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CFF76C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7C803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509D19"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3D5D67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E33238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18-Feb-18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E5B5C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97A4ED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2F112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B2D65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3C79D9BC"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D92888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19-Feb-18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98C53F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77E426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C59C0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4FF2D4E"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6A7C141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A2D75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20-Feb-18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72B05F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89159E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33E0F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049638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2EC624F"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1CE08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21-Feb-18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FDF3B4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1F27D5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EBE7AC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C79ACF1"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BAE57CA"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184327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22-Feb-18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91AB5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A66455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07E6781"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4C559E7F"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79554FFD"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6A983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23-Feb-18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65DE91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BC40E4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B642AA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CC554DC"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E88E3C4"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EA957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24-Feb-18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A75007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5A000AB"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6466A60"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666BBEF0"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F9CA265"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496A33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200DDC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6492949"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3FC1910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FE50278"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02D4213E"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70EA648"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26-Feb-18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80DC45D"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3330412"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772FE9A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0424621A"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5DEACB17" w14:textId="77777777" w:rsidTr="009A4DA1">
        <w:trPr>
          <w:trHeight w:val="300"/>
          <w:jc w:val="center"/>
        </w:trPr>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1F0BF7EE"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27-Feb-18</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93325FA"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44C15C"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2ABAC296"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FFFFFF"/>
              <w:right w:val="single" w:sz="6" w:space="0" w:color="FFFFFF"/>
            </w:tcBorders>
            <w:tcMar>
              <w:top w:w="0" w:type="dxa"/>
              <w:left w:w="40" w:type="dxa"/>
              <w:bottom w:w="0" w:type="dxa"/>
              <w:right w:w="40" w:type="dxa"/>
            </w:tcMar>
          </w:tcPr>
          <w:p w14:paraId="59C7B800" w14:textId="77777777" w:rsidR="00445890" w:rsidRPr="00AD45D4" w:rsidRDefault="00445890" w:rsidP="009A4DA1">
            <w:pPr>
              <w:widowControl w:val="0"/>
              <w:spacing w:before="0" w:after="0"/>
              <w:rPr>
                <w:rFonts w:ascii="Helvetica LT Com Light" w:hAnsi="Helvetica LT Com Light" w:cs="Times New Roman"/>
                <w:szCs w:val="24"/>
              </w:rPr>
            </w:pPr>
          </w:p>
        </w:tc>
      </w:tr>
      <w:tr w:rsidR="00445890" w:rsidRPr="00AD45D4" w14:paraId="47410A4B" w14:textId="77777777" w:rsidTr="009A4DA1">
        <w:trPr>
          <w:trHeight w:val="300"/>
          <w:jc w:val="center"/>
        </w:trPr>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137E0B3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28-Feb-18</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65804ED5"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25</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065D4123"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4298839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w:t>
            </w:r>
          </w:p>
        </w:tc>
        <w:tc>
          <w:tcPr>
            <w:tcW w:w="1500" w:type="dxa"/>
            <w:tcBorders>
              <w:top w:val="single" w:sz="6" w:space="0" w:color="FFFFFF"/>
              <w:left w:val="single" w:sz="6" w:space="0" w:color="FFFFFF"/>
              <w:bottom w:val="single" w:sz="6" w:space="0" w:color="000000"/>
              <w:right w:val="single" w:sz="6" w:space="0" w:color="FFFFFF"/>
            </w:tcBorders>
            <w:tcMar>
              <w:top w:w="0" w:type="dxa"/>
              <w:left w:w="40" w:type="dxa"/>
              <w:bottom w:w="0" w:type="dxa"/>
              <w:right w:w="40" w:type="dxa"/>
            </w:tcMar>
          </w:tcPr>
          <w:p w14:paraId="6FFC9084" w14:textId="77777777" w:rsidR="00445890" w:rsidRPr="00AD45D4" w:rsidRDefault="00445890" w:rsidP="009A4DA1">
            <w:pPr>
              <w:widowControl w:val="0"/>
              <w:spacing w:before="0" w:after="0"/>
              <w:jc w:val="right"/>
              <w:rPr>
                <w:rFonts w:ascii="Helvetica LT Com Light" w:hAnsi="Helvetica LT Com Light" w:cs="Times New Roman"/>
                <w:szCs w:val="24"/>
              </w:rPr>
            </w:pPr>
            <w:r w:rsidRPr="00AD45D4">
              <w:rPr>
                <w:rFonts w:ascii="Helvetica LT Com Light" w:hAnsi="Helvetica LT Com Light" w:cs="Times New Roman"/>
                <w:szCs w:val="24"/>
              </w:rPr>
              <w:t>0.00%</w:t>
            </w:r>
          </w:p>
        </w:tc>
      </w:tr>
    </w:tbl>
    <w:p w14:paraId="2534C048" w14:textId="77777777" w:rsidR="00445890" w:rsidRPr="00AD45D4"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Note. Daily turnover rate = (separations on day/headcount that day) * 100.</w:t>
      </w:r>
    </w:p>
    <w:p w14:paraId="73C1463F" w14:textId="77777777" w:rsidR="00445890" w:rsidRDefault="00445890" w:rsidP="00445890">
      <w:pPr>
        <w:spacing w:before="0" w:after="0"/>
        <w:ind w:left="1170" w:right="1137"/>
        <w:rPr>
          <w:rFonts w:ascii="Helvetica LT Com Light" w:hAnsi="Helvetica LT Com Light" w:cs="Times New Roman"/>
          <w:i/>
          <w:szCs w:val="24"/>
        </w:rPr>
      </w:pPr>
      <w:r w:rsidRPr="00AD45D4">
        <w:rPr>
          <w:rFonts w:ascii="Helvetica LT Com Light" w:hAnsi="Helvetica LT Com Light" w:cs="Times New Roman"/>
          <w:i/>
          <w:szCs w:val="24"/>
        </w:rPr>
        <w:t xml:space="preserve">Enhanced monthly turnover rate = (separations in a month/average </w:t>
      </w:r>
      <w:r>
        <w:rPr>
          <w:rFonts w:ascii="Helvetica LT Com Light" w:hAnsi="Helvetica LT Com Light" w:cs="Times New Roman"/>
          <w:i/>
          <w:szCs w:val="24"/>
        </w:rPr>
        <w:t xml:space="preserve">daily </w:t>
      </w:r>
      <w:r w:rsidRPr="00AD45D4">
        <w:rPr>
          <w:rFonts w:ascii="Helvetica LT Com Light" w:hAnsi="Helvetica LT Com Light" w:cs="Times New Roman"/>
          <w:i/>
          <w:szCs w:val="24"/>
        </w:rPr>
        <w:t>headcount that month) * 100.</w:t>
      </w:r>
    </w:p>
    <w:p w14:paraId="58B0D2A6" w14:textId="77777777" w:rsidR="00445890" w:rsidRDefault="00445890" w:rsidP="00445890">
      <w:pPr>
        <w:spacing w:before="0" w:after="0"/>
        <w:ind w:left="1170" w:right="1137"/>
        <w:rPr>
          <w:rFonts w:ascii="Helvetica LT Com Light" w:hAnsi="Helvetica LT Com Light" w:cs="Times New Roman"/>
          <w:i/>
          <w:szCs w:val="24"/>
        </w:rPr>
      </w:pPr>
    </w:p>
    <w:p w14:paraId="128E1C93" w14:textId="77777777" w:rsidR="00445890" w:rsidRDefault="00445890" w:rsidP="00445890">
      <w:pPr>
        <w:spacing w:before="0" w:after="200" w:line="276" w:lineRule="auto"/>
        <w:rPr>
          <w:rFonts w:ascii="Helvetica LT Com Light" w:hAnsi="Helvetica LT Com Light" w:cs="Times New Roman"/>
          <w:i/>
          <w:szCs w:val="24"/>
        </w:rPr>
      </w:pPr>
      <w:r>
        <w:rPr>
          <w:rFonts w:ascii="Helvetica LT Com Light" w:hAnsi="Helvetica LT Com Light" w:cs="Times New Roman"/>
          <w:i/>
          <w:szCs w:val="24"/>
        </w:rPr>
        <w:br w:type="page"/>
      </w:r>
    </w:p>
    <w:p w14:paraId="70EAE6F3" w14:textId="77777777" w:rsidR="00445890" w:rsidRDefault="00445890" w:rsidP="00445890">
      <w:pPr>
        <w:pStyle w:val="Heading1"/>
        <w:keepNext w:val="0"/>
        <w:numPr>
          <w:ilvl w:val="0"/>
          <w:numId w:val="17"/>
        </w:numPr>
        <w:spacing w:line="276" w:lineRule="auto"/>
        <w:contextualSpacing w:val="0"/>
        <w:jc w:val="left"/>
      </w:pPr>
      <w:r>
        <w:lastRenderedPageBreak/>
        <w:t>Appendix C: Connection to Survival Metrics</w:t>
      </w:r>
    </w:p>
    <w:p w14:paraId="7EAAF747" w14:textId="77777777" w:rsidR="00445890" w:rsidRDefault="00445890" w:rsidP="00445890">
      <w:pPr>
        <w:ind w:firstLine="567"/>
        <w:rPr>
          <w:rFonts w:ascii="Helvetica LT Com Light" w:hAnsi="Helvetica LT Com Light" w:cs="Times New Roman"/>
          <w:szCs w:val="24"/>
        </w:rPr>
      </w:pPr>
      <w:r w:rsidRPr="006377B6">
        <w:rPr>
          <w:rFonts w:ascii="Helvetica LT Com Light" w:hAnsi="Helvetica LT Com Light" w:cs="Times New Roman"/>
          <w:szCs w:val="24"/>
        </w:rPr>
        <w:t xml:space="preserve">Realized turnover rates also provide information about </w:t>
      </w:r>
      <w:r>
        <w:rPr>
          <w:rFonts w:ascii="Helvetica LT Com Light" w:hAnsi="Helvetica LT Com Light" w:cs="Times New Roman"/>
          <w:szCs w:val="24"/>
        </w:rPr>
        <w:t>the average length of time</w:t>
      </w:r>
      <w:r w:rsidRPr="006377B6">
        <w:rPr>
          <w:rFonts w:ascii="Helvetica LT Com Light" w:hAnsi="Helvetica LT Com Light" w:cs="Times New Roman"/>
          <w:szCs w:val="24"/>
        </w:rPr>
        <w:t xml:space="preserve"> </w:t>
      </w:r>
      <w:r>
        <w:rPr>
          <w:rFonts w:ascii="Helvetica LT Com Light" w:hAnsi="Helvetica LT Com Light" w:cs="Times New Roman"/>
          <w:szCs w:val="24"/>
        </w:rPr>
        <w:t>individuals “survive” in organizations</w:t>
      </w:r>
      <w:r w:rsidRPr="006377B6">
        <w:rPr>
          <w:rFonts w:ascii="Helvetica LT Com Light" w:hAnsi="Helvetica LT Com Light" w:cs="Times New Roman"/>
          <w:szCs w:val="24"/>
        </w:rPr>
        <w:t xml:space="preserve">. </w:t>
      </w:r>
      <w:r>
        <w:rPr>
          <w:rFonts w:ascii="Helvetica LT Com Light" w:hAnsi="Helvetica LT Com Light" w:cs="Times New Roman"/>
          <w:szCs w:val="24"/>
        </w:rPr>
        <w:t xml:space="preserve">Relatedly, realized turnover rates can also be conceptualized as the </w:t>
      </w:r>
      <w:r w:rsidRPr="008F1975">
        <w:rPr>
          <w:rFonts w:ascii="Helvetica LT Com Light" w:hAnsi="Helvetica LT Com Light"/>
        </w:rPr>
        <w:t>average daily hazard rate for any given worker on any given day during the period</w:t>
      </w:r>
      <w:r>
        <w:rPr>
          <w:rFonts w:ascii="Helvetica LT Com Light" w:hAnsi="Helvetica LT Com Light"/>
        </w:rPr>
        <w:t>.</w:t>
      </w:r>
    </w:p>
    <w:p w14:paraId="7FDD5A7F" w14:textId="77777777" w:rsidR="00445890" w:rsidRPr="006377B6" w:rsidRDefault="00445890" w:rsidP="00445890">
      <w:pPr>
        <w:ind w:left="567"/>
        <w:rPr>
          <w:rFonts w:ascii="Helvetica LT Com Light" w:hAnsi="Helvetica LT Com Light" w:cs="Times New Roman"/>
          <w:szCs w:val="24"/>
        </w:rPr>
      </w:pPr>
    </w:p>
    <w:p w14:paraId="69E5B624" w14:textId="77777777" w:rsidR="00445890" w:rsidRPr="006377B6" w:rsidRDefault="00445890" w:rsidP="00445890">
      <w:pPr>
        <w:rPr>
          <w:rFonts w:ascii="Helvetica LT Com Light" w:hAnsi="Helvetica LT Com Light" w:cs="Times New Roman"/>
          <w:szCs w:val="24"/>
        </w:rPr>
      </w:pPr>
      <m:oMathPara>
        <m:oMath>
          <m:r>
            <m:rPr>
              <m:sty m:val="p"/>
            </m:rPr>
            <w:rPr>
              <w:rFonts w:ascii="Cambria Math" w:hAnsi="Cambria Math" w:cs="Times New Roman"/>
              <w:szCs w:val="24"/>
            </w:rPr>
            <m:t xml:space="preserve">Realized turnover rate= </m:t>
          </m:r>
          <m:f>
            <m:fPr>
              <m:ctrlPr>
                <w:rPr>
                  <w:rFonts w:ascii="Cambria Math" w:hAnsi="Cambria Math" w:cs="Times New Roman"/>
                  <w:szCs w:val="24"/>
                </w:rPr>
              </m:ctrlPr>
            </m:fPr>
            <m:num>
              <m:r>
                <m:rPr>
                  <m:sty m:val="p"/>
                </m:rPr>
                <w:rPr>
                  <w:rFonts w:ascii="Cambria Math" w:hAnsi="Cambria Math" w:cs="Times New Roman"/>
                  <w:szCs w:val="24"/>
                </w:rPr>
                <m:t># separations</m:t>
              </m:r>
            </m:num>
            <m:den>
              <m:r>
                <m:rPr>
                  <m:sty m:val="p"/>
                </m:rPr>
                <w:rPr>
                  <w:rFonts w:ascii="Cambria Math" w:hAnsi="Cambria Math" w:cs="Times New Roman"/>
                  <w:szCs w:val="24"/>
                </w:rPr>
                <m:t># opportunities to separate</m:t>
              </m:r>
            </m:den>
          </m:f>
        </m:oMath>
      </m:oMathPara>
    </w:p>
    <w:p w14:paraId="2C897499" w14:textId="77777777" w:rsidR="00445890" w:rsidRPr="006377B6" w:rsidRDefault="00445890" w:rsidP="00445890">
      <w:pPr>
        <w:rPr>
          <w:rFonts w:ascii="Helvetica" w:eastAsiaTheme="minorEastAsia" w:hAnsi="Helvetica"/>
        </w:rPr>
      </w:pPr>
      <m:oMathPara>
        <m:oMath>
          <m:r>
            <m:rPr>
              <m:sty m:val="p"/>
            </m:rPr>
            <w:rPr>
              <w:rFonts w:ascii="Cambria Math" w:eastAsiaTheme="minorEastAsia" w:hAnsi="Cambria Math"/>
            </w:rPr>
            <m:t>Realized turnover rate</m:t>
          </m:r>
          <m:r>
            <m:rPr>
              <m:sty m:val="p"/>
            </m:rPr>
            <w:rPr>
              <w:rFonts w:ascii="Cambria Math" w:hAnsi="Cambria Math"/>
            </w:rPr>
            <m:t>=</m:t>
          </m:r>
          <m:f>
            <m:fPr>
              <m:ctrlPr>
                <w:rPr>
                  <w:rFonts w:ascii="Cambria Math" w:hAnsi="Cambria Math"/>
                </w:rPr>
              </m:ctrlPr>
            </m:fPr>
            <m:num>
              <m:r>
                <m:rPr>
                  <m:sty m:val="p"/>
                </m:rPr>
                <w:rPr>
                  <w:rFonts w:ascii="Cambria Math" w:hAnsi="Cambria Math"/>
                </w:rPr>
                <m:t># separations</m:t>
              </m:r>
            </m:num>
            <m:den>
              <m:r>
                <m:rPr>
                  <m:sty m:val="p"/>
                </m:rPr>
                <w:rPr>
                  <w:rFonts w:ascii="Cambria Math" w:hAnsi="Cambria Math"/>
                </w:rPr>
                <m:t># people × average active days</m:t>
              </m:r>
            </m:den>
          </m:f>
        </m:oMath>
      </m:oMathPara>
    </w:p>
    <w:p w14:paraId="304ACC2D" w14:textId="77777777" w:rsidR="00445890" w:rsidRPr="006377B6" w:rsidRDefault="00445890" w:rsidP="00445890">
      <w:pPr>
        <w:rPr>
          <w:rFonts w:ascii="Helvetica" w:eastAsiaTheme="minorEastAsia" w:hAnsi="Helvetica"/>
        </w:rPr>
      </w:pPr>
      <m:oMathPara>
        <m:oMath>
          <m:r>
            <m:rPr>
              <m:sty m:val="p"/>
            </m:rPr>
            <w:rPr>
              <w:rFonts w:ascii="Cambria Math" w:hAnsi="Cambria Math"/>
            </w:rPr>
            <m:t xml:space="preserve">Average active days= </m:t>
          </m:r>
          <m:f>
            <m:fPr>
              <m:ctrlPr>
                <w:rPr>
                  <w:rFonts w:ascii="Cambria Math" w:hAnsi="Cambria Math"/>
                </w:rPr>
              </m:ctrlPr>
            </m:fPr>
            <m:num>
              <m:r>
                <m:rPr>
                  <m:sty m:val="p"/>
                </m:rPr>
                <w:rPr>
                  <w:rFonts w:ascii="Cambria Math" w:hAnsi="Cambria Math"/>
                </w:rPr>
                <m:t>1</m:t>
              </m:r>
            </m:num>
            <m:den>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 people ×</m:t>
                      </m:r>
                      <m:d>
                        <m:dPr>
                          <m:ctrlPr>
                            <w:rPr>
                              <w:rFonts w:ascii="Cambria Math" w:hAnsi="Cambria Math"/>
                            </w:rPr>
                          </m:ctrlPr>
                        </m:dPr>
                        <m:e>
                          <m:f>
                            <m:fPr>
                              <m:ctrlPr>
                                <w:rPr>
                                  <w:rFonts w:ascii="Cambria Math" w:hAnsi="Cambria Math"/>
                                </w:rPr>
                              </m:ctrlPr>
                            </m:fPr>
                            <m:num>
                              <m:r>
                                <m:rPr>
                                  <m:sty m:val="p"/>
                                </m:rPr>
                                <w:rPr>
                                  <w:rFonts w:ascii="Cambria Math" w:hAnsi="Cambria Math"/>
                                </w:rPr>
                                <m:t># separations</m:t>
                              </m:r>
                            </m:num>
                            <m:den>
                              <m:r>
                                <m:rPr>
                                  <m:sty m:val="p"/>
                                </m:rPr>
                                <w:rPr>
                                  <w:rFonts w:ascii="Cambria Math" w:hAnsi="Cambria Math"/>
                                </w:rPr>
                                <m:t># people ×average active days</m:t>
                              </m:r>
                            </m:den>
                          </m:f>
                        </m:e>
                      </m:d>
                    </m:e>
                  </m:d>
                </m:num>
                <m:den>
                  <m:r>
                    <m:rPr>
                      <m:sty m:val="p"/>
                    </m:rPr>
                    <w:rPr>
                      <w:rFonts w:ascii="Cambria Math" w:hAnsi="Cambria Math"/>
                    </w:rPr>
                    <m:t># separations</m:t>
                  </m:r>
                </m:den>
              </m:f>
              <m:r>
                <m:rPr>
                  <m:sty m:val="p"/>
                </m:rPr>
                <w:rPr>
                  <w:rFonts w:ascii="Cambria Math" w:hAnsi="Cambria Math"/>
                </w:rPr>
                <m:t>}</m:t>
              </m:r>
            </m:den>
          </m:f>
        </m:oMath>
      </m:oMathPara>
    </w:p>
    <w:p w14:paraId="4087B5D6" w14:textId="77777777" w:rsidR="00445890" w:rsidRPr="006377B6" w:rsidRDefault="00445890" w:rsidP="00445890">
      <w:pPr>
        <w:rPr>
          <w:rFonts w:ascii="Helvetica" w:hAnsi="Helvetica"/>
        </w:rPr>
      </w:pPr>
      <m:oMathPara>
        <m:oMath>
          <m:r>
            <m:rPr>
              <m:sty m:val="p"/>
            </m:rPr>
            <w:rPr>
              <w:rFonts w:ascii="Cambria Math" w:hAnsi="Cambria Math"/>
            </w:rPr>
            <m:t xml:space="preserve">Average active days= </m:t>
          </m:r>
          <m:f>
            <m:fPr>
              <m:ctrlPr>
                <w:rPr>
                  <w:rFonts w:ascii="Cambria Math" w:hAnsi="Cambria Math"/>
                </w:rPr>
              </m:ctrlPr>
            </m:fPr>
            <m:num>
              <m:r>
                <m:rPr>
                  <m:sty m:val="p"/>
                </m:rPr>
                <w:rPr>
                  <w:rFonts w:ascii="Cambria Math" w:hAnsi="Cambria Math"/>
                </w:rPr>
                <m:t>1</m:t>
              </m:r>
            </m:num>
            <m:den>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 people ×realized turnover rate</m:t>
                      </m:r>
                    </m:e>
                  </m:d>
                </m:num>
                <m:den>
                  <m:r>
                    <m:rPr>
                      <m:sty m:val="p"/>
                    </m:rPr>
                    <w:rPr>
                      <w:rFonts w:ascii="Cambria Math" w:hAnsi="Cambria Math"/>
                    </w:rPr>
                    <m:t># separations</m:t>
                  </m:r>
                </m:den>
              </m:f>
              <m:r>
                <m:rPr>
                  <m:sty m:val="p"/>
                </m:rPr>
                <w:rPr>
                  <w:rFonts w:ascii="Cambria Math" w:hAnsi="Cambria Math"/>
                </w:rPr>
                <m:t>]</m:t>
              </m:r>
            </m:den>
          </m:f>
        </m:oMath>
      </m:oMathPara>
    </w:p>
    <w:p w14:paraId="3157A444" w14:textId="77777777" w:rsidR="00445890" w:rsidRPr="0082082C" w:rsidRDefault="00445890" w:rsidP="00445890">
      <w:pPr>
        <w:spacing w:before="0" w:after="0" w:line="480" w:lineRule="auto"/>
        <w:contextualSpacing/>
        <w:rPr>
          <w:rFonts w:cs="Times New Roman"/>
          <w:szCs w:val="24"/>
        </w:rPr>
      </w:pPr>
    </w:p>
    <w:p w14:paraId="57FAF09F" w14:textId="77777777" w:rsidR="00EF0D0B" w:rsidRDefault="00EF0D0B"/>
    <w:sectPr w:rsidR="00EF0D0B" w:rsidSect="00445890">
      <w:pgSz w:w="12240" w:h="15840"/>
      <w:pgMar w:top="1138" w:right="1181" w:bottom="1138" w:left="1282" w:header="283"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Com Light">
    <w:altName w:val="Times New Roman"/>
    <w:charset w:val="00"/>
    <w:family w:val="swiss"/>
    <w:pitch w:val="variable"/>
    <w:sig w:usb0="A00000AF" w:usb1="5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B3B7B"/>
    <w:multiLevelType w:val="multilevel"/>
    <w:tmpl w:val="520E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6099"/>
    <w:multiLevelType w:val="hybridMultilevel"/>
    <w:tmpl w:val="1606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D0D81"/>
    <w:multiLevelType w:val="multilevel"/>
    <w:tmpl w:val="9B768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0601A"/>
    <w:multiLevelType w:val="multilevel"/>
    <w:tmpl w:val="B360DBD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2A7CAC"/>
    <w:multiLevelType w:val="multilevel"/>
    <w:tmpl w:val="B360DBDC"/>
    <w:numStyleLink w:val="Headings"/>
  </w:abstractNum>
  <w:abstractNum w:abstractNumId="9" w15:restartNumberingAfterBreak="0">
    <w:nsid w:val="302D6912"/>
    <w:multiLevelType w:val="multilevel"/>
    <w:tmpl w:val="4766A3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20249"/>
    <w:multiLevelType w:val="hybridMultilevel"/>
    <w:tmpl w:val="C6B2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744B5"/>
    <w:multiLevelType w:val="multilevel"/>
    <w:tmpl w:val="35F689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CAF731B"/>
    <w:multiLevelType w:val="multilevel"/>
    <w:tmpl w:val="3822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00531F"/>
    <w:multiLevelType w:val="multilevel"/>
    <w:tmpl w:val="07C0A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5" w15:restartNumberingAfterBreak="0">
    <w:nsid w:val="6E8E196D"/>
    <w:multiLevelType w:val="multilevel"/>
    <w:tmpl w:val="252C55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6FC81FF7"/>
    <w:multiLevelType w:val="hybridMultilevel"/>
    <w:tmpl w:val="7FB0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C6F29"/>
    <w:multiLevelType w:val="multilevel"/>
    <w:tmpl w:val="B360DBDC"/>
    <w:numStyleLink w:val="Headings"/>
  </w:abstractNum>
  <w:abstractNum w:abstractNumId="2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8"/>
  </w:num>
  <w:num w:numId="3">
    <w:abstractNumId w:val="2"/>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11"/>
  </w:num>
  <w:num w:numId="11">
    <w:abstractNumId w:val="5"/>
  </w:num>
  <w:num w:numId="12">
    <w:abstractNumId w:val="28"/>
  </w:num>
  <w:num w:numId="13">
    <w:abstractNumId w:val="17"/>
  </w:num>
  <w:num w:numId="14">
    <w:abstractNumId w:val="7"/>
  </w:num>
  <w:num w:numId="15">
    <w:abstractNumId w:val="16"/>
  </w:num>
  <w:num w:numId="16">
    <w:abstractNumId w:val="21"/>
  </w:num>
  <w:num w:numId="17">
    <w:abstractNumId w:val="6"/>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6"/>
  </w:num>
  <w:num w:numId="22">
    <w:abstractNumId w:val="6"/>
    <w:lvlOverride w:ilvl="0">
      <w:startOverride w:val="1"/>
      <w:lvl w:ilvl="0">
        <w:start w:val="1"/>
        <w:numFmt w:val="decimal"/>
        <w:lvlText w:val="%1"/>
        <w:lvlJc w:val="left"/>
        <w:pPr>
          <w:tabs>
            <w:tab w:val="num" w:pos="567"/>
          </w:tabs>
          <w:ind w:left="567" w:hanging="567"/>
        </w:pPr>
      </w:lvl>
    </w:lvlOverride>
    <w:lvlOverride w:ilvl="1">
      <w:startOverride w:val="1"/>
      <w:lvl w:ilvl="1">
        <w:start w:val="1"/>
        <w:numFmt w:val="decimal"/>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0"/>
  </w:num>
  <w:num w:numId="24">
    <w:abstractNumId w:val="1"/>
  </w:num>
  <w:num w:numId="25">
    <w:abstractNumId w:val="9"/>
  </w:num>
  <w:num w:numId="26">
    <w:abstractNumId w:val="4"/>
  </w:num>
  <w:num w:numId="27">
    <w:abstractNumId w:val="24"/>
  </w:num>
  <w:num w:numId="28">
    <w:abstractNumId w:val="22"/>
  </w:num>
  <w:num w:numId="29">
    <w:abstractNumId w:val="25"/>
  </w:num>
  <w:num w:numId="30">
    <w:abstractNumId w:val="19"/>
  </w:num>
  <w:num w:numId="31">
    <w:abstractNumId w:val="26"/>
  </w:num>
  <w:num w:numId="32">
    <w:abstractNumId w:val="6"/>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90"/>
    <w:rsid w:val="0032352A"/>
    <w:rsid w:val="00445890"/>
    <w:rsid w:val="00EF0D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9C91"/>
  <w15:chartTrackingRefBased/>
  <w15:docId w15:val="{A9706297-C804-4298-887E-6CB7E3A8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0"/>
    <w:pPr>
      <w:spacing w:before="120" w:after="240" w:line="240" w:lineRule="auto"/>
    </w:pPr>
    <w:rPr>
      <w:rFonts w:ascii="Times New Roman" w:hAnsi="Times New Roman"/>
      <w:sz w:val="24"/>
    </w:rPr>
  </w:style>
  <w:style w:type="paragraph" w:styleId="Heading1">
    <w:name w:val="heading 1"/>
    <w:basedOn w:val="ListParagraph"/>
    <w:next w:val="Normal"/>
    <w:link w:val="Heading1Char"/>
    <w:qFormat/>
    <w:rsid w:val="00445890"/>
    <w:pPr>
      <w:keepNext/>
      <w:numPr>
        <w:numId w:val="0"/>
      </w:numPr>
      <w:spacing w:before="0" w:after="0" w:line="480" w:lineRule="auto"/>
      <w:ind w:left="562" w:hanging="562"/>
      <w:jc w:val="center"/>
      <w:outlineLvl w:val="0"/>
    </w:pPr>
    <w:rPr>
      <w:b/>
    </w:rPr>
  </w:style>
  <w:style w:type="paragraph" w:styleId="Heading2">
    <w:name w:val="heading 2"/>
    <w:basedOn w:val="Heading1"/>
    <w:next w:val="Normal"/>
    <w:link w:val="Heading2Char"/>
    <w:qFormat/>
    <w:rsid w:val="00445890"/>
    <w:pPr>
      <w:numPr>
        <w:ilvl w:val="1"/>
      </w:numPr>
      <w:ind w:left="562" w:hanging="562"/>
      <w:jc w:val="left"/>
      <w:outlineLvl w:val="1"/>
    </w:pPr>
  </w:style>
  <w:style w:type="paragraph" w:styleId="Heading3">
    <w:name w:val="heading 3"/>
    <w:basedOn w:val="Normal"/>
    <w:next w:val="Normal"/>
    <w:link w:val="Heading3Char"/>
    <w:qFormat/>
    <w:rsid w:val="00445890"/>
    <w:pPr>
      <w:keepNext/>
      <w:keepLines/>
      <w:spacing w:before="0" w:after="0" w:line="480" w:lineRule="auto"/>
      <w:ind w:left="567" w:hanging="5"/>
      <w:contextualSpacing/>
      <w:outlineLvl w:val="2"/>
    </w:pPr>
    <w:rPr>
      <w:rFonts w:eastAsiaTheme="majorEastAsia" w:cs="Times New Roman"/>
      <w:b/>
      <w:szCs w:val="24"/>
    </w:rPr>
  </w:style>
  <w:style w:type="paragraph" w:styleId="Heading4">
    <w:name w:val="heading 4"/>
    <w:basedOn w:val="Heading3"/>
    <w:next w:val="Normal"/>
    <w:link w:val="Heading4Char"/>
    <w:qFormat/>
    <w:rsid w:val="00445890"/>
    <w:pPr>
      <w:numPr>
        <w:ilvl w:val="3"/>
      </w:numPr>
      <w:ind w:left="567" w:hanging="5"/>
      <w:outlineLvl w:val="3"/>
    </w:pPr>
    <w:rPr>
      <w:i/>
      <w:iCs/>
    </w:rPr>
  </w:style>
  <w:style w:type="paragraph" w:styleId="Heading5">
    <w:name w:val="heading 5"/>
    <w:basedOn w:val="Heading4"/>
    <w:next w:val="Normal"/>
    <w:link w:val="Heading5Char"/>
    <w:qFormat/>
    <w:rsid w:val="00445890"/>
    <w:pPr>
      <w:numPr>
        <w:ilvl w:val="4"/>
      </w:numPr>
      <w:ind w:left="567" w:hanging="5"/>
      <w:outlineLvl w:val="4"/>
    </w:pPr>
  </w:style>
  <w:style w:type="paragraph" w:styleId="Heading6">
    <w:name w:val="heading 6"/>
    <w:basedOn w:val="Normal"/>
    <w:next w:val="Normal"/>
    <w:link w:val="Heading6Char"/>
    <w:rsid w:val="00445890"/>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890"/>
    <w:rPr>
      <w:rFonts w:ascii="Times New Roman" w:eastAsia="Cambria" w:hAnsi="Times New Roman" w:cs="Times New Roman"/>
      <w:b/>
      <w:sz w:val="24"/>
      <w:szCs w:val="24"/>
    </w:rPr>
  </w:style>
  <w:style w:type="character" w:customStyle="1" w:styleId="Heading2Char">
    <w:name w:val="Heading 2 Char"/>
    <w:basedOn w:val="DefaultParagraphFont"/>
    <w:link w:val="Heading2"/>
    <w:rsid w:val="00445890"/>
    <w:rPr>
      <w:rFonts w:ascii="Times New Roman" w:eastAsia="Cambria" w:hAnsi="Times New Roman" w:cs="Times New Roman"/>
      <w:b/>
      <w:sz w:val="24"/>
      <w:szCs w:val="24"/>
    </w:rPr>
  </w:style>
  <w:style w:type="character" w:customStyle="1" w:styleId="Heading3Char">
    <w:name w:val="Heading 3 Char"/>
    <w:basedOn w:val="DefaultParagraphFont"/>
    <w:link w:val="Heading3"/>
    <w:rsid w:val="00445890"/>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rsid w:val="00445890"/>
    <w:rPr>
      <w:rFonts w:ascii="Times New Roman" w:eastAsiaTheme="majorEastAsia" w:hAnsi="Times New Roman" w:cs="Times New Roman"/>
      <w:b/>
      <w:i/>
      <w:iCs/>
      <w:sz w:val="24"/>
      <w:szCs w:val="24"/>
    </w:rPr>
  </w:style>
  <w:style w:type="character" w:customStyle="1" w:styleId="Heading5Char">
    <w:name w:val="Heading 5 Char"/>
    <w:basedOn w:val="DefaultParagraphFont"/>
    <w:link w:val="Heading5"/>
    <w:rsid w:val="00445890"/>
    <w:rPr>
      <w:rFonts w:ascii="Times New Roman" w:eastAsiaTheme="majorEastAsia" w:hAnsi="Times New Roman" w:cs="Times New Roman"/>
      <w:b/>
      <w:i/>
      <w:iCs/>
      <w:sz w:val="24"/>
      <w:szCs w:val="24"/>
    </w:rPr>
  </w:style>
  <w:style w:type="character" w:customStyle="1" w:styleId="Heading6Char">
    <w:name w:val="Heading 6 Char"/>
    <w:basedOn w:val="DefaultParagraphFont"/>
    <w:link w:val="Heading6"/>
    <w:rsid w:val="00445890"/>
    <w:rPr>
      <w:rFonts w:ascii="Arial" w:eastAsia="Arial" w:hAnsi="Arial" w:cs="Arial"/>
      <w:i/>
      <w:color w:val="666666"/>
      <w:lang w:val="en"/>
    </w:rPr>
  </w:style>
  <w:style w:type="character" w:styleId="Emphasis">
    <w:name w:val="Emphasis"/>
    <w:basedOn w:val="DefaultParagraphFont"/>
    <w:uiPriority w:val="20"/>
    <w:qFormat/>
    <w:rsid w:val="00445890"/>
    <w:rPr>
      <w:rFonts w:ascii="Times New Roman" w:hAnsi="Times New Roman"/>
      <w:i/>
      <w:iCs/>
    </w:rPr>
  </w:style>
  <w:style w:type="paragraph" w:styleId="ListParagraph">
    <w:name w:val="List Paragraph"/>
    <w:basedOn w:val="Normal"/>
    <w:uiPriority w:val="3"/>
    <w:qFormat/>
    <w:rsid w:val="00445890"/>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445890"/>
    <w:rPr>
      <w:rFonts w:ascii="Times New Roman" w:hAnsi="Times New Roman"/>
      <w:b/>
      <w:bCs/>
    </w:rPr>
  </w:style>
  <w:style w:type="paragraph" w:styleId="NormalWeb">
    <w:name w:val="Normal (Web)"/>
    <w:basedOn w:val="Normal"/>
    <w:uiPriority w:val="99"/>
    <w:unhideWhenUsed/>
    <w:rsid w:val="00445890"/>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445890"/>
    <w:pPr>
      <w:tabs>
        <w:tab w:val="center" w:pos="4844"/>
        <w:tab w:val="right" w:pos="9689"/>
      </w:tabs>
    </w:pPr>
    <w:rPr>
      <w:b/>
    </w:rPr>
  </w:style>
  <w:style w:type="character" w:customStyle="1" w:styleId="HeaderChar">
    <w:name w:val="Header Char"/>
    <w:basedOn w:val="DefaultParagraphFont"/>
    <w:link w:val="Header"/>
    <w:uiPriority w:val="99"/>
    <w:rsid w:val="00445890"/>
    <w:rPr>
      <w:rFonts w:ascii="Times New Roman" w:hAnsi="Times New Roman"/>
      <w:b/>
      <w:sz w:val="24"/>
    </w:rPr>
  </w:style>
  <w:style w:type="paragraph" w:styleId="Footer">
    <w:name w:val="footer"/>
    <w:basedOn w:val="Normal"/>
    <w:link w:val="FooterChar"/>
    <w:uiPriority w:val="99"/>
    <w:unhideWhenUsed/>
    <w:rsid w:val="00445890"/>
    <w:pPr>
      <w:tabs>
        <w:tab w:val="center" w:pos="4844"/>
        <w:tab w:val="right" w:pos="9689"/>
      </w:tabs>
      <w:spacing w:after="0"/>
    </w:pPr>
  </w:style>
  <w:style w:type="character" w:customStyle="1" w:styleId="FooterChar">
    <w:name w:val="Footer Char"/>
    <w:basedOn w:val="DefaultParagraphFont"/>
    <w:link w:val="Footer"/>
    <w:uiPriority w:val="99"/>
    <w:rsid w:val="00445890"/>
    <w:rPr>
      <w:rFonts w:ascii="Times New Roman" w:hAnsi="Times New Roman"/>
      <w:sz w:val="24"/>
    </w:rPr>
  </w:style>
  <w:style w:type="table" w:styleId="TableGrid">
    <w:name w:val="Table Grid"/>
    <w:basedOn w:val="TableNormal"/>
    <w:uiPriority w:val="59"/>
    <w:rsid w:val="00445890"/>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5890"/>
    <w:pPr>
      <w:spacing w:after="0"/>
    </w:pPr>
    <w:rPr>
      <w:sz w:val="20"/>
      <w:szCs w:val="20"/>
    </w:rPr>
  </w:style>
  <w:style w:type="character" w:customStyle="1" w:styleId="FootnoteTextChar">
    <w:name w:val="Footnote Text Char"/>
    <w:basedOn w:val="DefaultParagraphFont"/>
    <w:link w:val="FootnoteText"/>
    <w:uiPriority w:val="99"/>
    <w:semiHidden/>
    <w:rsid w:val="00445890"/>
    <w:rPr>
      <w:rFonts w:ascii="Times New Roman" w:hAnsi="Times New Roman"/>
      <w:sz w:val="20"/>
      <w:szCs w:val="20"/>
    </w:rPr>
  </w:style>
  <w:style w:type="character" w:styleId="FootnoteReference">
    <w:name w:val="footnote reference"/>
    <w:basedOn w:val="DefaultParagraphFont"/>
    <w:uiPriority w:val="99"/>
    <w:semiHidden/>
    <w:unhideWhenUsed/>
    <w:rsid w:val="00445890"/>
    <w:rPr>
      <w:vertAlign w:val="superscript"/>
    </w:rPr>
  </w:style>
  <w:style w:type="paragraph" w:styleId="Caption">
    <w:name w:val="caption"/>
    <w:basedOn w:val="Normal"/>
    <w:next w:val="NoSpacing"/>
    <w:uiPriority w:val="35"/>
    <w:unhideWhenUsed/>
    <w:qFormat/>
    <w:rsid w:val="00445890"/>
    <w:pPr>
      <w:keepNext/>
    </w:pPr>
    <w:rPr>
      <w:rFonts w:cs="Times New Roman"/>
      <w:b/>
      <w:bCs/>
      <w:szCs w:val="24"/>
    </w:rPr>
  </w:style>
  <w:style w:type="paragraph" w:styleId="BalloonText">
    <w:name w:val="Balloon Text"/>
    <w:basedOn w:val="Normal"/>
    <w:link w:val="BalloonTextChar"/>
    <w:uiPriority w:val="99"/>
    <w:semiHidden/>
    <w:unhideWhenUsed/>
    <w:rsid w:val="00445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90"/>
    <w:rPr>
      <w:rFonts w:ascii="Tahoma" w:hAnsi="Tahoma" w:cs="Tahoma"/>
      <w:sz w:val="16"/>
      <w:szCs w:val="16"/>
    </w:rPr>
  </w:style>
  <w:style w:type="character" w:styleId="LineNumber">
    <w:name w:val="line number"/>
    <w:basedOn w:val="DefaultParagraphFont"/>
    <w:uiPriority w:val="99"/>
    <w:semiHidden/>
    <w:unhideWhenUsed/>
    <w:rsid w:val="00445890"/>
  </w:style>
  <w:style w:type="paragraph" w:styleId="EndnoteText">
    <w:name w:val="endnote text"/>
    <w:basedOn w:val="Normal"/>
    <w:link w:val="EndnoteTextChar"/>
    <w:uiPriority w:val="99"/>
    <w:semiHidden/>
    <w:unhideWhenUsed/>
    <w:rsid w:val="00445890"/>
    <w:pPr>
      <w:spacing w:after="0"/>
    </w:pPr>
    <w:rPr>
      <w:sz w:val="20"/>
      <w:szCs w:val="20"/>
    </w:rPr>
  </w:style>
  <w:style w:type="character" w:customStyle="1" w:styleId="EndnoteTextChar">
    <w:name w:val="Endnote Text Char"/>
    <w:basedOn w:val="DefaultParagraphFont"/>
    <w:link w:val="EndnoteText"/>
    <w:uiPriority w:val="99"/>
    <w:semiHidden/>
    <w:rsid w:val="00445890"/>
    <w:rPr>
      <w:rFonts w:ascii="Times New Roman" w:hAnsi="Times New Roman"/>
      <w:sz w:val="20"/>
      <w:szCs w:val="20"/>
    </w:rPr>
  </w:style>
  <w:style w:type="character" w:styleId="EndnoteReference">
    <w:name w:val="endnote reference"/>
    <w:basedOn w:val="DefaultParagraphFont"/>
    <w:uiPriority w:val="99"/>
    <w:semiHidden/>
    <w:unhideWhenUsed/>
    <w:rsid w:val="00445890"/>
    <w:rPr>
      <w:vertAlign w:val="superscript"/>
    </w:rPr>
  </w:style>
  <w:style w:type="character" w:styleId="CommentReference">
    <w:name w:val="annotation reference"/>
    <w:basedOn w:val="DefaultParagraphFont"/>
    <w:uiPriority w:val="99"/>
    <w:semiHidden/>
    <w:unhideWhenUsed/>
    <w:rsid w:val="00445890"/>
    <w:rPr>
      <w:sz w:val="16"/>
      <w:szCs w:val="16"/>
    </w:rPr>
  </w:style>
  <w:style w:type="paragraph" w:styleId="CommentText">
    <w:name w:val="annotation text"/>
    <w:basedOn w:val="Normal"/>
    <w:link w:val="CommentTextChar"/>
    <w:uiPriority w:val="99"/>
    <w:semiHidden/>
    <w:unhideWhenUsed/>
    <w:rsid w:val="00445890"/>
    <w:rPr>
      <w:sz w:val="20"/>
      <w:szCs w:val="20"/>
    </w:rPr>
  </w:style>
  <w:style w:type="character" w:customStyle="1" w:styleId="CommentTextChar">
    <w:name w:val="Comment Text Char"/>
    <w:basedOn w:val="DefaultParagraphFont"/>
    <w:link w:val="CommentText"/>
    <w:uiPriority w:val="99"/>
    <w:semiHidden/>
    <w:rsid w:val="004458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5890"/>
    <w:rPr>
      <w:b/>
      <w:bCs/>
    </w:rPr>
  </w:style>
  <w:style w:type="character" w:customStyle="1" w:styleId="CommentSubjectChar">
    <w:name w:val="Comment Subject Char"/>
    <w:basedOn w:val="CommentTextChar"/>
    <w:link w:val="CommentSubject"/>
    <w:uiPriority w:val="99"/>
    <w:semiHidden/>
    <w:rsid w:val="00445890"/>
    <w:rPr>
      <w:rFonts w:ascii="Times New Roman" w:hAnsi="Times New Roman"/>
      <w:b/>
      <w:bCs/>
      <w:sz w:val="20"/>
      <w:szCs w:val="20"/>
    </w:rPr>
  </w:style>
  <w:style w:type="character" w:styleId="Hyperlink">
    <w:name w:val="Hyperlink"/>
    <w:basedOn w:val="DefaultParagraphFont"/>
    <w:uiPriority w:val="99"/>
    <w:unhideWhenUsed/>
    <w:rsid w:val="00445890"/>
    <w:rPr>
      <w:color w:val="0000FF"/>
      <w:u w:val="single"/>
    </w:rPr>
  </w:style>
  <w:style w:type="character" w:styleId="FollowedHyperlink">
    <w:name w:val="FollowedHyperlink"/>
    <w:basedOn w:val="DefaultParagraphFont"/>
    <w:uiPriority w:val="99"/>
    <w:semiHidden/>
    <w:unhideWhenUsed/>
    <w:rsid w:val="00445890"/>
    <w:rPr>
      <w:color w:val="954F72" w:themeColor="followedHyperlink"/>
      <w:u w:val="single"/>
    </w:rPr>
  </w:style>
  <w:style w:type="paragraph" w:styleId="Title">
    <w:name w:val="Title"/>
    <w:basedOn w:val="Normal"/>
    <w:next w:val="Normal"/>
    <w:link w:val="TitleChar"/>
    <w:qFormat/>
    <w:rsid w:val="00445890"/>
    <w:pPr>
      <w:suppressLineNumbers/>
      <w:spacing w:before="0" w:after="0" w:line="276" w:lineRule="auto"/>
      <w:jc w:val="center"/>
    </w:pPr>
    <w:rPr>
      <w:rFonts w:ascii="Helvetica LT Com Light" w:hAnsi="Helvetica LT Com Light" w:cs="Times New Roman"/>
      <w:b/>
      <w:sz w:val="40"/>
      <w:szCs w:val="32"/>
    </w:rPr>
  </w:style>
  <w:style w:type="character" w:customStyle="1" w:styleId="TitleChar">
    <w:name w:val="Title Char"/>
    <w:basedOn w:val="DefaultParagraphFont"/>
    <w:link w:val="Title"/>
    <w:rsid w:val="00445890"/>
    <w:rPr>
      <w:rFonts w:ascii="Helvetica LT Com Light" w:hAnsi="Helvetica LT Com Light" w:cs="Times New Roman"/>
      <w:b/>
      <w:sz w:val="40"/>
      <w:szCs w:val="32"/>
    </w:rPr>
  </w:style>
  <w:style w:type="paragraph" w:styleId="Subtitle">
    <w:name w:val="Subtitle"/>
    <w:basedOn w:val="Normal"/>
    <w:next w:val="Normal"/>
    <w:link w:val="SubtitleChar"/>
    <w:unhideWhenUsed/>
    <w:qFormat/>
    <w:rsid w:val="00445890"/>
    <w:pPr>
      <w:spacing w:before="240"/>
    </w:pPr>
    <w:rPr>
      <w:rFonts w:cs="Times New Roman"/>
      <w:b/>
      <w:szCs w:val="24"/>
    </w:rPr>
  </w:style>
  <w:style w:type="character" w:customStyle="1" w:styleId="SubtitleChar">
    <w:name w:val="Subtitle Char"/>
    <w:basedOn w:val="DefaultParagraphFont"/>
    <w:link w:val="Subtitle"/>
    <w:rsid w:val="00445890"/>
    <w:rPr>
      <w:rFonts w:ascii="Times New Roman" w:hAnsi="Times New Roman" w:cs="Times New Roman"/>
      <w:b/>
      <w:sz w:val="24"/>
      <w:szCs w:val="24"/>
    </w:rPr>
  </w:style>
  <w:style w:type="paragraph" w:styleId="NoSpacing">
    <w:name w:val="No Spacing"/>
    <w:uiPriority w:val="99"/>
    <w:unhideWhenUsed/>
    <w:qFormat/>
    <w:rsid w:val="00445890"/>
    <w:pPr>
      <w:spacing w:after="0" w:line="240" w:lineRule="auto"/>
    </w:pPr>
    <w:rPr>
      <w:rFonts w:ascii="Times New Roman" w:hAnsi="Times New Roman"/>
      <w:sz w:val="24"/>
    </w:rPr>
  </w:style>
  <w:style w:type="paragraph" w:customStyle="1" w:styleId="AuthorList">
    <w:name w:val="Author List"/>
    <w:aliases w:val="Keywords,Abstract"/>
    <w:basedOn w:val="Subtitle"/>
    <w:next w:val="Normal"/>
    <w:uiPriority w:val="1"/>
    <w:qFormat/>
    <w:rsid w:val="00445890"/>
  </w:style>
  <w:style w:type="character" w:styleId="SubtleEmphasis">
    <w:name w:val="Subtle Emphasis"/>
    <w:basedOn w:val="DefaultParagraphFont"/>
    <w:uiPriority w:val="19"/>
    <w:qFormat/>
    <w:rsid w:val="00445890"/>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445890"/>
    <w:rPr>
      <w:rFonts w:ascii="Times New Roman" w:hAnsi="Times New Roman"/>
      <w:i/>
      <w:iCs/>
      <w:color w:val="auto"/>
    </w:rPr>
  </w:style>
  <w:style w:type="paragraph" w:styleId="Quote">
    <w:name w:val="Quote"/>
    <w:basedOn w:val="Normal"/>
    <w:next w:val="Normal"/>
    <w:link w:val="QuoteChar"/>
    <w:uiPriority w:val="29"/>
    <w:qFormat/>
    <w:rsid w:val="004458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890"/>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445890"/>
    <w:rPr>
      <w:b/>
      <w:bCs/>
      <w:smallCaps/>
      <w:color w:val="auto"/>
      <w:spacing w:val="5"/>
    </w:rPr>
  </w:style>
  <w:style w:type="character" w:styleId="BookTitle">
    <w:name w:val="Book Title"/>
    <w:basedOn w:val="DefaultParagraphFont"/>
    <w:uiPriority w:val="33"/>
    <w:qFormat/>
    <w:rsid w:val="00445890"/>
    <w:rPr>
      <w:rFonts w:ascii="Times New Roman" w:hAnsi="Times New Roman"/>
      <w:b/>
      <w:bCs/>
      <w:i/>
      <w:iCs/>
      <w:spacing w:val="5"/>
    </w:rPr>
  </w:style>
  <w:style w:type="numbering" w:customStyle="1" w:styleId="Headings">
    <w:name w:val="Headings"/>
    <w:uiPriority w:val="99"/>
    <w:rsid w:val="00445890"/>
    <w:pPr>
      <w:numPr>
        <w:numId w:val="17"/>
      </w:numPr>
    </w:pPr>
  </w:style>
  <w:style w:type="paragraph" w:styleId="Revision">
    <w:name w:val="Revision"/>
    <w:hidden/>
    <w:uiPriority w:val="99"/>
    <w:semiHidden/>
    <w:rsid w:val="00445890"/>
    <w:pPr>
      <w:spacing w:after="0" w:line="240" w:lineRule="auto"/>
    </w:pPr>
    <w:rPr>
      <w:rFonts w:ascii="Times New Roman" w:hAnsi="Times New Roman"/>
      <w:sz w:val="24"/>
    </w:rPr>
  </w:style>
  <w:style w:type="paragraph" w:customStyle="1" w:styleId="SupplementaryMaterial">
    <w:name w:val="Supplementary Material"/>
    <w:basedOn w:val="Title"/>
    <w:next w:val="Title"/>
    <w:qFormat/>
    <w:rsid w:val="00445890"/>
    <w:pPr>
      <w:spacing w:after="120"/>
    </w:pPr>
    <w:rPr>
      <w:i/>
    </w:rPr>
  </w:style>
  <w:style w:type="character" w:styleId="PlaceholderText">
    <w:name w:val="Placeholder Text"/>
    <w:basedOn w:val="DefaultParagraphFont"/>
    <w:uiPriority w:val="99"/>
    <w:semiHidden/>
    <w:rsid w:val="00445890"/>
    <w:rPr>
      <w:color w:val="808080"/>
    </w:rPr>
  </w:style>
  <w:style w:type="character" w:customStyle="1" w:styleId="UnresolvedMention1">
    <w:name w:val="Unresolved Mention1"/>
    <w:basedOn w:val="DefaultParagraphFont"/>
    <w:uiPriority w:val="99"/>
    <w:semiHidden/>
    <w:unhideWhenUsed/>
    <w:rsid w:val="0044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D:\Turnover%20Rates%20Articles\Turnover%20Rate%20Comparison%20Exampl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'Ex4'!$L$429</c:f>
              <c:strCache>
                <c:ptCount val="1"/>
                <c:pt idx="0">
                  <c:v>Traditional Turnover Rate (Rolling 12 Months)</c:v>
                </c:pt>
              </c:strCache>
            </c:strRef>
          </c:tx>
          <c:spPr>
            <a:ln>
              <a:prstDash val="sysDash"/>
            </a:ln>
          </c:spPr>
          <c:marker>
            <c:symbol val="none"/>
          </c:marker>
          <c:cat>
            <c:numRef>
              <c:f>'Ex4'!$K$431:$K$432</c:f>
              <c:numCache>
                <c:formatCode>d\-mmm\-yy</c:formatCode>
                <c:ptCount val="2"/>
                <c:pt idx="0">
                  <c:v>43132</c:v>
                </c:pt>
                <c:pt idx="1">
                  <c:v>43160</c:v>
                </c:pt>
              </c:numCache>
            </c:numRef>
          </c:cat>
          <c:val>
            <c:numRef>
              <c:f>'Ex4'!$L$431:$L$432</c:f>
              <c:numCache>
                <c:formatCode>0.00%</c:formatCode>
                <c:ptCount val="2"/>
                <c:pt idx="0">
                  <c:v>0.52170000000000005</c:v>
                </c:pt>
                <c:pt idx="1">
                  <c:v>0.54549999999999998</c:v>
                </c:pt>
              </c:numCache>
            </c:numRef>
          </c:val>
          <c:smooth val="0"/>
          <c:extLst>
            <c:ext xmlns:c16="http://schemas.microsoft.com/office/drawing/2014/chart" uri="{C3380CC4-5D6E-409C-BE32-E72D297353CC}">
              <c16:uniqueId val="{00000000-5FB8-4A03-8D24-F73FE61C438F}"/>
            </c:ext>
          </c:extLst>
        </c:ser>
        <c:ser>
          <c:idx val="1"/>
          <c:order val="1"/>
          <c:tx>
            <c:strRef>
              <c:f>'Ex4'!$M$429</c:f>
              <c:strCache>
                <c:ptCount val="1"/>
                <c:pt idx="0">
                  <c:v>Enhanced Traditional Turnover (Rolling 365 Days)</c:v>
                </c:pt>
              </c:strCache>
            </c:strRef>
          </c:tx>
          <c:marker>
            <c:symbol val="none"/>
          </c:marker>
          <c:cat>
            <c:numRef>
              <c:f>'Ex4'!$K$431:$K$432</c:f>
              <c:numCache>
                <c:formatCode>d\-mmm\-yy</c:formatCode>
                <c:ptCount val="2"/>
                <c:pt idx="0">
                  <c:v>43132</c:v>
                </c:pt>
                <c:pt idx="1">
                  <c:v>43160</c:v>
                </c:pt>
              </c:numCache>
            </c:numRef>
          </c:cat>
          <c:val>
            <c:numRef>
              <c:f>'Ex4'!$M$431:$M$432</c:f>
              <c:numCache>
                <c:formatCode>0.00%</c:formatCode>
                <c:ptCount val="2"/>
                <c:pt idx="0">
                  <c:v>0.56030000000000002</c:v>
                </c:pt>
                <c:pt idx="1">
                  <c:v>0.54320000000000002</c:v>
                </c:pt>
              </c:numCache>
            </c:numRef>
          </c:val>
          <c:smooth val="0"/>
          <c:extLst>
            <c:ext xmlns:c16="http://schemas.microsoft.com/office/drawing/2014/chart" uri="{C3380CC4-5D6E-409C-BE32-E72D297353CC}">
              <c16:uniqueId val="{00000001-5FB8-4A03-8D24-F73FE61C438F}"/>
            </c:ext>
          </c:extLst>
        </c:ser>
        <c:dLbls>
          <c:showLegendKey val="0"/>
          <c:showVal val="0"/>
          <c:showCatName val="0"/>
          <c:showSerName val="0"/>
          <c:showPercent val="0"/>
          <c:showBubbleSize val="0"/>
        </c:dLbls>
        <c:smooth val="0"/>
        <c:axId val="205625216"/>
        <c:axId val="205626752"/>
      </c:lineChart>
      <c:dateAx>
        <c:axId val="205625216"/>
        <c:scaling>
          <c:orientation val="minMax"/>
        </c:scaling>
        <c:delete val="0"/>
        <c:axPos val="b"/>
        <c:numFmt formatCode="d\-mmm\-yy" sourceLinked="1"/>
        <c:majorTickMark val="none"/>
        <c:minorTickMark val="none"/>
        <c:tickLblPos val="nextTo"/>
        <c:txPr>
          <a:bodyPr/>
          <a:lstStyle/>
          <a:p>
            <a:pPr>
              <a:defRPr>
                <a:latin typeface="Helvetica LT Com Light"/>
                <a:cs typeface="Times New Roman" panose="02020603050405020304" pitchFamily="18" charset="0"/>
              </a:defRPr>
            </a:pPr>
            <a:endParaRPr lang="en-US"/>
          </a:p>
        </c:txPr>
        <c:crossAx val="205626752"/>
        <c:crosses val="autoZero"/>
        <c:auto val="1"/>
        <c:lblOffset val="100"/>
        <c:baseTimeUnit val="months"/>
      </c:dateAx>
      <c:valAx>
        <c:axId val="205626752"/>
        <c:scaling>
          <c:orientation val="minMax"/>
          <c:min val="0.30000000000000004"/>
        </c:scaling>
        <c:delete val="0"/>
        <c:axPos val="l"/>
        <c:numFmt formatCode="0.00%" sourceLinked="1"/>
        <c:majorTickMark val="none"/>
        <c:minorTickMark val="none"/>
        <c:tickLblPos val="nextTo"/>
        <c:txPr>
          <a:bodyPr/>
          <a:lstStyle/>
          <a:p>
            <a:pPr>
              <a:defRPr>
                <a:latin typeface="Helvetica LT Com Light"/>
                <a:cs typeface="Times New Roman" panose="02020603050405020304" pitchFamily="18" charset="0"/>
              </a:defRPr>
            </a:pPr>
            <a:endParaRPr lang="en-US"/>
          </a:p>
        </c:txPr>
        <c:crossAx val="205625216"/>
        <c:crosses val="autoZero"/>
        <c:crossBetween val="between"/>
        <c:majorUnit val="0.1"/>
        <c:minorUnit val="0.1"/>
      </c:valAx>
    </c:plotArea>
    <c:legend>
      <c:legendPos val="r"/>
      <c:layout>
        <c:manualLayout>
          <c:xMode val="edge"/>
          <c:yMode val="edge"/>
          <c:x val="0.67035568096512532"/>
          <c:y val="0.4242331036745407"/>
          <c:w val="0.30067733142196834"/>
          <c:h val="0.42236712598425197"/>
        </c:manualLayout>
      </c:layout>
      <c:overlay val="1"/>
      <c:txPr>
        <a:bodyPr/>
        <a:lstStyle/>
        <a:p>
          <a:pPr>
            <a:defRPr>
              <a:latin typeface="Helvetica LT Com Light"/>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41</Pages>
  <Words>5820</Words>
  <Characters>33175</Characters>
  <Application>Microsoft Office Word</Application>
  <DocSecurity>0</DocSecurity>
  <Lines>276</Lines>
  <Paragraphs>77</Paragraphs>
  <ScaleCrop>false</ScaleCrop>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Shigo</dc:creator>
  <cp:keywords/>
  <dc:description/>
  <cp:lastModifiedBy>Kim Shigo</cp:lastModifiedBy>
  <cp:revision>1</cp:revision>
  <dcterms:created xsi:type="dcterms:W3CDTF">2019-08-31T10:53:00Z</dcterms:created>
  <dcterms:modified xsi:type="dcterms:W3CDTF">2019-08-31T10:55:00Z</dcterms:modified>
</cp:coreProperties>
</file>