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2AAC" w14:textId="77777777" w:rsidR="00D33674" w:rsidRPr="00F23CA3" w:rsidRDefault="00D33674" w:rsidP="00D33674">
      <w:pPr>
        <w:spacing w:line="360" w:lineRule="auto"/>
        <w:rPr>
          <w:rFonts w:ascii="Calibri" w:hAnsi="Calibri" w:cs="Calibri"/>
          <w:sz w:val="24"/>
          <w:szCs w:val="24"/>
        </w:rPr>
      </w:pPr>
      <w:r w:rsidRPr="00F23CA3">
        <w:rPr>
          <w:rFonts w:ascii="Calibri" w:hAnsi="Calibri" w:cs="Calibri"/>
          <w:b/>
          <w:bCs/>
          <w:sz w:val="24"/>
          <w:szCs w:val="24"/>
        </w:rPr>
        <w:t>Appendix</w:t>
      </w:r>
      <w:r>
        <w:rPr>
          <w:rFonts w:ascii="Calibri" w:hAnsi="Calibri" w:cs="Calibri"/>
          <w:b/>
          <w:bCs/>
          <w:sz w:val="24"/>
          <w:szCs w:val="24"/>
        </w:rPr>
        <w:t xml:space="preserve"> A</w:t>
      </w:r>
      <w:r w:rsidRPr="00F23CA3">
        <w:rPr>
          <w:rFonts w:ascii="Calibri" w:hAnsi="Calibri" w:cs="Calibri"/>
          <w:b/>
          <w:bCs/>
          <w:sz w:val="24"/>
          <w:szCs w:val="24"/>
        </w:rPr>
        <w:t>: Reliable Change Index</w:t>
      </w:r>
    </w:p>
    <w:p w14:paraId="4F00B8AA" w14:textId="77777777" w:rsidR="00D33674" w:rsidRPr="00F23CA3" w:rsidRDefault="00D33674" w:rsidP="00D33674">
      <w:pPr>
        <w:spacing w:line="360" w:lineRule="auto"/>
        <w:rPr>
          <w:rFonts w:ascii="Calibri" w:hAnsi="Calibri" w:cs="Calibri"/>
          <w:sz w:val="24"/>
          <w:szCs w:val="24"/>
        </w:rPr>
      </w:pPr>
      <w:r w:rsidRPr="00F23CA3">
        <w:rPr>
          <w:rFonts w:ascii="Calibri" w:hAnsi="Calibri" w:cs="Calibri"/>
          <w:sz w:val="24"/>
          <w:szCs w:val="24"/>
        </w:rPr>
        <w:t>Reliable change is defined as having occurred when the change in scores on a scale exceeds the measurement error of the scale. This is such that indices higher than one standard deviation, or 1.96, indicate that the outcome score on the scale would have been unlikely to occur without real change having taken place.</w:t>
      </w:r>
      <w:r w:rsidRPr="00F23CA3">
        <w:rPr>
          <w:rFonts w:ascii="Calibri" w:hAnsi="Calibri" w:cs="Calibri"/>
          <w:i/>
          <w:iCs/>
          <w:color w:val="FF0000"/>
          <w:sz w:val="24"/>
          <w:szCs w:val="24"/>
        </w:rPr>
        <w:t xml:space="preserve"> </w:t>
      </w:r>
      <w:r w:rsidRPr="00F23CA3">
        <w:rPr>
          <w:rFonts w:ascii="Calibri" w:hAnsi="Calibri" w:cs="Calibri"/>
          <w:sz w:val="24"/>
          <w:szCs w:val="24"/>
        </w:rPr>
        <w:t>The following summarises the calculation used to obtain the Reliable Change Index (RCI)</w:t>
      </w:r>
      <w:r>
        <w:rPr>
          <w:rFonts w:ascii="Calibri" w:hAnsi="Calibri" w:cs="Calibri"/>
          <w:sz w:val="24"/>
          <w:szCs w:val="24"/>
        </w:rPr>
        <w:t xml:space="preserve"> </w:t>
      </w:r>
      <w:r>
        <w:rPr>
          <w:rFonts w:ascii="Calibri" w:hAnsi="Calibri" w:cs="Calibri"/>
          <w:noProof/>
          <w:sz w:val="24"/>
          <w:szCs w:val="24"/>
        </w:rPr>
        <w:t>(Jacobson &amp; Truax, 1991)</w:t>
      </w:r>
      <w:r w:rsidRPr="00F23CA3">
        <w:rPr>
          <w:rFonts w:ascii="Calibri" w:hAnsi="Calibri" w:cs="Calibri"/>
          <w:sz w:val="24"/>
          <w:szCs w:val="24"/>
        </w:rPr>
        <w:t xml:space="preserve"> for the CRIES-8, </w:t>
      </w:r>
      <w:r>
        <w:rPr>
          <w:rFonts w:ascii="Calibri" w:hAnsi="Calibri" w:cs="Calibri"/>
          <w:sz w:val="24"/>
          <w:szCs w:val="24"/>
        </w:rPr>
        <w:t xml:space="preserve">CPTCI-S and RCADS Depression Subscale </w:t>
      </w:r>
      <w:r w:rsidRPr="00F23CA3">
        <w:rPr>
          <w:rFonts w:ascii="Calibri" w:hAnsi="Calibri" w:cs="Calibri"/>
          <w:sz w:val="24"/>
          <w:szCs w:val="24"/>
        </w:rPr>
        <w:t xml:space="preserve">where </w:t>
      </w:r>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r</m:t>
            </m:r>
          </m:e>
          <m:sub>
            <m:r>
              <w:rPr>
                <w:rFonts w:ascii="Cambria Math" w:eastAsiaTheme="minorEastAsia" w:hAnsi="Cambria Math" w:cs="Calibri"/>
                <w:sz w:val="24"/>
                <w:szCs w:val="24"/>
              </w:rPr>
              <m:t>xx</m:t>
            </m:r>
          </m:sub>
        </m:sSub>
      </m:oMath>
      <w:r w:rsidRPr="00F23CA3">
        <w:rPr>
          <w:rFonts w:ascii="Calibri" w:eastAsiaTheme="minorEastAsia" w:hAnsi="Calibri" w:cs="Calibri"/>
          <w:sz w:val="24"/>
          <w:szCs w:val="24"/>
        </w:rPr>
        <w:t xml:space="preserve"> is the test-retest reliability of </w:t>
      </w:r>
      <w:r>
        <w:rPr>
          <w:rFonts w:ascii="Calibri" w:eastAsiaTheme="minorEastAsia" w:hAnsi="Calibri" w:cs="Calibri"/>
          <w:sz w:val="24"/>
          <w:szCs w:val="24"/>
        </w:rPr>
        <w:t>each measure</w:t>
      </w:r>
      <w:r w:rsidRPr="00F23CA3">
        <w:rPr>
          <w:rFonts w:ascii="Calibri" w:eastAsiaTheme="minorEastAsia" w:hAnsi="Calibri" w:cs="Calibri"/>
          <w:sz w:val="24"/>
          <w:szCs w:val="24"/>
        </w:rPr>
        <w:t xml:space="preserve"> and </w:t>
      </w:r>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S</m:t>
            </m:r>
          </m:e>
          <m:sub>
            <m:r>
              <w:rPr>
                <w:rFonts w:ascii="Cambria Math" w:eastAsiaTheme="minorEastAsia" w:hAnsi="Cambria Math" w:cs="Calibri"/>
                <w:sz w:val="24"/>
                <w:szCs w:val="24"/>
              </w:rPr>
              <m:t>1</m:t>
            </m:r>
          </m:sub>
        </m:sSub>
      </m:oMath>
      <w:r w:rsidRPr="00F23CA3">
        <w:rPr>
          <w:rFonts w:ascii="Calibri" w:eastAsiaTheme="minorEastAsia" w:hAnsi="Calibri" w:cs="Calibri"/>
          <w:sz w:val="24"/>
          <w:szCs w:val="24"/>
        </w:rPr>
        <w:t xml:space="preserve"> is the standard deviation of the pooled sample</w:t>
      </w:r>
      <w:r>
        <w:rPr>
          <w:rFonts w:ascii="Calibri" w:eastAsiaTheme="minorEastAsia" w:hAnsi="Calibri" w:cs="Calibri"/>
          <w:sz w:val="24"/>
          <w:szCs w:val="24"/>
        </w:rPr>
        <w:t xml:space="preserve"> in the relevant studies cited in the main body of the case report. </w:t>
      </w:r>
      <w:r>
        <w:rPr>
          <w:rFonts w:ascii="Calibri" w:hAnsi="Calibri" w:cs="Calibri"/>
          <w:sz w:val="24"/>
          <w:szCs w:val="24"/>
        </w:rPr>
        <w:t xml:space="preserve">The relevant </w:t>
      </w:r>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r</m:t>
            </m:r>
          </m:e>
          <m:sub>
            <m:r>
              <w:rPr>
                <w:rFonts w:ascii="Cambria Math" w:eastAsiaTheme="minorEastAsia" w:hAnsi="Cambria Math" w:cs="Calibri"/>
                <w:sz w:val="24"/>
                <w:szCs w:val="24"/>
              </w:rPr>
              <m:t>xx</m:t>
            </m:r>
          </m:sub>
        </m:sSub>
      </m:oMath>
      <w:r>
        <w:rPr>
          <w:rFonts w:ascii="Calibri" w:eastAsiaTheme="minorEastAsia" w:hAnsi="Calibri" w:cs="Calibri"/>
          <w:sz w:val="24"/>
          <w:szCs w:val="24"/>
        </w:rPr>
        <w:t xml:space="preserve"> and </w:t>
      </w:r>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S</m:t>
            </m:r>
          </m:e>
          <m:sub>
            <m:r>
              <w:rPr>
                <w:rFonts w:ascii="Cambria Math" w:eastAsiaTheme="minorEastAsia" w:hAnsi="Cambria Math" w:cs="Calibri"/>
                <w:sz w:val="24"/>
                <w:szCs w:val="24"/>
              </w:rPr>
              <m:t>1</m:t>
            </m:r>
          </m:sub>
        </m:sSub>
      </m:oMath>
      <w:r>
        <w:rPr>
          <w:rFonts w:ascii="Calibri" w:eastAsiaTheme="minorEastAsia" w:hAnsi="Calibri" w:cs="Calibri"/>
          <w:sz w:val="24"/>
          <w:szCs w:val="24"/>
        </w:rPr>
        <w:t xml:space="preserve"> for each measure are provided in Table A.1. </w:t>
      </w:r>
    </w:p>
    <w:p w14:paraId="69B923BA" w14:textId="77777777" w:rsidR="00D33674" w:rsidRPr="00F23CA3" w:rsidRDefault="00D33674" w:rsidP="00D33674">
      <w:pPr>
        <w:spacing w:line="240" w:lineRule="auto"/>
        <w:ind w:left="360"/>
        <w:jc w:val="center"/>
        <w:rPr>
          <w:rFonts w:ascii="Calibri" w:hAnsi="Calibri" w:cs="Calibri"/>
          <w:sz w:val="24"/>
          <w:szCs w:val="24"/>
        </w:rPr>
      </w:pPr>
      <m:oMathPara>
        <m:oMathParaPr>
          <m:jc m:val="left"/>
        </m:oMathParaPr>
        <m:oMath>
          <m:r>
            <w:rPr>
              <w:rFonts w:ascii="Cambria Math" w:eastAsiaTheme="minorEastAsia" w:hAnsi="Cambria Math" w:cs="Calibri"/>
              <w:sz w:val="24"/>
              <w:szCs w:val="24"/>
            </w:rPr>
            <m:t>Reliable Change Index=</m:t>
          </m:r>
          <m:f>
            <m:fPr>
              <m:ctrlPr>
                <w:rPr>
                  <w:rFonts w:ascii="Cambria Math" w:eastAsiaTheme="minorEastAsia" w:hAnsi="Cambria Math" w:cs="Calibri"/>
                  <w:i/>
                  <w:sz w:val="24"/>
                  <w:szCs w:val="24"/>
                </w:rPr>
              </m:ctrlPr>
            </m:fPr>
            <m:num>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x</m:t>
                  </m:r>
                </m:e>
                <m:sub>
                  <m:r>
                    <w:rPr>
                      <w:rFonts w:ascii="Cambria Math" w:eastAsiaTheme="minorEastAsia" w:hAnsi="Cambria Math" w:cs="Calibri"/>
                      <w:sz w:val="24"/>
                      <w:szCs w:val="24"/>
                    </w:rPr>
                    <m:t>2</m:t>
                  </m:r>
                </m:sub>
              </m:sSub>
              <m:r>
                <w:rPr>
                  <w:rFonts w:ascii="Cambria Math" w:eastAsiaTheme="minorEastAsia" w:hAnsi="Cambria Math" w:cs="Calibri"/>
                  <w:sz w:val="24"/>
                  <w:szCs w:val="24"/>
                </w:rPr>
                <m:t>-</m:t>
              </m:r>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x</m:t>
                  </m:r>
                </m:e>
                <m:sub>
                  <m:r>
                    <w:rPr>
                      <w:rFonts w:ascii="Cambria Math" w:eastAsiaTheme="minorEastAsia" w:hAnsi="Cambria Math" w:cs="Calibri"/>
                      <w:sz w:val="24"/>
                      <w:szCs w:val="24"/>
                    </w:rPr>
                    <m:t>1</m:t>
                  </m:r>
                </m:sub>
              </m:sSub>
            </m:num>
            <m:den>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S</m:t>
                  </m:r>
                </m:e>
                <m:sub>
                  <m:r>
                    <w:rPr>
                      <w:rFonts w:ascii="Cambria Math" w:eastAsiaTheme="minorEastAsia" w:hAnsi="Cambria Math" w:cs="Calibri"/>
                      <w:sz w:val="24"/>
                      <w:szCs w:val="24"/>
                    </w:rPr>
                    <m:t>diff</m:t>
                  </m:r>
                </m:sub>
              </m:sSub>
            </m:den>
          </m:f>
        </m:oMath>
      </m:oMathPara>
    </w:p>
    <w:p w14:paraId="7E9C8BD4" w14:textId="77777777" w:rsidR="00D33674" w:rsidRPr="00F23CA3" w:rsidRDefault="00D33674" w:rsidP="00D33674">
      <w:pPr>
        <w:spacing w:line="480" w:lineRule="auto"/>
        <w:ind w:left="360"/>
        <w:jc w:val="center"/>
        <w:rPr>
          <w:rFonts w:ascii="Calibri" w:eastAsiaTheme="minorEastAsia" w:hAnsi="Calibri" w:cs="Calibri"/>
          <w:sz w:val="24"/>
          <w:szCs w:val="24"/>
        </w:rPr>
      </w:pPr>
      <m:oMathPara>
        <m:oMathParaPr>
          <m:jc m:val="left"/>
        </m:oMathParaPr>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S</m:t>
              </m:r>
            </m:e>
            <m:sub>
              <m:r>
                <w:rPr>
                  <w:rFonts w:ascii="Cambria Math" w:eastAsiaTheme="minorEastAsia" w:hAnsi="Cambria Math" w:cs="Calibri"/>
                  <w:sz w:val="24"/>
                  <w:szCs w:val="24"/>
                </w:rPr>
                <m:t>diff</m:t>
              </m:r>
            </m:sub>
          </m:sSub>
          <m:r>
            <w:rPr>
              <w:rFonts w:ascii="Cambria Math" w:eastAsiaTheme="minorEastAsia" w:hAnsi="Cambria Math" w:cs="Calibri"/>
              <w:sz w:val="24"/>
              <w:szCs w:val="24"/>
            </w:rPr>
            <m:t xml:space="preserve">= </m:t>
          </m:r>
          <m:rad>
            <m:radPr>
              <m:degHide m:val="1"/>
              <m:ctrlPr>
                <w:rPr>
                  <w:rFonts w:ascii="Cambria Math" w:eastAsiaTheme="minorEastAsia" w:hAnsi="Cambria Math" w:cs="Calibri"/>
                  <w:i/>
                  <w:sz w:val="24"/>
                  <w:szCs w:val="24"/>
                </w:rPr>
              </m:ctrlPr>
            </m:radPr>
            <m:deg/>
            <m:e>
              <m:r>
                <w:rPr>
                  <w:rFonts w:ascii="Cambria Math" w:eastAsiaTheme="minorEastAsia" w:hAnsi="Cambria Math" w:cs="Calibri"/>
                  <w:sz w:val="24"/>
                  <w:szCs w:val="24"/>
                </w:rPr>
                <m:t>2(</m:t>
              </m:r>
              <m:sSup>
                <m:sSupPr>
                  <m:ctrlPr>
                    <w:rPr>
                      <w:rFonts w:ascii="Cambria Math" w:eastAsiaTheme="minorEastAsia" w:hAnsi="Cambria Math" w:cs="Calibri"/>
                      <w:i/>
                      <w:sz w:val="24"/>
                      <w:szCs w:val="24"/>
                    </w:rPr>
                  </m:ctrlPr>
                </m:sSupPr>
                <m:e>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S</m:t>
                      </m:r>
                    </m:e>
                    <m:sub>
                      <m:r>
                        <w:rPr>
                          <w:rFonts w:ascii="Cambria Math" w:eastAsiaTheme="minorEastAsia" w:hAnsi="Cambria Math" w:cs="Calibri"/>
                          <w:sz w:val="24"/>
                          <w:szCs w:val="24"/>
                        </w:rPr>
                        <m:t>E</m:t>
                      </m:r>
                    </m:sub>
                  </m:sSub>
                  <m:r>
                    <w:rPr>
                      <w:rFonts w:ascii="Cambria Math" w:eastAsiaTheme="minorEastAsia" w:hAnsi="Cambria Math" w:cs="Calibri"/>
                      <w:sz w:val="24"/>
                      <w:szCs w:val="24"/>
                    </w:rPr>
                    <m:t>)</m:t>
                  </m:r>
                </m:e>
                <m:sup>
                  <m:r>
                    <w:rPr>
                      <w:rFonts w:ascii="Cambria Math" w:eastAsiaTheme="minorEastAsia" w:hAnsi="Cambria Math" w:cs="Calibri"/>
                      <w:sz w:val="24"/>
                      <w:szCs w:val="24"/>
                    </w:rPr>
                    <m:t>2</m:t>
                  </m:r>
                </m:sup>
              </m:sSup>
            </m:e>
          </m:rad>
        </m:oMath>
      </m:oMathPara>
    </w:p>
    <w:p w14:paraId="56AD4E7B" w14:textId="77777777" w:rsidR="00D33674" w:rsidRPr="00C61978" w:rsidRDefault="00D33674" w:rsidP="00D33674">
      <w:pPr>
        <w:spacing w:line="480" w:lineRule="auto"/>
        <w:ind w:left="360"/>
        <w:jc w:val="center"/>
        <w:rPr>
          <w:rFonts w:ascii="Calibri" w:eastAsiaTheme="minorEastAsia" w:hAnsi="Calibri" w:cs="Calibri"/>
          <w:sz w:val="24"/>
          <w:szCs w:val="24"/>
        </w:rPr>
      </w:pPr>
      <m:oMathPara>
        <m:oMathParaPr>
          <m:jc m:val="left"/>
        </m:oMathParaPr>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S</m:t>
              </m:r>
            </m:e>
            <m:sub>
              <m:r>
                <w:rPr>
                  <w:rFonts w:ascii="Cambria Math" w:eastAsiaTheme="minorEastAsia" w:hAnsi="Cambria Math" w:cs="Calibri"/>
                  <w:sz w:val="24"/>
                  <w:szCs w:val="24"/>
                </w:rPr>
                <m:t>E</m:t>
              </m:r>
            </m:sub>
          </m:sSub>
          <m:r>
            <w:rPr>
              <w:rFonts w:ascii="Cambria Math" w:eastAsiaTheme="minorEastAsia" w:hAnsi="Cambria Math" w:cs="Calibri"/>
              <w:sz w:val="24"/>
              <w:szCs w:val="24"/>
            </w:rPr>
            <m:t xml:space="preserve">= </m:t>
          </m:r>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S</m:t>
              </m:r>
            </m:e>
            <m:sub>
              <m:r>
                <w:rPr>
                  <w:rFonts w:ascii="Cambria Math" w:eastAsiaTheme="minorEastAsia" w:hAnsi="Cambria Math" w:cs="Calibri"/>
                  <w:sz w:val="24"/>
                  <w:szCs w:val="24"/>
                </w:rPr>
                <m:t xml:space="preserve">1 </m:t>
              </m:r>
            </m:sub>
          </m:sSub>
          <m:rad>
            <m:radPr>
              <m:degHide m:val="1"/>
              <m:ctrlPr>
                <w:rPr>
                  <w:rFonts w:ascii="Cambria Math" w:eastAsiaTheme="minorEastAsia" w:hAnsi="Cambria Math" w:cs="Calibri"/>
                  <w:i/>
                  <w:sz w:val="24"/>
                  <w:szCs w:val="24"/>
                </w:rPr>
              </m:ctrlPr>
            </m:radPr>
            <m:deg/>
            <m:e>
              <m:r>
                <w:rPr>
                  <w:rFonts w:ascii="Cambria Math" w:eastAsiaTheme="minorEastAsia" w:hAnsi="Cambria Math" w:cs="Calibri"/>
                  <w:sz w:val="24"/>
                  <w:szCs w:val="24"/>
                </w:rPr>
                <m:t xml:space="preserve">1- </m:t>
              </m:r>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r</m:t>
                  </m:r>
                </m:e>
                <m:sub>
                  <m:r>
                    <w:rPr>
                      <w:rFonts w:ascii="Cambria Math" w:eastAsiaTheme="minorEastAsia" w:hAnsi="Cambria Math" w:cs="Calibri"/>
                      <w:sz w:val="24"/>
                      <w:szCs w:val="24"/>
                    </w:rPr>
                    <m:t>xx</m:t>
                  </m:r>
                </m:sub>
              </m:sSub>
            </m:e>
          </m:rad>
        </m:oMath>
      </m:oMathPara>
    </w:p>
    <w:p w14:paraId="51A8B84C" w14:textId="77777777" w:rsidR="00D33674" w:rsidRDefault="00D33674" w:rsidP="00D33674">
      <w:pPr>
        <w:spacing w:line="480" w:lineRule="auto"/>
        <w:rPr>
          <w:rFonts w:ascii="Calibri" w:eastAsiaTheme="minorEastAsia" w:hAnsi="Calibri" w:cs="Calibri"/>
          <w:b/>
          <w:bCs/>
          <w:sz w:val="24"/>
          <w:szCs w:val="24"/>
        </w:rPr>
      </w:pPr>
      <w:r>
        <w:rPr>
          <w:rFonts w:ascii="Calibri" w:eastAsiaTheme="minorEastAsia" w:hAnsi="Calibri" w:cs="Calibri"/>
          <w:b/>
          <w:bCs/>
          <w:sz w:val="24"/>
          <w:szCs w:val="24"/>
        </w:rPr>
        <w:t>Table A.1</w:t>
      </w:r>
    </w:p>
    <w:tbl>
      <w:tblPr>
        <w:tblStyle w:val="TableGrid"/>
        <w:tblW w:w="0" w:type="auto"/>
        <w:tblLook w:val="04A0" w:firstRow="1" w:lastRow="0" w:firstColumn="1" w:lastColumn="0" w:noHBand="0" w:noVBand="1"/>
      </w:tblPr>
      <w:tblGrid>
        <w:gridCol w:w="3005"/>
        <w:gridCol w:w="3005"/>
        <w:gridCol w:w="3006"/>
      </w:tblGrid>
      <w:tr w:rsidR="00D33674" w14:paraId="2EA70B09" w14:textId="77777777" w:rsidTr="00D71114">
        <w:tc>
          <w:tcPr>
            <w:tcW w:w="3005" w:type="dxa"/>
          </w:tcPr>
          <w:p w14:paraId="50B31FDD" w14:textId="77777777" w:rsidR="00D33674" w:rsidRPr="00C61978" w:rsidRDefault="00D33674" w:rsidP="00D71114">
            <w:pPr>
              <w:spacing w:line="480" w:lineRule="auto"/>
              <w:rPr>
                <w:rFonts w:ascii="Calibri" w:eastAsiaTheme="minorEastAsia" w:hAnsi="Calibri" w:cs="Calibri"/>
                <w:b/>
                <w:bCs/>
                <w:sz w:val="24"/>
                <w:szCs w:val="24"/>
              </w:rPr>
            </w:pPr>
            <w:r>
              <w:rPr>
                <w:rFonts w:ascii="Calibri" w:eastAsiaTheme="minorEastAsia" w:hAnsi="Calibri" w:cs="Calibri"/>
                <w:b/>
                <w:bCs/>
                <w:sz w:val="24"/>
                <w:szCs w:val="24"/>
              </w:rPr>
              <w:t>Measure</w:t>
            </w:r>
          </w:p>
        </w:tc>
        <w:tc>
          <w:tcPr>
            <w:tcW w:w="3005" w:type="dxa"/>
          </w:tcPr>
          <w:p w14:paraId="02DA3C7A" w14:textId="77777777" w:rsidR="00D33674" w:rsidRDefault="00D33674" w:rsidP="00D71114">
            <w:pPr>
              <w:spacing w:line="480" w:lineRule="auto"/>
              <w:rPr>
                <w:rFonts w:ascii="Calibri" w:eastAsiaTheme="minorEastAsia" w:hAnsi="Calibri" w:cs="Calibri"/>
                <w:b/>
                <w:bCs/>
                <w:sz w:val="24"/>
                <w:szCs w:val="24"/>
              </w:rPr>
            </w:pPr>
            <m:oMathPara>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r</m:t>
                    </m:r>
                  </m:e>
                  <m:sub>
                    <m:r>
                      <w:rPr>
                        <w:rFonts w:ascii="Cambria Math" w:eastAsiaTheme="minorEastAsia" w:hAnsi="Cambria Math" w:cs="Calibri"/>
                        <w:sz w:val="24"/>
                        <w:szCs w:val="24"/>
                      </w:rPr>
                      <m:t>xx</m:t>
                    </m:r>
                  </m:sub>
                </m:sSub>
              </m:oMath>
            </m:oMathPara>
          </w:p>
        </w:tc>
        <w:tc>
          <w:tcPr>
            <w:tcW w:w="3006" w:type="dxa"/>
          </w:tcPr>
          <w:p w14:paraId="094EC9F9" w14:textId="77777777" w:rsidR="00D33674" w:rsidRDefault="00D33674" w:rsidP="00D71114">
            <w:pPr>
              <w:spacing w:line="480" w:lineRule="auto"/>
              <w:rPr>
                <w:rFonts w:ascii="Calibri" w:eastAsiaTheme="minorEastAsia" w:hAnsi="Calibri" w:cs="Calibri"/>
                <w:b/>
                <w:bCs/>
                <w:sz w:val="24"/>
                <w:szCs w:val="24"/>
              </w:rPr>
            </w:pPr>
            <m:oMathPara>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S</m:t>
                    </m:r>
                  </m:e>
                  <m:sub>
                    <m:r>
                      <w:rPr>
                        <w:rFonts w:ascii="Cambria Math" w:eastAsiaTheme="minorEastAsia" w:hAnsi="Cambria Math" w:cs="Calibri"/>
                        <w:sz w:val="24"/>
                        <w:szCs w:val="24"/>
                      </w:rPr>
                      <m:t>1</m:t>
                    </m:r>
                  </m:sub>
                </m:sSub>
              </m:oMath>
            </m:oMathPara>
          </w:p>
        </w:tc>
      </w:tr>
      <w:tr w:rsidR="00D33674" w14:paraId="5427328C" w14:textId="77777777" w:rsidTr="00D71114">
        <w:tc>
          <w:tcPr>
            <w:tcW w:w="3005" w:type="dxa"/>
          </w:tcPr>
          <w:p w14:paraId="595F1DDE" w14:textId="77777777" w:rsidR="00D33674" w:rsidRPr="00F23CA3" w:rsidRDefault="00D33674" w:rsidP="00D71114">
            <w:pPr>
              <w:spacing w:line="480" w:lineRule="auto"/>
              <w:rPr>
                <w:rFonts w:ascii="Calibri" w:eastAsiaTheme="minorEastAsia" w:hAnsi="Calibri" w:cs="Calibri"/>
                <w:i/>
                <w:iCs/>
                <w:sz w:val="24"/>
                <w:szCs w:val="24"/>
              </w:rPr>
            </w:pPr>
            <w:r w:rsidRPr="00F23CA3">
              <w:rPr>
                <w:rFonts w:ascii="Calibri" w:eastAsiaTheme="minorEastAsia" w:hAnsi="Calibri" w:cs="Calibri"/>
                <w:i/>
                <w:iCs/>
                <w:sz w:val="24"/>
                <w:szCs w:val="24"/>
              </w:rPr>
              <w:t>CRIES-8</w:t>
            </w:r>
          </w:p>
        </w:tc>
        <w:tc>
          <w:tcPr>
            <w:tcW w:w="3005" w:type="dxa"/>
          </w:tcPr>
          <w:p w14:paraId="3109B4CA" w14:textId="77777777" w:rsidR="00D33674" w:rsidRPr="00F23CA3" w:rsidRDefault="00D33674" w:rsidP="00D71114">
            <w:pPr>
              <w:spacing w:line="480" w:lineRule="auto"/>
              <w:rPr>
                <w:rFonts w:ascii="Calibri" w:eastAsiaTheme="minorEastAsia" w:hAnsi="Calibri" w:cs="Calibri"/>
                <w:sz w:val="24"/>
                <w:szCs w:val="24"/>
              </w:rPr>
            </w:pPr>
            <w:r w:rsidRPr="00F23CA3">
              <w:rPr>
                <w:rFonts w:ascii="Calibri" w:eastAsiaTheme="minorEastAsia" w:hAnsi="Calibri" w:cs="Calibri"/>
                <w:sz w:val="24"/>
                <w:szCs w:val="24"/>
              </w:rPr>
              <w:t>0.78</w:t>
            </w:r>
          </w:p>
        </w:tc>
        <w:tc>
          <w:tcPr>
            <w:tcW w:w="3006" w:type="dxa"/>
          </w:tcPr>
          <w:p w14:paraId="5C69712A" w14:textId="77777777" w:rsidR="00D33674" w:rsidRPr="00F23CA3" w:rsidRDefault="00D33674" w:rsidP="00D71114">
            <w:pPr>
              <w:spacing w:line="480" w:lineRule="auto"/>
              <w:rPr>
                <w:rFonts w:ascii="Calibri" w:eastAsiaTheme="minorEastAsia" w:hAnsi="Calibri" w:cs="Calibri"/>
                <w:sz w:val="24"/>
                <w:szCs w:val="24"/>
              </w:rPr>
            </w:pPr>
            <w:r w:rsidRPr="00F23CA3">
              <w:rPr>
                <w:rFonts w:ascii="Calibri" w:eastAsiaTheme="minorEastAsia" w:hAnsi="Calibri" w:cs="Calibri"/>
                <w:sz w:val="24"/>
                <w:szCs w:val="24"/>
              </w:rPr>
              <w:t>11.04</w:t>
            </w:r>
          </w:p>
        </w:tc>
      </w:tr>
      <w:tr w:rsidR="00D33674" w14:paraId="68E43031" w14:textId="77777777" w:rsidTr="00D71114">
        <w:tc>
          <w:tcPr>
            <w:tcW w:w="3005" w:type="dxa"/>
          </w:tcPr>
          <w:p w14:paraId="7ECAF9F9" w14:textId="77777777" w:rsidR="00D33674" w:rsidRPr="00F23CA3" w:rsidRDefault="00D33674" w:rsidP="00D71114">
            <w:pPr>
              <w:spacing w:line="480" w:lineRule="auto"/>
              <w:rPr>
                <w:rFonts w:ascii="Calibri" w:eastAsiaTheme="minorEastAsia" w:hAnsi="Calibri" w:cs="Calibri"/>
                <w:i/>
                <w:iCs/>
                <w:sz w:val="24"/>
                <w:szCs w:val="24"/>
              </w:rPr>
            </w:pPr>
            <w:r w:rsidRPr="00F23CA3">
              <w:rPr>
                <w:rFonts w:ascii="Calibri" w:eastAsiaTheme="minorEastAsia" w:hAnsi="Calibri" w:cs="Calibri"/>
                <w:i/>
                <w:iCs/>
                <w:sz w:val="24"/>
                <w:szCs w:val="24"/>
              </w:rPr>
              <w:t>RCADS</w:t>
            </w:r>
          </w:p>
        </w:tc>
        <w:tc>
          <w:tcPr>
            <w:tcW w:w="3005" w:type="dxa"/>
          </w:tcPr>
          <w:p w14:paraId="4BE4D2D9" w14:textId="77777777" w:rsidR="00D33674" w:rsidRPr="00F23CA3" w:rsidRDefault="00D33674" w:rsidP="00D71114">
            <w:pPr>
              <w:spacing w:line="480" w:lineRule="auto"/>
              <w:rPr>
                <w:rFonts w:ascii="Calibri" w:eastAsiaTheme="minorEastAsia" w:hAnsi="Calibri" w:cs="Calibri"/>
                <w:sz w:val="24"/>
                <w:szCs w:val="24"/>
              </w:rPr>
            </w:pPr>
            <w:r w:rsidRPr="00F23CA3">
              <w:rPr>
                <w:rFonts w:ascii="Calibri" w:eastAsiaTheme="minorEastAsia" w:hAnsi="Calibri" w:cs="Calibri"/>
                <w:sz w:val="24"/>
                <w:szCs w:val="24"/>
              </w:rPr>
              <w:t>0.70</w:t>
            </w:r>
          </w:p>
        </w:tc>
        <w:tc>
          <w:tcPr>
            <w:tcW w:w="3006" w:type="dxa"/>
          </w:tcPr>
          <w:p w14:paraId="24799F62" w14:textId="77777777" w:rsidR="00D33674" w:rsidRPr="00F23CA3" w:rsidRDefault="00D33674" w:rsidP="00D71114">
            <w:pPr>
              <w:spacing w:line="480" w:lineRule="auto"/>
              <w:rPr>
                <w:rFonts w:ascii="Calibri" w:eastAsiaTheme="minorEastAsia" w:hAnsi="Calibri" w:cs="Calibri"/>
                <w:sz w:val="24"/>
                <w:szCs w:val="24"/>
              </w:rPr>
            </w:pPr>
            <w:r w:rsidRPr="00F23CA3">
              <w:rPr>
                <w:rFonts w:ascii="Calibri" w:eastAsiaTheme="minorEastAsia" w:hAnsi="Calibri" w:cs="Calibri"/>
                <w:sz w:val="24"/>
                <w:szCs w:val="24"/>
              </w:rPr>
              <w:t>3.7</w:t>
            </w:r>
          </w:p>
        </w:tc>
      </w:tr>
      <w:tr w:rsidR="00D33674" w14:paraId="393B03D7" w14:textId="77777777" w:rsidTr="00D71114">
        <w:tc>
          <w:tcPr>
            <w:tcW w:w="3005" w:type="dxa"/>
          </w:tcPr>
          <w:p w14:paraId="1519AD7B" w14:textId="77777777" w:rsidR="00D33674" w:rsidRPr="00F23CA3" w:rsidRDefault="00D33674" w:rsidP="00D71114">
            <w:pPr>
              <w:spacing w:line="480" w:lineRule="auto"/>
              <w:rPr>
                <w:rFonts w:ascii="Calibri" w:eastAsiaTheme="minorEastAsia" w:hAnsi="Calibri" w:cs="Calibri"/>
                <w:i/>
                <w:iCs/>
                <w:sz w:val="24"/>
                <w:szCs w:val="24"/>
              </w:rPr>
            </w:pPr>
            <w:r w:rsidRPr="00F23CA3">
              <w:rPr>
                <w:rFonts w:ascii="Calibri" w:eastAsiaTheme="minorEastAsia" w:hAnsi="Calibri" w:cs="Calibri"/>
                <w:i/>
                <w:iCs/>
                <w:sz w:val="24"/>
                <w:szCs w:val="24"/>
              </w:rPr>
              <w:t>CPTCI-S</w:t>
            </w:r>
          </w:p>
        </w:tc>
        <w:tc>
          <w:tcPr>
            <w:tcW w:w="3005" w:type="dxa"/>
          </w:tcPr>
          <w:p w14:paraId="15210DD2" w14:textId="77777777" w:rsidR="00D33674" w:rsidRPr="00F23CA3" w:rsidRDefault="00D33674" w:rsidP="00D71114">
            <w:pPr>
              <w:spacing w:line="480" w:lineRule="auto"/>
              <w:rPr>
                <w:rFonts w:ascii="Calibri" w:eastAsiaTheme="minorEastAsia" w:hAnsi="Calibri" w:cs="Calibri"/>
                <w:sz w:val="24"/>
                <w:szCs w:val="24"/>
              </w:rPr>
            </w:pPr>
            <w:r w:rsidRPr="00F23CA3">
              <w:rPr>
                <w:rFonts w:ascii="Calibri" w:eastAsiaTheme="minorEastAsia" w:hAnsi="Calibri" w:cs="Calibri"/>
                <w:sz w:val="24"/>
                <w:szCs w:val="24"/>
              </w:rPr>
              <w:t>0.78</w:t>
            </w:r>
          </w:p>
        </w:tc>
        <w:tc>
          <w:tcPr>
            <w:tcW w:w="3006" w:type="dxa"/>
          </w:tcPr>
          <w:p w14:paraId="301BE55E" w14:textId="77777777" w:rsidR="00D33674" w:rsidRPr="00F23CA3" w:rsidRDefault="00D33674" w:rsidP="00D71114">
            <w:pPr>
              <w:spacing w:line="480" w:lineRule="auto"/>
              <w:rPr>
                <w:rFonts w:ascii="Calibri" w:eastAsiaTheme="minorEastAsia" w:hAnsi="Calibri" w:cs="Calibri"/>
                <w:sz w:val="24"/>
                <w:szCs w:val="24"/>
              </w:rPr>
            </w:pPr>
            <w:r w:rsidRPr="00F23CA3">
              <w:rPr>
                <w:rFonts w:ascii="Calibri" w:eastAsiaTheme="minorEastAsia" w:hAnsi="Calibri" w:cs="Calibri"/>
                <w:sz w:val="24"/>
                <w:szCs w:val="24"/>
              </w:rPr>
              <w:t>9.92</w:t>
            </w:r>
          </w:p>
        </w:tc>
      </w:tr>
    </w:tbl>
    <w:p w14:paraId="2CBFA1F1" w14:textId="77777777" w:rsidR="003D7DAB" w:rsidRDefault="003D7DAB"/>
    <w:sectPr w:rsidR="003D7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74"/>
    <w:rsid w:val="003D7DAB"/>
    <w:rsid w:val="00B765DF"/>
    <w:rsid w:val="00D3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142"/>
  <w15:chartTrackingRefBased/>
  <w15:docId w15:val="{B0D0B008-FEC4-4BCF-8312-D0398923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Report">
    <w:name w:val="APA Report"/>
    <w:basedOn w:val="TableNormal"/>
    <w:uiPriority w:val="99"/>
    <w:rsid w:val="00B765DF"/>
    <w:pPr>
      <w:spacing w:after="0" w:line="240" w:lineRule="auto"/>
    </w:pPr>
    <w:rPr>
      <w:rFonts w:eastAsiaTheme="minorEastAsia"/>
      <w:sz w:val="24"/>
      <w:szCs w:val="24"/>
      <w:lang w:val="en-US"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styleId="TableGrid">
    <w:name w:val="Table Grid"/>
    <w:basedOn w:val="TableNormal"/>
    <w:uiPriority w:val="39"/>
    <w:rsid w:val="00D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Venus</dc:creator>
  <cp:keywords/>
  <dc:description/>
  <cp:lastModifiedBy>Beth Venus</cp:lastModifiedBy>
  <cp:revision>1</cp:revision>
  <dcterms:created xsi:type="dcterms:W3CDTF">2022-10-14T16:31:00Z</dcterms:created>
  <dcterms:modified xsi:type="dcterms:W3CDTF">2022-10-14T16:31:00Z</dcterms:modified>
</cp:coreProperties>
</file>