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7167" w14:textId="77777777" w:rsidR="000D56E5" w:rsidRPr="000D56E5" w:rsidRDefault="000D56E5" w:rsidP="000D56E5">
      <w:pPr>
        <w:spacing w:after="200"/>
        <w:rPr>
          <w:b/>
          <w:sz w:val="28"/>
          <w:lang w:val="en-IE"/>
        </w:rPr>
      </w:pPr>
      <w:r w:rsidRPr="000D56E5">
        <w:rPr>
          <w:b/>
          <w:sz w:val="28"/>
          <w:lang w:val="en-IE"/>
        </w:rPr>
        <w:t xml:space="preserve">Pre-weaning management of calves on commercial dairy farms and its influence on calf welfare and mortality  </w:t>
      </w:r>
    </w:p>
    <w:p w14:paraId="477E4267" w14:textId="77777777" w:rsidR="000D56E5" w:rsidRPr="000D56E5" w:rsidRDefault="000D56E5" w:rsidP="000D56E5">
      <w:pPr>
        <w:spacing w:after="0"/>
        <w:jc w:val="left"/>
        <w:textAlignment w:val="baseline"/>
        <w:rPr>
          <w:rFonts w:eastAsia="ヒラギノ角ゴ Pro W3" w:cs="Times New Roman"/>
          <w:szCs w:val="24"/>
          <w:vertAlign w:val="superscript"/>
          <w:lang w:val="nl-NL" w:eastAsia="en-IE"/>
        </w:rPr>
      </w:pPr>
      <w:r w:rsidRPr="000D56E5">
        <w:rPr>
          <w:rFonts w:eastAsia="ヒラギノ角ゴ Pro W3" w:cs="Times New Roman"/>
          <w:szCs w:val="24"/>
          <w:lang w:val="nl-NL" w:eastAsia="en-IE"/>
        </w:rPr>
        <w:t>J. Barry, E.A.M. Bokkers, I.J.M. de Boer and E. Kennedy</w:t>
      </w:r>
    </w:p>
    <w:p w14:paraId="51C635EB" w14:textId="77777777" w:rsidR="000D56E5" w:rsidRDefault="000D56E5" w:rsidP="008E75F5">
      <w:pPr>
        <w:spacing w:after="0"/>
        <w:rPr>
          <w:rFonts w:cs="Times New Roman"/>
          <w:i/>
        </w:rPr>
      </w:pPr>
      <w:r w:rsidRPr="000D56E5">
        <w:rPr>
          <w:rFonts w:cs="Times New Roman"/>
          <w:i/>
        </w:rPr>
        <w:t>Animal</w:t>
      </w:r>
    </w:p>
    <w:p w14:paraId="3C0F63AB" w14:textId="77777777" w:rsidR="000D56E5" w:rsidRPr="000D56E5" w:rsidRDefault="000D56E5" w:rsidP="008E75F5">
      <w:pPr>
        <w:spacing w:after="0"/>
        <w:rPr>
          <w:rFonts w:cs="Times New Roman"/>
          <w:i/>
        </w:rPr>
      </w:pPr>
    </w:p>
    <w:p w14:paraId="356F7528" w14:textId="77777777" w:rsidR="001518D5" w:rsidRPr="003C77DE" w:rsidRDefault="005B6E86" w:rsidP="008E75F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Materials &amp; Methods </w:t>
      </w:r>
    </w:p>
    <w:p w14:paraId="0FEE57CD" w14:textId="77777777" w:rsidR="003C77DE" w:rsidRDefault="003C77DE" w:rsidP="008E75F5">
      <w:pPr>
        <w:spacing w:after="0"/>
        <w:rPr>
          <w:rFonts w:cs="Times New Roman"/>
        </w:rPr>
      </w:pPr>
    </w:p>
    <w:p w14:paraId="45AB05E6" w14:textId="77777777" w:rsidR="008E75F5" w:rsidRDefault="008E75F5" w:rsidP="008E75F5">
      <w:pPr>
        <w:spacing w:after="0"/>
        <w:rPr>
          <w:rFonts w:cs="Times New Roman"/>
        </w:rPr>
      </w:pPr>
      <w:r>
        <w:rPr>
          <w:rFonts w:cs="Times New Roman"/>
        </w:rPr>
        <w:t>Feeding Equipment Hygiene</w:t>
      </w:r>
    </w:p>
    <w:p w14:paraId="4D0E2BC2" w14:textId="77777777" w:rsidR="008E75F5" w:rsidRDefault="008E75F5" w:rsidP="008E75F5">
      <w:pPr>
        <w:spacing w:after="0"/>
      </w:pPr>
      <w:r>
        <w:rPr>
          <w:rFonts w:cs="Times New Roman"/>
        </w:rPr>
        <w:t xml:space="preserve">In each visit, trained personnel </w:t>
      </w:r>
      <w:r>
        <w:t>p</w:t>
      </w:r>
      <w:r w:rsidRPr="00C824BE">
        <w:t>hysical</w:t>
      </w:r>
      <w:r>
        <w:t>ly</w:t>
      </w:r>
      <w:r w:rsidRPr="00C824BE">
        <w:t xml:space="preserve"> asses</w:t>
      </w:r>
      <w:r>
        <w:t>sed</w:t>
      </w:r>
      <w:r w:rsidRPr="00C824BE">
        <w:t xml:space="preserve"> </w:t>
      </w:r>
      <w:r>
        <w:t>hygiene practices to</w:t>
      </w:r>
      <w:r w:rsidRPr="00C824BE">
        <w:t xml:space="preserve"> determine </w:t>
      </w:r>
      <w:r>
        <w:t xml:space="preserve">the </w:t>
      </w:r>
      <w:r w:rsidRPr="00C824BE">
        <w:t xml:space="preserve">effectiveness of such routines </w:t>
      </w:r>
      <w:r>
        <w:t>while also</w:t>
      </w:r>
      <w:r w:rsidRPr="00C824BE">
        <w:t xml:space="preserve"> verify</w:t>
      </w:r>
      <w:r>
        <w:t>ing</w:t>
      </w:r>
      <w:r w:rsidRPr="00C824BE">
        <w:t xml:space="preserve"> answers given during the interview.</w:t>
      </w:r>
      <w:r>
        <w:t xml:space="preserve"> H</w:t>
      </w:r>
      <w:r w:rsidRPr="00C824BE">
        <w:t>ygiene of two feeding implements, for example</w:t>
      </w:r>
      <w:r>
        <w:t>,</w:t>
      </w:r>
      <w:r w:rsidRPr="00C824BE">
        <w:t xml:space="preserve"> esophageal tube feeders</w:t>
      </w:r>
      <w:r>
        <w:t xml:space="preserve"> and</w:t>
      </w:r>
      <w:r w:rsidRPr="00C824BE">
        <w:t xml:space="preserve"> </w:t>
      </w:r>
      <w:r>
        <w:t>group feeders</w:t>
      </w:r>
      <w:r w:rsidRPr="00C824BE">
        <w:t xml:space="preserve">, was </w:t>
      </w:r>
      <w:r>
        <w:t>assessed</w:t>
      </w:r>
      <w:r w:rsidRPr="00C824BE">
        <w:t xml:space="preserve"> using 3M Clean-Trace surface protein plus test kits (3M, Minnesota, USA). </w:t>
      </w:r>
      <w:r>
        <w:t xml:space="preserve">This is a </w:t>
      </w:r>
      <w:r w:rsidRPr="002612EE">
        <w:t>semi-quantitative</w:t>
      </w:r>
      <w:r>
        <w:t xml:space="preserve"> assay which involves collecting a swab sample from the implement of interest. The swab is then placed in a chemical solution, which creates a chemical reaction resulting in color formation. Color formation is related to the amount of proteins present, such as milk residues or biological contaminants (e.g., bacteria, fungi), which is measured on a four-point reference scale</w:t>
      </w:r>
    </w:p>
    <w:p w14:paraId="33B19E33" w14:textId="77777777" w:rsidR="008E75F5" w:rsidRDefault="008E75F5" w:rsidP="008E75F5">
      <w:pPr>
        <w:spacing w:after="0"/>
      </w:pPr>
    </w:p>
    <w:p w14:paraId="400ED382" w14:textId="77777777" w:rsidR="008E75F5" w:rsidRDefault="008E75F5" w:rsidP="008E75F5">
      <w:pPr>
        <w:spacing w:after="0"/>
      </w:pPr>
      <w:r>
        <w:t xml:space="preserve">Behaviour Observations </w:t>
      </w:r>
    </w:p>
    <w:p w14:paraId="13D4F8EC" w14:textId="2850E457" w:rsidR="00D02FED" w:rsidRDefault="00D02FED" w:rsidP="00D02FED">
      <w:pPr>
        <w:rPr>
          <w:lang w:val="en-GB"/>
        </w:rPr>
      </w:pPr>
      <w:r>
        <w:rPr>
          <w:lang w:val="en-GB"/>
        </w:rPr>
        <w:t>I</w:t>
      </w:r>
      <w:r w:rsidRPr="00D02FED">
        <w:rPr>
          <w:lang w:val="en-GB"/>
        </w:rPr>
        <w:t xml:space="preserve">ndirect </w:t>
      </w:r>
      <w:r>
        <w:rPr>
          <w:lang w:val="en-GB"/>
        </w:rPr>
        <w:t xml:space="preserve">behavioural observations were </w:t>
      </w:r>
      <w:r w:rsidRPr="00D02FED">
        <w:rPr>
          <w:lang w:val="en-GB"/>
        </w:rPr>
        <w:t xml:space="preserve">made from </w:t>
      </w:r>
      <w:r>
        <w:rPr>
          <w:lang w:val="en-GB"/>
        </w:rPr>
        <w:t xml:space="preserve">60 min </w:t>
      </w:r>
      <w:r w:rsidRPr="00D02FED">
        <w:rPr>
          <w:lang w:val="en-GB"/>
        </w:rPr>
        <w:t xml:space="preserve">video recordings taken during the farm visit. Recordings of two group pens, of contrasting composition (i.e. male and female calves), or if male and female calves were grouped together, then a group of older calves (&gt;3 weeks old) and a younger group (&lt;3 weeks old) </w:t>
      </w:r>
      <w:r>
        <w:rPr>
          <w:lang w:val="en-GB"/>
        </w:rPr>
        <w:t>were</w:t>
      </w:r>
      <w:r w:rsidRPr="00D02FED">
        <w:rPr>
          <w:lang w:val="en-GB"/>
        </w:rPr>
        <w:t xml:space="preserve"> assessed, to provide a reflection of the situation on that particular farm. To ensure </w:t>
      </w:r>
      <w:r w:rsidRPr="00D02FED">
        <w:rPr>
          <w:lang w:val="en-GB"/>
        </w:rPr>
        <w:lastRenderedPageBreak/>
        <w:t>consistency across behavioural observation conditions, record</w:t>
      </w:r>
      <w:r>
        <w:rPr>
          <w:lang w:val="en-GB"/>
        </w:rPr>
        <w:t xml:space="preserve">ings were </w:t>
      </w:r>
      <w:r w:rsidRPr="00D02FED">
        <w:rPr>
          <w:lang w:val="en-GB"/>
        </w:rPr>
        <w:t>made during dayligh</w:t>
      </w:r>
      <w:r>
        <w:rPr>
          <w:lang w:val="en-GB"/>
        </w:rPr>
        <w:t>t hours</w:t>
      </w:r>
      <w:r w:rsidRPr="00D02FED">
        <w:rPr>
          <w:lang w:val="en-GB"/>
        </w:rPr>
        <w:t>.</w:t>
      </w:r>
      <w:r w:rsidR="00010DAB">
        <w:rPr>
          <w:lang w:val="en-IE"/>
        </w:rPr>
        <w:t xml:space="preserve"> </w:t>
      </w:r>
      <w:r w:rsidRPr="00D02FED">
        <w:rPr>
          <w:lang w:val="en-GB"/>
        </w:rPr>
        <w:t>Once the groups were selected, video cameras (GoPro Inc., California,</w:t>
      </w:r>
      <w:r w:rsidR="00A01442">
        <w:rPr>
          <w:lang w:val="en-GB"/>
        </w:rPr>
        <w:t xml:space="preserve"> USA</w:t>
      </w:r>
      <w:r w:rsidRPr="00D02FED">
        <w:rPr>
          <w:lang w:val="en-GB"/>
        </w:rPr>
        <w:t xml:space="preserve">) were set-up to capture a clear and unobstructed image of the entire pen area, within which the activities of calves could be identified. Prior to recording, any lighting available </w:t>
      </w:r>
      <w:r>
        <w:rPr>
          <w:lang w:val="en-GB"/>
        </w:rPr>
        <w:t>was</w:t>
      </w:r>
      <w:r w:rsidRPr="00D02FED">
        <w:rPr>
          <w:lang w:val="en-GB"/>
        </w:rPr>
        <w:t xml:space="preserve"> switched on to ensure maximum visibility in the recordings. Recordings </w:t>
      </w:r>
      <w:r>
        <w:rPr>
          <w:lang w:val="en-GB"/>
        </w:rPr>
        <w:t xml:space="preserve">were </w:t>
      </w:r>
      <w:r w:rsidRPr="00D02FED">
        <w:rPr>
          <w:lang w:val="en-GB"/>
        </w:rPr>
        <w:t>scored at a later date using the</w:t>
      </w:r>
      <w:r>
        <w:rPr>
          <w:lang w:val="en-GB"/>
        </w:rPr>
        <w:t xml:space="preserve"> ethogram as outlined in Table </w:t>
      </w:r>
      <w:r w:rsidR="003F401B">
        <w:rPr>
          <w:lang w:val="en-GB"/>
        </w:rPr>
        <w:t>S</w:t>
      </w:r>
      <w:r>
        <w:rPr>
          <w:lang w:val="en-GB"/>
        </w:rPr>
        <w:t>1</w:t>
      </w:r>
      <w:r w:rsidRPr="00D02FED">
        <w:rPr>
          <w:lang w:val="en-GB"/>
        </w:rPr>
        <w:t xml:space="preserve">, </w:t>
      </w:r>
      <w:r w:rsidRPr="00B33820">
        <w:rPr>
          <w:lang w:val="en-GB"/>
        </w:rPr>
        <w:t xml:space="preserve">which is adapted from </w:t>
      </w:r>
      <w:r w:rsidRPr="00B33820">
        <w:rPr>
          <w:noProof/>
          <w:lang w:val="en-GB"/>
        </w:rPr>
        <w:t>De Wilt (1985)</w:t>
      </w:r>
      <w:r w:rsidRPr="00B33820">
        <w:rPr>
          <w:lang w:val="en-GB"/>
        </w:rPr>
        <w:t>. Behaviours were observed by scan sam</w:t>
      </w:r>
      <w:r w:rsidR="00B33820">
        <w:rPr>
          <w:lang w:val="en-GB"/>
        </w:rPr>
        <w:t>pling at five minute interval</w:t>
      </w:r>
      <w:r w:rsidRPr="00B33820">
        <w:rPr>
          <w:lang w:val="en-GB"/>
        </w:rPr>
        <w:t xml:space="preserve"> for the duration of the 60 minute recording. </w:t>
      </w:r>
      <w:r w:rsidR="00B33820" w:rsidRPr="00B33820">
        <w:rPr>
          <w:lang w:val="en-IE"/>
        </w:rPr>
        <w:t xml:space="preserve">At the 5 minute intervals, the behaviour of each calf was classified using the ethogram, e.g. resting, feeding etc. To ensure the behaviour could be correctly identified a period of ±30 seconds was used around the 5 </w:t>
      </w:r>
      <w:r w:rsidR="00B33820">
        <w:rPr>
          <w:lang w:val="en-IE"/>
        </w:rPr>
        <w:t>minute time point. Frequency of</w:t>
      </w:r>
      <w:r w:rsidR="00B33820" w:rsidRPr="00B33820">
        <w:rPr>
          <w:lang w:val="en-IE"/>
        </w:rPr>
        <w:t xml:space="preserve"> behaviour was calculated by</w:t>
      </w:r>
      <w:r w:rsidR="00B33820">
        <w:rPr>
          <w:lang w:val="en-IE"/>
        </w:rPr>
        <w:t xml:space="preserve"> expressing the</w:t>
      </w:r>
      <w:r w:rsidR="00B33820" w:rsidRPr="00B33820">
        <w:rPr>
          <w:lang w:val="en-IE"/>
        </w:rPr>
        <w:t xml:space="preserve"> number of times a specific behaviour was observed relative to that of other behaviours, throughout the sixty minute observation period.</w:t>
      </w:r>
    </w:p>
    <w:p w14:paraId="6C5E2F47" w14:textId="77777777" w:rsidR="00A60379" w:rsidRPr="00010DAB" w:rsidRDefault="00A60379" w:rsidP="00D02FED">
      <w:pPr>
        <w:rPr>
          <w:lang w:val="en-IE"/>
        </w:rPr>
      </w:pPr>
    </w:p>
    <w:p w14:paraId="7448A3D0" w14:textId="5D325359" w:rsidR="00D02FED" w:rsidRPr="00D02FED" w:rsidRDefault="00D02FED" w:rsidP="00D02FED">
      <w:pPr>
        <w:spacing w:after="0" w:line="240" w:lineRule="auto"/>
        <w:rPr>
          <w:b/>
          <w:lang w:val="en-IE"/>
        </w:rPr>
      </w:pPr>
      <w:r w:rsidRPr="00D02FED">
        <w:rPr>
          <w:b/>
          <w:lang w:val="en-IE"/>
        </w:rPr>
        <w:t xml:space="preserve">Table </w:t>
      </w:r>
      <w:r w:rsidR="003F401B">
        <w:rPr>
          <w:b/>
          <w:lang w:val="en-IE"/>
        </w:rPr>
        <w:t>S</w:t>
      </w:r>
      <w:r>
        <w:rPr>
          <w:b/>
          <w:lang w:val="en-IE"/>
        </w:rPr>
        <w:t>1</w:t>
      </w:r>
      <w:r w:rsidRPr="00D02FED">
        <w:rPr>
          <w:b/>
          <w:lang w:val="en-IE"/>
        </w:rPr>
        <w:t xml:space="preserve">. </w:t>
      </w:r>
      <w:r w:rsidRPr="00D02FED">
        <w:rPr>
          <w:lang w:val="en-IE"/>
        </w:rPr>
        <w:t xml:space="preserve">Ethogram, adapted from de Wilt (1985), which categorises and defines various behaviours, used for </w:t>
      </w:r>
      <w:r w:rsidR="000219A8">
        <w:rPr>
          <w:lang w:val="en-IE"/>
        </w:rPr>
        <w:t xml:space="preserve">bovine calf </w:t>
      </w:r>
      <w:r w:rsidRPr="00D02FED">
        <w:rPr>
          <w:lang w:val="en-IE"/>
        </w:rPr>
        <w:t>behavioural observations in the welfare protocol.</w:t>
      </w: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2410"/>
        <w:gridCol w:w="4628"/>
      </w:tblGrid>
      <w:tr w:rsidR="00D02FED" w:rsidRPr="00D02FED" w14:paraId="696DA982" w14:textId="77777777" w:rsidTr="00D02FED">
        <w:trPr>
          <w:trHeight w:val="677"/>
          <w:jc w:val="center"/>
        </w:trPr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1477E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Category of behaviour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E07A07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Behaviour</w:t>
            </w:r>
          </w:p>
        </w:tc>
        <w:tc>
          <w:tcPr>
            <w:tcW w:w="4628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61C6F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Definition</w:t>
            </w:r>
          </w:p>
        </w:tc>
      </w:tr>
      <w:tr w:rsidR="00D02FED" w:rsidRPr="00D02FED" w14:paraId="5312A3A1" w14:textId="77777777" w:rsidTr="00D02FED">
        <w:trPr>
          <w:trHeight w:val="246"/>
          <w:jc w:val="center"/>
        </w:trPr>
        <w:tc>
          <w:tcPr>
            <w:tcW w:w="2832" w:type="dxa"/>
            <w:tcBorders>
              <w:top w:val="single" w:sz="12" w:space="0" w:color="auto"/>
            </w:tcBorders>
          </w:tcPr>
          <w:p w14:paraId="2F0CE29A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Posture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C5E09E3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Standing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DF812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is standing</w:t>
            </w:r>
          </w:p>
        </w:tc>
      </w:tr>
      <w:tr w:rsidR="00D02FED" w:rsidRPr="00D02FED" w14:paraId="05071F34" w14:textId="77777777" w:rsidTr="00D02FED">
        <w:trPr>
          <w:trHeight w:val="316"/>
          <w:jc w:val="center"/>
        </w:trPr>
        <w:tc>
          <w:tcPr>
            <w:tcW w:w="2832" w:type="dxa"/>
          </w:tcPr>
          <w:p w14:paraId="0D1C3035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0D721721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Lying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  <w:vAlign w:val="center"/>
          </w:tcPr>
          <w:p w14:paraId="6CEE1777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is lying/resting</w:t>
            </w:r>
          </w:p>
        </w:tc>
      </w:tr>
      <w:tr w:rsidR="00D02FED" w:rsidRPr="00D02FED" w14:paraId="5BDA53A7" w14:textId="77777777" w:rsidTr="00D02FED">
        <w:trPr>
          <w:trHeight w:val="300"/>
          <w:jc w:val="center"/>
        </w:trPr>
        <w:tc>
          <w:tcPr>
            <w:tcW w:w="2832" w:type="dxa"/>
          </w:tcPr>
          <w:p w14:paraId="7D44C1D0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General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51CC440B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Walking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245B4106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is walking</w:t>
            </w:r>
          </w:p>
        </w:tc>
      </w:tr>
      <w:tr w:rsidR="00D02FED" w:rsidRPr="00D02FED" w14:paraId="579E19A7" w14:textId="77777777" w:rsidTr="00D02FED">
        <w:trPr>
          <w:trHeight w:val="300"/>
          <w:jc w:val="center"/>
        </w:trPr>
        <w:tc>
          <w:tcPr>
            <w:tcW w:w="2832" w:type="dxa"/>
          </w:tcPr>
          <w:p w14:paraId="61C80AA7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524D9277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Not visible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04F8CB5B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Behaviour of the calf is not visible </w:t>
            </w:r>
          </w:p>
        </w:tc>
      </w:tr>
      <w:tr w:rsidR="00D02FED" w:rsidRPr="00D02FED" w14:paraId="7D3C47D6" w14:textId="77777777" w:rsidTr="00D02FED">
        <w:trPr>
          <w:trHeight w:val="300"/>
          <w:jc w:val="center"/>
        </w:trPr>
        <w:tc>
          <w:tcPr>
            <w:tcW w:w="2832" w:type="dxa"/>
          </w:tcPr>
          <w:p w14:paraId="674B1354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46315A6D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Other  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6E66EA6D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Events not reflective of welfare status (E.g. defecates or urinates)  </w:t>
            </w:r>
          </w:p>
        </w:tc>
      </w:tr>
      <w:tr w:rsidR="00D02FED" w:rsidRPr="00D02FED" w14:paraId="2F1750EA" w14:textId="77777777" w:rsidTr="00D02FED">
        <w:trPr>
          <w:trHeight w:val="300"/>
          <w:jc w:val="center"/>
        </w:trPr>
        <w:tc>
          <w:tcPr>
            <w:tcW w:w="2832" w:type="dxa"/>
          </w:tcPr>
          <w:p w14:paraId="0C9CE0D8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Feeding behaviour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796A7AEF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Drinking milk 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04FB1312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is drinking from a bucket, trough, teat </w:t>
            </w:r>
            <w:r w:rsidRPr="00010DAB">
              <w:rPr>
                <w:lang w:val="en-GB" w:eastAsia="nl-NL"/>
              </w:rPr>
              <w:lastRenderedPageBreak/>
              <w:t xml:space="preserve">or automatic feeding station. </w:t>
            </w:r>
          </w:p>
        </w:tc>
      </w:tr>
      <w:tr w:rsidR="00D02FED" w:rsidRPr="00D02FED" w14:paraId="4D828A27" w14:textId="77777777" w:rsidTr="00D02FED">
        <w:trPr>
          <w:trHeight w:val="300"/>
          <w:jc w:val="center"/>
        </w:trPr>
        <w:tc>
          <w:tcPr>
            <w:tcW w:w="2832" w:type="dxa"/>
          </w:tcPr>
          <w:p w14:paraId="2C87DD67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73457B53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Drinking water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4B992739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is drinking water </w:t>
            </w:r>
          </w:p>
        </w:tc>
      </w:tr>
      <w:tr w:rsidR="00D02FED" w:rsidRPr="00D02FED" w14:paraId="69F0416D" w14:textId="77777777" w:rsidTr="00D02FED">
        <w:trPr>
          <w:trHeight w:val="300"/>
          <w:jc w:val="center"/>
        </w:trPr>
        <w:tc>
          <w:tcPr>
            <w:tcW w:w="2832" w:type="dxa"/>
          </w:tcPr>
          <w:p w14:paraId="23FAC8D8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66F7D5AA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Eating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4CCCDABC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eats concentrates or roughage, or other solid feed (proximity of head to feed) </w:t>
            </w:r>
          </w:p>
        </w:tc>
      </w:tr>
      <w:tr w:rsidR="00D02FED" w:rsidRPr="00D02FED" w14:paraId="57D08A07" w14:textId="77777777" w:rsidTr="00D02FED">
        <w:trPr>
          <w:trHeight w:val="300"/>
          <w:jc w:val="center"/>
        </w:trPr>
        <w:tc>
          <w:tcPr>
            <w:tcW w:w="2832" w:type="dxa"/>
          </w:tcPr>
          <w:p w14:paraId="410AD85A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581AC1CC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Ruminating/chewing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1589856E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is chewing </w:t>
            </w:r>
          </w:p>
        </w:tc>
      </w:tr>
      <w:tr w:rsidR="00D02FED" w:rsidRPr="00D02FED" w14:paraId="4BA8C93D" w14:textId="77777777" w:rsidTr="00D02FED">
        <w:trPr>
          <w:trHeight w:val="300"/>
          <w:jc w:val="center"/>
        </w:trPr>
        <w:tc>
          <w:tcPr>
            <w:tcW w:w="2832" w:type="dxa"/>
          </w:tcPr>
          <w:p w14:paraId="764C09CD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Comfort behaviour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5E2106D1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Grooming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340F57D1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licks itself, including snout/nose licking.</w:t>
            </w:r>
          </w:p>
        </w:tc>
      </w:tr>
      <w:tr w:rsidR="00D02FED" w:rsidRPr="00D02FED" w14:paraId="024E767D" w14:textId="77777777" w:rsidTr="00D02FED">
        <w:trPr>
          <w:trHeight w:val="322"/>
          <w:jc w:val="center"/>
        </w:trPr>
        <w:tc>
          <w:tcPr>
            <w:tcW w:w="2832" w:type="dxa"/>
          </w:tcPr>
          <w:p w14:paraId="253CFA9C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2F66F728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Scratching/Rubbing/Stretching 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1C24941F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scratches itself with one of the legs (generally hind legs).</w:t>
            </w:r>
          </w:p>
          <w:p w14:paraId="425333E4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rubs itself on pen structure</w:t>
            </w:r>
          </w:p>
          <w:p w14:paraId="0CFA8860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stretches itself</w:t>
            </w:r>
          </w:p>
        </w:tc>
      </w:tr>
      <w:tr w:rsidR="00D02FED" w:rsidRPr="00D02FED" w14:paraId="4AF9CEBA" w14:textId="77777777" w:rsidTr="00D02FED">
        <w:trPr>
          <w:trHeight w:val="300"/>
          <w:jc w:val="center"/>
        </w:trPr>
        <w:tc>
          <w:tcPr>
            <w:tcW w:w="2832" w:type="dxa"/>
          </w:tcPr>
          <w:p w14:paraId="172441F3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Abnormal behaviour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6502C505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Tongue playing/rolling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364D3512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makes repeated movements with its tongue inside or outside its mouth</w:t>
            </w:r>
          </w:p>
        </w:tc>
      </w:tr>
      <w:tr w:rsidR="00D02FED" w:rsidRPr="00D02FED" w14:paraId="77D78901" w14:textId="77777777" w:rsidTr="00D02FED">
        <w:trPr>
          <w:trHeight w:val="300"/>
          <w:jc w:val="center"/>
        </w:trPr>
        <w:tc>
          <w:tcPr>
            <w:tcW w:w="2832" w:type="dxa"/>
          </w:tcPr>
          <w:p w14:paraId="6C7C9194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01E9DD12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Urine drinking / oral manipulate prepuce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03D2AA39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drinks the urine of another calf</w:t>
            </w:r>
          </w:p>
          <w:p w14:paraId="43D90667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attempts to suck the naval area of another calf.</w:t>
            </w:r>
          </w:p>
        </w:tc>
      </w:tr>
      <w:tr w:rsidR="00D02FED" w:rsidRPr="00D02FED" w14:paraId="20954CEE" w14:textId="77777777" w:rsidTr="00D02FED">
        <w:trPr>
          <w:trHeight w:val="300"/>
          <w:jc w:val="center"/>
        </w:trPr>
        <w:tc>
          <w:tcPr>
            <w:tcW w:w="2832" w:type="dxa"/>
          </w:tcPr>
          <w:p w14:paraId="22AFD5FD" w14:textId="77777777" w:rsidR="00D02FED" w:rsidRPr="00010DAB" w:rsidRDefault="00D02FED" w:rsidP="00D02FED">
            <w:pPr>
              <w:rPr>
                <w:lang w:val="en-GB" w:eastAsia="nl-NL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4EB110AB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Orally manipulating pen structure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79D94E14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licks, nibbles, sucks, or bites at the pen structure (barriers, walls, buckets, troughs etc.)  </w:t>
            </w:r>
          </w:p>
        </w:tc>
      </w:tr>
      <w:tr w:rsidR="00D02FED" w:rsidRPr="00D02FED" w14:paraId="305A9244" w14:textId="77777777" w:rsidTr="00D02FED">
        <w:trPr>
          <w:trHeight w:val="300"/>
          <w:jc w:val="center"/>
        </w:trPr>
        <w:tc>
          <w:tcPr>
            <w:tcW w:w="2832" w:type="dxa"/>
          </w:tcPr>
          <w:p w14:paraId="1AB4FD16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Play behaviour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</w:tcPr>
          <w:p w14:paraId="2C5DF86E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Play behaviour/Mounting/ Head butting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14:paraId="2C1059B9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runs, jumps, changes direction suddenly, bucks, kicks hind legs, twists or rotates body.</w:t>
            </w:r>
          </w:p>
          <w:p w14:paraId="0A4EC5CF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mounts, or attempts to mount, a pen </w:t>
            </w:r>
            <w:r w:rsidRPr="00010DAB">
              <w:rPr>
                <w:lang w:val="en-GB" w:eastAsia="nl-NL"/>
              </w:rPr>
              <w:lastRenderedPageBreak/>
              <w:t>mate.</w:t>
            </w:r>
          </w:p>
          <w:p w14:paraId="0B074123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is engaged in head to head pushing with another calf.</w:t>
            </w:r>
          </w:p>
        </w:tc>
      </w:tr>
      <w:tr w:rsidR="00D02FED" w:rsidRPr="00D02FED" w14:paraId="7F093887" w14:textId="77777777" w:rsidTr="00D02FED">
        <w:trPr>
          <w:trHeight w:val="300"/>
          <w:jc w:val="center"/>
        </w:trPr>
        <w:tc>
          <w:tcPr>
            <w:tcW w:w="2832" w:type="dxa"/>
            <w:tcBorders>
              <w:bottom w:val="single" w:sz="12" w:space="0" w:color="auto"/>
            </w:tcBorders>
          </w:tcPr>
          <w:p w14:paraId="1DA9F72C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lastRenderedPageBreak/>
              <w:t>Social behaviour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14:paraId="1C7C1CDE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Social interaction</w:t>
            </w:r>
          </w:p>
        </w:tc>
        <w:tc>
          <w:tcPr>
            <w:tcW w:w="462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06C27DE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>Calf licks another calf in the same area multiple times</w:t>
            </w:r>
          </w:p>
          <w:p w14:paraId="30426AD5" w14:textId="77777777" w:rsidR="00D02FED" w:rsidRPr="00010DAB" w:rsidRDefault="00D02FED" w:rsidP="00D02FED">
            <w:pPr>
              <w:rPr>
                <w:lang w:val="en-GB" w:eastAsia="nl-NL"/>
              </w:rPr>
            </w:pPr>
            <w:r w:rsidRPr="00010DAB">
              <w:rPr>
                <w:lang w:val="en-GB" w:eastAsia="nl-NL"/>
              </w:rPr>
              <w:t xml:space="preserve">Calf nibbles, sucks or bites at another calf  </w:t>
            </w:r>
          </w:p>
        </w:tc>
      </w:tr>
    </w:tbl>
    <w:p w14:paraId="1FCA9A5E" w14:textId="77777777" w:rsidR="008E75F5" w:rsidRDefault="008E75F5" w:rsidP="00D02FED"/>
    <w:p w14:paraId="3A90BD6C" w14:textId="77777777" w:rsidR="005B6E86" w:rsidRDefault="005B6E86" w:rsidP="005B6E86">
      <w:pPr>
        <w:spacing w:after="0"/>
        <w:rPr>
          <w:rFonts w:cs="Times New Roman"/>
          <w:i/>
        </w:rPr>
      </w:pPr>
    </w:p>
    <w:p w14:paraId="5DBFB7B1" w14:textId="77777777" w:rsidR="005B6E86" w:rsidRDefault="005B6E86" w:rsidP="005B6E86">
      <w:pPr>
        <w:spacing w:after="0"/>
        <w:rPr>
          <w:rFonts w:cs="Times New Roman"/>
          <w:i/>
        </w:rPr>
      </w:pPr>
    </w:p>
    <w:p w14:paraId="1EF6EAE1" w14:textId="77777777" w:rsidR="005B6E86" w:rsidRDefault="005B6E86" w:rsidP="005B6E86">
      <w:pPr>
        <w:spacing w:after="0"/>
        <w:rPr>
          <w:rFonts w:cs="Times New Roman"/>
          <w:i/>
        </w:rPr>
      </w:pPr>
    </w:p>
    <w:p w14:paraId="019D6A98" w14:textId="77777777" w:rsidR="005B6E86" w:rsidRDefault="005B6E86" w:rsidP="005B6E86">
      <w:pPr>
        <w:spacing w:after="0"/>
        <w:rPr>
          <w:rFonts w:cs="Times New Roman"/>
          <w:i/>
        </w:rPr>
      </w:pPr>
    </w:p>
    <w:p w14:paraId="0F0F0D2F" w14:textId="77777777" w:rsidR="005B6E86" w:rsidRPr="003C77DE" w:rsidRDefault="005B6E86" w:rsidP="005B6E86">
      <w:pPr>
        <w:spacing w:after="0"/>
        <w:rPr>
          <w:rFonts w:cs="Times New Roman"/>
          <w:i/>
        </w:rPr>
      </w:pPr>
      <w:r w:rsidRPr="003C77DE">
        <w:rPr>
          <w:rFonts w:cs="Times New Roman"/>
          <w:i/>
        </w:rPr>
        <w:t>Behaviour analyses</w:t>
      </w:r>
    </w:p>
    <w:p w14:paraId="4F796DE2" w14:textId="77777777" w:rsidR="005B6E86" w:rsidRDefault="005B6E86" w:rsidP="005B6E86">
      <w:pPr>
        <w:spacing w:after="0"/>
      </w:pPr>
      <w:r>
        <w:rPr>
          <w:rFonts w:cs="Times New Roman"/>
        </w:rPr>
        <w:t>The effect of group size, space allowance and calf sex on group behaviour frequencies was estimated using a linear model in PROC MIXED (</w:t>
      </w:r>
      <w:r>
        <w:t>SAS version 9.4; SAS Institute Inc., Cary, NC</w:t>
      </w:r>
      <w:r w:rsidR="00A01442">
        <w:t>, USA</w:t>
      </w:r>
      <w:r>
        <w:t xml:space="preserve">), with farm included as a repeated measure. </w:t>
      </w:r>
    </w:p>
    <w:p w14:paraId="00796A15" w14:textId="77777777" w:rsidR="005B6E86" w:rsidRDefault="005B6E86" w:rsidP="005B6E86">
      <w:pPr>
        <w:spacing w:after="0"/>
      </w:pPr>
      <w:r>
        <w:t xml:space="preserve">The dependent variables investigated included; lying, playing, standing, eating, grooming, social licking, walking, ruminating and rubbing/scratching behaviour in the following model: </w:t>
      </w:r>
    </w:p>
    <w:p w14:paraId="4CE763DF" w14:textId="77777777" w:rsidR="005B6E86" w:rsidRPr="00F903F7" w:rsidRDefault="005B6E86" w:rsidP="005B6E86">
      <w:pPr>
        <w:spacing w:after="0"/>
        <w:rPr>
          <w:i/>
        </w:rPr>
      </w:pPr>
      <w:r w:rsidRPr="00F903F7">
        <w:rPr>
          <w:i/>
        </w:rPr>
        <w:t>Y</w:t>
      </w:r>
      <w:r w:rsidRPr="00F903F7">
        <w:rPr>
          <w:i/>
          <w:vertAlign w:val="subscript"/>
        </w:rPr>
        <w:t>ijkl</w:t>
      </w:r>
      <w:r>
        <w:rPr>
          <w:i/>
        </w:rPr>
        <w:t xml:space="preserve">= </w:t>
      </w:r>
      <w:r w:rsidRPr="0098023A">
        <w:rPr>
          <w:rFonts w:cs="Arial"/>
          <w:i/>
        </w:rPr>
        <w:t>μ</w:t>
      </w:r>
      <w:r w:rsidRPr="00F903F7">
        <w:rPr>
          <w:i/>
        </w:rPr>
        <w:t xml:space="preserve"> + f</w:t>
      </w:r>
      <w:r w:rsidRPr="00F903F7">
        <w:rPr>
          <w:i/>
          <w:vertAlign w:val="subscript"/>
        </w:rPr>
        <w:t>i</w:t>
      </w:r>
      <w:r w:rsidRPr="00F903F7">
        <w:rPr>
          <w:i/>
        </w:rPr>
        <w:t xml:space="preserve"> + g</w:t>
      </w:r>
      <w:r w:rsidRPr="00F903F7">
        <w:rPr>
          <w:i/>
          <w:vertAlign w:val="subscript"/>
        </w:rPr>
        <w:t>j</w:t>
      </w:r>
      <w:r w:rsidRPr="00F903F7">
        <w:rPr>
          <w:i/>
        </w:rPr>
        <w:t xml:space="preserve"> + A</w:t>
      </w:r>
      <w:r w:rsidRPr="00F903F7">
        <w:rPr>
          <w:i/>
          <w:vertAlign w:val="subscript"/>
        </w:rPr>
        <w:t>k</w:t>
      </w:r>
      <w:r w:rsidRPr="00F903F7">
        <w:rPr>
          <w:i/>
        </w:rPr>
        <w:t xml:space="preserve"> + S</w:t>
      </w:r>
      <w:r w:rsidRPr="00F903F7">
        <w:rPr>
          <w:i/>
          <w:vertAlign w:val="subscript"/>
        </w:rPr>
        <w:t xml:space="preserve">l+ </w:t>
      </w:r>
      <w:r w:rsidRPr="00F903F7">
        <w:rPr>
          <w:i/>
        </w:rPr>
        <w:t>e</w:t>
      </w:r>
      <w:r w:rsidRPr="00F903F7">
        <w:rPr>
          <w:i/>
          <w:vertAlign w:val="subscript"/>
        </w:rPr>
        <w:t>jkl</w:t>
      </w:r>
    </w:p>
    <w:p w14:paraId="63EF3D59" w14:textId="77777777" w:rsidR="005B6E86" w:rsidRDefault="005B6E86" w:rsidP="005B6E86">
      <w:pPr>
        <w:spacing w:after="0"/>
      </w:pPr>
      <w:r>
        <w:t xml:space="preserve"> Where:</w:t>
      </w:r>
    </w:p>
    <w:p w14:paraId="6C1174BE" w14:textId="77777777" w:rsidR="005B6E86" w:rsidRDefault="005B6E86" w:rsidP="005B6E86">
      <w:pPr>
        <w:spacing w:after="0"/>
      </w:pPr>
      <w:r w:rsidRPr="00F903F7">
        <w:rPr>
          <w:i/>
        </w:rPr>
        <w:t xml:space="preserve">Y </w:t>
      </w:r>
      <w:r>
        <w:t>= observation;</w:t>
      </w:r>
    </w:p>
    <w:p w14:paraId="74B88F10" w14:textId="77777777" w:rsidR="005B6E86" w:rsidRDefault="005B6E86" w:rsidP="005B6E86">
      <w:pPr>
        <w:spacing w:after="0"/>
      </w:pPr>
      <w:r w:rsidRPr="0098023A">
        <w:rPr>
          <w:rFonts w:cs="Arial"/>
          <w:i/>
        </w:rPr>
        <w:t>μ</w:t>
      </w:r>
      <w:r>
        <w:t xml:space="preserve"> = mean;</w:t>
      </w:r>
    </w:p>
    <w:p w14:paraId="67554455" w14:textId="77777777" w:rsidR="005B6E86" w:rsidRDefault="005B6E86" w:rsidP="005B6E86">
      <w:pPr>
        <w:spacing w:after="0"/>
      </w:pPr>
      <w:r w:rsidRPr="00F903F7">
        <w:rPr>
          <w:i/>
        </w:rPr>
        <w:t>F</w:t>
      </w:r>
      <w:r w:rsidRPr="00F903F7">
        <w:rPr>
          <w:i/>
          <w:vertAlign w:val="subscript"/>
        </w:rPr>
        <w:t xml:space="preserve">i </w:t>
      </w:r>
      <w:r>
        <w:t>= farm effect (</w:t>
      </w:r>
      <w:r w:rsidRPr="00975910">
        <w:rPr>
          <w:i/>
        </w:rPr>
        <w:t>i</w:t>
      </w:r>
      <w:r>
        <w:t xml:space="preserve"> = 1…47)</w:t>
      </w:r>
    </w:p>
    <w:p w14:paraId="4D2B63E5" w14:textId="77777777" w:rsidR="005B6E86" w:rsidRDefault="005B6E86" w:rsidP="005B6E86">
      <w:pPr>
        <w:spacing w:after="0"/>
      </w:pPr>
      <w:r w:rsidRPr="00F903F7">
        <w:rPr>
          <w:i/>
        </w:rPr>
        <w:t>G</w:t>
      </w:r>
      <w:r w:rsidRPr="00F903F7">
        <w:rPr>
          <w:i/>
          <w:vertAlign w:val="subscript"/>
        </w:rPr>
        <w:t xml:space="preserve">j </w:t>
      </w:r>
      <w:r>
        <w:t>= Group size category (</w:t>
      </w:r>
      <w:r w:rsidRPr="00975910">
        <w:rPr>
          <w:i/>
        </w:rPr>
        <w:t>j</w:t>
      </w:r>
      <w:r>
        <w:t xml:space="preserve"> = 1…4)</w:t>
      </w:r>
    </w:p>
    <w:p w14:paraId="14A41B11" w14:textId="77777777" w:rsidR="005B6E86" w:rsidRDefault="005B6E86" w:rsidP="005B6E86">
      <w:pPr>
        <w:spacing w:after="0"/>
      </w:pPr>
      <w:r w:rsidRPr="00F903F7">
        <w:rPr>
          <w:i/>
        </w:rPr>
        <w:t>A</w:t>
      </w:r>
      <w:r w:rsidRPr="00F903F7">
        <w:rPr>
          <w:i/>
          <w:vertAlign w:val="subscript"/>
        </w:rPr>
        <w:t>k</w:t>
      </w:r>
      <w:r>
        <w:rPr>
          <w:vertAlign w:val="subscript"/>
        </w:rPr>
        <w:t xml:space="preserve"> </w:t>
      </w:r>
      <w:r>
        <w:t>= Space allowance category (</w:t>
      </w:r>
      <w:r w:rsidRPr="00975910">
        <w:rPr>
          <w:i/>
        </w:rPr>
        <w:t>k</w:t>
      </w:r>
      <w:r>
        <w:t xml:space="preserve"> = 1…4)</w:t>
      </w:r>
    </w:p>
    <w:p w14:paraId="76AF0A9A" w14:textId="77777777" w:rsidR="005B6E86" w:rsidRDefault="005B6E86" w:rsidP="005B6E86">
      <w:pPr>
        <w:spacing w:after="0"/>
      </w:pPr>
      <w:r w:rsidRPr="00F903F7">
        <w:rPr>
          <w:i/>
        </w:rPr>
        <w:lastRenderedPageBreak/>
        <w:t>S</w:t>
      </w:r>
      <w:r w:rsidRPr="00F903F7">
        <w:rPr>
          <w:i/>
          <w:vertAlign w:val="subscript"/>
        </w:rPr>
        <w:t>l</w:t>
      </w:r>
      <w:r>
        <w:t xml:space="preserve"> = Sex (</w:t>
      </w:r>
      <w:r w:rsidRPr="00975910">
        <w:rPr>
          <w:i/>
        </w:rPr>
        <w:t xml:space="preserve">l </w:t>
      </w:r>
      <w:r>
        <w:t>= male, female, mixed)</w:t>
      </w:r>
    </w:p>
    <w:p w14:paraId="3436B553" w14:textId="77777777" w:rsidR="005B6E86" w:rsidRDefault="005B6E86" w:rsidP="005B6E86">
      <w:pPr>
        <w:spacing w:after="0"/>
        <w:rPr>
          <w:rFonts w:cs="Times New Roman"/>
        </w:rPr>
      </w:pPr>
      <w:r w:rsidRPr="00F903F7">
        <w:rPr>
          <w:i/>
        </w:rPr>
        <w:t>e</w:t>
      </w:r>
      <w:r w:rsidRPr="00F903F7">
        <w:rPr>
          <w:i/>
          <w:vertAlign w:val="subscript"/>
        </w:rPr>
        <w:t>ijkl</w:t>
      </w:r>
      <w:r>
        <w:rPr>
          <w:vertAlign w:val="subscript"/>
        </w:rPr>
        <w:t xml:space="preserve"> </w:t>
      </w:r>
      <w:r>
        <w:rPr>
          <w:rFonts w:cs="Times New Roman"/>
        </w:rPr>
        <w:t>= residual error term</w:t>
      </w:r>
    </w:p>
    <w:p w14:paraId="31D702E6" w14:textId="77777777" w:rsidR="005B6E86" w:rsidRDefault="005B6E86" w:rsidP="005B6E86">
      <w:pPr>
        <w:spacing w:after="0"/>
        <w:rPr>
          <w:rFonts w:cs="Times New Roman"/>
        </w:rPr>
      </w:pPr>
    </w:p>
    <w:p w14:paraId="209711EA" w14:textId="77777777" w:rsidR="005B6E86" w:rsidRPr="003C77DE" w:rsidRDefault="005B6E86" w:rsidP="005B6E86">
      <w:pPr>
        <w:spacing w:after="0"/>
        <w:rPr>
          <w:rFonts w:cs="Times New Roman"/>
          <w:i/>
        </w:rPr>
      </w:pPr>
      <w:r w:rsidRPr="003C77DE">
        <w:rPr>
          <w:rFonts w:cs="Times New Roman"/>
          <w:i/>
        </w:rPr>
        <w:t xml:space="preserve">Calf mortality </w:t>
      </w:r>
    </w:p>
    <w:p w14:paraId="5E97081C" w14:textId="77777777" w:rsidR="005B6E86" w:rsidRDefault="005B6E86" w:rsidP="005B6E86">
      <w:pPr>
        <w:spacing w:after="0"/>
        <w:rPr>
          <w:rFonts w:cs="Times New Roman"/>
        </w:rPr>
      </w:pPr>
      <w:r>
        <w:rPr>
          <w:rFonts w:cs="Times New Roman"/>
        </w:rPr>
        <w:t xml:space="preserve">The effect of transition milk feeding, number of transition milk feeds, source of transition milk, group feeding method and volume provided on calf mortality was estimated using a linear model in PROC MIXED. </w:t>
      </w:r>
    </w:p>
    <w:p w14:paraId="631F0CA9" w14:textId="77777777" w:rsidR="005B6E86" w:rsidRDefault="005B6E86" w:rsidP="005B6E86">
      <w:pPr>
        <w:spacing w:after="0"/>
        <w:rPr>
          <w:rFonts w:cs="Times New Roman"/>
        </w:rPr>
      </w:pPr>
      <w:r>
        <w:rPr>
          <w:rFonts w:cs="Times New Roman"/>
        </w:rPr>
        <w:t>The dependent variables investigated included; 28 day mortality rate, 3 month mortality rate, 6 month mortality rate and twelve month mortality rate in the following model:</w:t>
      </w:r>
    </w:p>
    <w:p w14:paraId="39359E37" w14:textId="77777777" w:rsidR="005B6E86" w:rsidRPr="00975910" w:rsidRDefault="005B6E86" w:rsidP="005B6E86">
      <w:pPr>
        <w:spacing w:after="0"/>
        <w:rPr>
          <w:rFonts w:cs="Times New Roman"/>
          <w:vertAlign w:val="subscript"/>
        </w:rPr>
      </w:pPr>
      <w:r w:rsidRPr="00975910">
        <w:rPr>
          <w:rFonts w:cs="Times New Roman"/>
          <w:i/>
        </w:rPr>
        <w:t>Y</w:t>
      </w:r>
      <w:r>
        <w:rPr>
          <w:rFonts w:cs="Times New Roman"/>
          <w:i/>
          <w:vertAlign w:val="subscript"/>
        </w:rPr>
        <w:t>ijklm</w:t>
      </w:r>
      <w:r w:rsidRPr="00975910">
        <w:rPr>
          <w:rFonts w:cs="Times New Roman"/>
          <w:i/>
        </w:rPr>
        <w:t xml:space="preserve"> = </w:t>
      </w:r>
      <w:r w:rsidRPr="00975910">
        <w:rPr>
          <w:rFonts w:cs="Arial"/>
          <w:i/>
        </w:rPr>
        <w:t>μ + t</w:t>
      </w:r>
      <w:r w:rsidRPr="00975910">
        <w:rPr>
          <w:rFonts w:cs="Arial"/>
          <w:i/>
          <w:vertAlign w:val="subscript"/>
        </w:rPr>
        <w:t xml:space="preserve">i </w:t>
      </w:r>
      <w:r w:rsidRPr="00975910">
        <w:rPr>
          <w:rFonts w:cs="Arial"/>
          <w:i/>
        </w:rPr>
        <w:t>+ n</w:t>
      </w:r>
      <w:r w:rsidRPr="00975910">
        <w:rPr>
          <w:rFonts w:cs="Arial"/>
          <w:i/>
          <w:vertAlign w:val="subscript"/>
        </w:rPr>
        <w:t>j</w:t>
      </w:r>
      <w:r w:rsidRPr="00975910">
        <w:rPr>
          <w:rFonts w:cs="Arial"/>
          <w:i/>
        </w:rPr>
        <w:t xml:space="preserve"> + s</w:t>
      </w:r>
      <w:r w:rsidRPr="00975910">
        <w:rPr>
          <w:rFonts w:cs="Arial"/>
          <w:i/>
          <w:vertAlign w:val="subscript"/>
        </w:rPr>
        <w:t xml:space="preserve">k </w:t>
      </w:r>
      <w:r w:rsidRPr="00975910">
        <w:rPr>
          <w:rFonts w:cs="Arial"/>
          <w:i/>
        </w:rPr>
        <w:t>+ g</w:t>
      </w:r>
      <w:r w:rsidRPr="00975910">
        <w:rPr>
          <w:rFonts w:cs="Arial"/>
          <w:i/>
          <w:vertAlign w:val="subscript"/>
        </w:rPr>
        <w:t>l</w:t>
      </w:r>
      <w:r>
        <w:rPr>
          <w:rFonts w:cs="Arial"/>
        </w:rPr>
        <w:t xml:space="preserve"> + </w:t>
      </w:r>
      <w:r w:rsidRPr="00975910">
        <w:rPr>
          <w:rFonts w:cs="Arial"/>
          <w:i/>
        </w:rPr>
        <w:t>v</w:t>
      </w:r>
      <w:r w:rsidRPr="00975910">
        <w:rPr>
          <w:rFonts w:cs="Arial"/>
          <w:i/>
          <w:vertAlign w:val="subscript"/>
        </w:rPr>
        <w:t>m</w:t>
      </w:r>
      <w:r>
        <w:rPr>
          <w:rFonts w:cs="Arial"/>
          <w:i/>
          <w:vertAlign w:val="subscript"/>
        </w:rPr>
        <w:t xml:space="preserve"> </w:t>
      </w:r>
      <w:r>
        <w:rPr>
          <w:rFonts w:cs="Arial"/>
        </w:rPr>
        <w:t xml:space="preserve">+ </w:t>
      </w:r>
      <w:r w:rsidRPr="00975910">
        <w:rPr>
          <w:rFonts w:cs="Arial"/>
          <w:i/>
        </w:rPr>
        <w:t>e</w:t>
      </w:r>
      <w:r w:rsidRPr="00975910">
        <w:rPr>
          <w:rFonts w:cs="Arial"/>
          <w:i/>
          <w:vertAlign w:val="subscript"/>
        </w:rPr>
        <w:t>ijklm</w:t>
      </w:r>
    </w:p>
    <w:p w14:paraId="59037042" w14:textId="77777777" w:rsidR="005B6E86" w:rsidRDefault="005B6E86" w:rsidP="005B6E86">
      <w:pPr>
        <w:spacing w:after="0"/>
        <w:rPr>
          <w:rFonts w:cs="Times New Roman"/>
        </w:rPr>
      </w:pPr>
      <w:r>
        <w:rPr>
          <w:rFonts w:cs="Times New Roman"/>
        </w:rPr>
        <w:t>Where:</w:t>
      </w:r>
    </w:p>
    <w:p w14:paraId="73F66A5E" w14:textId="77777777" w:rsidR="005B6E86" w:rsidRDefault="005B6E86" w:rsidP="005B6E86">
      <w:pPr>
        <w:spacing w:after="0"/>
        <w:rPr>
          <w:rFonts w:cs="Times New Roman"/>
        </w:rPr>
      </w:pPr>
      <w:r w:rsidRPr="00975910">
        <w:rPr>
          <w:rFonts w:cs="Times New Roman"/>
          <w:i/>
        </w:rPr>
        <w:t>Y</w:t>
      </w:r>
      <w:r>
        <w:rPr>
          <w:rFonts w:cs="Times New Roman"/>
        </w:rPr>
        <w:t xml:space="preserve"> = observation;</w:t>
      </w:r>
    </w:p>
    <w:p w14:paraId="4F5B828C" w14:textId="77777777" w:rsidR="005B6E86" w:rsidRDefault="005B6E86" w:rsidP="005B6E86">
      <w:pPr>
        <w:spacing w:after="0"/>
      </w:pPr>
      <w:r w:rsidRPr="0098023A">
        <w:rPr>
          <w:rFonts w:cs="Arial"/>
          <w:i/>
        </w:rPr>
        <w:t>μ</w:t>
      </w:r>
      <w:r>
        <w:t xml:space="preserve"> = mean;</w:t>
      </w:r>
    </w:p>
    <w:p w14:paraId="04AC0C01" w14:textId="77777777" w:rsidR="005B6E86" w:rsidRPr="00975910" w:rsidRDefault="005B6E86" w:rsidP="005B6E86">
      <w:pPr>
        <w:spacing w:after="0"/>
      </w:pPr>
      <w:r>
        <w:t>t</w:t>
      </w:r>
      <w:r>
        <w:rPr>
          <w:vertAlign w:val="subscript"/>
        </w:rPr>
        <w:t>i</w:t>
      </w:r>
      <w:r>
        <w:t xml:space="preserve"> = Transition milk feeding (</w:t>
      </w:r>
      <w:r>
        <w:rPr>
          <w:i/>
        </w:rPr>
        <w:t xml:space="preserve">i </w:t>
      </w:r>
      <w:r w:rsidRPr="0087625E">
        <w:t>= 1 or 2</w:t>
      </w:r>
      <w:r>
        <w:rPr>
          <w:i/>
        </w:rPr>
        <w:t>)</w:t>
      </w:r>
      <w:r>
        <w:t>;</w:t>
      </w:r>
    </w:p>
    <w:p w14:paraId="57553F5B" w14:textId="77777777" w:rsidR="005B6E86" w:rsidRPr="00975910" w:rsidRDefault="005B6E86" w:rsidP="005B6E86">
      <w:pPr>
        <w:spacing w:after="0"/>
      </w:pPr>
      <w:r>
        <w:rPr>
          <w:i/>
        </w:rPr>
        <w:t>n</w:t>
      </w:r>
      <w:r>
        <w:rPr>
          <w:i/>
          <w:vertAlign w:val="subscript"/>
        </w:rPr>
        <w:t>j</w:t>
      </w:r>
      <w:r>
        <w:rPr>
          <w:i/>
        </w:rPr>
        <w:t xml:space="preserve"> </w:t>
      </w:r>
      <w:r>
        <w:t>= Number of transition milk feeds (</w:t>
      </w:r>
      <w:r w:rsidRPr="00FF0B6C">
        <w:rPr>
          <w:i/>
        </w:rPr>
        <w:t>j</w:t>
      </w:r>
      <w:r>
        <w:rPr>
          <w:i/>
        </w:rPr>
        <w:t xml:space="preserve"> = 1…10)</w:t>
      </w:r>
      <w:r>
        <w:t>;</w:t>
      </w:r>
    </w:p>
    <w:p w14:paraId="7C6C5A59" w14:textId="77777777" w:rsidR="005B6E86" w:rsidRPr="00975910" w:rsidRDefault="005B6E86" w:rsidP="005B6E86">
      <w:pPr>
        <w:spacing w:after="0"/>
      </w:pPr>
      <w:r>
        <w:rPr>
          <w:i/>
        </w:rPr>
        <w:t>s</w:t>
      </w:r>
      <w:r>
        <w:rPr>
          <w:i/>
          <w:vertAlign w:val="subscript"/>
        </w:rPr>
        <w:t>k</w:t>
      </w:r>
      <w:r>
        <w:rPr>
          <w:i/>
        </w:rPr>
        <w:t xml:space="preserve"> </w:t>
      </w:r>
      <w:r w:rsidRPr="00FF0B6C">
        <w:t>=</w:t>
      </w:r>
      <w:r>
        <w:rPr>
          <w:i/>
        </w:rPr>
        <w:t xml:space="preserve"> </w:t>
      </w:r>
      <w:r>
        <w:t>Source of transition milk (</w:t>
      </w:r>
      <w:r w:rsidRPr="00FF0B6C">
        <w:rPr>
          <w:i/>
        </w:rPr>
        <w:t>k</w:t>
      </w:r>
      <w:r>
        <w:rPr>
          <w:i/>
        </w:rPr>
        <w:t xml:space="preserve"> = 1…3)</w:t>
      </w:r>
      <w:r>
        <w:t>;</w:t>
      </w:r>
    </w:p>
    <w:p w14:paraId="63D315CB" w14:textId="77777777" w:rsidR="005B6E86" w:rsidRDefault="005B6E86" w:rsidP="005B6E86">
      <w:pPr>
        <w:spacing w:after="0"/>
      </w:pPr>
      <w:r>
        <w:rPr>
          <w:i/>
        </w:rPr>
        <w:t>g</w:t>
      </w:r>
      <w:r>
        <w:rPr>
          <w:i/>
          <w:vertAlign w:val="subscript"/>
        </w:rPr>
        <w:t>l</w:t>
      </w:r>
      <w:r>
        <w:rPr>
          <w:i/>
        </w:rPr>
        <w:t xml:space="preserve"> </w:t>
      </w:r>
      <w:r>
        <w:t>= Group feeding method (</w:t>
      </w:r>
      <w:r w:rsidRPr="00FF0B6C">
        <w:rPr>
          <w:i/>
        </w:rPr>
        <w:t>l</w:t>
      </w:r>
      <w:r>
        <w:rPr>
          <w:i/>
        </w:rPr>
        <w:t xml:space="preserve"> </w:t>
      </w:r>
      <w:r>
        <w:t>= 1…4);</w:t>
      </w:r>
    </w:p>
    <w:p w14:paraId="33F80A8D" w14:textId="77777777" w:rsidR="005B6E86" w:rsidRDefault="005B6E86" w:rsidP="005B6E86">
      <w:pPr>
        <w:spacing w:after="0"/>
      </w:pPr>
      <w:r w:rsidRPr="00975910">
        <w:rPr>
          <w:i/>
        </w:rPr>
        <w:t>v</w:t>
      </w:r>
      <w:r w:rsidRPr="00975910">
        <w:rPr>
          <w:i/>
          <w:vertAlign w:val="subscript"/>
        </w:rPr>
        <w:t>m</w:t>
      </w:r>
      <w:r w:rsidRPr="00975910">
        <w:rPr>
          <w:i/>
        </w:rPr>
        <w:t xml:space="preserve"> </w:t>
      </w:r>
      <w:r>
        <w:t>= Volume category (</w:t>
      </w:r>
      <w:r w:rsidRPr="00975910">
        <w:rPr>
          <w:i/>
        </w:rPr>
        <w:t>m</w:t>
      </w:r>
      <w:r>
        <w:rPr>
          <w:i/>
        </w:rPr>
        <w:t xml:space="preserve"> </w:t>
      </w:r>
      <w:r>
        <w:t>= 1…4);</w:t>
      </w:r>
    </w:p>
    <w:p w14:paraId="4DB99C16" w14:textId="77777777" w:rsidR="005B6E86" w:rsidRPr="00975910" w:rsidRDefault="005B6E86" w:rsidP="005B6E86">
      <w:pPr>
        <w:spacing w:after="0"/>
        <w:rPr>
          <w:rFonts w:cs="Times New Roman"/>
          <w:vertAlign w:val="subscript"/>
        </w:rPr>
      </w:pPr>
      <w:r w:rsidRPr="00975910">
        <w:rPr>
          <w:rFonts w:cs="Arial"/>
          <w:i/>
        </w:rPr>
        <w:t>e</w:t>
      </w:r>
      <w:r w:rsidRPr="00975910">
        <w:rPr>
          <w:rFonts w:cs="Arial"/>
          <w:i/>
          <w:vertAlign w:val="subscript"/>
        </w:rPr>
        <w:t>ijklm</w:t>
      </w:r>
      <w:r>
        <w:rPr>
          <w:rFonts w:cs="Arial"/>
          <w:i/>
          <w:vertAlign w:val="subscript"/>
        </w:rPr>
        <w:t xml:space="preserve"> </w:t>
      </w:r>
      <w:r w:rsidRPr="00975910">
        <w:rPr>
          <w:rFonts w:cs="Arial"/>
        </w:rPr>
        <w:t>=</w:t>
      </w:r>
      <w:r>
        <w:rPr>
          <w:rFonts w:cs="Arial"/>
        </w:rPr>
        <w:t xml:space="preserve"> residual error term.</w:t>
      </w:r>
    </w:p>
    <w:p w14:paraId="64A5E22A" w14:textId="77777777" w:rsidR="005B6E86" w:rsidRPr="00975910" w:rsidRDefault="005B6E86" w:rsidP="005B6E86">
      <w:pPr>
        <w:spacing w:after="0"/>
      </w:pPr>
    </w:p>
    <w:p w14:paraId="4AE24DDB" w14:textId="77777777" w:rsidR="005B6E86" w:rsidRDefault="005B6E86" w:rsidP="005B6E86">
      <w:pPr>
        <w:spacing w:after="0"/>
      </w:pPr>
      <w:r>
        <w:t>For 12 month mortality rate, the effect of bedding depth category, hygiene score, scour vaccine use and pneumonia vaccine use estimated using the following linear mixed model in PROC MIXED:</w:t>
      </w:r>
    </w:p>
    <w:p w14:paraId="66D1BA46" w14:textId="77777777" w:rsidR="005B6E86" w:rsidRPr="00D26E4E" w:rsidRDefault="005B6E86" w:rsidP="005B6E86">
      <w:pPr>
        <w:spacing w:after="0"/>
        <w:rPr>
          <w:vertAlign w:val="subscript"/>
        </w:rPr>
      </w:pPr>
      <w:r w:rsidRPr="004F684B">
        <w:rPr>
          <w:i/>
        </w:rPr>
        <w:t>Y</w:t>
      </w:r>
      <w:r>
        <w:rPr>
          <w:i/>
          <w:vertAlign w:val="subscript"/>
        </w:rPr>
        <w:t>ijkl</w:t>
      </w:r>
      <w:r>
        <w:t xml:space="preserve"> = </w:t>
      </w:r>
      <w:r w:rsidRPr="0098023A">
        <w:rPr>
          <w:rFonts w:cs="Arial"/>
          <w:i/>
        </w:rPr>
        <w:t>μ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+ </w:t>
      </w:r>
      <w:r w:rsidRPr="004F684B">
        <w:rPr>
          <w:rFonts w:cs="Arial"/>
          <w:i/>
        </w:rPr>
        <w:t>B</w:t>
      </w:r>
      <w:r>
        <w:rPr>
          <w:rFonts w:cs="Arial"/>
          <w:i/>
          <w:vertAlign w:val="subscript"/>
        </w:rPr>
        <w:t xml:space="preserve">i </w:t>
      </w:r>
      <w:r>
        <w:rPr>
          <w:rFonts w:cs="Arial"/>
          <w:i/>
        </w:rPr>
        <w:t>+ H</w:t>
      </w:r>
      <w:r>
        <w:rPr>
          <w:rFonts w:cs="Arial"/>
          <w:i/>
          <w:vertAlign w:val="subscript"/>
        </w:rPr>
        <w:t xml:space="preserve">j </w:t>
      </w:r>
      <w:r>
        <w:rPr>
          <w:rFonts w:cs="Arial"/>
        </w:rPr>
        <w:t xml:space="preserve">+ </w:t>
      </w:r>
      <w:r>
        <w:rPr>
          <w:rFonts w:cs="Arial"/>
          <w:i/>
        </w:rPr>
        <w:t>S</w:t>
      </w:r>
      <w:r>
        <w:rPr>
          <w:rFonts w:cs="Arial"/>
          <w:i/>
          <w:vertAlign w:val="subscript"/>
        </w:rPr>
        <w:t>k</w:t>
      </w:r>
      <w:r>
        <w:rPr>
          <w:rFonts w:cs="Arial"/>
        </w:rPr>
        <w:t xml:space="preserve"> + </w:t>
      </w:r>
      <w:r>
        <w:rPr>
          <w:rFonts w:cs="Arial"/>
          <w:i/>
        </w:rPr>
        <w:t>P</w:t>
      </w:r>
      <w:r>
        <w:rPr>
          <w:rFonts w:cs="Arial"/>
          <w:i/>
          <w:vertAlign w:val="subscript"/>
        </w:rPr>
        <w:t>l</w:t>
      </w:r>
      <w:r>
        <w:rPr>
          <w:rFonts w:cs="Arial"/>
        </w:rPr>
        <w:t xml:space="preserve">+ </w:t>
      </w:r>
      <w:r>
        <w:rPr>
          <w:rFonts w:cs="Arial"/>
          <w:i/>
        </w:rPr>
        <w:t>e</w:t>
      </w:r>
      <w:r>
        <w:rPr>
          <w:rFonts w:cs="Arial"/>
          <w:vertAlign w:val="subscript"/>
        </w:rPr>
        <w:t>ijkl</w:t>
      </w:r>
    </w:p>
    <w:p w14:paraId="16E408F7" w14:textId="77777777" w:rsidR="005B6E86" w:rsidRDefault="005B6E86" w:rsidP="005B6E86">
      <w:pPr>
        <w:spacing w:after="0"/>
      </w:pPr>
      <w:r>
        <w:lastRenderedPageBreak/>
        <w:t>Where:</w:t>
      </w:r>
    </w:p>
    <w:p w14:paraId="4538B709" w14:textId="77777777" w:rsidR="005B6E86" w:rsidRDefault="005B6E86" w:rsidP="005B6E86">
      <w:pPr>
        <w:spacing w:after="0"/>
        <w:rPr>
          <w:rFonts w:cs="Times New Roman"/>
        </w:rPr>
      </w:pPr>
      <w:r w:rsidRPr="00975910">
        <w:rPr>
          <w:rFonts w:cs="Times New Roman"/>
          <w:i/>
        </w:rPr>
        <w:t>Y</w:t>
      </w:r>
      <w:r>
        <w:rPr>
          <w:rFonts w:cs="Times New Roman"/>
        </w:rPr>
        <w:t xml:space="preserve"> = observation;</w:t>
      </w:r>
    </w:p>
    <w:p w14:paraId="2BD29CCD" w14:textId="77777777" w:rsidR="005B6E86" w:rsidRDefault="005B6E86" w:rsidP="005B6E86">
      <w:pPr>
        <w:spacing w:after="0"/>
      </w:pPr>
      <w:r w:rsidRPr="0098023A">
        <w:rPr>
          <w:rFonts w:cs="Arial"/>
          <w:i/>
        </w:rPr>
        <w:t>μ</w:t>
      </w:r>
      <w:r>
        <w:t xml:space="preserve"> = mean;</w:t>
      </w:r>
    </w:p>
    <w:p w14:paraId="49D637B8" w14:textId="77777777" w:rsidR="005B6E86" w:rsidRDefault="005B6E86" w:rsidP="005B6E86">
      <w:pPr>
        <w:spacing w:after="0"/>
        <w:rPr>
          <w:i/>
        </w:rPr>
      </w:pPr>
      <w:r w:rsidRPr="003B7D7E">
        <w:rPr>
          <w:i/>
        </w:rPr>
        <w:t>B</w:t>
      </w:r>
      <w:r>
        <w:rPr>
          <w:i/>
          <w:vertAlign w:val="subscript"/>
        </w:rPr>
        <w:t xml:space="preserve">i </w:t>
      </w:r>
      <w:r>
        <w:rPr>
          <w:i/>
        </w:rPr>
        <w:t>= Bedding depth category (I = 1…4);</w:t>
      </w:r>
    </w:p>
    <w:p w14:paraId="3A24601E" w14:textId="77777777" w:rsidR="005B6E86" w:rsidRDefault="005B6E86" w:rsidP="005B6E86">
      <w:pPr>
        <w:spacing w:after="0"/>
      </w:pPr>
      <w:r>
        <w:rPr>
          <w:i/>
        </w:rPr>
        <w:t>H</w:t>
      </w:r>
      <w:r>
        <w:rPr>
          <w:i/>
          <w:vertAlign w:val="subscript"/>
        </w:rPr>
        <w:t>j</w:t>
      </w:r>
      <w:r>
        <w:rPr>
          <w:i/>
        </w:rPr>
        <w:t xml:space="preserve"> </w:t>
      </w:r>
      <w:r>
        <w:t>= Hygiene score (</w:t>
      </w:r>
      <w:r w:rsidRPr="003B7D7E">
        <w:rPr>
          <w:i/>
        </w:rPr>
        <w:t xml:space="preserve">j </w:t>
      </w:r>
      <w:r>
        <w:t>= 1…4);</w:t>
      </w:r>
    </w:p>
    <w:p w14:paraId="2088234F" w14:textId="77777777" w:rsidR="005B6E86" w:rsidRDefault="005B6E86" w:rsidP="005B6E86">
      <w:pPr>
        <w:spacing w:after="0"/>
      </w:pPr>
      <w:r w:rsidRPr="003B7D7E">
        <w:rPr>
          <w:i/>
        </w:rPr>
        <w:t>S</w:t>
      </w:r>
      <w:r w:rsidRPr="003B7D7E">
        <w:rPr>
          <w:i/>
          <w:vertAlign w:val="subscript"/>
        </w:rPr>
        <w:t>k</w:t>
      </w:r>
      <w:r>
        <w:rPr>
          <w:i/>
          <w:vertAlign w:val="subscript"/>
        </w:rPr>
        <w:t xml:space="preserve"> </w:t>
      </w:r>
      <w:r>
        <w:t>= Scour vaccine use (</w:t>
      </w:r>
      <w:r>
        <w:rPr>
          <w:i/>
        </w:rPr>
        <w:t>k</w:t>
      </w:r>
      <w:r>
        <w:t xml:space="preserve"> = 1 or 2);</w:t>
      </w:r>
    </w:p>
    <w:p w14:paraId="21BF6152" w14:textId="77777777" w:rsidR="005B6E86" w:rsidRDefault="005B6E86" w:rsidP="005B6E86">
      <w:pPr>
        <w:spacing w:after="0"/>
        <w:rPr>
          <w:i/>
        </w:rPr>
      </w:pPr>
      <w:r w:rsidRPr="009E18B5">
        <w:rPr>
          <w:i/>
        </w:rPr>
        <w:t>P</w:t>
      </w:r>
      <w:r>
        <w:rPr>
          <w:i/>
          <w:vertAlign w:val="subscript"/>
        </w:rPr>
        <w:t>l</w:t>
      </w:r>
      <w:r>
        <w:t>= Pneumonia vaccine use (</w:t>
      </w:r>
      <w:r>
        <w:rPr>
          <w:i/>
        </w:rPr>
        <w:t xml:space="preserve">l </w:t>
      </w:r>
      <w:r w:rsidRPr="0087625E">
        <w:t>= 1 or 2</w:t>
      </w:r>
      <w:r>
        <w:rPr>
          <w:i/>
        </w:rPr>
        <w:t>);</w:t>
      </w:r>
    </w:p>
    <w:p w14:paraId="4605558A" w14:textId="77777777" w:rsidR="005B6E86" w:rsidRPr="00D26E4E" w:rsidRDefault="005B6E86" w:rsidP="005B6E86">
      <w:pPr>
        <w:spacing w:after="0"/>
      </w:pPr>
      <w:r>
        <w:rPr>
          <w:i/>
        </w:rPr>
        <w:t>e</w:t>
      </w:r>
      <w:r>
        <w:rPr>
          <w:i/>
          <w:vertAlign w:val="subscript"/>
        </w:rPr>
        <w:t xml:space="preserve">ijkl </w:t>
      </w:r>
      <w:r>
        <w:t xml:space="preserve">= residual error term. </w:t>
      </w:r>
    </w:p>
    <w:p w14:paraId="55AF654D" w14:textId="77777777" w:rsidR="008E75F5" w:rsidRDefault="008E75F5" w:rsidP="00D02FED"/>
    <w:p w14:paraId="44CE1077" w14:textId="77777777" w:rsidR="005B6E86" w:rsidRDefault="005B6E86" w:rsidP="00D02FED">
      <w:pPr>
        <w:rPr>
          <w:b/>
        </w:rPr>
      </w:pPr>
    </w:p>
    <w:p w14:paraId="305A88BD" w14:textId="77777777" w:rsidR="005B6E86" w:rsidRDefault="005B6E86" w:rsidP="00D02FED">
      <w:pPr>
        <w:rPr>
          <w:b/>
        </w:rPr>
      </w:pPr>
    </w:p>
    <w:p w14:paraId="1C3C7688" w14:textId="77777777" w:rsidR="008E75F5" w:rsidRDefault="00010DAB" w:rsidP="00D02FED">
      <w:pPr>
        <w:rPr>
          <w:b/>
        </w:rPr>
      </w:pPr>
      <w:r w:rsidRPr="00010DAB">
        <w:rPr>
          <w:b/>
        </w:rPr>
        <w:t xml:space="preserve">References </w:t>
      </w:r>
    </w:p>
    <w:p w14:paraId="569BF7E7" w14:textId="77777777" w:rsidR="00010DAB" w:rsidRPr="00010DAB" w:rsidRDefault="00010DAB" w:rsidP="00010DAB">
      <w:pPr>
        <w:rPr>
          <w:noProof/>
        </w:rPr>
      </w:pPr>
      <w:r w:rsidRPr="00010DAB">
        <w:rPr>
          <w:noProof/>
        </w:rPr>
        <w:t>De Wilt J 1985</w:t>
      </w:r>
      <w:r>
        <w:rPr>
          <w:noProof/>
        </w:rPr>
        <w:t>.</w:t>
      </w:r>
      <w:r w:rsidRPr="00010DAB">
        <w:rPr>
          <w:noProof/>
        </w:rPr>
        <w:t xml:space="preserve"> Behaviour and welfare of veal calves in relation to</w:t>
      </w:r>
      <w:r w:rsidR="00CE58CF">
        <w:rPr>
          <w:noProof/>
        </w:rPr>
        <w:t xml:space="preserve"> husbandry systems. PhD Thesis, Wageningen University, Wageningen, the Netherlands. </w:t>
      </w:r>
    </w:p>
    <w:p w14:paraId="3882311C" w14:textId="77777777" w:rsidR="00010DAB" w:rsidRPr="00010DAB" w:rsidRDefault="00010DAB" w:rsidP="00D02FED">
      <w:pPr>
        <w:rPr>
          <w:b/>
        </w:rPr>
      </w:pPr>
    </w:p>
    <w:p w14:paraId="75A2D0FE" w14:textId="77777777" w:rsidR="00C720FB" w:rsidRDefault="00C720FB">
      <w:bookmarkStart w:id="0" w:name="_GoBack"/>
      <w:bookmarkEnd w:id="0"/>
    </w:p>
    <w:sectPr w:rsidR="00C720FB" w:rsidSect="007C0BF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zK2tDAzsDQwMTdV0lEKTi0uzszPAykwrAUAey2V+ywAAAA="/>
  </w:docVars>
  <w:rsids>
    <w:rsidRoot w:val="008E75F5"/>
    <w:rsid w:val="00010DAB"/>
    <w:rsid w:val="000219A8"/>
    <w:rsid w:val="00040DE9"/>
    <w:rsid w:val="000D56E5"/>
    <w:rsid w:val="001518D5"/>
    <w:rsid w:val="00226F8F"/>
    <w:rsid w:val="003B7D7E"/>
    <w:rsid w:val="003C77DE"/>
    <w:rsid w:val="003F401B"/>
    <w:rsid w:val="00420C19"/>
    <w:rsid w:val="00490786"/>
    <w:rsid w:val="004C673A"/>
    <w:rsid w:val="004F684B"/>
    <w:rsid w:val="005B6E86"/>
    <w:rsid w:val="006F6557"/>
    <w:rsid w:val="00797118"/>
    <w:rsid w:val="007C0BF7"/>
    <w:rsid w:val="00832F09"/>
    <w:rsid w:val="008352FC"/>
    <w:rsid w:val="0087625E"/>
    <w:rsid w:val="008E75F5"/>
    <w:rsid w:val="00975910"/>
    <w:rsid w:val="0098023A"/>
    <w:rsid w:val="009A2693"/>
    <w:rsid w:val="009E18B5"/>
    <w:rsid w:val="00A01442"/>
    <w:rsid w:val="00A60379"/>
    <w:rsid w:val="00A61D27"/>
    <w:rsid w:val="00B32852"/>
    <w:rsid w:val="00B33820"/>
    <w:rsid w:val="00C720FB"/>
    <w:rsid w:val="00CE58CF"/>
    <w:rsid w:val="00D02FED"/>
    <w:rsid w:val="00D26E4E"/>
    <w:rsid w:val="00DA54B3"/>
    <w:rsid w:val="00F903F7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120A"/>
  <w15:docId w15:val="{56D4AF68-4C10-44DC-AAF7-CB41181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F5"/>
    <w:pPr>
      <w:spacing w:after="80" w:line="480" w:lineRule="auto"/>
      <w:jc w:val="both"/>
    </w:pPr>
    <w:rPr>
      <w:rFonts w:ascii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C0BF7"/>
  </w:style>
  <w:style w:type="character" w:styleId="Marquedecommentaire">
    <w:name w:val="annotation reference"/>
    <w:basedOn w:val="Policepardfaut"/>
    <w:uiPriority w:val="99"/>
    <w:semiHidden/>
    <w:unhideWhenUsed/>
    <w:rsid w:val="00CE5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5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58CF"/>
    <w:rPr>
      <w:rFonts w:ascii="Arial" w:hAnsi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5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58CF"/>
    <w:rPr>
      <w:rFonts w:ascii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8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DA76-E02E-49F9-85DA-4D09728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Teagasc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Barry</dc:creator>
  <cp:lastModifiedBy>ANM</cp:lastModifiedBy>
  <cp:revision>4</cp:revision>
  <dcterms:created xsi:type="dcterms:W3CDTF">2020-06-02T09:07:00Z</dcterms:created>
  <dcterms:modified xsi:type="dcterms:W3CDTF">2020-06-02T09:07:00Z</dcterms:modified>
</cp:coreProperties>
</file>