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5D157" w14:textId="5804E72A" w:rsidR="003F629F" w:rsidRPr="003F629F" w:rsidRDefault="003F629F" w:rsidP="00E645B8">
      <w:pPr>
        <w:pStyle w:val="Heading1"/>
        <w:numPr>
          <w:ilvl w:val="0"/>
          <w:numId w:val="0"/>
        </w:numPr>
        <w:rPr>
          <w:rFonts w:cs="Arial"/>
          <w:b w:val="0"/>
          <w:sz w:val="24"/>
          <w:szCs w:val="24"/>
        </w:rPr>
      </w:pPr>
      <w:bookmarkStart w:id="0" w:name="_Toc525815457"/>
      <w:bookmarkStart w:id="1" w:name="_GoBack"/>
      <w:bookmarkEnd w:id="1"/>
      <w:r w:rsidRPr="003F629F">
        <w:rPr>
          <w:rFonts w:cs="Arial"/>
          <w:b w:val="0"/>
          <w:i/>
          <w:iCs/>
          <w:sz w:val="24"/>
          <w:szCs w:val="24"/>
        </w:rPr>
        <w:t>Animal</w:t>
      </w:r>
      <w:r>
        <w:rPr>
          <w:rFonts w:cs="Arial"/>
          <w:b w:val="0"/>
          <w:sz w:val="24"/>
          <w:szCs w:val="24"/>
        </w:rPr>
        <w:t xml:space="preserve"> Journal</w:t>
      </w:r>
    </w:p>
    <w:p w14:paraId="72367682" w14:textId="6D79F12A" w:rsidR="00E645B8" w:rsidRDefault="00E645B8" w:rsidP="00E645B8">
      <w:pPr>
        <w:pStyle w:val="Heading1"/>
        <w:numPr>
          <w:ilvl w:val="0"/>
          <w:numId w:val="0"/>
        </w:numPr>
        <w:rPr>
          <w:rFonts w:cs="Arial"/>
          <w:bCs/>
          <w:sz w:val="24"/>
          <w:szCs w:val="24"/>
        </w:rPr>
      </w:pPr>
      <w:r w:rsidRPr="00FA0891">
        <w:rPr>
          <w:rFonts w:cs="Arial"/>
          <w:bCs/>
          <w:sz w:val="24"/>
          <w:szCs w:val="24"/>
        </w:rPr>
        <w:t>The effect of alternative feeding strategies on the feeding motivation of broiler breeder pullets</w:t>
      </w:r>
      <w:bookmarkEnd w:id="0"/>
    </w:p>
    <w:p w14:paraId="2600A8A3" w14:textId="5598C523" w:rsidR="00E645B8" w:rsidRPr="003F629F" w:rsidRDefault="003F629F" w:rsidP="003F629F">
      <w:pPr>
        <w:spacing w:line="480" w:lineRule="auto"/>
        <w:rPr>
          <w:rFonts w:cs="Arial"/>
          <w:color w:val="000000" w:themeColor="text1"/>
          <w:szCs w:val="24"/>
          <w:lang w:val="en-GB"/>
        </w:rPr>
      </w:pPr>
      <w:proofErr w:type="spellStart"/>
      <w:r>
        <w:rPr>
          <w:rFonts w:cs="Arial"/>
          <w:color w:val="000000" w:themeColor="text1"/>
          <w:szCs w:val="24"/>
          <w:lang w:val="en-GB"/>
        </w:rPr>
        <w:t>A</w:t>
      </w:r>
      <w:r w:rsidR="001E6D55">
        <w:rPr>
          <w:rFonts w:cs="Arial"/>
          <w:color w:val="000000" w:themeColor="text1"/>
          <w:szCs w:val="24"/>
          <w:lang w:val="en-GB"/>
        </w:rPr>
        <w:t>itor</w:t>
      </w:r>
      <w:proofErr w:type="spellEnd"/>
      <w:r>
        <w:rPr>
          <w:rFonts w:cs="Arial"/>
          <w:color w:val="000000" w:themeColor="text1"/>
          <w:szCs w:val="24"/>
          <w:lang w:val="en-GB"/>
        </w:rPr>
        <w:t xml:space="preserve"> </w:t>
      </w:r>
      <w:proofErr w:type="spellStart"/>
      <w:r w:rsidR="00E645B8" w:rsidRPr="003F629F">
        <w:rPr>
          <w:rFonts w:cs="Arial"/>
          <w:color w:val="000000" w:themeColor="text1"/>
          <w:szCs w:val="24"/>
          <w:lang w:val="en-GB"/>
        </w:rPr>
        <w:t>Arrazola</w:t>
      </w:r>
      <w:bookmarkStart w:id="2" w:name="_Hlk528064544"/>
      <w:proofErr w:type="spellEnd"/>
      <w:r w:rsidR="00E645B8" w:rsidRPr="003F629F">
        <w:rPr>
          <w:rFonts w:cs="Arial"/>
          <w:color w:val="2A2A2A"/>
          <w:szCs w:val="24"/>
        </w:rPr>
        <w:t xml:space="preserve">, </w:t>
      </w:r>
      <w:r w:rsidR="00E645B8" w:rsidRPr="003F629F">
        <w:rPr>
          <w:rFonts w:cs="Arial"/>
          <w:color w:val="000000" w:themeColor="text1"/>
          <w:szCs w:val="24"/>
          <w:lang w:val="en-GB"/>
        </w:rPr>
        <w:t>T</w:t>
      </w:r>
      <w:r w:rsidR="001E6D55">
        <w:rPr>
          <w:rFonts w:cs="Arial"/>
          <w:color w:val="000000" w:themeColor="text1"/>
          <w:szCs w:val="24"/>
          <w:lang w:val="en-GB"/>
        </w:rPr>
        <w:t>ina</w:t>
      </w:r>
      <w:r w:rsidR="00E645B8" w:rsidRPr="003F629F">
        <w:rPr>
          <w:rFonts w:cs="Arial"/>
          <w:color w:val="000000" w:themeColor="text1"/>
          <w:szCs w:val="24"/>
          <w:lang w:val="en-GB"/>
        </w:rPr>
        <w:t xml:space="preserve"> M. </w:t>
      </w:r>
      <w:proofErr w:type="spellStart"/>
      <w:r w:rsidR="00E645B8" w:rsidRPr="003F629F">
        <w:rPr>
          <w:rFonts w:cs="Arial"/>
          <w:color w:val="000000" w:themeColor="text1"/>
          <w:szCs w:val="24"/>
          <w:lang w:val="en-GB"/>
        </w:rPr>
        <w:t>Widowski</w:t>
      </w:r>
      <w:proofErr w:type="spellEnd"/>
      <w:r w:rsidR="00E645B8" w:rsidRPr="003F629F">
        <w:rPr>
          <w:rFonts w:cs="Arial"/>
          <w:color w:val="000000" w:themeColor="text1"/>
          <w:szCs w:val="24"/>
          <w:lang w:val="en-GB"/>
        </w:rPr>
        <w:t>, M</w:t>
      </w:r>
      <w:r w:rsidR="001E6D55">
        <w:rPr>
          <w:rFonts w:cs="Arial"/>
          <w:color w:val="000000" w:themeColor="text1"/>
          <w:szCs w:val="24"/>
          <w:lang w:val="en-GB"/>
        </w:rPr>
        <w:t>ichele</w:t>
      </w:r>
      <w:r w:rsidR="00E645B8" w:rsidRPr="003F629F">
        <w:rPr>
          <w:rFonts w:cs="Arial"/>
          <w:color w:val="000000" w:themeColor="text1"/>
          <w:szCs w:val="24"/>
          <w:lang w:val="en-GB"/>
        </w:rPr>
        <w:t xml:space="preserve"> T. Guerin, </w:t>
      </w:r>
      <w:proofErr w:type="spellStart"/>
      <w:r w:rsidR="00E645B8" w:rsidRPr="003F629F">
        <w:rPr>
          <w:rFonts w:cs="Arial"/>
          <w:color w:val="000000" w:themeColor="text1"/>
          <w:szCs w:val="24"/>
          <w:lang w:val="en-GB"/>
        </w:rPr>
        <w:t>E</w:t>
      </w:r>
      <w:r w:rsidR="001E6D55">
        <w:rPr>
          <w:rFonts w:cs="Arial"/>
          <w:color w:val="000000" w:themeColor="text1"/>
          <w:szCs w:val="24"/>
          <w:lang w:val="en-GB"/>
        </w:rPr>
        <w:t>jijah</w:t>
      </w:r>
      <w:proofErr w:type="spellEnd"/>
      <w:r w:rsidR="00E645B8" w:rsidRPr="003F629F">
        <w:rPr>
          <w:rFonts w:cs="Arial"/>
          <w:color w:val="000000" w:themeColor="text1"/>
          <w:szCs w:val="24"/>
          <w:lang w:val="en-GB"/>
        </w:rPr>
        <w:t xml:space="preserve"> G. </w:t>
      </w:r>
      <w:proofErr w:type="spellStart"/>
      <w:r w:rsidR="00E645B8" w:rsidRPr="003F629F">
        <w:rPr>
          <w:rFonts w:cs="Arial"/>
          <w:color w:val="000000" w:themeColor="text1"/>
          <w:szCs w:val="24"/>
          <w:lang w:val="en-GB"/>
        </w:rPr>
        <w:t>Kiarie</w:t>
      </w:r>
      <w:proofErr w:type="spellEnd"/>
      <w:r w:rsidR="00E645B8" w:rsidRPr="003F629F">
        <w:rPr>
          <w:rFonts w:cs="Arial"/>
          <w:color w:val="000000" w:themeColor="text1"/>
          <w:szCs w:val="24"/>
          <w:lang w:val="en-GB"/>
        </w:rPr>
        <w:t xml:space="preserve"> </w:t>
      </w:r>
      <w:bookmarkEnd w:id="2"/>
      <w:r w:rsidR="00E645B8" w:rsidRPr="003F629F">
        <w:rPr>
          <w:rFonts w:cs="Arial"/>
          <w:color w:val="000000" w:themeColor="text1"/>
          <w:szCs w:val="24"/>
          <w:lang w:val="en-GB"/>
        </w:rPr>
        <w:t>and S</w:t>
      </w:r>
      <w:r w:rsidR="001E6D55">
        <w:rPr>
          <w:rFonts w:cs="Arial"/>
          <w:color w:val="000000" w:themeColor="text1"/>
          <w:szCs w:val="24"/>
          <w:lang w:val="en-GB"/>
        </w:rPr>
        <w:t>tephanie</w:t>
      </w:r>
      <w:r w:rsidR="00E645B8" w:rsidRPr="003F629F">
        <w:rPr>
          <w:rFonts w:cs="Arial"/>
          <w:color w:val="000000" w:themeColor="text1"/>
          <w:szCs w:val="24"/>
          <w:lang w:val="en-GB"/>
        </w:rPr>
        <w:t xml:space="preserve"> Torrey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45B8" w:rsidRPr="00E645B8" w14:paraId="68B5A54A" w14:textId="77777777" w:rsidTr="003F629F">
        <w:tc>
          <w:tcPr>
            <w:tcW w:w="9360" w:type="dxa"/>
          </w:tcPr>
          <w:p w14:paraId="0AD6ACF3" w14:textId="089EE089" w:rsidR="00E645B8" w:rsidRPr="00E645B8" w:rsidRDefault="00E645B8" w:rsidP="008F2336">
            <w:r>
              <w:rPr>
                <w:noProof/>
                <w:lang w:val="en-CA"/>
              </w:rPr>
              <w:drawing>
                <wp:inline distT="0" distB="0" distL="0" distR="0" wp14:anchorId="2938B741" wp14:editId="437207B7">
                  <wp:extent cx="5943600" cy="42462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24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5B8" w:rsidRPr="00E645B8" w14:paraId="71487592" w14:textId="77777777" w:rsidTr="003F629F">
        <w:tc>
          <w:tcPr>
            <w:tcW w:w="9360" w:type="dxa"/>
          </w:tcPr>
          <w:p w14:paraId="1B92FEDF" w14:textId="3E0A3F4B" w:rsidR="00E645B8" w:rsidRPr="00E645B8" w:rsidRDefault="00E645B8" w:rsidP="00E645B8">
            <w:pPr>
              <w:pStyle w:val="BodyText"/>
              <w:rPr>
                <w:rFonts w:cs="Arial"/>
                <w:color w:val="000000" w:themeColor="text1"/>
                <w:szCs w:val="24"/>
                <w:lang w:eastAsia="en-US"/>
              </w:rPr>
            </w:pPr>
            <w:r w:rsidRPr="005C3F86">
              <w:rPr>
                <w:rFonts w:cs="Arial"/>
                <w:b/>
                <w:bCs/>
                <w:color w:val="000000" w:themeColor="text1"/>
                <w:szCs w:val="24"/>
              </w:rPr>
              <w:t xml:space="preserve">Supplementary Figure </w:t>
            </w:r>
            <w:r>
              <w:rPr>
                <w:rFonts w:cs="Arial"/>
                <w:b/>
                <w:bCs/>
                <w:color w:val="000000" w:themeColor="text1"/>
                <w:szCs w:val="24"/>
              </w:rPr>
              <w:t>S</w:t>
            </w:r>
            <w:r w:rsidRPr="005C3F86">
              <w:rPr>
                <w:rFonts w:cs="Arial"/>
                <w:b/>
                <w:bCs/>
                <w:color w:val="000000" w:themeColor="text1"/>
                <w:szCs w:val="24"/>
              </w:rPr>
              <w:t>1.</w:t>
            </w:r>
            <w:r>
              <w:rPr>
                <w:rFonts w:cs="Arial"/>
                <w:color w:val="000000" w:themeColor="text1"/>
                <w:szCs w:val="24"/>
              </w:rPr>
              <w:t xml:space="preserve">  Feather coverage score of broiler breeder pullets on</w:t>
            </w:r>
            <w:r w:rsidRPr="00FA0891">
              <w:rPr>
                <w:rFonts w:cs="Arial"/>
                <w:color w:val="000000" w:themeColor="text1"/>
                <w:szCs w:val="24"/>
              </w:rPr>
              <w:t xml:space="preserve"> a non-daily feeding schedule (4/3) and </w:t>
            </w:r>
            <w:r>
              <w:rPr>
                <w:rFonts w:cs="Arial"/>
                <w:color w:val="000000" w:themeColor="text1"/>
                <w:szCs w:val="24"/>
              </w:rPr>
              <w:t xml:space="preserve">those </w:t>
            </w:r>
            <w:r w:rsidRPr="00FA0891">
              <w:rPr>
                <w:rFonts w:cs="Arial"/>
                <w:color w:val="000000" w:themeColor="text1"/>
                <w:szCs w:val="24"/>
              </w:rPr>
              <w:t>fed diets enriched with soybean hulls (SBH) and calcium propionate (</w:t>
            </w:r>
            <w:proofErr w:type="spellStart"/>
            <w:r w:rsidRPr="00FA0891">
              <w:rPr>
                <w:rFonts w:cs="Arial"/>
                <w:color w:val="000000" w:themeColor="text1"/>
                <w:szCs w:val="24"/>
              </w:rPr>
              <w:t>CaP</w:t>
            </w:r>
            <w:proofErr w:type="spellEnd"/>
            <w:r w:rsidRPr="00FA0891">
              <w:rPr>
                <w:rFonts w:cs="Arial"/>
                <w:color w:val="000000" w:themeColor="text1"/>
                <w:szCs w:val="24"/>
              </w:rPr>
              <w:t xml:space="preserve">), separately and </w:t>
            </w:r>
            <w:r>
              <w:rPr>
                <w:rFonts w:cs="Arial"/>
                <w:color w:val="000000" w:themeColor="text1"/>
                <w:szCs w:val="24"/>
              </w:rPr>
              <w:t>combined</w:t>
            </w:r>
            <w:r w:rsidRPr="00FA0891">
              <w:rPr>
                <w:rFonts w:cs="Arial"/>
                <w:color w:val="000000" w:themeColor="text1"/>
                <w:szCs w:val="24"/>
              </w:rPr>
              <w:t xml:space="preserve"> (alternative diet), during rearing (mean</w:t>
            </w:r>
            <w:r>
              <w:rPr>
                <w:rFonts w:cs="Arial"/>
                <w:color w:val="000000" w:themeColor="text1"/>
                <w:szCs w:val="24"/>
              </w:rPr>
              <w:t xml:space="preserve"> ± </w:t>
            </w:r>
            <w:r w:rsidRPr="00FA0891">
              <w:rPr>
                <w:rFonts w:cs="Arial"/>
                <w:color w:val="000000" w:themeColor="text1"/>
                <w:szCs w:val="24"/>
              </w:rPr>
              <w:t xml:space="preserve">SE). </w:t>
            </w:r>
            <w:r>
              <w:rPr>
                <w:rFonts w:cs="Arial"/>
                <w:color w:val="000000" w:themeColor="text1"/>
                <w:szCs w:val="24"/>
              </w:rPr>
              <w:t xml:space="preserve">High scores indicate poor feather coverage and the presence of skin lesion(s), with 30 being the worst feather coverage score. </w:t>
            </w:r>
          </w:p>
        </w:tc>
      </w:tr>
    </w:tbl>
    <w:p w14:paraId="240348B9" w14:textId="77777777" w:rsidR="00E645B8" w:rsidRPr="00E645B8" w:rsidRDefault="00E645B8" w:rsidP="00E645B8"/>
    <w:p w14:paraId="7FD25467" w14:textId="77777777" w:rsidR="00E645B8" w:rsidRPr="00E645B8" w:rsidRDefault="00E645B8" w:rsidP="00E645B8">
      <w:pPr>
        <w:spacing w:line="480" w:lineRule="auto"/>
        <w:ind w:left="360"/>
        <w:rPr>
          <w:lang w:val="en-GB"/>
        </w:rPr>
      </w:pPr>
    </w:p>
    <w:sectPr w:rsidR="00E645B8" w:rsidRPr="00E64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635"/>
    <w:multiLevelType w:val="multilevel"/>
    <w:tmpl w:val="F02A02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4526CA"/>
    <w:multiLevelType w:val="hybridMultilevel"/>
    <w:tmpl w:val="AD90E1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1AFA"/>
    <w:multiLevelType w:val="hybridMultilevel"/>
    <w:tmpl w:val="CF50D06A"/>
    <w:lvl w:ilvl="0" w:tplc="24DC613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7"/>
    <w:rsid w:val="001E6D55"/>
    <w:rsid w:val="003707EB"/>
    <w:rsid w:val="003F629F"/>
    <w:rsid w:val="00553298"/>
    <w:rsid w:val="005944B7"/>
    <w:rsid w:val="008203DE"/>
    <w:rsid w:val="00E645B8"/>
    <w:rsid w:val="00F3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D058"/>
  <w15:chartTrackingRefBased/>
  <w15:docId w15:val="{38635ED3-4B89-4D58-A72B-B85F6800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B8"/>
    <w:pPr>
      <w:spacing w:before="240" w:after="240" w:line="240" w:lineRule="auto"/>
    </w:pPr>
    <w:rPr>
      <w:rFonts w:ascii="Arial" w:eastAsia="Times New Roman" w:hAnsi="Arial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5B8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E645B8"/>
    <w:pPr>
      <w:keepLines w:val="0"/>
      <w:numPr>
        <w:ilvl w:val="1"/>
      </w:numPr>
      <w:tabs>
        <w:tab w:val="num" w:pos="-2700"/>
        <w:tab w:val="left" w:pos="720"/>
      </w:tabs>
      <w:outlineLvl w:val="1"/>
    </w:pPr>
    <w:rPr>
      <w:rFonts w:eastAsia="Times New Roman" w:cs="Arial"/>
      <w:iCs/>
      <w:kern w:val="32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645B8"/>
    <w:pPr>
      <w:keepLines/>
      <w:numPr>
        <w:ilvl w:val="2"/>
      </w:numPr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645B8"/>
    <w:pPr>
      <w:numPr>
        <w:ilvl w:val="3"/>
      </w:numPr>
      <w:outlineLvl w:val="3"/>
    </w:pPr>
    <w:rPr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45B8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5B8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45B8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45B8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5B8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45B8"/>
    <w:rPr>
      <w:rFonts w:ascii="Arial" w:eastAsiaTheme="majorEastAsia" w:hAnsi="Arial" w:cstheme="majorBidi"/>
      <w:b/>
      <w:sz w:val="32"/>
      <w:szCs w:val="32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645B8"/>
    <w:rPr>
      <w:rFonts w:ascii="Arial" w:eastAsia="Times New Roman" w:hAnsi="Arial" w:cs="Arial"/>
      <w:b/>
      <w:iCs/>
      <w:kern w:val="32"/>
      <w:sz w:val="28"/>
      <w:szCs w:val="28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645B8"/>
    <w:rPr>
      <w:rFonts w:ascii="Arial" w:eastAsiaTheme="majorEastAsia" w:hAnsi="Arial" w:cstheme="majorBidi"/>
      <w:b/>
      <w:iCs/>
      <w:kern w:val="32"/>
      <w:sz w:val="24"/>
      <w:szCs w:val="24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645B8"/>
    <w:rPr>
      <w:rFonts w:ascii="Arial" w:eastAsiaTheme="majorEastAsia" w:hAnsi="Arial" w:cstheme="majorBidi"/>
      <w:b/>
      <w:kern w:val="32"/>
      <w:sz w:val="24"/>
      <w:szCs w:val="24"/>
      <w:lang w:val="en-US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645B8"/>
    <w:rPr>
      <w:rFonts w:ascii="Arial" w:eastAsiaTheme="majorEastAsia" w:hAnsi="Arial" w:cstheme="majorBidi"/>
      <w:b/>
      <w:sz w:val="24"/>
      <w:szCs w:val="20"/>
      <w:lang w:val="en-US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645B8"/>
    <w:rPr>
      <w:rFonts w:ascii="Arial" w:eastAsiaTheme="majorEastAsia" w:hAnsi="Arial" w:cstheme="majorBidi"/>
      <w:sz w:val="24"/>
      <w:szCs w:val="20"/>
      <w:lang w:val="en-US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E645B8"/>
    <w:rPr>
      <w:rFonts w:ascii="Arial" w:eastAsiaTheme="majorEastAsia" w:hAnsi="Arial" w:cstheme="majorBidi"/>
      <w:i/>
      <w:iCs/>
      <w:sz w:val="24"/>
      <w:szCs w:val="20"/>
      <w:lang w:val="en-US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E645B8"/>
    <w:rPr>
      <w:rFonts w:ascii="Arial" w:eastAsiaTheme="majorEastAsia" w:hAnsi="Arial" w:cstheme="majorBidi"/>
      <w:color w:val="272727" w:themeColor="text1" w:themeTint="D8"/>
      <w:sz w:val="21"/>
      <w:szCs w:val="21"/>
      <w:lang w:val="en-US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5B8"/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val="en-US" w:eastAsia="en-CA"/>
    </w:rPr>
  </w:style>
  <w:style w:type="paragraph" w:styleId="BodyText">
    <w:name w:val="Body Text"/>
    <w:basedOn w:val="Normal"/>
    <w:link w:val="BodyTextChar"/>
    <w:uiPriority w:val="99"/>
    <w:unhideWhenUsed/>
    <w:rsid w:val="00E645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45B8"/>
    <w:rPr>
      <w:rFonts w:ascii="Arial" w:eastAsia="Times New Roman" w:hAnsi="Arial" w:cs="Times New Roman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E645B8"/>
    <w:pPr>
      <w:ind w:left="720"/>
      <w:contextualSpacing/>
    </w:pPr>
  </w:style>
  <w:style w:type="table" w:styleId="TableGrid">
    <w:name w:val="Table Grid"/>
    <w:basedOn w:val="TableNormal"/>
    <w:uiPriority w:val="39"/>
    <w:rsid w:val="00E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Dr. Stephanie Torrey</cp:lastModifiedBy>
  <cp:revision>2</cp:revision>
  <dcterms:created xsi:type="dcterms:W3CDTF">2020-03-27T19:14:00Z</dcterms:created>
  <dcterms:modified xsi:type="dcterms:W3CDTF">2020-03-27T19:14:00Z</dcterms:modified>
</cp:coreProperties>
</file>