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F8" w:rsidRPr="00300C25" w:rsidRDefault="00A442F8" w:rsidP="00A442F8">
      <w:pPr>
        <w:spacing w:line="600" w:lineRule="auto"/>
        <w:rPr>
          <w:rFonts w:ascii="Arial" w:hAnsi="Arial" w:cs="Arial"/>
        </w:rPr>
      </w:pPr>
      <w:r w:rsidRPr="00300C25">
        <w:rPr>
          <w:rFonts w:ascii="Arial" w:hAnsi="Arial" w:cs="Arial"/>
        </w:rPr>
        <w:t xml:space="preserve">Supplementary </w:t>
      </w:r>
      <w:r w:rsidR="0072779A" w:rsidRPr="00300C25">
        <w:rPr>
          <w:rFonts w:ascii="Arial" w:hAnsi="Arial" w:cs="Arial"/>
        </w:rPr>
        <w:t xml:space="preserve">File </w:t>
      </w:r>
      <w:proofErr w:type="gramStart"/>
      <w:r w:rsidR="0072779A" w:rsidRPr="00300C25">
        <w:rPr>
          <w:rFonts w:ascii="Arial" w:hAnsi="Arial" w:cs="Arial"/>
        </w:rPr>
        <w:t>For</w:t>
      </w:r>
      <w:proofErr w:type="gramEnd"/>
      <w:r w:rsidR="0072779A" w:rsidRPr="00300C25">
        <w:rPr>
          <w:rFonts w:ascii="Arial" w:hAnsi="Arial" w:cs="Arial"/>
        </w:rPr>
        <w:t xml:space="preserve"> Online Publication Only</w:t>
      </w:r>
    </w:p>
    <w:p w:rsidR="0072779A" w:rsidRPr="00300C25" w:rsidRDefault="0072779A" w:rsidP="0072779A">
      <w:pPr>
        <w:pStyle w:val="Titre2"/>
        <w:spacing w:line="600" w:lineRule="auto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300C25">
        <w:rPr>
          <w:rFonts w:ascii="Arial" w:hAnsi="Arial" w:cs="Arial"/>
          <w:b/>
          <w:color w:val="auto"/>
          <w:sz w:val="28"/>
          <w:szCs w:val="28"/>
        </w:rPr>
        <w:t>Low sanitary conditions increase energy expenditure for maintenance and decrease incremental protein efficiency in growing pigs</w:t>
      </w:r>
      <w:bookmarkStart w:id="0" w:name="_GoBack"/>
      <w:bookmarkEnd w:id="0"/>
    </w:p>
    <w:p w:rsidR="0072779A" w:rsidRPr="00300C25" w:rsidRDefault="0072779A" w:rsidP="0072779A">
      <w:pPr>
        <w:spacing w:line="600" w:lineRule="auto"/>
        <w:contextualSpacing/>
        <w:jc w:val="center"/>
        <w:rPr>
          <w:rFonts w:ascii="Arial" w:hAnsi="Arial" w:cs="Arial"/>
          <w:b/>
          <w:szCs w:val="24"/>
        </w:rPr>
      </w:pPr>
    </w:p>
    <w:p w:rsidR="0072779A" w:rsidRPr="00300C25" w:rsidRDefault="0072779A" w:rsidP="0072779A">
      <w:pPr>
        <w:spacing w:line="600" w:lineRule="auto"/>
        <w:contextualSpacing/>
        <w:jc w:val="left"/>
        <w:rPr>
          <w:rFonts w:ascii="Arial" w:hAnsi="Arial" w:cs="Arial"/>
          <w:b/>
          <w:szCs w:val="24"/>
          <w:lang w:val="nl-NL"/>
        </w:rPr>
      </w:pPr>
      <w:r w:rsidRPr="00300C25">
        <w:rPr>
          <w:rFonts w:ascii="Arial" w:hAnsi="Arial" w:cs="Arial"/>
          <w:b/>
          <w:szCs w:val="24"/>
          <w:lang w:val="nl-NL"/>
        </w:rPr>
        <w:t>Y. van der Meer</w:t>
      </w:r>
      <w:r w:rsidRPr="00300C25">
        <w:rPr>
          <w:rFonts w:ascii="Arial" w:hAnsi="Arial" w:cs="Arial"/>
          <w:b/>
          <w:szCs w:val="24"/>
          <w:vertAlign w:val="superscript"/>
          <w:lang w:val="nl-NL"/>
        </w:rPr>
        <w:t>1,2</w:t>
      </w:r>
      <w:r w:rsidRPr="00300C25">
        <w:rPr>
          <w:rFonts w:ascii="Arial" w:eastAsia="CenturySchoolbook" w:hAnsi="Arial" w:cs="Arial"/>
          <w:b/>
          <w:szCs w:val="24"/>
          <w:lang w:val="nl-NL"/>
        </w:rPr>
        <w:t>,</w:t>
      </w:r>
      <w:r w:rsidRPr="00300C25">
        <w:rPr>
          <w:rFonts w:ascii="Arial" w:hAnsi="Arial" w:cs="Arial"/>
          <w:b/>
          <w:szCs w:val="24"/>
          <w:lang w:val="nl-NL"/>
        </w:rPr>
        <w:t xml:space="preserve"> A.J.M. Jansman</w:t>
      </w:r>
      <w:r w:rsidRPr="00300C25">
        <w:rPr>
          <w:rFonts w:ascii="Arial" w:eastAsia="CenturySchoolbook" w:hAnsi="Arial" w:cs="Arial"/>
          <w:b/>
          <w:szCs w:val="24"/>
          <w:vertAlign w:val="superscript"/>
          <w:lang w:val="nl-NL"/>
        </w:rPr>
        <w:t>3</w:t>
      </w:r>
      <w:r w:rsidRPr="00300C25">
        <w:rPr>
          <w:rFonts w:ascii="Arial" w:hAnsi="Arial" w:cs="Arial"/>
          <w:b/>
          <w:szCs w:val="24"/>
          <w:lang w:val="nl-NL"/>
        </w:rPr>
        <w:t xml:space="preserve"> and W.J.J. Gerrits</w:t>
      </w:r>
      <w:r w:rsidRPr="00300C25">
        <w:rPr>
          <w:rFonts w:ascii="Arial" w:hAnsi="Arial" w:cs="Arial"/>
          <w:b/>
          <w:szCs w:val="24"/>
          <w:vertAlign w:val="superscript"/>
          <w:lang w:val="nl-NL"/>
        </w:rPr>
        <w:t>1</w:t>
      </w:r>
    </w:p>
    <w:p w:rsidR="0072779A" w:rsidRPr="00300C25" w:rsidRDefault="0072779A" w:rsidP="0072779A">
      <w:pPr>
        <w:spacing w:line="600" w:lineRule="auto"/>
        <w:contextualSpacing/>
        <w:jc w:val="center"/>
        <w:rPr>
          <w:rFonts w:ascii="Arial" w:hAnsi="Arial" w:cs="Arial"/>
          <w:szCs w:val="24"/>
          <w:lang w:val="nl-NL"/>
        </w:rPr>
      </w:pPr>
    </w:p>
    <w:p w:rsidR="0072779A" w:rsidRPr="00300C25" w:rsidRDefault="0072779A" w:rsidP="0072779A">
      <w:pPr>
        <w:spacing w:line="600" w:lineRule="auto"/>
        <w:contextualSpacing/>
        <w:jc w:val="left"/>
        <w:rPr>
          <w:rFonts w:ascii="Arial" w:hAnsi="Arial" w:cs="Arial"/>
          <w:i/>
          <w:szCs w:val="24"/>
        </w:rPr>
      </w:pPr>
      <w:r w:rsidRPr="00300C25">
        <w:rPr>
          <w:rFonts w:ascii="Arial" w:hAnsi="Arial" w:cs="Arial"/>
          <w:i/>
          <w:szCs w:val="24"/>
          <w:vertAlign w:val="superscript"/>
        </w:rPr>
        <w:t>1</w:t>
      </w:r>
      <w:r w:rsidRPr="00300C25">
        <w:rPr>
          <w:rFonts w:ascii="Arial" w:hAnsi="Arial" w:cs="Arial"/>
          <w:i/>
          <w:szCs w:val="24"/>
        </w:rPr>
        <w:t xml:space="preserve">Animal Nutrition Group, </w:t>
      </w:r>
      <w:proofErr w:type="spellStart"/>
      <w:r w:rsidRPr="00300C25">
        <w:rPr>
          <w:rFonts w:ascii="Arial" w:hAnsi="Arial" w:cs="Arial"/>
          <w:i/>
          <w:szCs w:val="24"/>
        </w:rPr>
        <w:t>Wageningen</w:t>
      </w:r>
      <w:proofErr w:type="spellEnd"/>
      <w:r w:rsidRPr="00300C25">
        <w:rPr>
          <w:rFonts w:ascii="Arial" w:hAnsi="Arial" w:cs="Arial"/>
          <w:i/>
          <w:szCs w:val="24"/>
        </w:rPr>
        <w:t xml:space="preserve"> University, </w:t>
      </w:r>
      <w:proofErr w:type="spellStart"/>
      <w:r w:rsidRPr="00300C25">
        <w:rPr>
          <w:rFonts w:ascii="Arial" w:hAnsi="Arial" w:cs="Arial"/>
          <w:i/>
          <w:szCs w:val="24"/>
        </w:rPr>
        <w:t>Wageningen</w:t>
      </w:r>
      <w:proofErr w:type="spellEnd"/>
      <w:r w:rsidRPr="00300C25">
        <w:rPr>
          <w:rFonts w:ascii="Arial" w:hAnsi="Arial" w:cs="Arial"/>
          <w:i/>
          <w:szCs w:val="24"/>
        </w:rPr>
        <w:t xml:space="preserve">, 6708 WD, </w:t>
      </w:r>
      <w:proofErr w:type="gramStart"/>
      <w:r w:rsidRPr="00300C25">
        <w:rPr>
          <w:rFonts w:ascii="Arial" w:hAnsi="Arial" w:cs="Arial"/>
          <w:i/>
          <w:szCs w:val="24"/>
        </w:rPr>
        <w:t>The</w:t>
      </w:r>
      <w:proofErr w:type="gramEnd"/>
      <w:r w:rsidRPr="00300C25">
        <w:rPr>
          <w:rFonts w:ascii="Arial" w:hAnsi="Arial" w:cs="Arial"/>
          <w:i/>
          <w:szCs w:val="24"/>
        </w:rPr>
        <w:t xml:space="preserve"> Netherlands;</w:t>
      </w:r>
    </w:p>
    <w:p w:rsidR="0072779A" w:rsidRPr="00300C25" w:rsidRDefault="0072779A" w:rsidP="0072779A">
      <w:pPr>
        <w:spacing w:line="600" w:lineRule="auto"/>
        <w:contextualSpacing/>
        <w:jc w:val="left"/>
        <w:rPr>
          <w:rFonts w:ascii="Arial" w:hAnsi="Arial" w:cs="Arial"/>
          <w:i/>
          <w:szCs w:val="24"/>
        </w:rPr>
      </w:pPr>
      <w:r w:rsidRPr="00300C25">
        <w:rPr>
          <w:rFonts w:ascii="Arial" w:eastAsia="CenturySchoolbook" w:hAnsi="Arial" w:cs="Arial"/>
          <w:i/>
          <w:szCs w:val="24"/>
          <w:vertAlign w:val="superscript"/>
        </w:rPr>
        <w:t>2</w:t>
      </w:r>
      <w:r w:rsidRPr="00300C25">
        <w:rPr>
          <w:rFonts w:ascii="Arial" w:hAnsi="Arial" w:cs="Arial"/>
          <w:i/>
          <w:szCs w:val="24"/>
        </w:rPr>
        <w:t xml:space="preserve">De </w:t>
      </w:r>
      <w:proofErr w:type="spellStart"/>
      <w:r w:rsidRPr="00300C25">
        <w:rPr>
          <w:rFonts w:ascii="Arial" w:hAnsi="Arial" w:cs="Arial"/>
          <w:i/>
          <w:szCs w:val="24"/>
        </w:rPr>
        <w:t>Heus</w:t>
      </w:r>
      <w:proofErr w:type="spellEnd"/>
      <w:r w:rsidRPr="00300C25">
        <w:rPr>
          <w:rFonts w:ascii="Arial" w:hAnsi="Arial" w:cs="Arial"/>
          <w:i/>
          <w:szCs w:val="24"/>
        </w:rPr>
        <w:t xml:space="preserve"> Animal Nutrition, Ede, 6717 VE, </w:t>
      </w:r>
      <w:proofErr w:type="gramStart"/>
      <w:r w:rsidRPr="00300C25">
        <w:rPr>
          <w:rFonts w:ascii="Arial" w:hAnsi="Arial" w:cs="Arial"/>
          <w:i/>
          <w:szCs w:val="24"/>
        </w:rPr>
        <w:t>The</w:t>
      </w:r>
      <w:proofErr w:type="gramEnd"/>
      <w:r w:rsidRPr="00300C25">
        <w:rPr>
          <w:rFonts w:ascii="Arial" w:hAnsi="Arial" w:cs="Arial"/>
          <w:i/>
          <w:szCs w:val="24"/>
        </w:rPr>
        <w:t xml:space="preserve"> Netherlands;</w:t>
      </w:r>
    </w:p>
    <w:p w:rsidR="0072779A" w:rsidRPr="00300C25" w:rsidRDefault="0072779A" w:rsidP="0072779A">
      <w:pPr>
        <w:spacing w:line="600" w:lineRule="auto"/>
        <w:contextualSpacing/>
        <w:jc w:val="left"/>
        <w:rPr>
          <w:rFonts w:ascii="Arial" w:hAnsi="Arial" w:cs="Arial"/>
          <w:i/>
          <w:szCs w:val="24"/>
        </w:rPr>
      </w:pPr>
      <w:r w:rsidRPr="00300C25">
        <w:rPr>
          <w:rFonts w:ascii="Arial" w:eastAsia="CenturySchoolbook" w:hAnsi="Arial" w:cs="Arial"/>
          <w:i/>
          <w:szCs w:val="24"/>
          <w:vertAlign w:val="superscript"/>
        </w:rPr>
        <w:t>3</w:t>
      </w:r>
      <w:r w:rsidRPr="00300C25">
        <w:rPr>
          <w:rFonts w:ascii="Arial" w:hAnsi="Arial" w:cs="Arial"/>
          <w:i/>
          <w:szCs w:val="24"/>
        </w:rPr>
        <w:t xml:space="preserve">Wageningen Livestock Research, </w:t>
      </w:r>
      <w:proofErr w:type="spellStart"/>
      <w:r w:rsidRPr="00300C25">
        <w:rPr>
          <w:rFonts w:ascii="Arial" w:hAnsi="Arial" w:cs="Arial"/>
          <w:i/>
          <w:szCs w:val="24"/>
        </w:rPr>
        <w:t>Wageningen</w:t>
      </w:r>
      <w:proofErr w:type="spellEnd"/>
      <w:r w:rsidRPr="00300C25">
        <w:rPr>
          <w:rFonts w:ascii="Arial" w:hAnsi="Arial" w:cs="Arial"/>
          <w:i/>
          <w:szCs w:val="24"/>
        </w:rPr>
        <w:t xml:space="preserve">, 6708 WD, </w:t>
      </w:r>
      <w:proofErr w:type="gramStart"/>
      <w:r w:rsidRPr="00300C25">
        <w:rPr>
          <w:rFonts w:ascii="Arial" w:hAnsi="Arial" w:cs="Arial"/>
          <w:i/>
          <w:szCs w:val="24"/>
        </w:rPr>
        <w:t>The</w:t>
      </w:r>
      <w:proofErr w:type="gramEnd"/>
      <w:r w:rsidRPr="00300C25">
        <w:rPr>
          <w:rFonts w:ascii="Arial" w:hAnsi="Arial" w:cs="Arial"/>
          <w:i/>
          <w:szCs w:val="24"/>
        </w:rPr>
        <w:t xml:space="preserve"> Netherlands</w:t>
      </w:r>
    </w:p>
    <w:p w:rsidR="0072779A" w:rsidRPr="00300C25" w:rsidRDefault="0072779A" w:rsidP="0072779A">
      <w:pPr>
        <w:spacing w:line="600" w:lineRule="auto"/>
        <w:jc w:val="left"/>
        <w:rPr>
          <w:rFonts w:ascii="Arial" w:hAnsi="Arial" w:cs="Arial"/>
          <w:sz w:val="19"/>
          <w:szCs w:val="19"/>
        </w:rPr>
      </w:pPr>
    </w:p>
    <w:p w:rsidR="0072779A" w:rsidRPr="00300C25" w:rsidRDefault="0072779A" w:rsidP="0072779A">
      <w:pPr>
        <w:spacing w:line="600" w:lineRule="auto"/>
        <w:jc w:val="left"/>
        <w:rPr>
          <w:rStyle w:val="Lienhypertexte"/>
          <w:rFonts w:ascii="Arial" w:hAnsi="Arial" w:cs="Arial"/>
        </w:rPr>
      </w:pPr>
      <w:r w:rsidRPr="00300C25">
        <w:rPr>
          <w:rFonts w:ascii="Arial" w:hAnsi="Arial" w:cs="Arial"/>
        </w:rPr>
        <w:t xml:space="preserve">Corresponding author: Walter </w:t>
      </w:r>
      <w:proofErr w:type="spellStart"/>
      <w:r w:rsidRPr="00300C25">
        <w:rPr>
          <w:rFonts w:ascii="Arial" w:hAnsi="Arial" w:cs="Arial"/>
        </w:rPr>
        <w:t>Gerrits</w:t>
      </w:r>
      <w:proofErr w:type="spellEnd"/>
      <w:r w:rsidRPr="00300C25">
        <w:rPr>
          <w:rFonts w:ascii="Arial" w:hAnsi="Arial" w:cs="Arial"/>
        </w:rPr>
        <w:t xml:space="preserve">. E-mail: </w:t>
      </w:r>
      <w:hyperlink r:id="rId5" w:history="1">
        <w:r w:rsidRPr="00300C25">
          <w:rPr>
            <w:rStyle w:val="Lienhypertexte"/>
            <w:rFonts w:ascii="Arial" w:hAnsi="Arial" w:cs="Arial"/>
          </w:rPr>
          <w:t>walter.gerrits@wur.nl</w:t>
        </w:r>
      </w:hyperlink>
    </w:p>
    <w:p w:rsidR="00B45E92" w:rsidRPr="00300C25" w:rsidRDefault="00B45E92" w:rsidP="00B45E92">
      <w:pPr>
        <w:rPr>
          <w:rStyle w:val="Lienhypertexte"/>
          <w:rFonts w:ascii="Arial" w:hAnsi="Arial" w:cs="Arial"/>
          <w:color w:val="auto"/>
          <w:u w:val="none"/>
        </w:rPr>
      </w:pPr>
    </w:p>
    <w:p w:rsidR="00B45E92" w:rsidRPr="00300C25" w:rsidRDefault="00B45E92" w:rsidP="00B45E92">
      <w:r w:rsidRPr="00300C25">
        <w:rPr>
          <w:rStyle w:val="Lienhypertexte"/>
          <w:rFonts w:ascii="Arial" w:hAnsi="Arial" w:cs="Arial"/>
          <w:color w:val="auto"/>
          <w:u w:val="none"/>
        </w:rPr>
        <w:t>Animal journal</w:t>
      </w:r>
    </w:p>
    <w:p w:rsidR="0072779A" w:rsidRPr="00300C25" w:rsidRDefault="0072779A" w:rsidP="00A442F8">
      <w:pPr>
        <w:spacing w:line="600" w:lineRule="auto"/>
        <w:rPr>
          <w:rFonts w:ascii="Arial" w:hAnsi="Arial" w:cs="Arial"/>
        </w:rPr>
      </w:pPr>
    </w:p>
    <w:p w:rsidR="00A442F8" w:rsidRPr="00300C25" w:rsidRDefault="00A442F8" w:rsidP="00A442F8">
      <w:pPr>
        <w:spacing w:line="600" w:lineRule="auto"/>
        <w:rPr>
          <w:rFonts w:ascii="Arial" w:hAnsi="Arial" w:cs="Arial"/>
        </w:rPr>
      </w:pPr>
    </w:p>
    <w:p w:rsidR="0072779A" w:rsidRPr="00300C25" w:rsidRDefault="0072779A" w:rsidP="00A442F8">
      <w:pPr>
        <w:spacing w:line="600" w:lineRule="auto"/>
        <w:rPr>
          <w:rFonts w:ascii="Arial" w:hAnsi="Arial" w:cs="Arial"/>
          <w:b/>
        </w:rPr>
      </w:pPr>
      <w:r w:rsidRPr="00300C25">
        <w:rPr>
          <w:rFonts w:ascii="Arial" w:hAnsi="Arial" w:cs="Arial"/>
          <w:b/>
        </w:rPr>
        <w:t>Supplementary material S1</w:t>
      </w:r>
    </w:p>
    <w:p w:rsidR="00A442F8" w:rsidRPr="00300C25" w:rsidRDefault="00A442F8" w:rsidP="0072779A">
      <w:pPr>
        <w:spacing w:line="240" w:lineRule="auto"/>
        <w:rPr>
          <w:rFonts w:ascii="Arial" w:hAnsi="Arial" w:cs="Arial"/>
          <w:i/>
          <w:vertAlign w:val="superscript"/>
        </w:rPr>
      </w:pPr>
      <w:r w:rsidRPr="00300C25">
        <w:rPr>
          <w:rFonts w:ascii="Arial" w:hAnsi="Arial" w:cs="Arial"/>
          <w:i/>
        </w:rPr>
        <w:t>Vaccination program high sanitary condition pigs</w:t>
      </w:r>
    </w:p>
    <w:p w:rsidR="00A442F8" w:rsidRPr="00300C25" w:rsidRDefault="00A442F8" w:rsidP="0072779A">
      <w:pPr>
        <w:spacing w:line="240" w:lineRule="auto"/>
        <w:rPr>
          <w:rFonts w:ascii="Arial" w:hAnsi="Arial" w:cs="Arial"/>
        </w:rPr>
      </w:pPr>
      <w:r w:rsidRPr="00300C25">
        <w:rPr>
          <w:rFonts w:ascii="Arial" w:hAnsi="Arial" w:cs="Arial"/>
        </w:rPr>
        <w:t xml:space="preserve">At the first week of </w:t>
      </w:r>
      <w:proofErr w:type="gramStart"/>
      <w:r w:rsidRPr="00300C25">
        <w:rPr>
          <w:rFonts w:ascii="Arial" w:hAnsi="Arial" w:cs="Arial"/>
        </w:rPr>
        <w:t>age</w:t>
      </w:r>
      <w:proofErr w:type="gramEnd"/>
      <w:r w:rsidRPr="00300C25">
        <w:rPr>
          <w:rFonts w:ascii="Arial" w:hAnsi="Arial" w:cs="Arial"/>
        </w:rPr>
        <w:t xml:space="preserve"> high sanitary condition (</w:t>
      </w:r>
      <w:r w:rsidRPr="00300C25">
        <w:rPr>
          <w:rFonts w:ascii="Arial" w:hAnsi="Arial" w:cs="Arial"/>
          <w:b/>
        </w:rPr>
        <w:t>HSC</w:t>
      </w:r>
      <w:r w:rsidRPr="00300C25">
        <w:rPr>
          <w:rFonts w:ascii="Arial" w:hAnsi="Arial" w:cs="Arial"/>
        </w:rPr>
        <w:t xml:space="preserve">) pigs were vaccinated against Mycoplasma </w:t>
      </w:r>
      <w:proofErr w:type="spellStart"/>
      <w:r w:rsidRPr="00300C25">
        <w:rPr>
          <w:rFonts w:ascii="Arial" w:hAnsi="Arial" w:cs="Arial"/>
        </w:rPr>
        <w:t>hyopneumoniae</w:t>
      </w:r>
      <w:proofErr w:type="spellEnd"/>
      <w:r w:rsidRPr="00300C25">
        <w:rPr>
          <w:rFonts w:ascii="Arial" w:hAnsi="Arial" w:cs="Arial"/>
        </w:rPr>
        <w:t xml:space="preserve"> (</w:t>
      </w:r>
      <w:proofErr w:type="spellStart"/>
      <w:r w:rsidRPr="00300C25">
        <w:rPr>
          <w:rFonts w:ascii="Arial" w:hAnsi="Arial" w:cs="Arial"/>
        </w:rPr>
        <w:t>Porcilis</w:t>
      </w:r>
      <w:proofErr w:type="spellEnd"/>
      <w:r w:rsidRPr="00300C25">
        <w:rPr>
          <w:rFonts w:ascii="Arial" w:hAnsi="Arial" w:cs="Arial"/>
        </w:rPr>
        <w:t xml:space="preserve"> M </w:t>
      </w:r>
      <w:proofErr w:type="spellStart"/>
      <w:r w:rsidRPr="00300C25">
        <w:rPr>
          <w:rFonts w:ascii="Arial" w:hAnsi="Arial" w:cs="Arial"/>
        </w:rPr>
        <w:t>Hyo</w:t>
      </w:r>
      <w:proofErr w:type="spellEnd"/>
      <w:r w:rsidRPr="00300C25">
        <w:rPr>
          <w:rFonts w:ascii="Arial" w:hAnsi="Arial" w:cs="Arial"/>
        </w:rPr>
        <w:t xml:space="preserve">, MSD Animal Health, </w:t>
      </w:r>
      <w:proofErr w:type="spellStart"/>
      <w:r w:rsidRPr="00300C25">
        <w:rPr>
          <w:rFonts w:ascii="Arial" w:hAnsi="Arial" w:cs="Arial"/>
        </w:rPr>
        <w:t>Boxmeer</w:t>
      </w:r>
      <w:proofErr w:type="spellEnd"/>
      <w:r w:rsidRPr="00300C25">
        <w:rPr>
          <w:rFonts w:ascii="Arial" w:hAnsi="Arial" w:cs="Arial"/>
        </w:rPr>
        <w:t xml:space="preserve">, The Netherlands) by subcutaneous injection in the neck. </w:t>
      </w:r>
    </w:p>
    <w:p w:rsidR="00A442F8" w:rsidRPr="00300C25" w:rsidRDefault="00A442F8" w:rsidP="0072779A">
      <w:pPr>
        <w:spacing w:line="240" w:lineRule="auto"/>
        <w:rPr>
          <w:rFonts w:ascii="Arial" w:hAnsi="Arial" w:cs="Arial"/>
        </w:rPr>
      </w:pPr>
      <w:r w:rsidRPr="00300C25">
        <w:rPr>
          <w:rFonts w:ascii="Arial" w:hAnsi="Arial" w:cs="Arial"/>
        </w:rPr>
        <w:t>Upon arrival and two days thereafter, HSC pigs received an antibiotic injection (</w:t>
      </w:r>
      <w:proofErr w:type="spellStart"/>
      <w:r w:rsidRPr="00300C25">
        <w:rPr>
          <w:rFonts w:ascii="Arial" w:hAnsi="Arial" w:cs="Arial"/>
        </w:rPr>
        <w:t>Fenflor</w:t>
      </w:r>
      <w:proofErr w:type="spellEnd"/>
      <w:r w:rsidRPr="00300C25">
        <w:rPr>
          <w:rFonts w:ascii="Arial" w:hAnsi="Arial" w:cs="Arial"/>
        </w:rPr>
        <w:t xml:space="preserve">, AUV, </w:t>
      </w:r>
      <w:proofErr w:type="spellStart"/>
      <w:r w:rsidRPr="00300C25">
        <w:rPr>
          <w:rFonts w:ascii="Arial" w:hAnsi="Arial" w:cs="Arial"/>
        </w:rPr>
        <w:t>Cuijk</w:t>
      </w:r>
      <w:proofErr w:type="spellEnd"/>
      <w:r w:rsidRPr="00300C25">
        <w:rPr>
          <w:rFonts w:ascii="Arial" w:hAnsi="Arial" w:cs="Arial"/>
        </w:rPr>
        <w:t xml:space="preserve">, The Netherlands, one mL per pig, </w:t>
      </w:r>
      <w:r w:rsidRPr="00300C25">
        <w:rPr>
          <w:rFonts w:ascii="Arial" w:hAnsi="Arial" w:cs="Arial"/>
          <w:i/>
        </w:rPr>
        <w:t xml:space="preserve">intramuscular </w:t>
      </w:r>
      <w:r w:rsidRPr="00300C25">
        <w:rPr>
          <w:rFonts w:ascii="Arial" w:hAnsi="Arial" w:cs="Arial"/>
        </w:rPr>
        <w:t xml:space="preserve">per time point). In </w:t>
      </w:r>
      <w:proofErr w:type="gramStart"/>
      <w:r w:rsidRPr="00300C25">
        <w:rPr>
          <w:rFonts w:ascii="Arial" w:hAnsi="Arial" w:cs="Arial"/>
        </w:rPr>
        <w:t>week</w:t>
      </w:r>
      <w:proofErr w:type="gramEnd"/>
      <w:r w:rsidRPr="00300C25">
        <w:rPr>
          <w:rFonts w:ascii="Arial" w:hAnsi="Arial" w:cs="Arial"/>
        </w:rPr>
        <w:t xml:space="preserve"> four of age HSC pigs were vaccinated against Mycoplasma </w:t>
      </w:r>
      <w:proofErr w:type="spellStart"/>
      <w:r w:rsidRPr="00300C25">
        <w:rPr>
          <w:rFonts w:ascii="Arial" w:hAnsi="Arial" w:cs="Arial"/>
        </w:rPr>
        <w:t>hyopneumoniae</w:t>
      </w:r>
      <w:proofErr w:type="spellEnd"/>
      <w:r w:rsidRPr="00300C25">
        <w:rPr>
          <w:rFonts w:ascii="Arial" w:hAnsi="Arial" w:cs="Arial"/>
        </w:rPr>
        <w:t xml:space="preserve">, Porcine circovirus type 2, Porcine Reproductive and Respiratory Syndrome (PRRS), and </w:t>
      </w:r>
      <w:proofErr w:type="spellStart"/>
      <w:r w:rsidRPr="00300C25">
        <w:rPr>
          <w:rStyle w:val="Accentuation"/>
          <w:rFonts w:ascii="Arial" w:hAnsi="Arial" w:cs="Arial"/>
        </w:rPr>
        <w:t>Lawsonia</w:t>
      </w:r>
      <w:proofErr w:type="spellEnd"/>
      <w:r w:rsidRPr="00300C25">
        <w:rPr>
          <w:rStyle w:val="Accentuation"/>
          <w:rFonts w:ascii="Arial" w:hAnsi="Arial" w:cs="Arial"/>
        </w:rPr>
        <w:t xml:space="preserve"> </w:t>
      </w:r>
      <w:proofErr w:type="spellStart"/>
      <w:r w:rsidRPr="00300C25">
        <w:rPr>
          <w:rStyle w:val="Accentuation"/>
          <w:rFonts w:ascii="Arial" w:hAnsi="Arial" w:cs="Arial"/>
        </w:rPr>
        <w:t>intracellularis</w:t>
      </w:r>
      <w:proofErr w:type="spellEnd"/>
      <w:r w:rsidRPr="00300C25">
        <w:rPr>
          <w:rFonts w:ascii="Arial" w:hAnsi="Arial" w:cs="Arial"/>
        </w:rPr>
        <w:t xml:space="preserve"> (</w:t>
      </w:r>
      <w:proofErr w:type="spellStart"/>
      <w:r w:rsidRPr="00300C25">
        <w:rPr>
          <w:rFonts w:ascii="Arial" w:hAnsi="Arial" w:cs="Arial"/>
        </w:rPr>
        <w:t>Porcilis</w:t>
      </w:r>
      <w:proofErr w:type="spellEnd"/>
      <w:r w:rsidRPr="00300C25">
        <w:rPr>
          <w:rFonts w:ascii="Arial" w:hAnsi="Arial" w:cs="Arial"/>
        </w:rPr>
        <w:t xml:space="preserve"> M </w:t>
      </w:r>
      <w:proofErr w:type="spellStart"/>
      <w:r w:rsidRPr="00300C25">
        <w:rPr>
          <w:rFonts w:ascii="Arial" w:hAnsi="Arial" w:cs="Arial"/>
        </w:rPr>
        <w:t>Hyo</w:t>
      </w:r>
      <w:proofErr w:type="spellEnd"/>
      <w:r w:rsidRPr="00300C25">
        <w:rPr>
          <w:rFonts w:ascii="Arial" w:hAnsi="Arial" w:cs="Arial"/>
        </w:rPr>
        <w:t xml:space="preserve">, </w:t>
      </w:r>
      <w:proofErr w:type="spellStart"/>
      <w:r w:rsidRPr="00300C25">
        <w:rPr>
          <w:rFonts w:ascii="Arial" w:hAnsi="Arial" w:cs="Arial"/>
        </w:rPr>
        <w:t>Porcilis</w:t>
      </w:r>
      <w:proofErr w:type="spellEnd"/>
      <w:r w:rsidRPr="00300C25">
        <w:rPr>
          <w:rFonts w:ascii="Arial" w:hAnsi="Arial" w:cs="Arial"/>
        </w:rPr>
        <w:t xml:space="preserve"> </w:t>
      </w:r>
      <w:proofErr w:type="spellStart"/>
      <w:r w:rsidRPr="00300C25">
        <w:rPr>
          <w:rFonts w:ascii="Arial" w:hAnsi="Arial" w:cs="Arial"/>
        </w:rPr>
        <w:t>Circo</w:t>
      </w:r>
      <w:proofErr w:type="spellEnd"/>
      <w:r w:rsidRPr="00300C25">
        <w:rPr>
          <w:rFonts w:ascii="Arial" w:hAnsi="Arial" w:cs="Arial"/>
        </w:rPr>
        <w:t xml:space="preserve">, </w:t>
      </w:r>
      <w:proofErr w:type="spellStart"/>
      <w:r w:rsidRPr="00300C25">
        <w:rPr>
          <w:rFonts w:ascii="Arial" w:hAnsi="Arial" w:cs="Arial"/>
        </w:rPr>
        <w:t>Porcilis</w:t>
      </w:r>
      <w:proofErr w:type="spellEnd"/>
      <w:r w:rsidRPr="00300C25">
        <w:rPr>
          <w:rFonts w:ascii="Arial" w:hAnsi="Arial" w:cs="Arial"/>
        </w:rPr>
        <w:t xml:space="preserve"> PRRS, all MSD Animal Health, </w:t>
      </w:r>
      <w:proofErr w:type="spellStart"/>
      <w:r w:rsidRPr="00300C25">
        <w:rPr>
          <w:rFonts w:ascii="Arial" w:hAnsi="Arial" w:cs="Arial"/>
        </w:rPr>
        <w:t>Boxmeer</w:t>
      </w:r>
      <w:proofErr w:type="spellEnd"/>
      <w:r w:rsidRPr="00300C25">
        <w:rPr>
          <w:rFonts w:ascii="Arial" w:hAnsi="Arial" w:cs="Arial"/>
        </w:rPr>
        <w:t xml:space="preserve">, The Netherlands, and </w:t>
      </w:r>
      <w:proofErr w:type="spellStart"/>
      <w:r w:rsidRPr="00300C25">
        <w:rPr>
          <w:rFonts w:ascii="Arial" w:hAnsi="Arial" w:cs="Arial"/>
        </w:rPr>
        <w:t>Enterisol</w:t>
      </w:r>
      <w:proofErr w:type="spellEnd"/>
      <w:r w:rsidRPr="00300C25">
        <w:rPr>
          <w:rFonts w:ascii="Arial" w:hAnsi="Arial" w:cs="Arial"/>
        </w:rPr>
        <w:t xml:space="preserve"> Ileitis, </w:t>
      </w:r>
      <w:proofErr w:type="spellStart"/>
      <w:r w:rsidRPr="00300C25">
        <w:rPr>
          <w:rFonts w:ascii="Arial" w:hAnsi="Arial" w:cs="Arial"/>
        </w:rPr>
        <w:t>Boehringer</w:t>
      </w:r>
      <w:proofErr w:type="spellEnd"/>
      <w:r w:rsidRPr="00300C25">
        <w:rPr>
          <w:rFonts w:ascii="Arial" w:hAnsi="Arial" w:cs="Arial"/>
        </w:rPr>
        <w:t xml:space="preserve"> </w:t>
      </w:r>
      <w:proofErr w:type="spellStart"/>
      <w:r w:rsidRPr="00300C25">
        <w:rPr>
          <w:rFonts w:ascii="Arial" w:hAnsi="Arial" w:cs="Arial"/>
        </w:rPr>
        <w:t>Ingelheim</w:t>
      </w:r>
      <w:proofErr w:type="spellEnd"/>
      <w:r w:rsidRPr="00300C25">
        <w:rPr>
          <w:rFonts w:ascii="Arial" w:hAnsi="Arial" w:cs="Arial"/>
        </w:rPr>
        <w:t xml:space="preserve">, Alkmaar, The Netherlands). </w:t>
      </w:r>
      <w:proofErr w:type="gramStart"/>
      <w:r w:rsidRPr="00300C25">
        <w:rPr>
          <w:rFonts w:ascii="Arial" w:hAnsi="Arial" w:cs="Arial"/>
        </w:rPr>
        <w:t xml:space="preserve">At six weeks of age HSC pigs were vaccinated against </w:t>
      </w:r>
      <w:proofErr w:type="spellStart"/>
      <w:r w:rsidRPr="00300C25">
        <w:rPr>
          <w:rFonts w:ascii="Arial" w:hAnsi="Arial" w:cs="Arial"/>
        </w:rPr>
        <w:t>Actinobacillus</w:t>
      </w:r>
      <w:proofErr w:type="spellEnd"/>
      <w:r w:rsidRPr="00300C25">
        <w:rPr>
          <w:rFonts w:ascii="Arial" w:hAnsi="Arial" w:cs="Arial"/>
        </w:rPr>
        <w:t xml:space="preserve"> </w:t>
      </w:r>
      <w:proofErr w:type="spellStart"/>
      <w:r w:rsidRPr="00300C25">
        <w:rPr>
          <w:rFonts w:ascii="Arial" w:hAnsi="Arial" w:cs="Arial"/>
        </w:rPr>
        <w:t>pleuropneumoniae</w:t>
      </w:r>
      <w:proofErr w:type="spellEnd"/>
      <w:r w:rsidRPr="00300C25">
        <w:rPr>
          <w:rFonts w:ascii="Arial" w:hAnsi="Arial" w:cs="Arial"/>
        </w:rPr>
        <w:t>, and Influenza A virus (</w:t>
      </w:r>
      <w:proofErr w:type="spellStart"/>
      <w:r w:rsidRPr="00300C25">
        <w:rPr>
          <w:rFonts w:ascii="Arial" w:hAnsi="Arial" w:cs="Arial"/>
        </w:rPr>
        <w:t>Porcilis</w:t>
      </w:r>
      <w:proofErr w:type="spellEnd"/>
      <w:r w:rsidRPr="00300C25">
        <w:rPr>
          <w:rFonts w:ascii="Arial" w:hAnsi="Arial" w:cs="Arial"/>
        </w:rPr>
        <w:t xml:space="preserve"> APP, MSD Animal Health, </w:t>
      </w:r>
      <w:proofErr w:type="spellStart"/>
      <w:r w:rsidRPr="00300C25">
        <w:rPr>
          <w:rFonts w:ascii="Arial" w:hAnsi="Arial" w:cs="Arial"/>
        </w:rPr>
        <w:t>Boxmeer</w:t>
      </w:r>
      <w:proofErr w:type="spellEnd"/>
      <w:r w:rsidRPr="00300C25">
        <w:rPr>
          <w:rFonts w:ascii="Arial" w:hAnsi="Arial" w:cs="Arial"/>
        </w:rPr>
        <w:t xml:space="preserve">, The Netherlands, and Gripovac3, </w:t>
      </w:r>
      <w:proofErr w:type="spellStart"/>
      <w:r w:rsidRPr="00300C25">
        <w:rPr>
          <w:rFonts w:ascii="Arial" w:hAnsi="Arial" w:cs="Arial"/>
        </w:rPr>
        <w:t>Merial</w:t>
      </w:r>
      <w:proofErr w:type="spellEnd"/>
      <w:r w:rsidRPr="00300C25">
        <w:rPr>
          <w:rFonts w:ascii="Arial" w:hAnsi="Arial" w:cs="Arial"/>
        </w:rPr>
        <w:t xml:space="preserve">, </w:t>
      </w:r>
      <w:proofErr w:type="spellStart"/>
      <w:r w:rsidRPr="00300C25">
        <w:rPr>
          <w:rFonts w:ascii="Arial" w:hAnsi="Arial" w:cs="Arial"/>
        </w:rPr>
        <w:t>Velserbroek</w:t>
      </w:r>
      <w:proofErr w:type="spellEnd"/>
      <w:r w:rsidRPr="00300C25">
        <w:rPr>
          <w:rFonts w:ascii="Arial" w:hAnsi="Arial" w:cs="Arial"/>
        </w:rPr>
        <w:t xml:space="preserve">, The Netherlands); and at eight weeks of age HSC pigs were vaccinated against </w:t>
      </w:r>
      <w:proofErr w:type="spellStart"/>
      <w:r w:rsidRPr="00300C25">
        <w:rPr>
          <w:rFonts w:ascii="Arial" w:hAnsi="Arial" w:cs="Arial"/>
        </w:rPr>
        <w:t>Actinobacillus</w:t>
      </w:r>
      <w:proofErr w:type="spellEnd"/>
      <w:r w:rsidRPr="00300C25">
        <w:rPr>
          <w:rFonts w:ascii="Arial" w:hAnsi="Arial" w:cs="Arial"/>
        </w:rPr>
        <w:t xml:space="preserve"> </w:t>
      </w:r>
      <w:proofErr w:type="spellStart"/>
      <w:r w:rsidRPr="00300C25">
        <w:rPr>
          <w:rFonts w:ascii="Arial" w:hAnsi="Arial" w:cs="Arial"/>
        </w:rPr>
        <w:t>pleuropneumoniae</w:t>
      </w:r>
      <w:proofErr w:type="spellEnd"/>
      <w:r w:rsidRPr="00300C25">
        <w:rPr>
          <w:rFonts w:ascii="Arial" w:hAnsi="Arial" w:cs="Arial"/>
        </w:rPr>
        <w:t>, and Influenza A virus (</w:t>
      </w:r>
      <w:proofErr w:type="spellStart"/>
      <w:r w:rsidRPr="00300C25">
        <w:rPr>
          <w:rFonts w:ascii="Arial" w:hAnsi="Arial" w:cs="Arial"/>
        </w:rPr>
        <w:t>Porcilis</w:t>
      </w:r>
      <w:proofErr w:type="spellEnd"/>
      <w:r w:rsidRPr="00300C25">
        <w:rPr>
          <w:rFonts w:ascii="Arial" w:hAnsi="Arial" w:cs="Arial"/>
        </w:rPr>
        <w:t xml:space="preserve"> APP, MSD Animal Health, </w:t>
      </w:r>
      <w:proofErr w:type="spellStart"/>
      <w:r w:rsidRPr="00300C25">
        <w:rPr>
          <w:rFonts w:ascii="Arial" w:hAnsi="Arial" w:cs="Arial"/>
        </w:rPr>
        <w:t>Boxmeer</w:t>
      </w:r>
      <w:proofErr w:type="spellEnd"/>
      <w:r w:rsidRPr="00300C25">
        <w:rPr>
          <w:rFonts w:ascii="Arial" w:hAnsi="Arial" w:cs="Arial"/>
        </w:rPr>
        <w:t xml:space="preserve">, The Netherlands, and Gripovac3, </w:t>
      </w:r>
      <w:proofErr w:type="spellStart"/>
      <w:r w:rsidRPr="00300C25">
        <w:rPr>
          <w:rFonts w:ascii="Arial" w:hAnsi="Arial" w:cs="Arial"/>
        </w:rPr>
        <w:t>Merial</w:t>
      </w:r>
      <w:proofErr w:type="spellEnd"/>
      <w:r w:rsidRPr="00300C25">
        <w:rPr>
          <w:rFonts w:ascii="Arial" w:hAnsi="Arial" w:cs="Arial"/>
        </w:rPr>
        <w:t xml:space="preserve">, </w:t>
      </w:r>
      <w:proofErr w:type="spellStart"/>
      <w:r w:rsidRPr="00300C25">
        <w:rPr>
          <w:rFonts w:ascii="Arial" w:hAnsi="Arial" w:cs="Arial"/>
        </w:rPr>
        <w:t>Velserbroek</w:t>
      </w:r>
      <w:proofErr w:type="spellEnd"/>
      <w:r w:rsidRPr="00300C25">
        <w:rPr>
          <w:rFonts w:ascii="Arial" w:hAnsi="Arial" w:cs="Arial"/>
        </w:rPr>
        <w:t xml:space="preserve">, The Netherlands) by </w:t>
      </w:r>
      <w:r w:rsidRPr="00300C25">
        <w:rPr>
          <w:rFonts w:ascii="Arial" w:hAnsi="Arial" w:cs="Arial"/>
          <w:i/>
        </w:rPr>
        <w:t>subcutaneous</w:t>
      </w:r>
      <w:r w:rsidRPr="00300C25">
        <w:rPr>
          <w:rFonts w:ascii="Arial" w:hAnsi="Arial" w:cs="Arial"/>
        </w:rPr>
        <w:t xml:space="preserve"> injection in the neck or in case of </w:t>
      </w:r>
      <w:proofErr w:type="spellStart"/>
      <w:r w:rsidRPr="00300C25">
        <w:rPr>
          <w:rFonts w:ascii="Arial" w:hAnsi="Arial" w:cs="Arial"/>
        </w:rPr>
        <w:t>Enterisol</w:t>
      </w:r>
      <w:proofErr w:type="spellEnd"/>
      <w:r w:rsidRPr="00300C25">
        <w:rPr>
          <w:rFonts w:ascii="Arial" w:hAnsi="Arial" w:cs="Arial"/>
        </w:rPr>
        <w:t xml:space="preserve"> by oral drench.</w:t>
      </w:r>
      <w:proofErr w:type="gramEnd"/>
      <w:r w:rsidRPr="00300C25">
        <w:rPr>
          <w:rFonts w:ascii="Arial" w:hAnsi="Arial" w:cs="Arial"/>
        </w:rPr>
        <w:t xml:space="preserve"> </w:t>
      </w:r>
    </w:p>
    <w:p w:rsidR="00A442F8" w:rsidRPr="00300C25" w:rsidRDefault="00A442F8">
      <w:pPr>
        <w:spacing w:line="240" w:lineRule="auto"/>
        <w:jc w:val="left"/>
        <w:rPr>
          <w:rFonts w:ascii="Arial" w:hAnsi="Arial" w:cs="Arial"/>
          <w:noProof/>
          <w:szCs w:val="24"/>
          <w:lang w:val="en-US"/>
        </w:rPr>
      </w:pPr>
      <w:r w:rsidRPr="00300C25">
        <w:rPr>
          <w:rFonts w:ascii="Arial" w:hAnsi="Arial" w:cs="Arial"/>
          <w:szCs w:val="24"/>
        </w:rPr>
        <w:br w:type="page"/>
      </w:r>
    </w:p>
    <w:p w:rsidR="00FA20EC" w:rsidRPr="00300C25" w:rsidRDefault="00FA20EC" w:rsidP="00A442F8">
      <w:pPr>
        <w:pStyle w:val="EndNoteBibliography"/>
        <w:rPr>
          <w:rFonts w:ascii="Arial" w:hAnsi="Arial" w:cs="Arial"/>
          <w:szCs w:val="24"/>
        </w:rPr>
      </w:pPr>
    </w:p>
    <w:p w:rsidR="007D620F" w:rsidRPr="00300C25" w:rsidRDefault="00A14A80" w:rsidP="00A442F8">
      <w:pPr>
        <w:pStyle w:val="EndNoteBibliography"/>
        <w:rPr>
          <w:rFonts w:ascii="Arial" w:hAnsi="Arial" w:cs="Arial"/>
          <w:i/>
          <w:sz w:val="20"/>
          <w:szCs w:val="20"/>
          <w:vertAlign w:val="superscript"/>
        </w:rPr>
      </w:pPr>
      <w:r w:rsidRPr="00300C25">
        <w:rPr>
          <w:rFonts w:ascii="Arial" w:hAnsi="Arial" w:cs="Arial"/>
          <w:b/>
          <w:szCs w:val="24"/>
        </w:rPr>
        <w:t>Supplemental T</w:t>
      </w:r>
      <w:r w:rsidR="007D620F" w:rsidRPr="00300C25">
        <w:rPr>
          <w:rFonts w:ascii="Arial" w:hAnsi="Arial" w:cs="Arial"/>
          <w:b/>
          <w:szCs w:val="24"/>
        </w:rPr>
        <w:t xml:space="preserve">able </w:t>
      </w:r>
      <w:r w:rsidR="00A442F8" w:rsidRPr="00300C25">
        <w:rPr>
          <w:rFonts w:ascii="Arial" w:hAnsi="Arial" w:cs="Arial"/>
          <w:b/>
          <w:szCs w:val="24"/>
        </w:rPr>
        <w:t>S1</w:t>
      </w:r>
      <w:r w:rsidR="00B410B4" w:rsidRPr="00300C25">
        <w:rPr>
          <w:rFonts w:ascii="Arial" w:hAnsi="Arial" w:cs="Arial"/>
          <w:szCs w:val="24"/>
        </w:rPr>
        <w:t xml:space="preserve"> </w:t>
      </w:r>
      <w:r w:rsidR="00B410B4" w:rsidRPr="00300C25">
        <w:rPr>
          <w:rFonts w:ascii="Arial" w:hAnsi="Arial" w:cs="Arial"/>
          <w:i/>
          <w:szCs w:val="24"/>
        </w:rPr>
        <w:t>E</w:t>
      </w:r>
      <w:r w:rsidR="007D620F" w:rsidRPr="00300C25">
        <w:rPr>
          <w:rFonts w:ascii="Arial" w:hAnsi="Arial" w:cs="Arial"/>
          <w:i/>
          <w:szCs w:val="24"/>
        </w:rPr>
        <w:t>nergy balance parameters for ad libitum</w:t>
      </w:r>
      <w:r w:rsidR="007D620F" w:rsidRPr="00300C25">
        <w:rPr>
          <w:rFonts w:ascii="Arial" w:hAnsi="Arial" w:cs="Arial"/>
          <w:i/>
          <w:sz w:val="20"/>
          <w:szCs w:val="20"/>
        </w:rPr>
        <w:t xml:space="preserve"> </w:t>
      </w:r>
      <w:r w:rsidR="007D620F" w:rsidRPr="00300C25">
        <w:rPr>
          <w:rFonts w:ascii="Arial" w:hAnsi="Arial" w:cs="Arial"/>
          <w:i/>
          <w:szCs w:val="24"/>
        </w:rPr>
        <w:t xml:space="preserve">fed pigs kept under </w:t>
      </w:r>
      <w:r w:rsidR="00B410B4" w:rsidRPr="00300C25">
        <w:rPr>
          <w:rFonts w:ascii="Arial" w:hAnsi="Arial" w:cs="Arial"/>
          <w:i/>
          <w:szCs w:val="24"/>
        </w:rPr>
        <w:t>LSC or HSC</w:t>
      </w:r>
      <w:r w:rsidR="007D620F" w:rsidRPr="00300C25">
        <w:rPr>
          <w:rFonts w:ascii="Arial" w:hAnsi="Arial" w:cs="Arial"/>
          <w:i/>
          <w:szCs w:val="24"/>
        </w:rPr>
        <w:t xml:space="preserve"> and fed diets </w:t>
      </w:r>
      <w:r w:rsidR="00B410B4" w:rsidRPr="00300C25">
        <w:rPr>
          <w:rFonts w:ascii="Arial" w:hAnsi="Arial" w:cs="Arial"/>
          <w:i/>
          <w:szCs w:val="24"/>
        </w:rPr>
        <w:t>diffe</w:t>
      </w:r>
      <w:r w:rsidR="006261E7" w:rsidRPr="00300C25">
        <w:rPr>
          <w:rFonts w:ascii="Arial" w:hAnsi="Arial" w:cs="Arial"/>
          <w:i/>
          <w:szCs w:val="24"/>
        </w:rPr>
        <w:t>r</w:t>
      </w:r>
      <w:r w:rsidR="00B410B4" w:rsidRPr="00300C25">
        <w:rPr>
          <w:rFonts w:ascii="Arial" w:hAnsi="Arial" w:cs="Arial"/>
          <w:i/>
          <w:szCs w:val="24"/>
        </w:rPr>
        <w:t xml:space="preserve">ing in </w:t>
      </w:r>
      <w:r w:rsidR="00587C40" w:rsidRPr="00300C25">
        <w:rPr>
          <w:rFonts w:ascii="Arial" w:hAnsi="Arial" w:cs="Arial"/>
          <w:i/>
          <w:szCs w:val="24"/>
        </w:rPr>
        <w:t>amino acid</w:t>
      </w:r>
      <w:r w:rsidR="00B410B4" w:rsidRPr="00300C25">
        <w:rPr>
          <w:rFonts w:ascii="Arial" w:hAnsi="Arial" w:cs="Arial"/>
          <w:i/>
          <w:szCs w:val="24"/>
        </w:rPr>
        <w:t xml:space="preserve"> composition</w:t>
      </w:r>
      <w:r w:rsidR="00B410B4" w:rsidRPr="00300C25">
        <w:rPr>
          <w:rFonts w:ascii="Arial" w:hAnsi="Arial" w:cs="Arial"/>
          <w:i/>
          <w:sz w:val="20"/>
          <w:szCs w:val="20"/>
          <w:vertAlign w:val="superscript"/>
        </w:rPr>
        <w:t>1</w:t>
      </w:r>
    </w:p>
    <w:tbl>
      <w:tblPr>
        <w:tblpPr w:leftFromText="141" w:rightFromText="141" w:vertAnchor="text" w:horzAnchor="margin" w:tblpY="24"/>
        <w:tblW w:w="14872" w:type="dxa"/>
        <w:tblLayout w:type="fixed"/>
        <w:tblLook w:val="04A0" w:firstRow="1" w:lastRow="0" w:firstColumn="1" w:lastColumn="0" w:noHBand="0" w:noVBand="1"/>
      </w:tblPr>
      <w:tblGrid>
        <w:gridCol w:w="3213"/>
        <w:gridCol w:w="773"/>
        <w:gridCol w:w="828"/>
        <w:gridCol w:w="795"/>
        <w:gridCol w:w="801"/>
        <w:gridCol w:w="794"/>
        <w:gridCol w:w="945"/>
        <w:gridCol w:w="717"/>
        <w:gridCol w:w="917"/>
        <w:gridCol w:w="1156"/>
        <w:gridCol w:w="1323"/>
        <w:gridCol w:w="1367"/>
        <w:gridCol w:w="1243"/>
      </w:tblGrid>
      <w:tr w:rsidR="0072779A" w:rsidRPr="00300C25" w:rsidTr="00B54099">
        <w:trPr>
          <w:trHeight w:hRule="exact" w:val="340"/>
        </w:trPr>
        <w:tc>
          <w:tcPr>
            <w:tcW w:w="321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LSC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HSC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AA-B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AA-S</w:t>
            </w: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AA-B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AA-S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SEM</w:t>
            </w: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030E1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SC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030E1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diet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030E1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batch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030E1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SC × diet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030E1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SC × batch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030E1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diet × batch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030E1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GE intake</w:t>
            </w:r>
            <w:r w:rsidR="00030E10"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BW, kg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&lt;.0001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&lt;.0001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ME:GE ratio, 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0.30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Parameter, </w:t>
            </w: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kJ</w:t>
            </w:r>
            <w:r w:rsidR="00B54099"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/(</w:t>
            </w: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kg BW</w:t>
            </w:r>
            <w:r w:rsidR="00B54099"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)</w:t>
            </w: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GB"/>
              </w:rPr>
              <w:t>0.6</w:t>
            </w:r>
            <w:r w:rsidR="00B54099"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per day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2779A" w:rsidRPr="00300C25" w:rsidTr="00B54099">
        <w:trPr>
          <w:trHeight w:hRule="exact" w:val="34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GE intake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872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&lt;.0001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ME intake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="009D42E1"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="009D42E1"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="009D42E1"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  <w:r w:rsidR="009D42E1"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0.002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Methane production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Heat production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Energy retention total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0.05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Energy retention protein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&lt;.0001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Energy retention fat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0.10</w:t>
            </w:r>
          </w:p>
        </w:tc>
      </w:tr>
    </w:tbl>
    <w:p w:rsidR="00587C40" w:rsidRPr="00300C25" w:rsidRDefault="00587C40" w:rsidP="00A442F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00C25">
        <w:rPr>
          <w:rFonts w:ascii="Arial" w:eastAsia="TimesNewRoman" w:hAnsi="Arial" w:cs="Arial"/>
          <w:sz w:val="20"/>
          <w:szCs w:val="20"/>
          <w:vertAlign w:val="superscript"/>
        </w:rPr>
        <w:t>1</w:t>
      </w:r>
      <w:r w:rsidRPr="00300C25">
        <w:rPr>
          <w:rFonts w:ascii="Arial" w:hAnsi="Arial" w:cs="Arial"/>
          <w:sz w:val="20"/>
          <w:szCs w:val="20"/>
        </w:rPr>
        <w:t>LSC = low sanitary conditions; HSC = high sanitary conditions; SC = sanitary condition</w:t>
      </w:r>
      <w:proofErr w:type="gramStart"/>
      <w:r w:rsidRPr="00300C25">
        <w:rPr>
          <w:rFonts w:ascii="Arial" w:hAnsi="Arial" w:cs="Arial"/>
          <w:sz w:val="20"/>
          <w:szCs w:val="20"/>
        </w:rPr>
        <w:t xml:space="preserve">; </w:t>
      </w:r>
      <w:r w:rsidRPr="00300C2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00C25">
        <w:rPr>
          <w:rFonts w:ascii="Arial" w:hAnsi="Arial" w:cs="Arial"/>
          <w:sz w:val="20"/>
          <w:szCs w:val="20"/>
        </w:rPr>
        <w:t>AA</w:t>
      </w:r>
      <w:proofErr w:type="gramEnd"/>
      <w:r w:rsidRPr="00300C25">
        <w:rPr>
          <w:rFonts w:ascii="Arial" w:hAnsi="Arial" w:cs="Arial"/>
          <w:sz w:val="20"/>
          <w:szCs w:val="20"/>
        </w:rPr>
        <w:t xml:space="preserve">-B = basal amino acid diet; AA-S = supplemented amino acid diet; GE = gross energy; ME = </w:t>
      </w:r>
      <w:proofErr w:type="spellStart"/>
      <w:r w:rsidRPr="00300C25">
        <w:rPr>
          <w:rFonts w:ascii="Arial" w:hAnsi="Arial" w:cs="Arial"/>
          <w:sz w:val="20"/>
          <w:szCs w:val="20"/>
        </w:rPr>
        <w:t>metabolizable</w:t>
      </w:r>
      <w:proofErr w:type="spellEnd"/>
      <w:r w:rsidRPr="00300C25">
        <w:rPr>
          <w:rFonts w:ascii="Arial" w:hAnsi="Arial" w:cs="Arial"/>
          <w:sz w:val="20"/>
          <w:szCs w:val="20"/>
        </w:rPr>
        <w:t xml:space="preserve"> energy.</w:t>
      </w:r>
    </w:p>
    <w:p w:rsidR="00587C40" w:rsidRPr="00300C25" w:rsidRDefault="00587C40" w:rsidP="00A442F8">
      <w:pPr>
        <w:spacing w:line="240" w:lineRule="auto"/>
        <w:rPr>
          <w:rFonts w:ascii="Arial" w:hAnsi="Arial" w:cs="Arial"/>
          <w:sz w:val="20"/>
          <w:szCs w:val="20"/>
        </w:rPr>
      </w:pPr>
      <w:r w:rsidRPr="00300C25">
        <w:rPr>
          <w:rFonts w:ascii="Arial" w:hAnsi="Arial" w:cs="Arial"/>
          <w:sz w:val="20"/>
          <w:szCs w:val="20"/>
          <w:vertAlign w:val="superscript"/>
        </w:rPr>
        <w:t>2</w:t>
      </w:r>
      <w:r w:rsidRPr="00300C25">
        <w:rPr>
          <w:rFonts w:ascii="Arial" w:hAnsi="Arial" w:cs="Arial"/>
          <w:sz w:val="20"/>
          <w:szCs w:val="20"/>
        </w:rPr>
        <w:t>containing 20% more methionine, threonine, and tryptophan compared to the AA-B diet.</w:t>
      </w:r>
    </w:p>
    <w:p w:rsidR="00587C40" w:rsidRPr="00300C25" w:rsidRDefault="00587C40" w:rsidP="00A442F8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300C25">
        <w:rPr>
          <w:rFonts w:ascii="Arial" w:hAnsi="Arial" w:cs="Arial"/>
          <w:sz w:val="20"/>
          <w:szCs w:val="20"/>
          <w:vertAlign w:val="superscript"/>
        </w:rPr>
        <w:t>3</w:t>
      </w:r>
      <w:proofErr w:type="gramEnd"/>
      <w:r w:rsidRPr="00300C2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00C25">
        <w:rPr>
          <w:rFonts w:ascii="Arial" w:hAnsi="Arial" w:cs="Arial"/>
          <w:sz w:val="20"/>
          <w:szCs w:val="20"/>
        </w:rPr>
        <w:t>n</w:t>
      </w:r>
      <w:r w:rsidR="0072779A" w:rsidRPr="00300C25">
        <w:rPr>
          <w:rFonts w:ascii="Arial" w:hAnsi="Arial" w:cs="Arial"/>
          <w:sz w:val="20"/>
          <w:szCs w:val="20"/>
        </w:rPr>
        <w:t xml:space="preserve"> </w:t>
      </w:r>
      <w:r w:rsidRPr="00300C25">
        <w:rPr>
          <w:rFonts w:ascii="Arial" w:hAnsi="Arial" w:cs="Arial"/>
          <w:sz w:val="20"/>
          <w:szCs w:val="20"/>
        </w:rPr>
        <w:t>=</w:t>
      </w:r>
      <w:r w:rsidR="0072779A" w:rsidRPr="00300C25">
        <w:rPr>
          <w:rFonts w:ascii="Arial" w:hAnsi="Arial" w:cs="Arial"/>
          <w:sz w:val="20"/>
          <w:szCs w:val="20"/>
        </w:rPr>
        <w:t xml:space="preserve"> </w:t>
      </w:r>
      <w:r w:rsidRPr="00300C25">
        <w:rPr>
          <w:rFonts w:ascii="Arial" w:hAnsi="Arial" w:cs="Arial"/>
          <w:sz w:val="20"/>
          <w:szCs w:val="20"/>
        </w:rPr>
        <w:t>6 per treatment group.</w:t>
      </w:r>
    </w:p>
    <w:p w:rsidR="00030E10" w:rsidRPr="00300C25" w:rsidRDefault="00030E10" w:rsidP="00030E10">
      <w:pPr>
        <w:pStyle w:val="EndNoteBibliography"/>
        <w:rPr>
          <w:rFonts w:ascii="Arial" w:hAnsi="Arial" w:cs="Arial"/>
          <w:sz w:val="20"/>
          <w:szCs w:val="20"/>
        </w:rPr>
      </w:pPr>
      <w:r w:rsidRPr="00300C25">
        <w:rPr>
          <w:rFonts w:ascii="Arial" w:eastAsia="TimesNewRoman" w:hAnsi="Arial" w:cs="Arial"/>
          <w:sz w:val="20"/>
          <w:szCs w:val="20"/>
          <w:vertAlign w:val="superscript"/>
        </w:rPr>
        <w:t>4</w:t>
      </w:r>
      <w:r w:rsidRPr="00300C25">
        <w:rPr>
          <w:rFonts w:ascii="Arial" w:hAnsi="Arial" w:cs="Arial"/>
          <w:sz w:val="20"/>
          <w:szCs w:val="20"/>
        </w:rPr>
        <w:t>The P-value for GE-intake represents the significance of the covariable GE-intake. All parameters except BW were adjusted to a similar level of feed intake by including GE intake as a covariate.</w:t>
      </w:r>
    </w:p>
    <w:p w:rsidR="00030E10" w:rsidRPr="00300C25" w:rsidRDefault="00030E10" w:rsidP="00A442F8">
      <w:pPr>
        <w:autoSpaceDE w:val="0"/>
        <w:autoSpaceDN w:val="0"/>
        <w:adjustRightInd w:val="0"/>
        <w:spacing w:line="240" w:lineRule="auto"/>
        <w:contextualSpacing/>
        <w:rPr>
          <w:rFonts w:ascii="Arial" w:eastAsia="TimesNewRoman" w:hAnsi="Arial" w:cs="Arial"/>
          <w:sz w:val="20"/>
          <w:szCs w:val="20"/>
          <w:vertAlign w:val="superscript"/>
          <w:lang w:val="en-US"/>
        </w:rPr>
      </w:pPr>
    </w:p>
    <w:p w:rsidR="00F12C88" w:rsidRPr="00300C25" w:rsidRDefault="007D620F" w:rsidP="00A442F8">
      <w:pPr>
        <w:pStyle w:val="EndNoteBibliography"/>
        <w:rPr>
          <w:rFonts w:ascii="Arial" w:hAnsi="Arial" w:cs="Arial"/>
          <w:szCs w:val="24"/>
        </w:rPr>
      </w:pPr>
      <w:r w:rsidRPr="00300C25">
        <w:rPr>
          <w:rFonts w:ascii="Arial" w:hAnsi="Arial" w:cs="Arial"/>
          <w:b/>
          <w:sz w:val="20"/>
          <w:szCs w:val="20"/>
        </w:rPr>
        <w:br w:type="page"/>
      </w:r>
      <w:r w:rsidR="00DC55C1" w:rsidRPr="00300C25">
        <w:rPr>
          <w:rFonts w:ascii="Arial" w:hAnsi="Arial" w:cs="Arial"/>
          <w:b/>
          <w:szCs w:val="24"/>
        </w:rPr>
        <w:lastRenderedPageBreak/>
        <w:t>Supplemental T</w:t>
      </w:r>
      <w:r w:rsidRPr="00300C25">
        <w:rPr>
          <w:rFonts w:ascii="Arial" w:hAnsi="Arial" w:cs="Arial"/>
          <w:b/>
          <w:szCs w:val="24"/>
        </w:rPr>
        <w:t xml:space="preserve">able </w:t>
      </w:r>
      <w:r w:rsidR="00A442F8" w:rsidRPr="00300C25">
        <w:rPr>
          <w:rFonts w:ascii="Arial" w:hAnsi="Arial" w:cs="Arial"/>
          <w:b/>
          <w:szCs w:val="24"/>
        </w:rPr>
        <w:t>S2</w:t>
      </w:r>
      <w:r w:rsidRPr="00300C25">
        <w:rPr>
          <w:rFonts w:ascii="Arial" w:hAnsi="Arial" w:cs="Arial"/>
          <w:sz w:val="20"/>
          <w:szCs w:val="20"/>
        </w:rPr>
        <w:t xml:space="preserve"> </w:t>
      </w:r>
      <w:r w:rsidR="00F12C88" w:rsidRPr="00300C25">
        <w:rPr>
          <w:rFonts w:ascii="Arial" w:hAnsi="Arial" w:cs="Arial"/>
          <w:i/>
          <w:szCs w:val="24"/>
        </w:rPr>
        <w:t>Energy balance parameters for restricted fed pigs kept under LSC or HSC and fed diets diffe</w:t>
      </w:r>
      <w:r w:rsidR="006261E7" w:rsidRPr="00300C25">
        <w:rPr>
          <w:rFonts w:ascii="Arial" w:hAnsi="Arial" w:cs="Arial"/>
          <w:i/>
          <w:szCs w:val="24"/>
        </w:rPr>
        <w:t>r</w:t>
      </w:r>
      <w:r w:rsidR="00F12C88" w:rsidRPr="00300C25">
        <w:rPr>
          <w:rFonts w:ascii="Arial" w:hAnsi="Arial" w:cs="Arial"/>
          <w:i/>
          <w:szCs w:val="24"/>
        </w:rPr>
        <w:t xml:space="preserve">ing in </w:t>
      </w:r>
      <w:r w:rsidR="00A442F8" w:rsidRPr="00300C25">
        <w:rPr>
          <w:rFonts w:ascii="Arial" w:hAnsi="Arial" w:cs="Arial"/>
          <w:i/>
          <w:szCs w:val="24"/>
        </w:rPr>
        <w:t>amino acid</w:t>
      </w:r>
      <w:r w:rsidR="00F12C88" w:rsidRPr="00300C25">
        <w:rPr>
          <w:rFonts w:ascii="Arial" w:hAnsi="Arial" w:cs="Arial"/>
          <w:i/>
          <w:szCs w:val="24"/>
        </w:rPr>
        <w:t xml:space="preserve"> composition</w:t>
      </w:r>
      <w:r w:rsidR="00F12C88" w:rsidRPr="00300C25">
        <w:rPr>
          <w:rFonts w:ascii="Arial" w:hAnsi="Arial" w:cs="Arial"/>
          <w:i/>
          <w:szCs w:val="24"/>
          <w:vertAlign w:val="superscript"/>
        </w:rPr>
        <w:t>1</w:t>
      </w:r>
    </w:p>
    <w:tbl>
      <w:tblPr>
        <w:tblpPr w:leftFromText="141" w:rightFromText="141" w:vertAnchor="text" w:horzAnchor="margin" w:tblpY="96"/>
        <w:tblW w:w="14886" w:type="dxa"/>
        <w:tblLayout w:type="fixed"/>
        <w:tblLook w:val="04A0" w:firstRow="1" w:lastRow="0" w:firstColumn="1" w:lastColumn="0" w:noHBand="0" w:noVBand="1"/>
      </w:tblPr>
      <w:tblGrid>
        <w:gridCol w:w="3211"/>
        <w:gridCol w:w="772"/>
        <w:gridCol w:w="827"/>
        <w:gridCol w:w="795"/>
        <w:gridCol w:w="795"/>
        <w:gridCol w:w="794"/>
        <w:gridCol w:w="945"/>
        <w:gridCol w:w="717"/>
        <w:gridCol w:w="945"/>
        <w:gridCol w:w="1156"/>
        <w:gridCol w:w="1323"/>
        <w:gridCol w:w="1367"/>
        <w:gridCol w:w="1239"/>
      </w:tblGrid>
      <w:tr w:rsidR="0072779A" w:rsidRPr="00300C25" w:rsidTr="00B54099">
        <w:trPr>
          <w:trHeight w:hRule="exact" w:val="340"/>
        </w:trPr>
        <w:tc>
          <w:tcPr>
            <w:tcW w:w="321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LSC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HSC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AA-B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AA-S</w:t>
            </w:r>
            <w:r w:rsidR="00A433D4"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AA-B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AA-S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SEM</w:t>
            </w: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030E1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SC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030E1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diet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030E1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batch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030E1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SC × diet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030E1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SC × batch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030E1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diet × batch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030E10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GE intake</w:t>
            </w:r>
            <w:r w:rsidR="00030E10"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BW, kg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&lt;.0001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&lt;.0001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ME:GE ratio, %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0.52</w:t>
            </w:r>
          </w:p>
        </w:tc>
      </w:tr>
      <w:tr w:rsidR="0072779A" w:rsidRPr="00300C25" w:rsidTr="00B54099">
        <w:trPr>
          <w:trHeight w:hRule="exact"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Parameter, </w:t>
            </w:r>
            <w:r w:rsidR="00B54099"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kJ/(kg BW)</w:t>
            </w:r>
            <w:r w:rsidR="00B54099" w:rsidRPr="00300C25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GB"/>
              </w:rPr>
              <w:t>0.6</w:t>
            </w:r>
            <w:r w:rsidR="00B54099"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per day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2779A" w:rsidRPr="00300C25" w:rsidTr="00B54099">
        <w:trPr>
          <w:trHeight w:hRule="exact" w:val="34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GE intake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ME intake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9D42E1"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9D42E1"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9D42E1"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  <w:r w:rsidR="009D42E1"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&lt;.0001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Methane production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&lt;.0001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0.71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Heat production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D42E1"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Energy retention total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&lt;.0001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Energy retention protein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&lt;.0001</w:t>
            </w:r>
          </w:p>
        </w:tc>
      </w:tr>
      <w:tr w:rsidR="0072779A" w:rsidRPr="00300C25" w:rsidTr="00B54099">
        <w:trPr>
          <w:trHeight w:hRule="exact" w:val="340"/>
        </w:trPr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Energy retention fat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79A" w:rsidRPr="00300C25" w:rsidRDefault="0072779A" w:rsidP="0072779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0.0002</w:t>
            </w:r>
          </w:p>
        </w:tc>
      </w:tr>
    </w:tbl>
    <w:p w:rsidR="00A442F8" w:rsidRPr="00300C25" w:rsidRDefault="00A442F8" w:rsidP="00A442F8">
      <w:pPr>
        <w:spacing w:line="240" w:lineRule="auto"/>
        <w:contextualSpacing/>
        <w:rPr>
          <w:rFonts w:ascii="Arial" w:hAnsi="Arial" w:cs="Arial"/>
          <w:sz w:val="22"/>
        </w:rPr>
      </w:pPr>
      <w:r w:rsidRPr="00300C25">
        <w:rPr>
          <w:rFonts w:ascii="Arial" w:eastAsia="TimesNewRoman" w:hAnsi="Arial" w:cs="Arial"/>
          <w:sz w:val="22"/>
          <w:vertAlign w:val="superscript"/>
        </w:rPr>
        <w:t>1</w:t>
      </w:r>
      <w:r w:rsidRPr="00300C25">
        <w:rPr>
          <w:rFonts w:ascii="Arial" w:hAnsi="Arial" w:cs="Arial"/>
          <w:sz w:val="22"/>
        </w:rPr>
        <w:t>LSC = low sanitary conditions; HSC = high sanitary conditions; SC = sanitary condition</w:t>
      </w:r>
      <w:proofErr w:type="gramStart"/>
      <w:r w:rsidRPr="00300C25">
        <w:rPr>
          <w:rFonts w:ascii="Arial" w:hAnsi="Arial" w:cs="Arial"/>
          <w:sz w:val="22"/>
        </w:rPr>
        <w:t xml:space="preserve">; </w:t>
      </w:r>
      <w:r w:rsidRPr="00300C25">
        <w:rPr>
          <w:rFonts w:ascii="Arial" w:hAnsi="Arial" w:cs="Arial"/>
          <w:sz w:val="22"/>
          <w:vertAlign w:val="superscript"/>
        </w:rPr>
        <w:t xml:space="preserve"> </w:t>
      </w:r>
      <w:r w:rsidRPr="00300C25">
        <w:rPr>
          <w:rFonts w:ascii="Arial" w:hAnsi="Arial" w:cs="Arial"/>
          <w:sz w:val="22"/>
        </w:rPr>
        <w:t>AA</w:t>
      </w:r>
      <w:proofErr w:type="gramEnd"/>
      <w:r w:rsidRPr="00300C25">
        <w:rPr>
          <w:rFonts w:ascii="Arial" w:hAnsi="Arial" w:cs="Arial"/>
          <w:sz w:val="22"/>
        </w:rPr>
        <w:t xml:space="preserve">-B = basal amino acid diet; AA-S = supplemented amino acid diet; GE = gross energy; ME = </w:t>
      </w:r>
      <w:proofErr w:type="spellStart"/>
      <w:r w:rsidRPr="00300C25">
        <w:rPr>
          <w:rFonts w:ascii="Arial" w:hAnsi="Arial" w:cs="Arial"/>
          <w:sz w:val="22"/>
        </w:rPr>
        <w:t>metabolizable</w:t>
      </w:r>
      <w:proofErr w:type="spellEnd"/>
      <w:r w:rsidRPr="00300C25">
        <w:rPr>
          <w:rFonts w:ascii="Arial" w:hAnsi="Arial" w:cs="Arial"/>
          <w:sz w:val="22"/>
        </w:rPr>
        <w:t xml:space="preserve"> energy.</w:t>
      </w:r>
    </w:p>
    <w:p w:rsidR="00A442F8" w:rsidRPr="00300C25" w:rsidRDefault="00A442F8" w:rsidP="00A442F8">
      <w:pPr>
        <w:spacing w:line="240" w:lineRule="auto"/>
        <w:rPr>
          <w:rFonts w:ascii="Arial" w:hAnsi="Arial" w:cs="Arial"/>
          <w:sz w:val="22"/>
        </w:rPr>
      </w:pPr>
      <w:r w:rsidRPr="00300C25">
        <w:rPr>
          <w:rFonts w:ascii="Arial" w:hAnsi="Arial" w:cs="Arial"/>
          <w:sz w:val="22"/>
          <w:vertAlign w:val="superscript"/>
        </w:rPr>
        <w:t>2</w:t>
      </w:r>
      <w:r w:rsidRPr="00300C25">
        <w:rPr>
          <w:rFonts w:ascii="Arial" w:hAnsi="Arial" w:cs="Arial"/>
          <w:sz w:val="22"/>
        </w:rPr>
        <w:t>containing 20% more methionine, threonine, and tryptophan compared to the AA-B diet.</w:t>
      </w:r>
    </w:p>
    <w:p w:rsidR="00A442F8" w:rsidRPr="00300C25" w:rsidRDefault="00A442F8" w:rsidP="00A442F8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2"/>
        </w:rPr>
      </w:pPr>
      <w:proofErr w:type="gramStart"/>
      <w:r w:rsidRPr="00300C25">
        <w:rPr>
          <w:rFonts w:ascii="Arial" w:hAnsi="Arial" w:cs="Arial"/>
          <w:sz w:val="22"/>
          <w:vertAlign w:val="superscript"/>
        </w:rPr>
        <w:t>3</w:t>
      </w:r>
      <w:proofErr w:type="gramEnd"/>
      <w:r w:rsidRPr="00300C25">
        <w:rPr>
          <w:rFonts w:ascii="Arial" w:hAnsi="Arial" w:cs="Arial"/>
          <w:sz w:val="22"/>
          <w:vertAlign w:val="superscript"/>
        </w:rPr>
        <w:t xml:space="preserve"> </w:t>
      </w:r>
      <w:r w:rsidRPr="00300C25">
        <w:rPr>
          <w:rFonts w:ascii="Arial" w:hAnsi="Arial" w:cs="Arial"/>
          <w:sz w:val="22"/>
        </w:rPr>
        <w:t>n</w:t>
      </w:r>
      <w:r w:rsidR="0072779A" w:rsidRPr="00300C25">
        <w:rPr>
          <w:rFonts w:ascii="Arial" w:hAnsi="Arial" w:cs="Arial"/>
          <w:sz w:val="22"/>
        </w:rPr>
        <w:t xml:space="preserve"> </w:t>
      </w:r>
      <w:r w:rsidRPr="00300C25">
        <w:rPr>
          <w:rFonts w:ascii="Arial" w:hAnsi="Arial" w:cs="Arial"/>
          <w:sz w:val="22"/>
        </w:rPr>
        <w:t>=</w:t>
      </w:r>
      <w:r w:rsidR="0072779A" w:rsidRPr="00300C25">
        <w:rPr>
          <w:rFonts w:ascii="Arial" w:hAnsi="Arial" w:cs="Arial"/>
          <w:sz w:val="22"/>
        </w:rPr>
        <w:t xml:space="preserve"> </w:t>
      </w:r>
      <w:r w:rsidRPr="00300C25">
        <w:rPr>
          <w:rFonts w:ascii="Arial" w:hAnsi="Arial" w:cs="Arial"/>
          <w:sz w:val="22"/>
        </w:rPr>
        <w:t>6 per treatment group.</w:t>
      </w:r>
    </w:p>
    <w:p w:rsidR="00030E10" w:rsidRPr="00300C25" w:rsidRDefault="00030E10" w:rsidP="00030E10">
      <w:pPr>
        <w:pStyle w:val="EndNoteBibliography"/>
        <w:rPr>
          <w:rFonts w:ascii="Arial" w:hAnsi="Arial" w:cs="Arial"/>
          <w:sz w:val="22"/>
        </w:rPr>
      </w:pPr>
      <w:r w:rsidRPr="00300C25">
        <w:rPr>
          <w:rFonts w:ascii="Arial" w:eastAsia="TimesNewRoman" w:hAnsi="Arial" w:cs="Arial"/>
          <w:sz w:val="22"/>
          <w:vertAlign w:val="superscript"/>
        </w:rPr>
        <w:t>4</w:t>
      </w:r>
      <w:r w:rsidRPr="00300C25">
        <w:rPr>
          <w:rFonts w:ascii="Arial" w:hAnsi="Arial" w:cs="Arial"/>
          <w:sz w:val="22"/>
        </w:rPr>
        <w:t>The P-value for GE-intake represents the significance of the covariable GE-intake. All parameters except BW were adjusted to a similar level of feed intake by including GE intake as a covariate.</w:t>
      </w:r>
    </w:p>
    <w:p w:rsidR="00030E10" w:rsidRPr="00300C25" w:rsidRDefault="00030E10" w:rsidP="00A442F8">
      <w:pPr>
        <w:autoSpaceDE w:val="0"/>
        <w:autoSpaceDN w:val="0"/>
        <w:adjustRightInd w:val="0"/>
        <w:spacing w:line="240" w:lineRule="auto"/>
        <w:contextualSpacing/>
        <w:rPr>
          <w:rFonts w:ascii="Arial" w:eastAsia="TimesNewRoman" w:hAnsi="Arial" w:cs="Arial"/>
          <w:sz w:val="22"/>
          <w:vertAlign w:val="superscript"/>
          <w:lang w:val="en-US"/>
        </w:rPr>
      </w:pPr>
    </w:p>
    <w:p w:rsidR="007D620F" w:rsidRPr="00300C25" w:rsidRDefault="007D620F" w:rsidP="00A442F8">
      <w:pPr>
        <w:pStyle w:val="EndNoteBibliography"/>
        <w:rPr>
          <w:rFonts w:ascii="Arial" w:hAnsi="Arial" w:cs="Arial"/>
          <w:sz w:val="22"/>
          <w:lang w:val="en-GB"/>
        </w:rPr>
      </w:pPr>
    </w:p>
    <w:p w:rsidR="007D620F" w:rsidRPr="00300C25" w:rsidRDefault="007D620F" w:rsidP="00A442F8">
      <w:pPr>
        <w:pStyle w:val="EndNoteBibliography"/>
        <w:rPr>
          <w:rFonts w:ascii="Arial" w:hAnsi="Arial" w:cs="Arial"/>
          <w:szCs w:val="24"/>
        </w:rPr>
      </w:pPr>
      <w:r w:rsidRPr="00300C25">
        <w:rPr>
          <w:rFonts w:ascii="Arial" w:hAnsi="Arial" w:cs="Arial"/>
          <w:b/>
          <w:sz w:val="20"/>
          <w:szCs w:val="20"/>
        </w:rPr>
        <w:br w:type="page"/>
      </w:r>
      <w:r w:rsidR="00DC55C1" w:rsidRPr="00300C25">
        <w:rPr>
          <w:rFonts w:ascii="Arial" w:hAnsi="Arial" w:cs="Arial"/>
          <w:b/>
          <w:szCs w:val="24"/>
        </w:rPr>
        <w:lastRenderedPageBreak/>
        <w:t>Supplemental T</w:t>
      </w:r>
      <w:r w:rsidRPr="00300C25">
        <w:rPr>
          <w:rFonts w:ascii="Arial" w:hAnsi="Arial" w:cs="Arial"/>
          <w:b/>
          <w:szCs w:val="24"/>
        </w:rPr>
        <w:t xml:space="preserve">able </w:t>
      </w:r>
      <w:r w:rsidR="00A442F8" w:rsidRPr="00300C25">
        <w:rPr>
          <w:rFonts w:ascii="Arial" w:hAnsi="Arial" w:cs="Arial"/>
          <w:b/>
          <w:szCs w:val="24"/>
        </w:rPr>
        <w:t>S3</w:t>
      </w:r>
      <w:r w:rsidRPr="00300C25">
        <w:rPr>
          <w:rFonts w:ascii="Arial" w:hAnsi="Arial" w:cs="Arial"/>
          <w:szCs w:val="24"/>
        </w:rPr>
        <w:t xml:space="preserve"> </w:t>
      </w:r>
      <w:r w:rsidR="00EE5040" w:rsidRPr="00300C25">
        <w:rPr>
          <w:rFonts w:ascii="Arial" w:hAnsi="Arial" w:cs="Arial"/>
          <w:i/>
          <w:szCs w:val="24"/>
        </w:rPr>
        <w:t>Nitrogen balance parameters for ad libitum fed pigs kept under LSC or HSC and fed diets diffe</w:t>
      </w:r>
      <w:r w:rsidR="006261E7" w:rsidRPr="00300C25">
        <w:rPr>
          <w:rFonts w:ascii="Arial" w:hAnsi="Arial" w:cs="Arial"/>
          <w:i/>
          <w:szCs w:val="24"/>
        </w:rPr>
        <w:t>r</w:t>
      </w:r>
      <w:r w:rsidR="00EE5040" w:rsidRPr="00300C25">
        <w:rPr>
          <w:rFonts w:ascii="Arial" w:hAnsi="Arial" w:cs="Arial"/>
          <w:i/>
          <w:szCs w:val="24"/>
        </w:rPr>
        <w:t xml:space="preserve">ing in </w:t>
      </w:r>
      <w:r w:rsidR="00030E10" w:rsidRPr="00300C25">
        <w:rPr>
          <w:rFonts w:ascii="Arial" w:hAnsi="Arial" w:cs="Arial"/>
          <w:i/>
          <w:szCs w:val="24"/>
        </w:rPr>
        <w:t>amino acid</w:t>
      </w:r>
      <w:r w:rsidR="00EE5040" w:rsidRPr="00300C25">
        <w:rPr>
          <w:rFonts w:ascii="Arial" w:hAnsi="Arial" w:cs="Arial"/>
          <w:i/>
          <w:szCs w:val="24"/>
        </w:rPr>
        <w:t xml:space="preserve"> composition</w:t>
      </w:r>
      <w:r w:rsidR="00EE5040" w:rsidRPr="00300C25">
        <w:rPr>
          <w:rFonts w:ascii="Arial" w:hAnsi="Arial" w:cs="Arial"/>
          <w:i/>
          <w:szCs w:val="24"/>
          <w:vertAlign w:val="superscript"/>
        </w:rPr>
        <w:t>1</w:t>
      </w:r>
    </w:p>
    <w:tbl>
      <w:tblPr>
        <w:tblpPr w:leftFromText="180" w:rightFromText="180" w:vertAnchor="page" w:horzAnchor="margin" w:tblpY="1989"/>
        <w:tblW w:w="14882" w:type="dxa"/>
        <w:tblLayout w:type="fixed"/>
        <w:tblLook w:val="04A0" w:firstRow="1" w:lastRow="0" w:firstColumn="1" w:lastColumn="0" w:noHBand="0" w:noVBand="1"/>
      </w:tblPr>
      <w:tblGrid>
        <w:gridCol w:w="3173"/>
        <w:gridCol w:w="756"/>
        <w:gridCol w:w="828"/>
        <w:gridCol w:w="795"/>
        <w:gridCol w:w="795"/>
        <w:gridCol w:w="794"/>
        <w:gridCol w:w="945"/>
        <w:gridCol w:w="666"/>
        <w:gridCol w:w="945"/>
        <w:gridCol w:w="1156"/>
        <w:gridCol w:w="1323"/>
        <w:gridCol w:w="1367"/>
        <w:gridCol w:w="1339"/>
      </w:tblGrid>
      <w:tr w:rsidR="0002093A" w:rsidRPr="00300C25" w:rsidTr="006A2888">
        <w:trPr>
          <w:trHeight w:hRule="exact" w:val="340"/>
        </w:trPr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LSC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HSC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02093A" w:rsidRPr="00300C25" w:rsidTr="006A2888">
        <w:trPr>
          <w:trHeight w:hRule="exact" w:val="340"/>
        </w:trPr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AA-B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AA-S</w:t>
            </w: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AA-B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AA-S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SEM</w:t>
            </w: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SC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diet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batch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SC × diet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SC × batch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diet × batch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GE intake</w:t>
            </w: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</w:tr>
      <w:tr w:rsidR="0002093A" w:rsidRPr="00300C25" w:rsidTr="006A2888">
        <w:trPr>
          <w:trHeight w:hRule="exact" w:val="340"/>
        </w:trPr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BW, kg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&lt;.0001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&lt;.0001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02093A" w:rsidRPr="00300C25" w:rsidTr="006A2888">
        <w:trPr>
          <w:trHeight w:hRule="exact" w:val="34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 intake, </w:t>
            </w: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</w:t>
            </w:r>
            <w:r w:rsidR="006A2888"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/(</w:t>
            </w: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kg BW</w:t>
            </w:r>
            <w:r w:rsidR="006A2888"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)</w:t>
            </w: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GB"/>
              </w:rPr>
              <w:t>0.6</w:t>
            </w:r>
            <w:r w:rsidR="006A2888"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per day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1.38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&lt;.0001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&lt;.0001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&lt;.0001</w:t>
            </w:r>
          </w:p>
        </w:tc>
      </w:tr>
      <w:tr w:rsidR="0002093A" w:rsidRPr="00300C25" w:rsidTr="006A2888">
        <w:trPr>
          <w:trHeight w:hRule="exact" w:val="34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 retention, </w:t>
            </w: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</w:t>
            </w:r>
            <w:r w:rsidR="006A2888"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/(</w:t>
            </w: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kg BW</w:t>
            </w:r>
            <w:r w:rsidR="006A2888" w:rsidRPr="00300C25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GB"/>
              </w:rPr>
              <w:t>)</w:t>
            </w: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GB"/>
              </w:rPr>
              <w:t>0.6</w:t>
            </w:r>
            <w:r w:rsidR="006A2888"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per </w:t>
            </w: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</w:t>
            </w:r>
            <w:r w:rsidR="006A2888"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0.05</w:t>
            </w:r>
          </w:p>
        </w:tc>
      </w:tr>
      <w:tr w:rsidR="0002093A" w:rsidRPr="00300C25" w:rsidTr="006A2888">
        <w:trPr>
          <w:trHeight w:hRule="exact" w:val="340"/>
        </w:trPr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 retention/N intake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093A" w:rsidRPr="00300C25" w:rsidRDefault="0002093A" w:rsidP="0002093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0.93</w:t>
            </w:r>
          </w:p>
        </w:tc>
      </w:tr>
    </w:tbl>
    <w:p w:rsidR="00030E10" w:rsidRPr="00300C25" w:rsidRDefault="00030E10" w:rsidP="00030E1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00C25">
        <w:rPr>
          <w:rFonts w:ascii="Arial" w:eastAsia="TimesNewRoman" w:hAnsi="Arial" w:cs="Arial"/>
          <w:sz w:val="20"/>
          <w:szCs w:val="20"/>
          <w:vertAlign w:val="superscript"/>
        </w:rPr>
        <w:t>1</w:t>
      </w:r>
      <w:r w:rsidRPr="00300C25">
        <w:rPr>
          <w:rFonts w:ascii="Arial" w:hAnsi="Arial" w:cs="Arial"/>
          <w:sz w:val="20"/>
          <w:szCs w:val="20"/>
        </w:rPr>
        <w:t>LSC = low sanitary conditions; HSC = high sanitary conditions; SC = sanitary condition</w:t>
      </w:r>
      <w:proofErr w:type="gramStart"/>
      <w:r w:rsidRPr="00300C25">
        <w:rPr>
          <w:rFonts w:ascii="Arial" w:hAnsi="Arial" w:cs="Arial"/>
          <w:sz w:val="20"/>
          <w:szCs w:val="20"/>
        </w:rPr>
        <w:t xml:space="preserve">; </w:t>
      </w:r>
      <w:r w:rsidRPr="00300C2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00C25">
        <w:rPr>
          <w:rFonts w:ascii="Arial" w:hAnsi="Arial" w:cs="Arial"/>
          <w:sz w:val="20"/>
          <w:szCs w:val="20"/>
        </w:rPr>
        <w:t>AA</w:t>
      </w:r>
      <w:proofErr w:type="gramEnd"/>
      <w:r w:rsidRPr="00300C25">
        <w:rPr>
          <w:rFonts w:ascii="Arial" w:hAnsi="Arial" w:cs="Arial"/>
          <w:sz w:val="20"/>
          <w:szCs w:val="20"/>
        </w:rPr>
        <w:t>-B = basal amino acid diet; AA-S = supplemented amino acid diet; N = nitrogen; GE = gross energy.</w:t>
      </w:r>
    </w:p>
    <w:p w:rsidR="00030E10" w:rsidRPr="00300C25" w:rsidRDefault="00030E10" w:rsidP="00030E10">
      <w:pPr>
        <w:spacing w:line="240" w:lineRule="auto"/>
        <w:rPr>
          <w:rFonts w:ascii="Arial" w:hAnsi="Arial" w:cs="Arial"/>
          <w:sz w:val="20"/>
          <w:szCs w:val="20"/>
        </w:rPr>
      </w:pPr>
      <w:r w:rsidRPr="00300C25">
        <w:rPr>
          <w:rFonts w:ascii="Arial" w:hAnsi="Arial" w:cs="Arial"/>
          <w:sz w:val="20"/>
          <w:szCs w:val="20"/>
          <w:vertAlign w:val="superscript"/>
        </w:rPr>
        <w:t>2</w:t>
      </w:r>
      <w:r w:rsidRPr="00300C25">
        <w:rPr>
          <w:rFonts w:ascii="Arial" w:hAnsi="Arial" w:cs="Arial"/>
          <w:sz w:val="20"/>
          <w:szCs w:val="20"/>
        </w:rPr>
        <w:t>containing 20% more methionine, threonine, and tryptophan compared to the AA-B diet.</w:t>
      </w:r>
    </w:p>
    <w:p w:rsidR="00030E10" w:rsidRPr="00300C25" w:rsidRDefault="00030E10" w:rsidP="00030E10">
      <w:pPr>
        <w:autoSpaceDE w:val="0"/>
        <w:autoSpaceDN w:val="0"/>
        <w:adjustRightInd w:val="0"/>
        <w:spacing w:line="240" w:lineRule="auto"/>
        <w:contextualSpacing/>
        <w:rPr>
          <w:rFonts w:ascii="Arial" w:eastAsia="TimesNewRoman" w:hAnsi="Arial" w:cs="Arial"/>
          <w:sz w:val="20"/>
          <w:szCs w:val="20"/>
          <w:vertAlign w:val="superscript"/>
        </w:rPr>
      </w:pPr>
      <w:proofErr w:type="gramStart"/>
      <w:r w:rsidRPr="00300C25">
        <w:rPr>
          <w:rFonts w:ascii="Arial" w:hAnsi="Arial" w:cs="Arial"/>
          <w:sz w:val="20"/>
          <w:szCs w:val="20"/>
          <w:vertAlign w:val="superscript"/>
        </w:rPr>
        <w:t>3</w:t>
      </w:r>
      <w:proofErr w:type="gramEnd"/>
      <w:r w:rsidRPr="00300C2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00C25">
        <w:rPr>
          <w:rFonts w:ascii="Arial" w:hAnsi="Arial" w:cs="Arial"/>
          <w:sz w:val="20"/>
          <w:szCs w:val="20"/>
        </w:rPr>
        <w:t>n = 6 per treatment group.</w:t>
      </w:r>
    </w:p>
    <w:p w:rsidR="007D620F" w:rsidRPr="00300C25" w:rsidRDefault="00030E10" w:rsidP="00A442F8">
      <w:pPr>
        <w:pStyle w:val="EndNoteBibliography"/>
        <w:rPr>
          <w:rFonts w:ascii="Arial" w:hAnsi="Arial" w:cs="Arial"/>
          <w:sz w:val="20"/>
          <w:szCs w:val="20"/>
        </w:rPr>
      </w:pPr>
      <w:r w:rsidRPr="00300C25">
        <w:rPr>
          <w:rFonts w:ascii="Arial" w:eastAsia="TimesNewRoman" w:hAnsi="Arial" w:cs="Arial"/>
          <w:sz w:val="20"/>
          <w:szCs w:val="20"/>
          <w:vertAlign w:val="superscript"/>
        </w:rPr>
        <w:t>4</w:t>
      </w:r>
      <w:r w:rsidR="00EE5040" w:rsidRPr="00300C25">
        <w:rPr>
          <w:rFonts w:ascii="Arial" w:hAnsi="Arial" w:cs="Arial"/>
          <w:sz w:val="20"/>
          <w:szCs w:val="20"/>
        </w:rPr>
        <w:t>The P-value for GE-intake represents the significance of the covariable GE-intake. All parameters except BW were adjusted to a similar level of feed intake by including GE intake as a covariate.</w:t>
      </w:r>
    </w:p>
    <w:p w:rsidR="007D620F" w:rsidRPr="00300C25" w:rsidRDefault="007D620F" w:rsidP="00A442F8">
      <w:pPr>
        <w:pStyle w:val="EndNoteBibliography"/>
        <w:contextualSpacing/>
        <w:rPr>
          <w:rFonts w:ascii="Arial" w:hAnsi="Arial" w:cs="Arial"/>
          <w:b/>
          <w:sz w:val="20"/>
          <w:szCs w:val="20"/>
        </w:rPr>
      </w:pPr>
    </w:p>
    <w:p w:rsidR="007D620F" w:rsidRPr="00300C25" w:rsidRDefault="007D620F" w:rsidP="00A442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D620F" w:rsidRPr="00300C25" w:rsidRDefault="007D620F" w:rsidP="00A442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D620F" w:rsidRPr="00300C25" w:rsidRDefault="007D620F" w:rsidP="00A442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D620F" w:rsidRPr="00300C25" w:rsidRDefault="007D620F" w:rsidP="00A442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D620F" w:rsidRPr="00300C25" w:rsidRDefault="007D620F" w:rsidP="00A442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D620F" w:rsidRPr="00300C25" w:rsidRDefault="007D620F" w:rsidP="00A442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D620F" w:rsidRPr="00300C25" w:rsidRDefault="007D620F" w:rsidP="00A442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D620F" w:rsidRPr="00300C25" w:rsidRDefault="007D620F" w:rsidP="00A442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D620F" w:rsidRPr="00300C25" w:rsidRDefault="007D620F" w:rsidP="00A442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D620F" w:rsidRPr="00300C25" w:rsidRDefault="007D620F" w:rsidP="00A442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D620F" w:rsidRPr="00300C25" w:rsidRDefault="007D620F" w:rsidP="00A442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D620F" w:rsidRPr="00300C25" w:rsidRDefault="007D620F" w:rsidP="00A442F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D620F" w:rsidRPr="00300C25" w:rsidRDefault="007D620F" w:rsidP="00A442F8">
      <w:pPr>
        <w:pStyle w:val="EndNoteBibliography"/>
        <w:contextualSpacing/>
        <w:jc w:val="right"/>
        <w:rPr>
          <w:rFonts w:ascii="Arial" w:hAnsi="Arial" w:cs="Arial"/>
          <w:sz w:val="20"/>
          <w:szCs w:val="20"/>
        </w:rPr>
      </w:pPr>
    </w:p>
    <w:p w:rsidR="007D620F" w:rsidRPr="00300C25" w:rsidRDefault="007D620F" w:rsidP="00A442F8">
      <w:pPr>
        <w:pStyle w:val="EndNoteBibliography"/>
        <w:contextualSpacing/>
        <w:rPr>
          <w:rFonts w:ascii="Arial" w:hAnsi="Arial" w:cs="Arial"/>
          <w:sz w:val="20"/>
          <w:szCs w:val="20"/>
        </w:rPr>
      </w:pPr>
      <w:r w:rsidRPr="00300C25">
        <w:rPr>
          <w:rFonts w:ascii="Arial" w:hAnsi="Arial" w:cs="Arial"/>
          <w:sz w:val="20"/>
          <w:szCs w:val="20"/>
        </w:rPr>
        <w:br w:type="page"/>
      </w:r>
      <w:r w:rsidR="00DC55C1" w:rsidRPr="00300C25">
        <w:rPr>
          <w:rFonts w:ascii="Arial" w:hAnsi="Arial" w:cs="Arial"/>
          <w:b/>
          <w:szCs w:val="24"/>
        </w:rPr>
        <w:lastRenderedPageBreak/>
        <w:t>Supplemental T</w:t>
      </w:r>
      <w:r w:rsidRPr="00300C25">
        <w:rPr>
          <w:rFonts w:ascii="Arial" w:hAnsi="Arial" w:cs="Arial"/>
          <w:b/>
          <w:szCs w:val="24"/>
        </w:rPr>
        <w:t xml:space="preserve">able </w:t>
      </w:r>
      <w:r w:rsidR="00A442F8" w:rsidRPr="00300C25">
        <w:rPr>
          <w:rFonts w:ascii="Arial" w:hAnsi="Arial" w:cs="Arial"/>
          <w:b/>
          <w:szCs w:val="24"/>
        </w:rPr>
        <w:t>S4</w:t>
      </w:r>
      <w:r w:rsidRPr="00300C25">
        <w:rPr>
          <w:rFonts w:ascii="Arial" w:hAnsi="Arial" w:cs="Arial"/>
          <w:szCs w:val="24"/>
        </w:rPr>
        <w:t xml:space="preserve"> </w:t>
      </w:r>
      <w:r w:rsidR="00E51A71" w:rsidRPr="00300C25">
        <w:rPr>
          <w:rFonts w:ascii="Arial" w:hAnsi="Arial" w:cs="Arial"/>
          <w:i/>
          <w:szCs w:val="24"/>
        </w:rPr>
        <w:t>Nitrogen balance parameters for rest</w:t>
      </w:r>
      <w:r w:rsidR="00450173" w:rsidRPr="00300C25">
        <w:rPr>
          <w:rFonts w:ascii="Arial" w:hAnsi="Arial" w:cs="Arial"/>
          <w:i/>
          <w:szCs w:val="24"/>
        </w:rPr>
        <w:t>r</w:t>
      </w:r>
      <w:r w:rsidR="00E51A71" w:rsidRPr="00300C25">
        <w:rPr>
          <w:rFonts w:ascii="Arial" w:hAnsi="Arial" w:cs="Arial"/>
          <w:i/>
          <w:szCs w:val="24"/>
        </w:rPr>
        <w:t>icted fed pigs kept under LSC or HSC and fed diets diffe</w:t>
      </w:r>
      <w:r w:rsidR="006261E7" w:rsidRPr="00300C25">
        <w:rPr>
          <w:rFonts w:ascii="Arial" w:hAnsi="Arial" w:cs="Arial"/>
          <w:i/>
          <w:szCs w:val="24"/>
        </w:rPr>
        <w:t>r</w:t>
      </w:r>
      <w:r w:rsidR="00E51A71" w:rsidRPr="00300C25">
        <w:rPr>
          <w:rFonts w:ascii="Arial" w:hAnsi="Arial" w:cs="Arial"/>
          <w:i/>
          <w:szCs w:val="24"/>
        </w:rPr>
        <w:t xml:space="preserve">ing in </w:t>
      </w:r>
      <w:r w:rsidR="00A433D4" w:rsidRPr="00300C25">
        <w:rPr>
          <w:rFonts w:ascii="Arial" w:hAnsi="Arial" w:cs="Arial"/>
          <w:i/>
          <w:szCs w:val="24"/>
        </w:rPr>
        <w:t>amino acid</w:t>
      </w:r>
      <w:r w:rsidR="00E51A71" w:rsidRPr="00300C25">
        <w:rPr>
          <w:rFonts w:ascii="Arial" w:hAnsi="Arial" w:cs="Arial"/>
          <w:i/>
          <w:szCs w:val="24"/>
        </w:rPr>
        <w:t xml:space="preserve"> composition</w:t>
      </w:r>
      <w:r w:rsidR="00E51A71" w:rsidRPr="00300C25">
        <w:rPr>
          <w:rFonts w:ascii="Arial" w:hAnsi="Arial" w:cs="Arial"/>
          <w:i/>
          <w:szCs w:val="24"/>
          <w:vertAlign w:val="superscript"/>
        </w:rPr>
        <w:t>1</w:t>
      </w:r>
    </w:p>
    <w:tbl>
      <w:tblPr>
        <w:tblW w:w="14974" w:type="dxa"/>
        <w:tblLayout w:type="fixed"/>
        <w:tblLook w:val="04A0" w:firstRow="1" w:lastRow="0" w:firstColumn="1" w:lastColumn="0" w:noHBand="0" w:noVBand="1"/>
      </w:tblPr>
      <w:tblGrid>
        <w:gridCol w:w="3173"/>
        <w:gridCol w:w="756"/>
        <w:gridCol w:w="828"/>
        <w:gridCol w:w="768"/>
        <w:gridCol w:w="852"/>
        <w:gridCol w:w="794"/>
        <w:gridCol w:w="945"/>
        <w:gridCol w:w="828"/>
        <w:gridCol w:w="945"/>
        <w:gridCol w:w="1156"/>
        <w:gridCol w:w="1323"/>
        <w:gridCol w:w="1367"/>
        <w:gridCol w:w="1239"/>
      </w:tblGrid>
      <w:tr w:rsidR="00A433D4" w:rsidRPr="00300C25" w:rsidTr="006A2888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LSC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HSC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A433D4" w:rsidRPr="00300C25" w:rsidTr="006A2888">
        <w:trPr>
          <w:trHeight w:val="340"/>
        </w:trPr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AA-B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AA-S</w:t>
            </w: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AA-B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AA-S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SEM</w:t>
            </w: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SC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diet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batch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SC × diet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SC × batch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diet × batch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GE intake</w:t>
            </w: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4</w:t>
            </w:r>
          </w:p>
        </w:tc>
      </w:tr>
      <w:tr w:rsidR="00A433D4" w:rsidRPr="00300C25" w:rsidTr="006A2888">
        <w:trPr>
          <w:trHeight w:val="340"/>
        </w:trPr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BW, kg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21.6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&lt;.0001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&lt;.0001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A433D4" w:rsidRPr="00300C25" w:rsidTr="006A2888">
        <w:trPr>
          <w:trHeight w:val="34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33D4" w:rsidRPr="00300C25" w:rsidRDefault="00A433D4" w:rsidP="00A442F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 intake, </w:t>
            </w:r>
            <w:r w:rsidR="006A2888"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g/(kg BW)</w:t>
            </w:r>
            <w:r w:rsidR="006A2888" w:rsidRPr="00300C25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GB"/>
              </w:rPr>
              <w:t>0.6</w:t>
            </w:r>
            <w:r w:rsidR="006A2888"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per day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&lt;.0001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&lt;.0001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&lt;.0001</w:t>
            </w:r>
          </w:p>
        </w:tc>
      </w:tr>
      <w:tr w:rsidR="00A433D4" w:rsidRPr="00300C25" w:rsidTr="006A2888">
        <w:trPr>
          <w:trHeight w:val="340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433D4" w:rsidRPr="00300C25" w:rsidRDefault="00A433D4" w:rsidP="00A442F8">
            <w:pPr>
              <w:spacing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 retention, </w:t>
            </w:r>
            <w:r w:rsidR="006A2888"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g/(kg BW)</w:t>
            </w:r>
            <w:r w:rsidR="006A2888" w:rsidRPr="00300C25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n-GB"/>
              </w:rPr>
              <w:t>0.6</w:t>
            </w:r>
            <w:r w:rsidR="006A2888"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per day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0.0007</w:t>
            </w:r>
          </w:p>
        </w:tc>
      </w:tr>
      <w:tr w:rsidR="00A433D4" w:rsidRPr="00300C25" w:rsidTr="006A2888">
        <w:trPr>
          <w:trHeight w:val="340"/>
        </w:trPr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 retention/N intake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33D4" w:rsidRPr="00300C25" w:rsidRDefault="00A433D4" w:rsidP="00A442F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00C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</w:tbl>
    <w:p w:rsidR="00A433D4" w:rsidRPr="00300C25" w:rsidRDefault="00A433D4" w:rsidP="00A433D4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300C25">
        <w:rPr>
          <w:rFonts w:ascii="Arial" w:eastAsia="TimesNewRoman" w:hAnsi="Arial" w:cs="Arial"/>
          <w:sz w:val="20"/>
          <w:szCs w:val="20"/>
          <w:vertAlign w:val="superscript"/>
        </w:rPr>
        <w:t>1</w:t>
      </w:r>
      <w:r w:rsidRPr="00300C25">
        <w:rPr>
          <w:rFonts w:ascii="Arial" w:hAnsi="Arial" w:cs="Arial"/>
          <w:sz w:val="20"/>
          <w:szCs w:val="20"/>
        </w:rPr>
        <w:t>LSC = low sanitary conditions; HSC = high sanitary conditions; SC = sanitary condition</w:t>
      </w:r>
      <w:proofErr w:type="gramStart"/>
      <w:r w:rsidRPr="00300C25">
        <w:rPr>
          <w:rFonts w:ascii="Arial" w:hAnsi="Arial" w:cs="Arial"/>
          <w:sz w:val="20"/>
          <w:szCs w:val="20"/>
        </w:rPr>
        <w:t xml:space="preserve">; </w:t>
      </w:r>
      <w:r w:rsidRPr="00300C2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00C25">
        <w:rPr>
          <w:rFonts w:ascii="Arial" w:hAnsi="Arial" w:cs="Arial"/>
          <w:sz w:val="20"/>
          <w:szCs w:val="20"/>
        </w:rPr>
        <w:t>AA</w:t>
      </w:r>
      <w:proofErr w:type="gramEnd"/>
      <w:r w:rsidRPr="00300C25">
        <w:rPr>
          <w:rFonts w:ascii="Arial" w:hAnsi="Arial" w:cs="Arial"/>
          <w:sz w:val="20"/>
          <w:szCs w:val="20"/>
        </w:rPr>
        <w:t>-B = basal amino acid diet; AA-S = supplemented amino acid diet; N = nitrogen; GE = gross energy.</w:t>
      </w:r>
    </w:p>
    <w:p w:rsidR="00A433D4" w:rsidRPr="00300C25" w:rsidRDefault="00A433D4" w:rsidP="00A433D4">
      <w:pPr>
        <w:spacing w:line="240" w:lineRule="auto"/>
        <w:rPr>
          <w:rFonts w:ascii="Arial" w:hAnsi="Arial" w:cs="Arial"/>
          <w:sz w:val="20"/>
          <w:szCs w:val="20"/>
        </w:rPr>
      </w:pPr>
      <w:r w:rsidRPr="00300C25">
        <w:rPr>
          <w:rFonts w:ascii="Arial" w:hAnsi="Arial" w:cs="Arial"/>
          <w:sz w:val="20"/>
          <w:szCs w:val="20"/>
          <w:vertAlign w:val="superscript"/>
        </w:rPr>
        <w:t>2</w:t>
      </w:r>
      <w:r w:rsidRPr="00300C25">
        <w:rPr>
          <w:rFonts w:ascii="Arial" w:hAnsi="Arial" w:cs="Arial"/>
          <w:sz w:val="20"/>
          <w:szCs w:val="20"/>
        </w:rPr>
        <w:t>containing 20% more methionine, threonine, and tryptophan compared to the AA-B diet.</w:t>
      </w:r>
    </w:p>
    <w:p w:rsidR="00A433D4" w:rsidRPr="00300C25" w:rsidRDefault="00A433D4" w:rsidP="00A433D4">
      <w:pPr>
        <w:autoSpaceDE w:val="0"/>
        <w:autoSpaceDN w:val="0"/>
        <w:adjustRightInd w:val="0"/>
        <w:spacing w:line="240" w:lineRule="auto"/>
        <w:contextualSpacing/>
        <w:rPr>
          <w:rFonts w:ascii="Arial" w:eastAsia="TimesNewRoman" w:hAnsi="Arial" w:cs="Arial"/>
          <w:sz w:val="20"/>
          <w:szCs w:val="20"/>
          <w:vertAlign w:val="superscript"/>
        </w:rPr>
      </w:pPr>
      <w:proofErr w:type="gramStart"/>
      <w:r w:rsidRPr="00300C25">
        <w:rPr>
          <w:rFonts w:ascii="Arial" w:hAnsi="Arial" w:cs="Arial"/>
          <w:sz w:val="20"/>
          <w:szCs w:val="20"/>
          <w:vertAlign w:val="superscript"/>
        </w:rPr>
        <w:t>3</w:t>
      </w:r>
      <w:proofErr w:type="gramEnd"/>
      <w:r w:rsidRPr="00300C2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00C25">
        <w:rPr>
          <w:rFonts w:ascii="Arial" w:hAnsi="Arial" w:cs="Arial"/>
          <w:sz w:val="20"/>
          <w:szCs w:val="20"/>
        </w:rPr>
        <w:t>n = 6 per treatment group.</w:t>
      </w:r>
    </w:p>
    <w:p w:rsidR="00A433D4" w:rsidRPr="002731CB" w:rsidRDefault="00A433D4" w:rsidP="00A433D4">
      <w:pPr>
        <w:pStyle w:val="EndNoteBibliography"/>
        <w:rPr>
          <w:rFonts w:ascii="Arial" w:hAnsi="Arial" w:cs="Arial"/>
          <w:sz w:val="20"/>
          <w:szCs w:val="20"/>
        </w:rPr>
      </w:pPr>
      <w:r w:rsidRPr="00300C25">
        <w:rPr>
          <w:rFonts w:ascii="Arial" w:eastAsia="TimesNewRoman" w:hAnsi="Arial" w:cs="Arial"/>
          <w:sz w:val="20"/>
          <w:szCs w:val="20"/>
          <w:vertAlign w:val="superscript"/>
        </w:rPr>
        <w:t>4</w:t>
      </w:r>
      <w:r w:rsidRPr="00300C25">
        <w:rPr>
          <w:rFonts w:ascii="Arial" w:hAnsi="Arial" w:cs="Arial"/>
          <w:sz w:val="20"/>
          <w:szCs w:val="20"/>
        </w:rPr>
        <w:t>The P-value for GE-intake represents the significance of the covariable GE-intake. All parameters except BW were adjusted to a similar level of feed intake by including GE intake as a covariate.</w:t>
      </w:r>
    </w:p>
    <w:p w:rsidR="0098644D" w:rsidRPr="00A433D4" w:rsidRDefault="0098644D">
      <w:pPr>
        <w:rPr>
          <w:rFonts w:ascii="Arial" w:hAnsi="Arial" w:cs="Arial"/>
          <w:lang w:val="en-US"/>
        </w:rPr>
      </w:pPr>
    </w:p>
    <w:sectPr w:rsidR="0098644D" w:rsidRPr="00A433D4" w:rsidSect="007D62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choolbook">
    <w:altName w:val="Times New Roman Un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horndale Duospace WT S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MTM1MjC0tDQ3tDRU0lEKTi0uzszPAykwrAUARBCGyywAAAA="/>
  </w:docVars>
  <w:rsids>
    <w:rsidRoot w:val="007D620F"/>
    <w:rsid w:val="0002093A"/>
    <w:rsid w:val="00030E10"/>
    <w:rsid w:val="001E03DC"/>
    <w:rsid w:val="00271018"/>
    <w:rsid w:val="002731CB"/>
    <w:rsid w:val="00300C25"/>
    <w:rsid w:val="00450173"/>
    <w:rsid w:val="0055465A"/>
    <w:rsid w:val="00573DE4"/>
    <w:rsid w:val="00587C40"/>
    <w:rsid w:val="0061616B"/>
    <w:rsid w:val="006261E7"/>
    <w:rsid w:val="00663419"/>
    <w:rsid w:val="00680FCA"/>
    <w:rsid w:val="006A2888"/>
    <w:rsid w:val="006C12F9"/>
    <w:rsid w:val="0072779A"/>
    <w:rsid w:val="00776B69"/>
    <w:rsid w:val="007D620F"/>
    <w:rsid w:val="00813E47"/>
    <w:rsid w:val="0098644D"/>
    <w:rsid w:val="009D42E1"/>
    <w:rsid w:val="00A14A80"/>
    <w:rsid w:val="00A16714"/>
    <w:rsid w:val="00A433D4"/>
    <w:rsid w:val="00A442F8"/>
    <w:rsid w:val="00AC0B09"/>
    <w:rsid w:val="00B064BB"/>
    <w:rsid w:val="00B410B4"/>
    <w:rsid w:val="00B45E92"/>
    <w:rsid w:val="00B54099"/>
    <w:rsid w:val="00BD18A1"/>
    <w:rsid w:val="00BE2AB2"/>
    <w:rsid w:val="00C1481C"/>
    <w:rsid w:val="00C476C3"/>
    <w:rsid w:val="00CD739D"/>
    <w:rsid w:val="00DC55C1"/>
    <w:rsid w:val="00E0548F"/>
    <w:rsid w:val="00E479B1"/>
    <w:rsid w:val="00E51A71"/>
    <w:rsid w:val="00E817FF"/>
    <w:rsid w:val="00EB2612"/>
    <w:rsid w:val="00EE5040"/>
    <w:rsid w:val="00F12C88"/>
    <w:rsid w:val="00F31F65"/>
    <w:rsid w:val="00F97147"/>
    <w:rsid w:val="00F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8848A"/>
  <w15:chartTrackingRefBased/>
  <w15:docId w15:val="{4E2A6435-E238-412E-9966-FB5E159A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20F"/>
    <w:pPr>
      <w:spacing w:line="276" w:lineRule="auto"/>
      <w:jc w:val="both"/>
    </w:pPr>
    <w:rPr>
      <w:rFonts w:ascii="Calibri Light" w:eastAsia="Calibri" w:hAnsi="Calibri Light"/>
      <w:sz w:val="24"/>
      <w:szCs w:val="22"/>
      <w:lang w:val="en-GB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779A"/>
    <w:pPr>
      <w:keepNext/>
      <w:keepLines/>
      <w:spacing w:before="200"/>
      <w:jc w:val="center"/>
      <w:outlineLvl w:val="1"/>
    </w:pPr>
    <w:rPr>
      <w:rFonts w:eastAsia="Times New Roman"/>
      <w:bCs/>
      <w:color w:val="000000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7D620F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7D620F"/>
    <w:rPr>
      <w:rFonts w:ascii="Calibri Light" w:eastAsia="Calibri" w:hAnsi="Calibri Light"/>
      <w:noProof/>
      <w:sz w:val="24"/>
      <w:szCs w:val="22"/>
      <w:lang w:val="en-US" w:eastAsia="en-US"/>
    </w:rPr>
  </w:style>
  <w:style w:type="character" w:styleId="Marquedecommentaire">
    <w:name w:val="annotation reference"/>
    <w:basedOn w:val="Policepardfaut"/>
    <w:rsid w:val="00B410B4"/>
    <w:rPr>
      <w:sz w:val="16"/>
      <w:szCs w:val="16"/>
    </w:rPr>
  </w:style>
  <w:style w:type="paragraph" w:styleId="Commentaire">
    <w:name w:val="annotation text"/>
    <w:basedOn w:val="Normal"/>
    <w:link w:val="CommentaireCar"/>
    <w:rsid w:val="00B410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410B4"/>
    <w:rPr>
      <w:rFonts w:ascii="Calibri Light" w:eastAsia="Calibri" w:hAnsi="Calibri Light"/>
      <w:lang w:val="en-GB" w:eastAsia="en-US"/>
    </w:rPr>
  </w:style>
  <w:style w:type="paragraph" w:styleId="Textedebulles">
    <w:name w:val="Balloon Text"/>
    <w:basedOn w:val="Normal"/>
    <w:link w:val="TextedebullesCar"/>
    <w:semiHidden/>
    <w:unhideWhenUsed/>
    <w:rsid w:val="00A167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16714"/>
    <w:rPr>
      <w:rFonts w:ascii="Segoe UI" w:eastAsia="Calibri" w:hAnsi="Segoe UI" w:cs="Segoe UI"/>
      <w:sz w:val="18"/>
      <w:szCs w:val="18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A167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16714"/>
    <w:rPr>
      <w:rFonts w:ascii="Calibri Light" w:eastAsia="Calibri" w:hAnsi="Calibri Light"/>
      <w:b/>
      <w:bCs/>
      <w:lang w:val="en-GB" w:eastAsia="en-US"/>
    </w:rPr>
  </w:style>
  <w:style w:type="character" w:styleId="Accentuation">
    <w:name w:val="Emphasis"/>
    <w:uiPriority w:val="20"/>
    <w:qFormat/>
    <w:rsid w:val="00A442F8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72779A"/>
    <w:rPr>
      <w:rFonts w:ascii="Calibri Light" w:hAnsi="Calibri Light"/>
      <w:bCs/>
      <w:color w:val="000000"/>
      <w:sz w:val="36"/>
      <w:szCs w:val="26"/>
      <w:lang w:val="en-GB" w:eastAsia="en-US"/>
    </w:rPr>
  </w:style>
  <w:style w:type="character" w:styleId="Lienhypertexte">
    <w:name w:val="Hyperlink"/>
    <w:uiPriority w:val="99"/>
    <w:unhideWhenUsed/>
    <w:rsid w:val="0072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alter.gerrits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92E1-9B7A-4487-9870-D424F8C9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Meer, Yvonne van der</dc:creator>
  <cp:keywords/>
  <dc:description/>
  <cp:lastModifiedBy>ANM</cp:lastModifiedBy>
  <cp:revision>3</cp:revision>
  <cp:lastPrinted>2018-11-14T18:09:00Z</cp:lastPrinted>
  <dcterms:created xsi:type="dcterms:W3CDTF">2020-01-31T12:18:00Z</dcterms:created>
  <dcterms:modified xsi:type="dcterms:W3CDTF">2020-01-31T12:18:00Z</dcterms:modified>
</cp:coreProperties>
</file>