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CBBAB" w14:textId="77777777" w:rsidR="007C7E38" w:rsidRPr="003B6911" w:rsidRDefault="007C7E38" w:rsidP="007C7E38">
      <w:pPr>
        <w:pStyle w:val="ANMauthorname"/>
        <w:rPr>
          <w:rFonts w:eastAsia="Calibri"/>
          <w:b/>
          <w:lang w:val="en-US" w:eastAsia="en-US"/>
        </w:rPr>
      </w:pPr>
      <w:r w:rsidRPr="003B6911">
        <w:rPr>
          <w:rFonts w:eastAsia="Calibri"/>
          <w:b/>
          <w:lang w:val="en-US" w:eastAsia="en-US"/>
        </w:rPr>
        <w:t>Animal Journal</w:t>
      </w:r>
    </w:p>
    <w:p w14:paraId="4A988043" w14:textId="77777777" w:rsidR="007C7E38" w:rsidRPr="003B6911" w:rsidRDefault="007C7E38" w:rsidP="007C7E38">
      <w:pPr>
        <w:pStyle w:val="ANMapapertitle"/>
        <w:spacing w:line="240" w:lineRule="auto"/>
        <w:rPr>
          <w:rFonts w:eastAsia="Calibri" w:cs="Arial"/>
          <w:szCs w:val="22"/>
          <w:lang w:val="en-US" w:eastAsia="en-US"/>
        </w:rPr>
      </w:pPr>
      <w:r w:rsidRPr="003B6911">
        <w:rPr>
          <w:rFonts w:eastAsia="Calibri" w:cs="Arial"/>
          <w:szCs w:val="22"/>
          <w:lang w:val="en-US" w:eastAsia="en-US"/>
        </w:rPr>
        <w:t>Bacterial concentrations in bedding and their association with dairy cow hygiene and milk quality</w:t>
      </w:r>
    </w:p>
    <w:p w14:paraId="577D6ED1" w14:textId="77777777" w:rsidR="007C7E38" w:rsidRPr="003B6911" w:rsidRDefault="007C7E38" w:rsidP="007C7E38">
      <w:pPr>
        <w:pStyle w:val="ANMmaintext"/>
        <w:spacing w:line="240" w:lineRule="auto"/>
        <w:jc w:val="both"/>
        <w:rPr>
          <w:rStyle w:val="sa8294f4d"/>
        </w:rPr>
      </w:pPr>
    </w:p>
    <w:p w14:paraId="02113806" w14:textId="77777777" w:rsidR="007C7E38" w:rsidRPr="003B6911" w:rsidRDefault="007C7E38" w:rsidP="007C7E38">
      <w:pPr>
        <w:pStyle w:val="ANMmaintext"/>
        <w:spacing w:line="240" w:lineRule="auto"/>
        <w:rPr>
          <w:rStyle w:val="ANMauthorsaddressCarCar"/>
        </w:rPr>
      </w:pPr>
      <w:r w:rsidRPr="003B6911">
        <w:rPr>
          <w:rStyle w:val="ANMsuperscriptCar"/>
        </w:rPr>
        <w:t xml:space="preserve">1 </w:t>
      </w:r>
      <w:r w:rsidRPr="003B6911">
        <w:rPr>
          <w:rStyle w:val="ANMauthorsaddressCarCar"/>
        </w:rPr>
        <w:t xml:space="preserve">Department of Animal Biosciences, University of Guelph, Ontario, N1G 2W1, Canada </w:t>
      </w:r>
    </w:p>
    <w:p w14:paraId="699EE777" w14:textId="77777777" w:rsidR="007C7E38" w:rsidRPr="003B6911" w:rsidRDefault="007C7E38" w:rsidP="007C7E38">
      <w:pPr>
        <w:pStyle w:val="ANMmaintext"/>
        <w:spacing w:line="240" w:lineRule="auto"/>
        <w:rPr>
          <w:rStyle w:val="ANMauthorsaddressCarCar"/>
        </w:rPr>
      </w:pPr>
      <w:r w:rsidRPr="003B6911">
        <w:rPr>
          <w:rStyle w:val="ANMsuperscriptCar"/>
        </w:rPr>
        <w:t xml:space="preserve">2 </w:t>
      </w:r>
      <w:r w:rsidRPr="003B6911">
        <w:rPr>
          <w:rStyle w:val="ANMauthorsaddressCarCar"/>
        </w:rPr>
        <w:t>Department of Population Medicine, University of Guelph, Guelph, N1G 2W1, Canada</w:t>
      </w:r>
    </w:p>
    <w:p w14:paraId="10229D4C" w14:textId="77777777" w:rsidR="007C7E38" w:rsidRPr="003B6911" w:rsidRDefault="007C7E38" w:rsidP="007C7E38">
      <w:pPr>
        <w:pStyle w:val="ANMauthorsaddress"/>
        <w:spacing w:line="240" w:lineRule="auto"/>
      </w:pPr>
      <w:r w:rsidRPr="003B6911">
        <w:rPr>
          <w:rStyle w:val="ANMsuperscriptCar"/>
          <w:i w:val="0"/>
        </w:rPr>
        <w:t xml:space="preserve">3 </w:t>
      </w:r>
      <w:r w:rsidRPr="003B6911">
        <w:t>Department of Production Animal Health, Faculty of Veterinary Medicine, University of Calgary, Calgary, AB, T2N 4N1, Canada</w:t>
      </w:r>
    </w:p>
    <w:p w14:paraId="1AF927A8" w14:textId="77777777" w:rsidR="007C7E38" w:rsidRPr="003B6911" w:rsidRDefault="007C7E38" w:rsidP="007C7E38">
      <w:pPr>
        <w:pStyle w:val="ANMsuperscript"/>
        <w:spacing w:line="240" w:lineRule="auto"/>
        <w:rPr>
          <w:rStyle w:val="ANMsuperscriptCar"/>
          <w:i/>
          <w:vertAlign w:val="baseline"/>
        </w:rPr>
      </w:pPr>
      <w:r w:rsidRPr="003B6911">
        <w:rPr>
          <w:rStyle w:val="ANMsuperscriptCar"/>
        </w:rPr>
        <w:t xml:space="preserve">4 </w:t>
      </w:r>
      <w:r w:rsidRPr="003B6911">
        <w:rPr>
          <w:rStyle w:val="ANMsuperscriptCar"/>
          <w:i/>
          <w:vertAlign w:val="baseline"/>
        </w:rPr>
        <w:t>Atlantic Veterinary College, University of Prince Edward Island, Charlottetown, PEI, C1A 4P3, Canada</w:t>
      </w:r>
    </w:p>
    <w:p w14:paraId="6373109A" w14:textId="77777777" w:rsidR="007C7E38" w:rsidRPr="003B6911" w:rsidRDefault="007C7E38" w:rsidP="007C7E38">
      <w:pPr>
        <w:pStyle w:val="ANMmaintext"/>
        <w:spacing w:line="240" w:lineRule="auto"/>
        <w:rPr>
          <w:i/>
          <w:lang w:val="fr-FR"/>
        </w:rPr>
      </w:pPr>
      <w:r w:rsidRPr="003B6911">
        <w:rPr>
          <w:rStyle w:val="ANMsuperscriptCar"/>
          <w:lang w:val="fr-FR"/>
        </w:rPr>
        <w:t xml:space="preserve">5 </w:t>
      </w:r>
      <w:r w:rsidRPr="003B6911">
        <w:rPr>
          <w:i/>
          <w:lang w:val="fr-FR"/>
        </w:rPr>
        <w:t>Faculté de médecine vétérinaire, Université de Montréal, St-Hyacinthe, QC, J2S 2M2, Canada</w:t>
      </w:r>
    </w:p>
    <w:p w14:paraId="5050C31B" w14:textId="77777777" w:rsidR="007C7E38" w:rsidRPr="003B6911" w:rsidRDefault="007C7E38" w:rsidP="007C7E38">
      <w:pPr>
        <w:pStyle w:val="ANMmaintext"/>
        <w:spacing w:line="240" w:lineRule="auto"/>
        <w:rPr>
          <w:i/>
        </w:rPr>
      </w:pPr>
      <w:r w:rsidRPr="003B6911">
        <w:rPr>
          <w:rStyle w:val="ANMsuperscriptCar"/>
        </w:rPr>
        <w:t xml:space="preserve">6 </w:t>
      </w:r>
      <w:r w:rsidRPr="003B6911">
        <w:rPr>
          <w:i/>
        </w:rPr>
        <w:t>Animal Welfare Program, Faculty of Land and Food Systems, University of British Columbia, Vancouver, BC, V6T 1Z6, Canada</w:t>
      </w:r>
    </w:p>
    <w:p w14:paraId="4559B082" w14:textId="77777777" w:rsidR="007C7E38" w:rsidRPr="003B6911" w:rsidRDefault="007C7E38" w:rsidP="007C7E38">
      <w:pPr>
        <w:pStyle w:val="ANMmaintext"/>
        <w:spacing w:line="240" w:lineRule="auto"/>
      </w:pPr>
    </w:p>
    <w:p w14:paraId="1CD552EE" w14:textId="77777777" w:rsidR="007C7E38" w:rsidRPr="003B6911" w:rsidRDefault="007C7E38" w:rsidP="007C7E38">
      <w:pPr>
        <w:pStyle w:val="ANMauthorname"/>
        <w:spacing w:line="240" w:lineRule="auto"/>
      </w:pPr>
      <w:r w:rsidRPr="003B6911">
        <w:rPr>
          <w:vertAlign w:val="superscript"/>
        </w:rPr>
        <w:t>†</w:t>
      </w:r>
      <w:r w:rsidRPr="003B6911">
        <w:t xml:space="preserve">Corresponding author: Trevor DeVries, Email: </w:t>
      </w:r>
      <w:hyperlink r:id="rId11" w:history="1">
        <w:r w:rsidRPr="003B6911">
          <w:rPr>
            <w:rStyle w:val="Lienhypertexte"/>
          </w:rPr>
          <w:t>tdevries@uoguelph.ca</w:t>
        </w:r>
      </w:hyperlink>
    </w:p>
    <w:p w14:paraId="3EDB36EC" w14:textId="77777777" w:rsidR="007C7E38" w:rsidRPr="003B6911" w:rsidRDefault="007C7E38" w:rsidP="007C7E38">
      <w:pPr>
        <w:pStyle w:val="ANMauthorname"/>
        <w:rPr>
          <w:rFonts w:eastAsia="Calibri"/>
          <w:lang w:val="en-US" w:eastAsia="en-US"/>
        </w:rPr>
      </w:pPr>
    </w:p>
    <w:p w14:paraId="7AD6D9FE" w14:textId="6B64A65B" w:rsidR="007C7E38" w:rsidRPr="003B6911" w:rsidRDefault="00012012" w:rsidP="007C7E38">
      <w:pPr>
        <w:pStyle w:val="ANMapapertitle"/>
        <w:rPr>
          <w:rFonts w:eastAsia="Calibri" w:cs="Arial"/>
          <w:szCs w:val="22"/>
          <w:lang w:val="en-US" w:eastAsia="en-US"/>
        </w:rPr>
      </w:pPr>
      <w:r w:rsidRPr="003B6911">
        <w:rPr>
          <w:rFonts w:eastAsia="Calibri" w:cs="Arial"/>
          <w:szCs w:val="22"/>
          <w:lang w:val="en-US" w:eastAsia="en-US"/>
        </w:rPr>
        <w:t>Supplementary M</w:t>
      </w:r>
      <w:r w:rsidR="007C7E38" w:rsidRPr="003B6911">
        <w:rPr>
          <w:rFonts w:eastAsia="Calibri" w:cs="Arial"/>
          <w:szCs w:val="22"/>
          <w:lang w:val="en-US" w:eastAsia="en-US"/>
        </w:rPr>
        <w:t>aterial S1: Predictor variables for univariable models</w:t>
      </w:r>
    </w:p>
    <w:p w14:paraId="1F75D272" w14:textId="77777777" w:rsidR="007C7E38" w:rsidRPr="003B6911" w:rsidRDefault="007C7E38" w:rsidP="007C7E38">
      <w:pPr>
        <w:pStyle w:val="ANMapapertitle"/>
        <w:spacing w:line="240" w:lineRule="auto"/>
        <w:ind w:firstLine="706"/>
        <w:contextualSpacing/>
        <w:rPr>
          <w:rFonts w:eastAsia="Calibri" w:cs="Arial"/>
          <w:b w:val="0"/>
          <w:szCs w:val="22"/>
          <w:lang w:val="en-US" w:eastAsia="en-US"/>
        </w:rPr>
      </w:pPr>
      <w:r w:rsidRPr="003B6911">
        <w:rPr>
          <w:rFonts w:eastAsia="Calibri" w:cs="Arial"/>
          <w:b w:val="0"/>
          <w:szCs w:val="22"/>
          <w:lang w:val="en-US" w:eastAsia="en-US"/>
        </w:rPr>
        <w:t xml:space="preserve">Predictor variables included in the univariable models for the outcome variables % dry matter (DM) and bacterial content (separate for Streptococcus spp., all Gram-negatives, </w:t>
      </w:r>
      <w:r w:rsidRPr="003B6911">
        <w:rPr>
          <w:rFonts w:eastAsia="Calibri" w:cs="Arial"/>
          <w:b w:val="0"/>
          <w:i/>
          <w:szCs w:val="22"/>
          <w:lang w:val="en-US" w:eastAsia="en-US"/>
        </w:rPr>
        <w:t>Klebsiella</w:t>
      </w:r>
      <w:r w:rsidRPr="003B6911">
        <w:rPr>
          <w:rFonts w:eastAsia="Calibri" w:cs="Arial"/>
          <w:b w:val="0"/>
          <w:szCs w:val="22"/>
          <w:lang w:val="en-US" w:eastAsia="en-US"/>
        </w:rPr>
        <w:t xml:space="preserve"> spp.) in used bedding were: used bedding type (straw, sawdust, wood products, recycled manure solids [RMS]), housing (free-stall, tie-stall), weighed stocking density (# of cows/# of stalls, then average stocking density among all milking cows pens), lime used on bedding (yes/no), days since additional bedding was added to the stall, base of the stall (mattress, deep bedding), how often stalls were scraped (# per d), temperature, relative humidity of the environment, and visit.</w:t>
      </w:r>
    </w:p>
    <w:p w14:paraId="06172BEB" w14:textId="77777777" w:rsidR="007C7E38" w:rsidRPr="003B6911" w:rsidRDefault="007C7E38" w:rsidP="007C7E38">
      <w:pPr>
        <w:pStyle w:val="ANMauthorname"/>
        <w:rPr>
          <w:rFonts w:eastAsia="Calibri"/>
          <w:lang w:val="en-US" w:eastAsia="en-US"/>
        </w:rPr>
      </w:pPr>
    </w:p>
    <w:p w14:paraId="41FC9B4E" w14:textId="77777777" w:rsidR="007C7E38" w:rsidRPr="003B6911" w:rsidRDefault="007C7E38" w:rsidP="007C7E38">
      <w:pPr>
        <w:pStyle w:val="ANMapapertitle"/>
        <w:spacing w:line="240" w:lineRule="auto"/>
        <w:ind w:firstLine="706"/>
        <w:contextualSpacing/>
        <w:rPr>
          <w:rFonts w:eastAsia="Calibri" w:cs="Arial"/>
          <w:b w:val="0"/>
          <w:szCs w:val="22"/>
          <w:lang w:val="en-US" w:eastAsia="en-US"/>
        </w:rPr>
      </w:pPr>
      <w:r w:rsidRPr="003B6911">
        <w:rPr>
          <w:rFonts w:eastAsia="Calibri" w:cs="Arial"/>
          <w:b w:val="0"/>
          <w:szCs w:val="22"/>
          <w:lang w:val="en-US" w:eastAsia="en-US"/>
        </w:rPr>
        <w:t>Predictor variables included in the univariable models for the outcome variable hygiene - percentage of dirty cows per farm (body areas: lower legs, udder, upper legs and flanks) in free-stall barns were bedding type, DM% of used bedding type, temperature, relative humidity of the environment, weighed stocking density, milking system, neck rail distance from rear curb, how often stalls were scraped (# per d), days since additional bedding was added, lime used on bedding (yes/no),base of the stall, stall width, neck rail height (cm), number of times cows were milked (# per d), visit, frequency of alley cleaning per day, number of cows milking, days in milk (DIM), lactation, and milk yield (kg). Post dip (spray/dipper) was an additional predictor variable for the udder.</w:t>
      </w:r>
    </w:p>
    <w:p w14:paraId="12DEDD60" w14:textId="77777777" w:rsidR="007C7E38" w:rsidRPr="003B6911" w:rsidRDefault="007C7E38" w:rsidP="007C7E38">
      <w:pPr>
        <w:pStyle w:val="ANMapapertitle"/>
        <w:spacing w:line="240" w:lineRule="auto"/>
        <w:contextualSpacing/>
        <w:rPr>
          <w:rFonts w:eastAsia="Calibri" w:cs="Arial"/>
          <w:b w:val="0"/>
          <w:szCs w:val="22"/>
          <w:lang w:val="en-US" w:eastAsia="en-US"/>
        </w:rPr>
      </w:pPr>
    </w:p>
    <w:p w14:paraId="0ADF5DC8" w14:textId="77777777" w:rsidR="007C7E38" w:rsidRPr="003B6911" w:rsidRDefault="007C7E38" w:rsidP="007C7E38">
      <w:pPr>
        <w:pStyle w:val="ANMapapertitle"/>
        <w:spacing w:line="240" w:lineRule="auto"/>
        <w:ind w:firstLine="706"/>
        <w:contextualSpacing/>
        <w:rPr>
          <w:rFonts w:eastAsia="Calibri" w:cs="Arial"/>
          <w:b w:val="0"/>
          <w:szCs w:val="22"/>
          <w:lang w:val="en-US" w:eastAsia="en-US"/>
        </w:rPr>
      </w:pPr>
      <w:r w:rsidRPr="003B6911">
        <w:rPr>
          <w:rFonts w:eastAsia="Calibri" w:cs="Arial"/>
          <w:b w:val="0"/>
          <w:szCs w:val="22"/>
          <w:lang w:val="en-US" w:eastAsia="en-US"/>
        </w:rPr>
        <w:t xml:space="preserve">Predictor variables included in the univariable models for the outcome variable  hygiene - percentage of dirty cows per farm (body areas: lower legs, udder, upper legs and flanks) in tie-stall barns were used bedding type, DM% of used bedding, temperature, relative humidity of the environment, weighed stocking density, milking system, neck rail distance from rear curb, how often stalls were scraped (# per d), days since additional bedding was added, base of the stall, stall width, neck rail </w:t>
      </w:r>
      <w:r w:rsidRPr="003B6911">
        <w:rPr>
          <w:rFonts w:eastAsia="Calibri" w:cs="Arial"/>
          <w:b w:val="0"/>
          <w:szCs w:val="22"/>
          <w:lang w:val="en-US" w:eastAsia="en-US"/>
        </w:rPr>
        <w:lastRenderedPageBreak/>
        <w:t>height (cm), number of times cows were milked (# per d), visit, number of cows milking, DIM, lactation, milk yield (kg), herd access to pasture (yes/no) and lime added to bedding (yes/no). Post dip (spray/dipper) was an additional predictor variable for the udder.</w:t>
      </w:r>
    </w:p>
    <w:p w14:paraId="361D7415" w14:textId="77777777" w:rsidR="007C7E38" w:rsidRPr="003B6911" w:rsidRDefault="007C7E38" w:rsidP="007C7E38">
      <w:pPr>
        <w:pStyle w:val="ANMapapertitle"/>
        <w:spacing w:line="240" w:lineRule="auto"/>
        <w:contextualSpacing/>
        <w:rPr>
          <w:rFonts w:eastAsia="Calibri" w:cs="Arial"/>
          <w:b w:val="0"/>
          <w:szCs w:val="22"/>
          <w:lang w:val="en-US" w:eastAsia="en-US"/>
        </w:rPr>
      </w:pPr>
    </w:p>
    <w:p w14:paraId="22FB2CD6" w14:textId="77777777" w:rsidR="007C7E38" w:rsidRPr="003B6911" w:rsidRDefault="007C7E38" w:rsidP="007C7E38">
      <w:pPr>
        <w:pStyle w:val="ANMapapertitle"/>
        <w:spacing w:line="240" w:lineRule="auto"/>
        <w:ind w:firstLine="706"/>
        <w:contextualSpacing/>
        <w:rPr>
          <w:rFonts w:eastAsia="Calibri" w:cs="Arial"/>
          <w:b w:val="0"/>
          <w:szCs w:val="22"/>
          <w:lang w:val="en-US" w:eastAsia="en-US"/>
        </w:rPr>
      </w:pPr>
      <w:r w:rsidRPr="003B6911">
        <w:rPr>
          <w:rFonts w:eastAsia="Calibri" w:cs="Arial"/>
          <w:b w:val="0"/>
          <w:szCs w:val="22"/>
          <w:lang w:val="en-US" w:eastAsia="en-US"/>
        </w:rPr>
        <w:t xml:space="preserve">Predictor variables included in the univariable models for the outcome variable farm weighted average somatic cell count (SCC) from the dairy herd improvement (DHI) organization, and bulk milk quality (bulk milk SCC and bulk milk bacteria count from the Dairy Farmers of Ontario [Mississauga, ON, Canada]) were DM% of used bedding type, temperature, gloves while milking (yes/no), relative humidity of the environment, housing, weighed stocking density, milking system, neck rail distance from rear curb, how often stalls were scraped (# per d), days since additional bedding was added, base of the stall, stall width, neck rail height (cm), lime, post dip, number of times cows were milked (# per d), visit (not included for the </w:t>
      </w:r>
      <w:r w:rsidRPr="003B6911">
        <w:rPr>
          <w:b w:val="0"/>
        </w:rPr>
        <w:t>outcome variable farm weighted average SCC from DHI</w:t>
      </w:r>
      <w:r w:rsidRPr="003B6911">
        <w:rPr>
          <w:rFonts w:eastAsia="Calibri" w:cs="Arial"/>
          <w:b w:val="0"/>
          <w:szCs w:val="22"/>
          <w:lang w:val="en-US" w:eastAsia="en-US"/>
        </w:rPr>
        <w:t xml:space="preserve">), number of cows milking, DIM, lactation, milk yield (kg), and bacterial content in used bedding (Streptococcus spp., all Gram-negatives, </w:t>
      </w:r>
      <w:r w:rsidRPr="003B6911">
        <w:rPr>
          <w:rFonts w:eastAsia="Calibri" w:cs="Arial"/>
          <w:b w:val="0"/>
          <w:i/>
          <w:szCs w:val="22"/>
          <w:lang w:val="en-US" w:eastAsia="en-US"/>
        </w:rPr>
        <w:t>Klebsiella</w:t>
      </w:r>
      <w:r w:rsidRPr="003B6911">
        <w:rPr>
          <w:rFonts w:eastAsia="Calibri" w:cs="Arial"/>
          <w:b w:val="0"/>
          <w:szCs w:val="22"/>
          <w:lang w:val="en-US" w:eastAsia="en-US"/>
        </w:rPr>
        <w:t xml:space="preserve"> spp.)</w:t>
      </w:r>
    </w:p>
    <w:p w14:paraId="18F3D41A" w14:textId="77777777" w:rsidR="007C7E38" w:rsidRPr="003B6911" w:rsidRDefault="007C7E38" w:rsidP="007C7E38">
      <w:pPr>
        <w:pStyle w:val="ANMauthorname"/>
        <w:rPr>
          <w:rFonts w:eastAsia="Calibri"/>
          <w:lang w:val="en-US" w:eastAsia="en-US"/>
        </w:rPr>
      </w:pPr>
    </w:p>
    <w:p w14:paraId="5D1CB26D" w14:textId="77777777" w:rsidR="007C7E38" w:rsidRPr="003B6911" w:rsidRDefault="007C7E38" w:rsidP="007C7E38">
      <w:pPr>
        <w:pStyle w:val="ANMauthorname"/>
        <w:spacing w:line="240" w:lineRule="auto"/>
        <w:rPr>
          <w:rFonts w:eastAsia="Calibri" w:cs="Arial"/>
          <w:b/>
          <w:sz w:val="32"/>
          <w:lang w:val="en-US" w:eastAsia="en-US"/>
        </w:rPr>
      </w:pPr>
    </w:p>
    <w:p w14:paraId="30F5D64A" w14:textId="77777777" w:rsidR="007C7E38" w:rsidRPr="003B6911" w:rsidRDefault="007C7E38" w:rsidP="007C7E38">
      <w:pPr>
        <w:pStyle w:val="ANMauthorname"/>
        <w:spacing w:line="240" w:lineRule="auto"/>
        <w:rPr>
          <w:rFonts w:eastAsia="Calibri" w:cs="Arial"/>
          <w:b/>
          <w:szCs w:val="22"/>
          <w:lang w:val="en-US" w:eastAsia="en-US"/>
        </w:rPr>
      </w:pPr>
    </w:p>
    <w:p w14:paraId="622AB4CA" w14:textId="77777777" w:rsidR="007C7E38" w:rsidRPr="003B6911" w:rsidRDefault="007C7E38" w:rsidP="007C7E38">
      <w:pPr>
        <w:pStyle w:val="ANMauthorname"/>
        <w:spacing w:line="240" w:lineRule="auto"/>
        <w:rPr>
          <w:rFonts w:eastAsia="Calibri" w:cs="Arial"/>
          <w:b/>
          <w:szCs w:val="22"/>
          <w:lang w:val="en-US" w:eastAsia="en-US"/>
        </w:rPr>
      </w:pPr>
    </w:p>
    <w:p w14:paraId="1B669668" w14:textId="77777777" w:rsidR="007C7E38" w:rsidRPr="003B6911" w:rsidRDefault="007C7E38" w:rsidP="007C7E38">
      <w:pPr>
        <w:pStyle w:val="ANMauthorname"/>
        <w:spacing w:line="240" w:lineRule="auto"/>
        <w:rPr>
          <w:rFonts w:eastAsia="Calibri" w:cs="Arial"/>
          <w:b/>
          <w:szCs w:val="22"/>
          <w:lang w:val="en-US" w:eastAsia="en-US"/>
        </w:rPr>
      </w:pPr>
    </w:p>
    <w:p w14:paraId="49A4D245" w14:textId="54039BE6" w:rsidR="007C7E38" w:rsidRPr="003B6911" w:rsidRDefault="00012012" w:rsidP="007C7E38">
      <w:pPr>
        <w:pStyle w:val="ANMauthorname"/>
        <w:spacing w:line="240" w:lineRule="auto"/>
        <w:rPr>
          <w:rFonts w:eastAsia="Calibri" w:cs="Arial"/>
          <w:b/>
          <w:szCs w:val="22"/>
          <w:lang w:val="en-US" w:eastAsia="en-US"/>
        </w:rPr>
      </w:pPr>
      <w:r w:rsidRPr="003B6911">
        <w:rPr>
          <w:rFonts w:eastAsia="Calibri" w:cs="Arial"/>
          <w:b/>
          <w:szCs w:val="22"/>
          <w:lang w:val="en-US" w:eastAsia="en-US"/>
        </w:rPr>
        <w:t>Supplementary M</w:t>
      </w:r>
      <w:r w:rsidR="007C7E38" w:rsidRPr="003B6911">
        <w:rPr>
          <w:rFonts w:eastAsia="Calibri" w:cs="Arial"/>
          <w:b/>
          <w:szCs w:val="22"/>
          <w:lang w:val="en-US" w:eastAsia="en-US"/>
        </w:rPr>
        <w:t>aterial S2: Plots of model fit for one of each constructed model shown in Tables 3, 4, 5, and 6:</w:t>
      </w:r>
    </w:p>
    <w:p w14:paraId="53238DA3" w14:textId="77777777" w:rsidR="007C7E38" w:rsidRPr="003B6911" w:rsidRDefault="007C7E38" w:rsidP="007C7E38">
      <w:pPr>
        <w:pStyle w:val="ANMauthorname"/>
        <w:spacing w:line="240" w:lineRule="auto"/>
        <w:rPr>
          <w:rFonts w:eastAsia="Calibri"/>
          <w:b/>
          <w:i/>
          <w:lang w:val="en-US" w:eastAsia="en-US"/>
        </w:rPr>
      </w:pPr>
    </w:p>
    <w:p w14:paraId="15FD87A0" w14:textId="484E0399" w:rsidR="007C7E38" w:rsidRPr="003B6911" w:rsidRDefault="007C7E38" w:rsidP="00DA189A">
      <w:pPr>
        <w:pStyle w:val="ANMauthorname"/>
        <w:numPr>
          <w:ilvl w:val="0"/>
          <w:numId w:val="1"/>
        </w:numPr>
        <w:rPr>
          <w:rFonts w:eastAsia="Calibri"/>
          <w:b/>
          <w:i/>
          <w:lang w:val="en-US" w:eastAsia="en-US"/>
        </w:rPr>
      </w:pPr>
      <w:r w:rsidRPr="003B6911">
        <w:rPr>
          <w:rFonts w:eastAsia="Calibri"/>
          <w:b/>
          <w:i/>
          <w:lang w:val="en-US" w:eastAsia="en-US"/>
        </w:rPr>
        <w:t>Table 3: Udder hygiene in free stall barns</w:t>
      </w:r>
    </w:p>
    <w:p w14:paraId="3A48BDB2" w14:textId="707F1CD1" w:rsidR="007C7E38" w:rsidRPr="003B6911" w:rsidRDefault="007C7E38" w:rsidP="00DA189A">
      <w:pPr>
        <w:pStyle w:val="ANMauthorname"/>
        <w:jc w:val="center"/>
        <w:rPr>
          <w:rFonts w:eastAsia="Calibri"/>
          <w:lang w:val="en-US" w:eastAsia="en-US"/>
        </w:rPr>
      </w:pPr>
      <w:r w:rsidRPr="003B6911">
        <w:rPr>
          <w:rFonts w:eastAsia="Calibri"/>
          <w:noProof/>
          <w:lang w:eastAsia="en-GB"/>
        </w:rPr>
        <w:drawing>
          <wp:inline distT="0" distB="0" distL="0" distR="0" wp14:anchorId="1243C8E8" wp14:editId="4D7F3868">
            <wp:extent cx="2563556" cy="3600000"/>
            <wp:effectExtent l="0" t="0" r="8255" b="635"/>
            <wp:docPr id="3" name="Picture 3" descr="C:\Users\tdevries\OneDrive - University of Guelph\residual free stall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evries\OneDrive - University of Guelph\residual free stall H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3556" cy="3600000"/>
                    </a:xfrm>
                    <a:prstGeom prst="rect">
                      <a:avLst/>
                    </a:prstGeom>
                    <a:noFill/>
                    <a:ln>
                      <a:noFill/>
                    </a:ln>
                  </pic:spPr>
                </pic:pic>
              </a:graphicData>
            </a:graphic>
          </wp:inline>
        </w:drawing>
      </w:r>
    </w:p>
    <w:p w14:paraId="72884ED4" w14:textId="1643D410" w:rsidR="00DA189A" w:rsidRPr="003B6911" w:rsidRDefault="00DA189A" w:rsidP="00DA189A">
      <w:pPr>
        <w:pStyle w:val="ANMauthorname"/>
        <w:numPr>
          <w:ilvl w:val="0"/>
          <w:numId w:val="1"/>
        </w:numPr>
        <w:spacing w:line="240" w:lineRule="auto"/>
        <w:rPr>
          <w:rFonts w:eastAsia="Calibri"/>
          <w:b/>
          <w:i/>
          <w:lang w:val="en-US" w:eastAsia="en-US"/>
        </w:rPr>
      </w:pPr>
      <w:r w:rsidRPr="003B6911">
        <w:rPr>
          <w:rFonts w:eastAsia="Calibri"/>
          <w:b/>
          <w:i/>
          <w:lang w:val="en-US" w:eastAsia="en-US"/>
        </w:rPr>
        <w:lastRenderedPageBreak/>
        <w:t>Table 4: Lower leg hygiene in tie stall barns</w:t>
      </w:r>
    </w:p>
    <w:p w14:paraId="724520FC" w14:textId="77777777" w:rsidR="00DA189A" w:rsidRPr="003B6911" w:rsidRDefault="00DA189A" w:rsidP="00DA189A">
      <w:pPr>
        <w:pStyle w:val="ANMauthorname"/>
        <w:spacing w:line="240" w:lineRule="auto"/>
        <w:ind w:left="720"/>
        <w:rPr>
          <w:rFonts w:eastAsia="Calibri"/>
          <w:b/>
          <w:i/>
          <w:lang w:val="en-US" w:eastAsia="en-US"/>
        </w:rPr>
      </w:pPr>
      <w:r w:rsidRPr="003B6911">
        <w:rPr>
          <w:rFonts w:cs="Arial"/>
          <w:szCs w:val="22"/>
        </w:rPr>
        <w:t>Indications of outliers and variance heterogeneity should be considered when effect estimates and P-values are interpreted.</w:t>
      </w:r>
    </w:p>
    <w:p w14:paraId="610F5B0E" w14:textId="77777777" w:rsidR="00DA189A" w:rsidRPr="003B6911" w:rsidRDefault="00DA189A" w:rsidP="00DA189A">
      <w:pPr>
        <w:pStyle w:val="ANMauthorname"/>
        <w:spacing w:line="240" w:lineRule="auto"/>
        <w:rPr>
          <w:rFonts w:eastAsia="Calibri"/>
          <w:b/>
          <w:i/>
          <w:lang w:val="en-US" w:eastAsia="en-US"/>
        </w:rPr>
      </w:pPr>
    </w:p>
    <w:p w14:paraId="1BE9832E" w14:textId="7BF8BF5C" w:rsidR="00DA189A" w:rsidRPr="003B6911" w:rsidRDefault="00DA189A" w:rsidP="00DA189A">
      <w:pPr>
        <w:jc w:val="center"/>
        <w:rPr>
          <w:rFonts w:eastAsia="Calibri"/>
          <w:lang w:val="en-US" w:eastAsia="en-US"/>
        </w:rPr>
      </w:pPr>
      <w:r w:rsidRPr="003B6911">
        <w:rPr>
          <w:rFonts w:eastAsia="Calibri"/>
          <w:noProof/>
          <w:lang w:val="en-GB" w:eastAsia="en-GB"/>
        </w:rPr>
        <w:drawing>
          <wp:inline distT="0" distB="0" distL="0" distR="0" wp14:anchorId="6971B7D8" wp14:editId="4AA6D3FA">
            <wp:extent cx="2574576" cy="3600000"/>
            <wp:effectExtent l="0" t="0" r="0" b="635"/>
            <wp:docPr id="2" name="Picture 2" descr="C:\Users\tdevries\OneDrive - University of Guelph\residual tie stall H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vries\OneDrive - University of Guelph\residual tie stall H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4576" cy="3600000"/>
                    </a:xfrm>
                    <a:prstGeom prst="rect">
                      <a:avLst/>
                    </a:prstGeom>
                    <a:noFill/>
                    <a:ln>
                      <a:noFill/>
                    </a:ln>
                  </pic:spPr>
                </pic:pic>
              </a:graphicData>
            </a:graphic>
          </wp:inline>
        </w:drawing>
      </w:r>
    </w:p>
    <w:p w14:paraId="10D213C0" w14:textId="77777777" w:rsidR="00DA189A" w:rsidRPr="003B6911" w:rsidRDefault="00DA189A" w:rsidP="00DA189A">
      <w:pPr>
        <w:jc w:val="center"/>
        <w:rPr>
          <w:rFonts w:eastAsia="Calibri"/>
          <w:lang w:val="en-US" w:eastAsia="en-US"/>
        </w:rPr>
      </w:pPr>
    </w:p>
    <w:p w14:paraId="685A40B8" w14:textId="68D346B4" w:rsidR="00DA189A" w:rsidRPr="003B6911" w:rsidRDefault="00DA189A" w:rsidP="00DA189A">
      <w:pPr>
        <w:pStyle w:val="ANMauthorname"/>
        <w:numPr>
          <w:ilvl w:val="0"/>
          <w:numId w:val="1"/>
        </w:numPr>
        <w:rPr>
          <w:rFonts w:eastAsia="Calibri"/>
          <w:b/>
          <w:i/>
          <w:lang w:val="en-US" w:eastAsia="en-US"/>
        </w:rPr>
      </w:pPr>
      <w:r w:rsidRPr="003B6911">
        <w:rPr>
          <w:rFonts w:eastAsia="Calibri"/>
          <w:b/>
          <w:i/>
          <w:lang w:val="en-US" w:eastAsia="en-US"/>
        </w:rPr>
        <w:t>Table 5: Bulk milk bacteria content</w:t>
      </w:r>
    </w:p>
    <w:p w14:paraId="0C4C4A39" w14:textId="4CFDA7EF" w:rsidR="00DA189A" w:rsidRPr="003B6911" w:rsidRDefault="00DA189A" w:rsidP="00DA189A">
      <w:pPr>
        <w:pStyle w:val="ANMauthorname"/>
        <w:jc w:val="center"/>
        <w:rPr>
          <w:rFonts w:eastAsia="Calibri"/>
          <w:b/>
          <w:i/>
          <w:lang w:val="en-US" w:eastAsia="en-US"/>
        </w:rPr>
      </w:pPr>
      <w:r w:rsidRPr="003B6911">
        <w:rPr>
          <w:rFonts w:eastAsia="Calibri"/>
          <w:noProof/>
          <w:lang w:eastAsia="en-GB"/>
        </w:rPr>
        <w:drawing>
          <wp:inline distT="0" distB="0" distL="0" distR="0" wp14:anchorId="26A05554" wp14:editId="6FF64E6E">
            <wp:extent cx="2575387" cy="3600000"/>
            <wp:effectExtent l="0" t="0" r="0" b="635"/>
            <wp:docPr id="7" name="Picture 7" descr="C:\Users\tdevries\OneDrive - University of Guelph\residual DFO bulk t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devries\OneDrive - University of Guelph\residual DFO bulk t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5387" cy="3600000"/>
                    </a:xfrm>
                    <a:prstGeom prst="rect">
                      <a:avLst/>
                    </a:prstGeom>
                    <a:noFill/>
                    <a:ln>
                      <a:noFill/>
                    </a:ln>
                  </pic:spPr>
                </pic:pic>
              </a:graphicData>
            </a:graphic>
          </wp:inline>
        </w:drawing>
      </w:r>
    </w:p>
    <w:p w14:paraId="3A206819" w14:textId="66644147" w:rsidR="000E4862" w:rsidRPr="003B6911" w:rsidRDefault="000E4862" w:rsidP="00DA189A">
      <w:pPr>
        <w:pStyle w:val="ANMauthorname"/>
        <w:jc w:val="center"/>
        <w:rPr>
          <w:rFonts w:eastAsia="Calibri"/>
          <w:b/>
          <w:i/>
          <w:lang w:val="en-US" w:eastAsia="en-US"/>
        </w:rPr>
      </w:pPr>
    </w:p>
    <w:p w14:paraId="5400C6AA" w14:textId="4A9B7EE2" w:rsidR="000E4862" w:rsidRPr="003B6911" w:rsidRDefault="000E4862" w:rsidP="000E4862">
      <w:pPr>
        <w:pStyle w:val="Paragraphedeliste"/>
        <w:numPr>
          <w:ilvl w:val="0"/>
          <w:numId w:val="1"/>
        </w:numPr>
        <w:tabs>
          <w:tab w:val="left" w:pos="3288"/>
        </w:tabs>
        <w:rPr>
          <w:rFonts w:eastAsia="Calibri"/>
          <w:b/>
          <w:i/>
          <w:lang w:val="en-US" w:eastAsia="en-US"/>
        </w:rPr>
      </w:pPr>
      <w:r w:rsidRPr="003B6911">
        <w:rPr>
          <w:rFonts w:eastAsia="Calibri"/>
          <w:b/>
          <w:i/>
          <w:lang w:val="en-US" w:eastAsia="en-US"/>
        </w:rPr>
        <w:lastRenderedPageBreak/>
        <w:t>Table 6: Dry matter percentage of unused bedding samples</w:t>
      </w:r>
    </w:p>
    <w:p w14:paraId="4A5F8BBA" w14:textId="77777777" w:rsidR="000E4862" w:rsidRPr="003B6911" w:rsidRDefault="000E4862" w:rsidP="000E4862">
      <w:pPr>
        <w:pStyle w:val="Paragraphedeliste"/>
        <w:tabs>
          <w:tab w:val="left" w:pos="3288"/>
        </w:tabs>
        <w:rPr>
          <w:rFonts w:eastAsia="Calibri"/>
          <w:b/>
          <w:i/>
          <w:lang w:val="en-US" w:eastAsia="en-US"/>
        </w:rPr>
      </w:pPr>
    </w:p>
    <w:p w14:paraId="3CD25860" w14:textId="2609A485" w:rsidR="000E4862" w:rsidRPr="003B6911" w:rsidRDefault="000E4862" w:rsidP="000E4862">
      <w:pPr>
        <w:tabs>
          <w:tab w:val="left" w:pos="3288"/>
        </w:tabs>
        <w:jc w:val="center"/>
        <w:rPr>
          <w:rFonts w:eastAsia="Calibri"/>
          <w:lang w:val="en-US" w:eastAsia="en-US"/>
        </w:rPr>
      </w:pPr>
      <w:r w:rsidRPr="003B6911">
        <w:rPr>
          <w:rFonts w:eastAsia="Calibri"/>
          <w:noProof/>
          <w:lang w:val="en-GB" w:eastAsia="en-GB"/>
        </w:rPr>
        <w:drawing>
          <wp:inline distT="0" distB="0" distL="0" distR="0" wp14:anchorId="6C9534F0" wp14:editId="331CC1C4">
            <wp:extent cx="2562806" cy="3600000"/>
            <wp:effectExtent l="0" t="0" r="9525" b="635"/>
            <wp:docPr id="6" name="Picture 6" descr="C:\Users\tdevries\OneDrive - University of Guelph\residual unused bedding 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devries\OneDrive - University of Guelph\residual unused bedding D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806" cy="3600000"/>
                    </a:xfrm>
                    <a:prstGeom prst="rect">
                      <a:avLst/>
                    </a:prstGeom>
                    <a:noFill/>
                    <a:ln>
                      <a:noFill/>
                    </a:ln>
                  </pic:spPr>
                </pic:pic>
              </a:graphicData>
            </a:graphic>
          </wp:inline>
        </w:drawing>
      </w:r>
    </w:p>
    <w:p w14:paraId="5AF957A9" w14:textId="77777777" w:rsidR="00D66845" w:rsidRPr="003B6911" w:rsidRDefault="00D66845" w:rsidP="000E4862">
      <w:pPr>
        <w:tabs>
          <w:tab w:val="left" w:pos="3288"/>
        </w:tabs>
        <w:jc w:val="center"/>
        <w:rPr>
          <w:rFonts w:eastAsia="Calibri"/>
          <w:lang w:val="en-US" w:eastAsia="en-US"/>
        </w:rPr>
      </w:pPr>
    </w:p>
    <w:p w14:paraId="2F292426" w14:textId="2C62D29C" w:rsidR="000E4862" w:rsidRPr="003B6911" w:rsidRDefault="000E4862" w:rsidP="00DA189A">
      <w:pPr>
        <w:pStyle w:val="ANMauthorname"/>
        <w:jc w:val="center"/>
        <w:rPr>
          <w:rFonts w:eastAsia="Calibri"/>
          <w:b/>
          <w:i/>
          <w:lang w:val="en-US" w:eastAsia="en-US"/>
        </w:rPr>
      </w:pPr>
    </w:p>
    <w:p w14:paraId="2F113823" w14:textId="77777777" w:rsidR="000E4862" w:rsidRPr="003B6911" w:rsidRDefault="000E4862" w:rsidP="000E4862">
      <w:pPr>
        <w:pStyle w:val="Paragraphedeliste"/>
        <w:numPr>
          <w:ilvl w:val="0"/>
          <w:numId w:val="1"/>
        </w:numPr>
        <w:tabs>
          <w:tab w:val="left" w:pos="3288"/>
        </w:tabs>
        <w:rPr>
          <w:rFonts w:eastAsia="Calibri"/>
          <w:b/>
          <w:i/>
          <w:lang w:val="en-US" w:eastAsia="en-US"/>
        </w:rPr>
      </w:pPr>
      <w:r w:rsidRPr="003B6911">
        <w:rPr>
          <w:rFonts w:eastAsia="Calibri"/>
          <w:b/>
          <w:i/>
          <w:lang w:val="en-US" w:eastAsia="en-US"/>
        </w:rPr>
        <w:t>Table 6: Dry matter percentage of used bedding samples</w:t>
      </w:r>
    </w:p>
    <w:p w14:paraId="66367D8A" w14:textId="2051DB5C" w:rsidR="000E4862" w:rsidRPr="003B6911" w:rsidRDefault="000E4862" w:rsidP="00D66845">
      <w:pPr>
        <w:pStyle w:val="Paragraphedeliste"/>
        <w:tabs>
          <w:tab w:val="left" w:pos="3288"/>
        </w:tabs>
        <w:rPr>
          <w:rFonts w:cs="Arial"/>
          <w:szCs w:val="22"/>
        </w:rPr>
      </w:pPr>
      <w:r w:rsidRPr="003B6911">
        <w:rPr>
          <w:rFonts w:cs="Arial"/>
          <w:szCs w:val="22"/>
        </w:rPr>
        <w:t xml:space="preserve">Indications of outliers and variance heterogeneity should be considered when effect estimates and P-values are interpreted. </w:t>
      </w:r>
    </w:p>
    <w:p w14:paraId="7F59284B" w14:textId="77777777" w:rsidR="00D66845" w:rsidRPr="003B6911" w:rsidRDefault="00D66845" w:rsidP="00D66845">
      <w:pPr>
        <w:pStyle w:val="Paragraphedeliste"/>
        <w:tabs>
          <w:tab w:val="left" w:pos="3288"/>
        </w:tabs>
        <w:rPr>
          <w:rFonts w:eastAsia="Calibri"/>
          <w:b/>
          <w:i/>
          <w:lang w:val="en-US" w:eastAsia="en-US"/>
        </w:rPr>
      </w:pPr>
    </w:p>
    <w:p w14:paraId="3616EB58" w14:textId="5781A4C7" w:rsidR="00DA189A" w:rsidRPr="003B6911" w:rsidRDefault="00D66845" w:rsidP="00D66845">
      <w:pPr>
        <w:pStyle w:val="ANMauthorname"/>
        <w:jc w:val="center"/>
        <w:rPr>
          <w:rFonts w:eastAsia="Calibri"/>
          <w:lang w:val="en-US" w:eastAsia="en-US"/>
        </w:rPr>
      </w:pPr>
      <w:r w:rsidRPr="003B6911">
        <w:rPr>
          <w:rFonts w:eastAsia="Calibri"/>
          <w:noProof/>
          <w:lang w:eastAsia="en-GB"/>
        </w:rPr>
        <w:drawing>
          <wp:inline distT="0" distB="0" distL="0" distR="0" wp14:anchorId="66AB673C" wp14:editId="58A4506D">
            <wp:extent cx="2563200" cy="3600000"/>
            <wp:effectExtent l="0" t="0" r="8890" b="635"/>
            <wp:docPr id="8" name="Picture 8" descr="C:\Users\tdevries\OneDrive - University of Guelph\residual used bedding D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tdevries\OneDrive - University of Guelph\residual used bedding D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3200" cy="3600000"/>
                    </a:xfrm>
                    <a:prstGeom prst="rect">
                      <a:avLst/>
                    </a:prstGeom>
                    <a:noFill/>
                    <a:ln>
                      <a:noFill/>
                    </a:ln>
                  </pic:spPr>
                </pic:pic>
              </a:graphicData>
            </a:graphic>
          </wp:inline>
        </w:drawing>
      </w:r>
    </w:p>
    <w:p w14:paraId="564DCDC1" w14:textId="77777777" w:rsidR="00D66845" w:rsidRPr="003B6911" w:rsidRDefault="00D66845" w:rsidP="00D66845">
      <w:pPr>
        <w:overflowPunct/>
        <w:autoSpaceDE/>
        <w:autoSpaceDN/>
        <w:adjustRightInd/>
        <w:jc w:val="center"/>
        <w:textAlignment w:val="auto"/>
        <w:rPr>
          <w:rFonts w:eastAsia="Calibri"/>
          <w:lang w:val="en-US" w:eastAsia="en-US"/>
        </w:rPr>
      </w:pPr>
    </w:p>
    <w:p w14:paraId="01DB36B7" w14:textId="5FF00C5E" w:rsidR="00D66845" w:rsidRPr="003B6911" w:rsidRDefault="00012012" w:rsidP="00D66845">
      <w:pPr>
        <w:overflowPunct/>
        <w:autoSpaceDE/>
        <w:autoSpaceDN/>
        <w:adjustRightInd/>
        <w:spacing w:after="160" w:line="259" w:lineRule="auto"/>
        <w:textAlignment w:val="auto"/>
        <w:rPr>
          <w:rFonts w:eastAsia="Calibri" w:cs="Arial"/>
          <w:b/>
          <w:szCs w:val="22"/>
          <w:lang w:val="en-US" w:eastAsia="en-US"/>
        </w:rPr>
      </w:pPr>
      <w:r w:rsidRPr="003B6911">
        <w:rPr>
          <w:rFonts w:eastAsia="Calibri" w:cs="Arial"/>
          <w:b/>
          <w:szCs w:val="22"/>
          <w:lang w:val="en-US" w:eastAsia="en-US"/>
        </w:rPr>
        <w:t>Supplementary Material S3</w:t>
      </w:r>
      <w:r w:rsidR="00D66845" w:rsidRPr="003B6911">
        <w:rPr>
          <w:rFonts w:eastAsia="Calibri" w:cs="Arial"/>
          <w:b/>
          <w:szCs w:val="22"/>
          <w:lang w:val="en-US" w:eastAsia="en-US"/>
        </w:rPr>
        <w:t>: Example of SAS code for multivariable mixed model</w:t>
      </w:r>
    </w:p>
    <w:p w14:paraId="51CEB68A" w14:textId="77777777" w:rsidR="00D66845" w:rsidRPr="003B6911" w:rsidRDefault="00D66845" w:rsidP="00D66845">
      <w:pPr>
        <w:pStyle w:val="ANMauthorname"/>
        <w:spacing w:line="240" w:lineRule="auto"/>
        <w:rPr>
          <w:rFonts w:eastAsia="Calibri" w:cs="Arial"/>
          <w:b/>
          <w:szCs w:val="22"/>
          <w:lang w:val="en-US" w:eastAsia="en-US"/>
        </w:rPr>
      </w:pPr>
    </w:p>
    <w:p w14:paraId="023D9E7C" w14:textId="77777777" w:rsidR="00D66845" w:rsidRPr="003B6911" w:rsidRDefault="00D66845" w:rsidP="00D66845">
      <w:pPr>
        <w:overflowPunct/>
        <w:textAlignment w:val="auto"/>
        <w:rPr>
          <w:rFonts w:cs="Arial"/>
          <w:color w:val="000000"/>
          <w:szCs w:val="20"/>
          <w:shd w:val="clear" w:color="auto" w:fill="FFFFFF"/>
          <w:lang w:val="en-CA" w:eastAsia="en-GB"/>
        </w:rPr>
      </w:pPr>
      <w:r w:rsidRPr="003B6911">
        <w:rPr>
          <w:rFonts w:cs="Arial"/>
          <w:color w:val="0000FF"/>
          <w:szCs w:val="20"/>
          <w:shd w:val="clear" w:color="auto" w:fill="FFFFFF"/>
          <w:lang w:val="en-CA" w:eastAsia="en-GB"/>
        </w:rPr>
        <w:t>ods</w:t>
      </w:r>
      <w:r w:rsidRPr="003B6911">
        <w:rPr>
          <w:rFonts w:cs="Arial"/>
          <w:color w:val="000000"/>
          <w:szCs w:val="20"/>
          <w:shd w:val="clear" w:color="auto" w:fill="FFFFFF"/>
          <w:lang w:val="en-CA" w:eastAsia="en-GB"/>
        </w:rPr>
        <w:t xml:space="preserve"> </w:t>
      </w:r>
      <w:r w:rsidRPr="003B6911">
        <w:rPr>
          <w:rFonts w:cs="Arial"/>
          <w:color w:val="0000FF"/>
          <w:szCs w:val="20"/>
          <w:shd w:val="clear" w:color="auto" w:fill="FFFFFF"/>
          <w:lang w:val="en-CA" w:eastAsia="en-GB"/>
        </w:rPr>
        <w:t>graphics</w:t>
      </w:r>
      <w:r w:rsidRPr="003B6911">
        <w:rPr>
          <w:rFonts w:cs="Arial"/>
          <w:color w:val="000000"/>
          <w:szCs w:val="20"/>
          <w:shd w:val="clear" w:color="auto" w:fill="FFFFFF"/>
          <w:lang w:val="en-CA" w:eastAsia="en-GB"/>
        </w:rPr>
        <w:t xml:space="preserve"> </w:t>
      </w:r>
      <w:r w:rsidRPr="003B6911">
        <w:rPr>
          <w:rFonts w:cs="Arial"/>
          <w:color w:val="0000FF"/>
          <w:szCs w:val="20"/>
          <w:shd w:val="clear" w:color="auto" w:fill="FFFFFF"/>
          <w:lang w:val="en-CA" w:eastAsia="en-GB"/>
        </w:rPr>
        <w:t>on</w:t>
      </w:r>
      <w:r w:rsidRPr="003B6911">
        <w:rPr>
          <w:rFonts w:cs="Arial"/>
          <w:color w:val="000000"/>
          <w:szCs w:val="20"/>
          <w:shd w:val="clear" w:color="auto" w:fill="FFFFFF"/>
          <w:lang w:val="en-CA" w:eastAsia="en-GB"/>
        </w:rPr>
        <w:t>;</w:t>
      </w:r>
    </w:p>
    <w:p w14:paraId="10F5B711" w14:textId="77777777" w:rsidR="00D66845" w:rsidRPr="003B6911" w:rsidRDefault="00D66845" w:rsidP="00D66845">
      <w:pPr>
        <w:overflowPunct/>
        <w:textAlignment w:val="auto"/>
        <w:rPr>
          <w:rFonts w:cs="Arial"/>
          <w:color w:val="000000"/>
          <w:szCs w:val="20"/>
          <w:shd w:val="clear" w:color="auto" w:fill="FFFFFF"/>
          <w:lang w:val="en-CA" w:eastAsia="en-GB"/>
        </w:rPr>
      </w:pPr>
      <w:r w:rsidRPr="003B6911">
        <w:rPr>
          <w:rFonts w:cs="Arial"/>
          <w:b/>
          <w:bCs/>
          <w:color w:val="000080"/>
          <w:szCs w:val="20"/>
          <w:shd w:val="clear" w:color="auto" w:fill="FFFFFF"/>
          <w:lang w:val="en-CA" w:eastAsia="en-GB"/>
        </w:rPr>
        <w:t>proc</w:t>
      </w:r>
      <w:r w:rsidRPr="003B6911">
        <w:rPr>
          <w:rFonts w:cs="Arial"/>
          <w:color w:val="000000"/>
          <w:szCs w:val="20"/>
          <w:shd w:val="clear" w:color="auto" w:fill="FFFFFF"/>
          <w:lang w:val="en-CA" w:eastAsia="en-GB"/>
        </w:rPr>
        <w:t xml:space="preserve"> </w:t>
      </w:r>
      <w:r w:rsidRPr="003B6911">
        <w:rPr>
          <w:rFonts w:cs="Arial"/>
          <w:b/>
          <w:bCs/>
          <w:color w:val="000080"/>
          <w:szCs w:val="20"/>
          <w:shd w:val="clear" w:color="auto" w:fill="FFFFFF"/>
          <w:lang w:val="en-CA" w:eastAsia="en-GB"/>
        </w:rPr>
        <w:t>mixed</w:t>
      </w:r>
      <w:r w:rsidRPr="003B6911">
        <w:rPr>
          <w:rFonts w:cs="Arial"/>
          <w:color w:val="000000"/>
          <w:szCs w:val="20"/>
          <w:shd w:val="clear" w:color="auto" w:fill="FFFFFF"/>
          <w:lang w:val="en-CA" w:eastAsia="en-GB"/>
        </w:rPr>
        <w:t xml:space="preserve">; </w:t>
      </w:r>
    </w:p>
    <w:p w14:paraId="3D7CCD9C" w14:textId="77777777" w:rsidR="00D66845" w:rsidRPr="003B6911" w:rsidRDefault="00D66845" w:rsidP="00D66845">
      <w:pPr>
        <w:overflowPunct/>
        <w:textAlignment w:val="auto"/>
        <w:rPr>
          <w:rFonts w:cs="Arial"/>
          <w:color w:val="000000"/>
          <w:szCs w:val="20"/>
          <w:shd w:val="clear" w:color="auto" w:fill="FFFFFF"/>
          <w:lang w:val="en-CA" w:eastAsia="en-GB"/>
        </w:rPr>
      </w:pPr>
      <w:r w:rsidRPr="003B6911">
        <w:rPr>
          <w:rFonts w:cs="Arial"/>
          <w:color w:val="0000FF"/>
          <w:szCs w:val="20"/>
          <w:shd w:val="clear" w:color="auto" w:fill="FFFFFF"/>
          <w:lang w:val="en-CA" w:eastAsia="en-GB"/>
        </w:rPr>
        <w:t>class</w:t>
      </w:r>
      <w:r w:rsidRPr="003B6911">
        <w:rPr>
          <w:rFonts w:cs="Arial"/>
          <w:color w:val="000000"/>
          <w:szCs w:val="20"/>
          <w:shd w:val="clear" w:color="auto" w:fill="FFFFFF"/>
          <w:lang w:val="en-CA" w:eastAsia="en-GB"/>
        </w:rPr>
        <w:t xml:space="preserve"> Farm Bedding_subtype Visit ;</w:t>
      </w:r>
    </w:p>
    <w:p w14:paraId="77E8C09F" w14:textId="77777777" w:rsidR="00D66845" w:rsidRPr="003B6911" w:rsidRDefault="00D66845" w:rsidP="00D66845">
      <w:pPr>
        <w:overflowPunct/>
        <w:textAlignment w:val="auto"/>
        <w:rPr>
          <w:rFonts w:cs="Arial"/>
          <w:color w:val="000000"/>
          <w:shd w:val="clear" w:color="auto" w:fill="FFFFFF"/>
          <w:lang w:val="en-CA" w:eastAsia="en-GB"/>
        </w:rPr>
      </w:pPr>
      <w:r w:rsidRPr="003B6911">
        <w:rPr>
          <w:rFonts w:cs="Arial"/>
          <w:color w:val="0000FF"/>
          <w:szCs w:val="20"/>
          <w:shd w:val="clear" w:color="auto" w:fill="FFFFFF"/>
          <w:lang w:val="en-CA" w:eastAsia="en-GB"/>
        </w:rPr>
        <w:t>model</w:t>
      </w:r>
      <w:r w:rsidRPr="003B6911">
        <w:rPr>
          <w:rFonts w:cs="Arial"/>
          <w:color w:val="000000"/>
          <w:szCs w:val="20"/>
          <w:shd w:val="clear" w:color="auto" w:fill="FFFFFF"/>
          <w:lang w:val="en-CA" w:eastAsia="en-GB"/>
        </w:rPr>
        <w:t xml:space="preserve"> Unused_DM = Bedding_subtype Tempavg Relhumavg Visit/</w:t>
      </w:r>
      <w:r w:rsidRPr="003B6911">
        <w:rPr>
          <w:rFonts w:cs="Arial"/>
          <w:color w:val="0000FF"/>
          <w:szCs w:val="20"/>
          <w:shd w:val="clear" w:color="auto" w:fill="FFFFFF"/>
          <w:lang w:val="en-CA" w:eastAsia="en-GB"/>
        </w:rPr>
        <w:t>ddfm</w:t>
      </w:r>
      <w:r w:rsidRPr="003B6911">
        <w:rPr>
          <w:rFonts w:cs="Arial"/>
          <w:color w:val="000000"/>
          <w:szCs w:val="20"/>
          <w:shd w:val="clear" w:color="auto" w:fill="FFFFFF"/>
          <w:lang w:val="en-CA" w:eastAsia="en-GB"/>
        </w:rPr>
        <w:t xml:space="preserve">=kr </w:t>
      </w:r>
      <w:r w:rsidRPr="003B6911">
        <w:rPr>
          <w:rFonts w:cs="Arial"/>
          <w:color w:val="0000FF"/>
          <w:szCs w:val="20"/>
          <w:shd w:val="clear" w:color="auto" w:fill="FFFFFF"/>
          <w:lang w:val="en-CA" w:eastAsia="en-GB"/>
        </w:rPr>
        <w:t>solution</w:t>
      </w:r>
      <w:r w:rsidRPr="003B6911">
        <w:rPr>
          <w:rFonts w:cs="Arial"/>
          <w:color w:val="000000"/>
          <w:szCs w:val="20"/>
          <w:shd w:val="clear" w:color="auto" w:fill="FFFFFF"/>
          <w:lang w:val="en-CA" w:eastAsia="en-GB"/>
        </w:rPr>
        <w:t xml:space="preserve"> </w:t>
      </w:r>
      <w:r w:rsidRPr="003B6911">
        <w:rPr>
          <w:rFonts w:cs="Arial"/>
          <w:color w:val="0000FF"/>
          <w:szCs w:val="20"/>
          <w:shd w:val="clear" w:color="auto" w:fill="FFFFFF"/>
          <w:lang w:val="en-CA" w:eastAsia="en-GB"/>
        </w:rPr>
        <w:t xml:space="preserve">residual </w:t>
      </w:r>
      <w:r w:rsidRPr="003B6911">
        <w:rPr>
          <w:rFonts w:cs="Arial"/>
          <w:color w:val="0000FF"/>
          <w:shd w:val="clear" w:color="auto" w:fill="FFFFFF"/>
          <w:lang w:val="en-CA" w:eastAsia="en-GB"/>
        </w:rPr>
        <w:t xml:space="preserve">influence </w:t>
      </w:r>
      <w:r w:rsidRPr="003B6911">
        <w:rPr>
          <w:rFonts w:cs="Arial"/>
          <w:color w:val="000000"/>
          <w:shd w:val="clear" w:color="auto" w:fill="FFFFFF"/>
          <w:lang w:val="en-CA" w:eastAsia="en-GB"/>
        </w:rPr>
        <w:t>(iter=</w:t>
      </w:r>
      <w:r w:rsidRPr="003B6911">
        <w:rPr>
          <w:rFonts w:cs="Arial"/>
          <w:b/>
          <w:bCs/>
          <w:color w:val="008080"/>
          <w:shd w:val="clear" w:color="auto" w:fill="FFFFFF"/>
          <w:lang w:val="en-CA" w:eastAsia="en-GB"/>
        </w:rPr>
        <w:t>1000</w:t>
      </w:r>
      <w:r w:rsidRPr="003B6911">
        <w:rPr>
          <w:rFonts w:cs="Arial"/>
          <w:color w:val="000000"/>
          <w:shd w:val="clear" w:color="auto" w:fill="FFFFFF"/>
          <w:lang w:val="en-CA" w:eastAsia="en-GB"/>
        </w:rPr>
        <w:t>) ;</w:t>
      </w:r>
    </w:p>
    <w:p w14:paraId="373283A1" w14:textId="77777777" w:rsidR="00D66845" w:rsidRPr="003B6911" w:rsidRDefault="00D66845" w:rsidP="00D66845">
      <w:pPr>
        <w:overflowPunct/>
        <w:textAlignment w:val="auto"/>
        <w:rPr>
          <w:rFonts w:cs="Arial"/>
          <w:color w:val="000000"/>
          <w:szCs w:val="20"/>
          <w:shd w:val="clear" w:color="auto" w:fill="FFFFFF"/>
          <w:lang w:val="en-CA" w:eastAsia="en-GB"/>
        </w:rPr>
      </w:pPr>
      <w:r w:rsidRPr="003B6911">
        <w:rPr>
          <w:rFonts w:cs="Arial"/>
          <w:color w:val="0000FF"/>
          <w:szCs w:val="20"/>
          <w:shd w:val="clear" w:color="auto" w:fill="FFFFFF"/>
          <w:lang w:val="en-CA" w:eastAsia="en-GB"/>
        </w:rPr>
        <w:t>random</w:t>
      </w:r>
      <w:r w:rsidRPr="003B6911">
        <w:rPr>
          <w:rFonts w:cs="Arial"/>
          <w:color w:val="000000"/>
          <w:szCs w:val="20"/>
          <w:shd w:val="clear" w:color="auto" w:fill="FFFFFF"/>
          <w:lang w:val="en-CA" w:eastAsia="en-GB"/>
        </w:rPr>
        <w:t xml:space="preserve"> Farm;</w:t>
      </w:r>
    </w:p>
    <w:p w14:paraId="27F098AC" w14:textId="77777777" w:rsidR="00D66845" w:rsidRPr="003B6911" w:rsidRDefault="00D66845" w:rsidP="00D66845">
      <w:pPr>
        <w:overflowPunct/>
        <w:textAlignment w:val="auto"/>
        <w:rPr>
          <w:rFonts w:cs="Arial"/>
          <w:color w:val="000000"/>
          <w:szCs w:val="20"/>
          <w:shd w:val="clear" w:color="auto" w:fill="FFFFFF"/>
          <w:lang w:val="en-CA" w:eastAsia="en-GB"/>
        </w:rPr>
      </w:pPr>
      <w:r w:rsidRPr="003B6911">
        <w:rPr>
          <w:rFonts w:cs="Arial"/>
          <w:color w:val="0000FF"/>
          <w:szCs w:val="20"/>
          <w:shd w:val="clear" w:color="auto" w:fill="FFFFFF"/>
          <w:lang w:val="en-CA" w:eastAsia="en-GB"/>
        </w:rPr>
        <w:t>repeated</w:t>
      </w:r>
      <w:r w:rsidRPr="003B6911">
        <w:rPr>
          <w:rFonts w:cs="Arial"/>
          <w:color w:val="000000"/>
          <w:szCs w:val="20"/>
          <w:shd w:val="clear" w:color="auto" w:fill="FFFFFF"/>
          <w:lang w:val="en-CA" w:eastAsia="en-GB"/>
        </w:rPr>
        <w:t xml:space="preserve"> Visit/ </w:t>
      </w:r>
      <w:r w:rsidRPr="003B6911">
        <w:rPr>
          <w:rFonts w:cs="Arial"/>
          <w:color w:val="0000FF"/>
          <w:szCs w:val="20"/>
          <w:shd w:val="clear" w:color="auto" w:fill="FFFFFF"/>
          <w:lang w:val="en-CA" w:eastAsia="en-GB"/>
        </w:rPr>
        <w:t>subject</w:t>
      </w:r>
      <w:r w:rsidRPr="003B6911">
        <w:rPr>
          <w:rFonts w:cs="Arial"/>
          <w:color w:val="000000"/>
          <w:szCs w:val="20"/>
          <w:shd w:val="clear" w:color="auto" w:fill="FFFFFF"/>
          <w:lang w:val="en-CA" w:eastAsia="en-GB"/>
        </w:rPr>
        <w:t xml:space="preserve">= farm </w:t>
      </w:r>
      <w:r w:rsidRPr="003B6911">
        <w:rPr>
          <w:rFonts w:cs="Arial"/>
          <w:color w:val="0000FF"/>
          <w:szCs w:val="20"/>
          <w:shd w:val="clear" w:color="auto" w:fill="FFFFFF"/>
          <w:lang w:val="en-CA" w:eastAsia="en-GB"/>
        </w:rPr>
        <w:t>type</w:t>
      </w:r>
      <w:r w:rsidRPr="003B6911">
        <w:rPr>
          <w:rFonts w:cs="Arial"/>
          <w:color w:val="000000"/>
          <w:szCs w:val="20"/>
          <w:shd w:val="clear" w:color="auto" w:fill="FFFFFF"/>
          <w:lang w:val="en-CA" w:eastAsia="en-GB"/>
        </w:rPr>
        <w:t xml:space="preserve">= cs; </w:t>
      </w:r>
    </w:p>
    <w:p w14:paraId="541DC883" w14:textId="77777777" w:rsidR="00D66845" w:rsidRPr="003B6911" w:rsidRDefault="00D66845" w:rsidP="00D66845">
      <w:pPr>
        <w:overflowPunct/>
        <w:textAlignment w:val="auto"/>
        <w:rPr>
          <w:rFonts w:cs="Arial"/>
          <w:color w:val="000000"/>
          <w:szCs w:val="20"/>
          <w:shd w:val="clear" w:color="auto" w:fill="FFFFFF"/>
          <w:lang w:val="en-CA" w:eastAsia="en-GB"/>
        </w:rPr>
      </w:pPr>
      <w:r w:rsidRPr="003B6911">
        <w:rPr>
          <w:rFonts w:cs="Arial"/>
          <w:color w:val="0000FF"/>
          <w:szCs w:val="20"/>
          <w:shd w:val="clear" w:color="auto" w:fill="FFFFFF"/>
          <w:lang w:val="en-CA" w:eastAsia="en-GB"/>
        </w:rPr>
        <w:t>lsmeans</w:t>
      </w:r>
      <w:r w:rsidRPr="003B6911">
        <w:rPr>
          <w:rFonts w:cs="Arial"/>
          <w:color w:val="000000"/>
          <w:szCs w:val="20"/>
          <w:shd w:val="clear" w:color="auto" w:fill="FFFFFF"/>
          <w:lang w:val="en-CA" w:eastAsia="en-GB"/>
        </w:rPr>
        <w:t xml:space="preserve"> Bedding_subtype /pdiff </w:t>
      </w:r>
      <w:r w:rsidRPr="003B6911">
        <w:rPr>
          <w:rFonts w:cs="Arial"/>
          <w:color w:val="0000FF"/>
          <w:szCs w:val="20"/>
          <w:shd w:val="clear" w:color="auto" w:fill="FFFFFF"/>
          <w:lang w:val="en-CA" w:eastAsia="en-GB"/>
        </w:rPr>
        <w:t>adjust</w:t>
      </w:r>
      <w:r w:rsidRPr="003B6911">
        <w:rPr>
          <w:rFonts w:cs="Arial"/>
          <w:color w:val="000000"/>
          <w:szCs w:val="20"/>
          <w:shd w:val="clear" w:color="auto" w:fill="FFFFFF"/>
          <w:lang w:val="en-CA" w:eastAsia="en-GB"/>
        </w:rPr>
        <w:t xml:space="preserve">=tukey; </w:t>
      </w:r>
    </w:p>
    <w:p w14:paraId="15A2351D" w14:textId="77777777" w:rsidR="00D66845" w:rsidRPr="003B6911" w:rsidRDefault="00D66845" w:rsidP="00D66845">
      <w:pPr>
        <w:overflowPunct/>
        <w:textAlignment w:val="auto"/>
        <w:rPr>
          <w:rFonts w:cs="Arial"/>
          <w:color w:val="000000"/>
          <w:szCs w:val="20"/>
          <w:shd w:val="clear" w:color="auto" w:fill="FFFFFF"/>
          <w:lang w:val="en-CA" w:eastAsia="en-GB"/>
        </w:rPr>
      </w:pPr>
      <w:r w:rsidRPr="003B6911">
        <w:rPr>
          <w:rFonts w:cs="Arial"/>
          <w:b/>
          <w:bCs/>
          <w:color w:val="000080"/>
          <w:szCs w:val="20"/>
          <w:shd w:val="clear" w:color="auto" w:fill="FFFFFF"/>
          <w:lang w:val="en-CA" w:eastAsia="en-GB"/>
        </w:rPr>
        <w:t>run</w:t>
      </w:r>
      <w:r w:rsidRPr="003B6911">
        <w:rPr>
          <w:rFonts w:cs="Arial"/>
          <w:color w:val="000000"/>
          <w:szCs w:val="20"/>
          <w:shd w:val="clear" w:color="auto" w:fill="FFFFFF"/>
          <w:lang w:val="en-CA" w:eastAsia="en-GB"/>
        </w:rPr>
        <w:t>;</w:t>
      </w:r>
    </w:p>
    <w:p w14:paraId="0ADC661E" w14:textId="77777777" w:rsidR="00D66845" w:rsidRPr="003B6911" w:rsidRDefault="00D66845" w:rsidP="00D66845">
      <w:pPr>
        <w:pStyle w:val="ANMauthorname"/>
        <w:rPr>
          <w:rFonts w:cs="Arial"/>
          <w:color w:val="000000"/>
          <w:szCs w:val="20"/>
          <w:shd w:val="clear" w:color="auto" w:fill="FFFFFF"/>
          <w:lang w:val="en-CA" w:eastAsia="en-GB"/>
        </w:rPr>
      </w:pPr>
      <w:r w:rsidRPr="003B6911">
        <w:rPr>
          <w:rFonts w:cs="Arial"/>
          <w:color w:val="0000FF"/>
          <w:szCs w:val="20"/>
          <w:shd w:val="clear" w:color="auto" w:fill="FFFFFF"/>
          <w:lang w:val="en-CA" w:eastAsia="en-GB"/>
        </w:rPr>
        <w:t>ods</w:t>
      </w:r>
      <w:r w:rsidRPr="003B6911">
        <w:rPr>
          <w:rFonts w:cs="Arial"/>
          <w:color w:val="000000"/>
          <w:szCs w:val="20"/>
          <w:shd w:val="clear" w:color="auto" w:fill="FFFFFF"/>
          <w:lang w:val="en-CA" w:eastAsia="en-GB"/>
        </w:rPr>
        <w:t xml:space="preserve"> </w:t>
      </w:r>
      <w:r w:rsidRPr="003B6911">
        <w:rPr>
          <w:rFonts w:cs="Arial"/>
          <w:color w:val="0000FF"/>
          <w:szCs w:val="20"/>
          <w:shd w:val="clear" w:color="auto" w:fill="FFFFFF"/>
          <w:lang w:val="en-CA" w:eastAsia="en-GB"/>
        </w:rPr>
        <w:t>graphics</w:t>
      </w:r>
      <w:r w:rsidRPr="003B6911">
        <w:rPr>
          <w:rFonts w:cs="Arial"/>
          <w:color w:val="000000"/>
          <w:szCs w:val="20"/>
          <w:shd w:val="clear" w:color="auto" w:fill="FFFFFF"/>
          <w:lang w:val="en-CA" w:eastAsia="en-GB"/>
        </w:rPr>
        <w:t xml:space="preserve"> </w:t>
      </w:r>
      <w:r w:rsidRPr="003B6911">
        <w:rPr>
          <w:rFonts w:cs="Arial"/>
          <w:color w:val="0000FF"/>
          <w:szCs w:val="20"/>
          <w:shd w:val="clear" w:color="auto" w:fill="FFFFFF"/>
          <w:lang w:val="en-CA" w:eastAsia="en-GB"/>
        </w:rPr>
        <w:t>off</w:t>
      </w:r>
      <w:r w:rsidRPr="003B6911">
        <w:rPr>
          <w:rFonts w:cs="Arial"/>
          <w:color w:val="000000"/>
          <w:szCs w:val="20"/>
          <w:shd w:val="clear" w:color="auto" w:fill="FFFFFF"/>
          <w:lang w:val="en-CA" w:eastAsia="en-GB"/>
        </w:rPr>
        <w:t>;</w:t>
      </w:r>
    </w:p>
    <w:p w14:paraId="44463270" w14:textId="454807E8" w:rsidR="00D66845" w:rsidRPr="003B6911" w:rsidRDefault="00D66845" w:rsidP="00D66845">
      <w:pPr>
        <w:overflowPunct/>
        <w:autoSpaceDE/>
        <w:autoSpaceDN/>
        <w:adjustRightInd/>
        <w:textAlignment w:val="auto"/>
        <w:rPr>
          <w:rFonts w:eastAsia="Calibri"/>
          <w:lang w:val="en-US" w:eastAsia="en-US"/>
        </w:rPr>
      </w:pPr>
    </w:p>
    <w:p w14:paraId="776416AF" w14:textId="187A2F54" w:rsidR="006C2FE6" w:rsidRPr="003B6911" w:rsidRDefault="006C2FE6" w:rsidP="00D66845">
      <w:pPr>
        <w:overflowPunct/>
        <w:autoSpaceDE/>
        <w:autoSpaceDN/>
        <w:adjustRightInd/>
        <w:textAlignment w:val="auto"/>
        <w:rPr>
          <w:rFonts w:eastAsia="Calibri"/>
          <w:lang w:val="en-US" w:eastAsia="en-US"/>
        </w:rPr>
      </w:pPr>
    </w:p>
    <w:p w14:paraId="2276653C" w14:textId="2A3CF6A8" w:rsidR="006C2FE6" w:rsidRPr="003B6911" w:rsidRDefault="006C2FE6" w:rsidP="00D66845">
      <w:pPr>
        <w:overflowPunct/>
        <w:autoSpaceDE/>
        <w:autoSpaceDN/>
        <w:adjustRightInd/>
        <w:textAlignment w:val="auto"/>
        <w:rPr>
          <w:rFonts w:eastAsia="Calibri"/>
          <w:lang w:val="en-US" w:eastAsia="en-US"/>
        </w:rPr>
      </w:pPr>
    </w:p>
    <w:p w14:paraId="7FCF5F79" w14:textId="56D7EA98" w:rsidR="006C2FE6" w:rsidRPr="003B6911" w:rsidRDefault="006C2FE6" w:rsidP="00D66845">
      <w:pPr>
        <w:overflowPunct/>
        <w:autoSpaceDE/>
        <w:autoSpaceDN/>
        <w:adjustRightInd/>
        <w:textAlignment w:val="auto"/>
        <w:rPr>
          <w:rFonts w:eastAsia="Calibri"/>
          <w:lang w:val="en-US" w:eastAsia="en-US"/>
        </w:rPr>
      </w:pPr>
    </w:p>
    <w:p w14:paraId="344FB5A4" w14:textId="77777777" w:rsidR="006C2FE6" w:rsidRPr="003B6911" w:rsidRDefault="006C2FE6" w:rsidP="00D66845">
      <w:pPr>
        <w:overflowPunct/>
        <w:autoSpaceDE/>
        <w:autoSpaceDN/>
        <w:adjustRightInd/>
        <w:textAlignment w:val="auto"/>
        <w:rPr>
          <w:rFonts w:eastAsia="Calibri"/>
          <w:lang w:val="en-US" w:eastAsia="en-US"/>
        </w:rPr>
      </w:pPr>
    </w:p>
    <w:p w14:paraId="5409CC9A" w14:textId="77777777" w:rsidR="00D66845" w:rsidRPr="003B6911" w:rsidRDefault="00D66845" w:rsidP="00D66845">
      <w:pPr>
        <w:overflowPunct/>
        <w:autoSpaceDE/>
        <w:autoSpaceDN/>
        <w:adjustRightInd/>
        <w:textAlignment w:val="auto"/>
        <w:rPr>
          <w:rFonts w:eastAsia="Calibri"/>
          <w:lang w:val="en-US" w:eastAsia="en-US"/>
        </w:rPr>
      </w:pPr>
    </w:p>
    <w:p w14:paraId="16FB0897" w14:textId="77777777" w:rsidR="00D66845" w:rsidRPr="003B6911" w:rsidRDefault="00D66845" w:rsidP="00D66845">
      <w:pPr>
        <w:overflowPunct/>
        <w:autoSpaceDE/>
        <w:autoSpaceDN/>
        <w:adjustRightInd/>
        <w:textAlignment w:val="auto"/>
        <w:rPr>
          <w:rFonts w:eastAsia="Calibri"/>
          <w:lang w:val="en-US" w:eastAsia="en-US"/>
        </w:rPr>
      </w:pPr>
    </w:p>
    <w:p w14:paraId="378537C3" w14:textId="77777777" w:rsidR="00D66845" w:rsidRPr="003B6911" w:rsidRDefault="00D66845" w:rsidP="00D66845">
      <w:pPr>
        <w:overflowPunct/>
        <w:autoSpaceDE/>
        <w:autoSpaceDN/>
        <w:adjustRightInd/>
        <w:textAlignment w:val="auto"/>
        <w:rPr>
          <w:rFonts w:eastAsia="Calibri"/>
          <w:lang w:val="en-US" w:eastAsia="en-US"/>
        </w:rPr>
      </w:pPr>
    </w:p>
    <w:p w14:paraId="0CB90271" w14:textId="77777777" w:rsidR="00D66845" w:rsidRPr="003B6911" w:rsidRDefault="00D66845" w:rsidP="00D66845">
      <w:pPr>
        <w:overflowPunct/>
        <w:autoSpaceDE/>
        <w:autoSpaceDN/>
        <w:adjustRightInd/>
        <w:textAlignment w:val="auto"/>
        <w:rPr>
          <w:rFonts w:eastAsia="Calibri"/>
          <w:lang w:val="en-US" w:eastAsia="en-US"/>
        </w:rPr>
      </w:pPr>
    </w:p>
    <w:p w14:paraId="309F7148" w14:textId="77777777" w:rsidR="00D66845" w:rsidRPr="003B6911" w:rsidRDefault="00D66845" w:rsidP="00D66845">
      <w:pPr>
        <w:overflowPunct/>
        <w:autoSpaceDE/>
        <w:autoSpaceDN/>
        <w:adjustRightInd/>
        <w:textAlignment w:val="auto"/>
        <w:rPr>
          <w:rFonts w:eastAsia="Calibri"/>
          <w:lang w:val="en-US" w:eastAsia="en-US"/>
        </w:rPr>
      </w:pPr>
    </w:p>
    <w:p w14:paraId="6FC9B4E4" w14:textId="77777777" w:rsidR="00D66845" w:rsidRPr="003B6911" w:rsidRDefault="00D66845" w:rsidP="00D66845">
      <w:pPr>
        <w:overflowPunct/>
        <w:autoSpaceDE/>
        <w:autoSpaceDN/>
        <w:adjustRightInd/>
        <w:textAlignment w:val="auto"/>
        <w:rPr>
          <w:rFonts w:eastAsia="Calibri"/>
          <w:lang w:val="en-US" w:eastAsia="en-US"/>
        </w:rPr>
      </w:pPr>
    </w:p>
    <w:p w14:paraId="282D7196" w14:textId="77777777" w:rsidR="00D66845" w:rsidRPr="003B6911" w:rsidRDefault="00D66845" w:rsidP="00D66845">
      <w:pPr>
        <w:pStyle w:val="ANMapapertitle"/>
        <w:spacing w:line="240" w:lineRule="auto"/>
        <w:contextualSpacing/>
        <w:rPr>
          <w:rFonts w:eastAsia="Calibri" w:cs="Arial"/>
          <w:b w:val="0"/>
          <w:szCs w:val="22"/>
          <w:lang w:val="en-US" w:eastAsia="en-US"/>
          <w14:shadow w14:blurRad="50800" w14:dist="50800" w14:dir="5400000" w14:sx="0" w14:sy="0" w14:kx="0" w14:ky="0" w14:algn="ctr">
            <w14:schemeClr w14:val="tx1"/>
          </w14:shadow>
        </w:rPr>
      </w:pPr>
      <w:r w:rsidRPr="003B6911">
        <w:rPr>
          <w:noProof/>
          <w:lang w:eastAsia="en-GB"/>
        </w:rPr>
        <w:drawing>
          <wp:inline distT="0" distB="0" distL="0" distR="0" wp14:anchorId="46CCFB00" wp14:editId="40C60C5C">
            <wp:extent cx="5759450" cy="2019935"/>
            <wp:effectExtent l="0" t="0" r="12700" b="18415"/>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6B4A8D" w14:textId="77777777" w:rsidR="00D66845" w:rsidRPr="003B6911" w:rsidRDefault="00D66845" w:rsidP="00D66845">
      <w:pPr>
        <w:pStyle w:val="ANMauthorname"/>
        <w:spacing w:line="240" w:lineRule="auto"/>
        <w:contextualSpacing/>
        <w:rPr>
          <w:rFonts w:eastAsia="Calibri"/>
          <w:sz w:val="32"/>
          <w:lang w:val="en-US" w:eastAsia="en-US"/>
        </w:rPr>
      </w:pPr>
    </w:p>
    <w:p w14:paraId="1917F2DE" w14:textId="7050FD61" w:rsidR="00D66845" w:rsidRPr="00AD24BC" w:rsidRDefault="00D66845" w:rsidP="00D66845">
      <w:pPr>
        <w:pStyle w:val="ANMapapertitle"/>
        <w:spacing w:line="240" w:lineRule="auto"/>
        <w:contextualSpacing/>
        <w:rPr>
          <w:rFonts w:eastAsia="Calibri" w:cs="Arial"/>
          <w:b w:val="0"/>
          <w:szCs w:val="20"/>
          <w:lang w:val="en-US" w:eastAsia="en-US"/>
        </w:rPr>
      </w:pPr>
      <w:r w:rsidRPr="003B6911">
        <w:rPr>
          <w:rFonts w:eastAsia="Calibri" w:cs="Arial"/>
          <w:szCs w:val="20"/>
          <w:lang w:val="en-US" w:eastAsia="en-US"/>
        </w:rPr>
        <w:t xml:space="preserve">Supplementary Figure </w:t>
      </w:r>
      <w:r w:rsidR="004B58E4">
        <w:rPr>
          <w:rFonts w:eastAsia="Calibri" w:cs="Arial"/>
          <w:szCs w:val="20"/>
          <w:lang w:val="en-US" w:eastAsia="en-US"/>
        </w:rPr>
        <w:t>S</w:t>
      </w:r>
      <w:r w:rsidRPr="003B6911">
        <w:rPr>
          <w:rFonts w:eastAsia="Calibri" w:cs="Arial"/>
          <w:szCs w:val="20"/>
          <w:lang w:val="en-US" w:eastAsia="en-US"/>
        </w:rPr>
        <w:t>1</w:t>
      </w:r>
      <w:r w:rsidRPr="003B6911">
        <w:rPr>
          <w:rFonts w:eastAsia="Calibri" w:cs="Arial"/>
          <w:b w:val="0"/>
          <w:szCs w:val="20"/>
          <w:lang w:val="en-US" w:eastAsia="en-US"/>
        </w:rPr>
        <w:t>: Association between stall width (cm) and back of the stall to neck rail length (cm) for dairy cows</w:t>
      </w:r>
      <w:bookmarkStart w:id="0" w:name="_GoBack"/>
      <w:bookmarkEnd w:id="0"/>
    </w:p>
    <w:sectPr w:rsidR="00D66845" w:rsidRPr="00AD24BC" w:rsidSect="00F232F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32660" w14:textId="77777777" w:rsidR="00950B60" w:rsidRDefault="00950B60">
      <w:r>
        <w:separator/>
      </w:r>
    </w:p>
  </w:endnote>
  <w:endnote w:type="continuationSeparator" w:id="0">
    <w:p w14:paraId="3F7D3442" w14:textId="77777777" w:rsidR="00950B60" w:rsidRDefault="0095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5E68" w14:textId="77777777" w:rsidR="00950B60" w:rsidRDefault="00950B60">
      <w:r>
        <w:separator/>
      </w:r>
    </w:p>
  </w:footnote>
  <w:footnote w:type="continuationSeparator" w:id="0">
    <w:p w14:paraId="5B37151E" w14:textId="77777777" w:rsidR="00950B60" w:rsidRDefault="0095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B627E"/>
    <w:multiLevelType w:val="hybridMultilevel"/>
    <w:tmpl w:val="74C29FDE"/>
    <w:lvl w:ilvl="0" w:tplc="A68011A6">
      <w:start w:val="500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3sDQzNDY3MzIzMTNT0lEKTi0uzszPAykwrAUAZy5EvSwAAAA="/>
  </w:docVars>
  <w:rsids>
    <w:rsidRoot w:val="007C7E38"/>
    <w:rsid w:val="00012012"/>
    <w:rsid w:val="000E4862"/>
    <w:rsid w:val="0019735E"/>
    <w:rsid w:val="001B3A75"/>
    <w:rsid w:val="003B6911"/>
    <w:rsid w:val="004B58E4"/>
    <w:rsid w:val="006C2FE6"/>
    <w:rsid w:val="007C7E38"/>
    <w:rsid w:val="00950B60"/>
    <w:rsid w:val="00D66845"/>
    <w:rsid w:val="00DA189A"/>
    <w:rsid w:val="00F23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6E15F"/>
  <w15:chartTrackingRefBased/>
  <w15:docId w15:val="{6DE6964D-E246-4AF5-B113-0D7355C8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7E38"/>
    <w:pPr>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7C7E38"/>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7C7E38"/>
    <w:pPr>
      <w:spacing w:after="0" w:line="480" w:lineRule="auto"/>
    </w:pPr>
    <w:rPr>
      <w:rFonts w:ascii="Arial" w:eastAsia="Times New Roman" w:hAnsi="Arial" w:cs="Times New Roman"/>
      <w:sz w:val="24"/>
      <w:szCs w:val="24"/>
      <w:lang w:val="en-GB" w:eastAsia="fr-FR"/>
    </w:rPr>
  </w:style>
  <w:style w:type="character" w:customStyle="1" w:styleId="ANMapapertitleCar">
    <w:name w:val="ANM a paper title Car"/>
    <w:link w:val="ANMapapertitle"/>
    <w:uiPriority w:val="99"/>
    <w:locked/>
    <w:rsid w:val="007C7E38"/>
    <w:rPr>
      <w:rFonts w:ascii="Arial" w:eastAsia="Times New Roman" w:hAnsi="Arial" w:cs="Times New Roman"/>
      <w:b/>
      <w:sz w:val="24"/>
      <w:szCs w:val="24"/>
      <w:lang w:val="en-GB" w:eastAsia="fr-FR"/>
    </w:rPr>
  </w:style>
  <w:style w:type="paragraph" w:customStyle="1" w:styleId="ANMsuperscript">
    <w:name w:val="ANM superscript"/>
    <w:next w:val="Normal"/>
    <w:link w:val="ANMsuperscriptCar"/>
    <w:uiPriority w:val="99"/>
    <w:qFormat/>
    <w:rsid w:val="007C7E38"/>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7C7E38"/>
    <w:rPr>
      <w:rFonts w:ascii="Arial" w:eastAsia="Times New Roman" w:hAnsi="Arial" w:cs="Times New Roman"/>
      <w:sz w:val="24"/>
      <w:szCs w:val="24"/>
      <w:vertAlign w:val="superscript"/>
      <w:lang w:val="en-GB" w:eastAsia="fr-FR"/>
    </w:rPr>
  </w:style>
  <w:style w:type="paragraph" w:styleId="En-tte">
    <w:name w:val="header"/>
    <w:basedOn w:val="Normal"/>
    <w:link w:val="En-tteCar"/>
    <w:unhideWhenUsed/>
    <w:rsid w:val="007C7E38"/>
    <w:pPr>
      <w:tabs>
        <w:tab w:val="center" w:pos="4536"/>
        <w:tab w:val="right" w:pos="9072"/>
      </w:tabs>
    </w:pPr>
  </w:style>
  <w:style w:type="character" w:customStyle="1" w:styleId="En-tteCar">
    <w:name w:val="En-tête Car"/>
    <w:basedOn w:val="Policepardfaut"/>
    <w:link w:val="En-tte"/>
    <w:rsid w:val="007C7E38"/>
    <w:rPr>
      <w:rFonts w:ascii="Arial" w:eastAsia="Times New Roman" w:hAnsi="Arial" w:cs="Times New Roman"/>
      <w:sz w:val="24"/>
      <w:szCs w:val="24"/>
      <w:lang w:val="nl-NL" w:eastAsia="nl-NL"/>
    </w:rPr>
  </w:style>
  <w:style w:type="paragraph" w:styleId="Pieddepage">
    <w:name w:val="footer"/>
    <w:basedOn w:val="Normal"/>
    <w:link w:val="PieddepageCar"/>
    <w:uiPriority w:val="99"/>
    <w:unhideWhenUsed/>
    <w:rsid w:val="007C7E38"/>
    <w:pPr>
      <w:tabs>
        <w:tab w:val="center" w:pos="4536"/>
        <w:tab w:val="right" w:pos="9072"/>
      </w:tabs>
    </w:pPr>
  </w:style>
  <w:style w:type="character" w:customStyle="1" w:styleId="PieddepageCar">
    <w:name w:val="Pied de page Car"/>
    <w:basedOn w:val="Policepardfaut"/>
    <w:link w:val="Pieddepage"/>
    <w:uiPriority w:val="99"/>
    <w:rsid w:val="007C7E38"/>
    <w:rPr>
      <w:rFonts w:ascii="Arial" w:eastAsia="Times New Roman" w:hAnsi="Arial" w:cs="Times New Roman"/>
      <w:sz w:val="24"/>
      <w:szCs w:val="24"/>
      <w:lang w:val="nl-NL" w:eastAsia="nl-NL"/>
    </w:rPr>
  </w:style>
  <w:style w:type="paragraph" w:customStyle="1" w:styleId="ANMmaintext">
    <w:name w:val="ANM main text"/>
    <w:link w:val="ANMmaintextCarCar"/>
    <w:uiPriority w:val="99"/>
    <w:qFormat/>
    <w:rsid w:val="007C7E38"/>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7C7E38"/>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7C7E38"/>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7C7E38"/>
    <w:rPr>
      <w:rFonts w:ascii="Arial" w:eastAsia="Times New Roman" w:hAnsi="Arial" w:cs="Times New Roman"/>
      <w:i/>
      <w:sz w:val="24"/>
      <w:szCs w:val="24"/>
      <w:lang w:val="en-GB" w:eastAsia="fr-FR"/>
    </w:rPr>
  </w:style>
  <w:style w:type="character" w:styleId="Lienhypertexte">
    <w:name w:val="Hyperlink"/>
    <w:uiPriority w:val="99"/>
    <w:unhideWhenUsed/>
    <w:rsid w:val="007C7E38"/>
    <w:rPr>
      <w:color w:val="0000FF"/>
      <w:u w:val="single"/>
    </w:rPr>
  </w:style>
  <w:style w:type="character" w:customStyle="1" w:styleId="sa8294f4d">
    <w:name w:val="s_a8294f4d"/>
    <w:basedOn w:val="Policepardfaut"/>
    <w:semiHidden/>
    <w:rsid w:val="007C7E38"/>
  </w:style>
  <w:style w:type="paragraph" w:styleId="Paragraphedeliste">
    <w:name w:val="List Paragraph"/>
    <w:basedOn w:val="Normal"/>
    <w:uiPriority w:val="34"/>
    <w:qFormat/>
    <w:rsid w:val="00DA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devries@uoguelph.ca"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G:\Cow%20crew\cowcrew%20(131.104.97.14)\Cowcrew\TD14f\SAS%20TD14F\Graph%20for%20stall%20width%20and%20neck%20rail%20to%20back%20of%20the%20stall%20lengh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Sheet1!$BS$1</c:f>
              <c:strCache>
                <c:ptCount val="1"/>
                <c:pt idx="0">
                  <c:v>s5</c:v>
                </c:pt>
              </c:strCache>
            </c:strRef>
          </c:tx>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1"/>
            <c:trendlineLbl>
              <c:layout>
                <c:manualLayout>
                  <c:x val="-2.9756313536882053E-3"/>
                  <c:y val="0.25328488292940121"/>
                </c:manualLayout>
              </c:layout>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baseline="0"/>
                      <a:t>y = 1.13x + 46.93</a:t>
                    </a:r>
                    <a:endParaRPr lang="en-US"/>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rendlineLbl>
          </c:trendline>
          <c:xVal>
            <c:numRef>
              <c:f>Sheet1!$BP$2:$BP$227</c:f>
              <c:numCache>
                <c:formatCode>0</c:formatCode>
                <c:ptCount val="226"/>
                <c:pt idx="0">
                  <c:v>115.75</c:v>
                </c:pt>
                <c:pt idx="1">
                  <c:v>115.75</c:v>
                </c:pt>
                <c:pt idx="2">
                  <c:v>115.75</c:v>
                </c:pt>
                <c:pt idx="3">
                  <c:v>116.75</c:v>
                </c:pt>
                <c:pt idx="4">
                  <c:v>116.75</c:v>
                </c:pt>
                <c:pt idx="5">
                  <c:v>116.75</c:v>
                </c:pt>
                <c:pt idx="6">
                  <c:v>110.75</c:v>
                </c:pt>
                <c:pt idx="7">
                  <c:v>110.75</c:v>
                </c:pt>
                <c:pt idx="8">
                  <c:v>110.75</c:v>
                </c:pt>
                <c:pt idx="9">
                  <c:v>126</c:v>
                </c:pt>
                <c:pt idx="10">
                  <c:v>126</c:v>
                </c:pt>
                <c:pt idx="11">
                  <c:v>126</c:v>
                </c:pt>
                <c:pt idx="12">
                  <c:v>121</c:v>
                </c:pt>
                <c:pt idx="13">
                  <c:v>121</c:v>
                </c:pt>
                <c:pt idx="14">
                  <c:v>121</c:v>
                </c:pt>
                <c:pt idx="15">
                  <c:v>117.333</c:v>
                </c:pt>
                <c:pt idx="16">
                  <c:v>117.333</c:v>
                </c:pt>
                <c:pt idx="17">
                  <c:v>117.333</c:v>
                </c:pt>
                <c:pt idx="18">
                  <c:v>109</c:v>
                </c:pt>
                <c:pt idx="19">
                  <c:v>109</c:v>
                </c:pt>
                <c:pt idx="20">
                  <c:v>109</c:v>
                </c:pt>
                <c:pt idx="21">
                  <c:v>111</c:v>
                </c:pt>
                <c:pt idx="22">
                  <c:v>111</c:v>
                </c:pt>
                <c:pt idx="23">
                  <c:v>111</c:v>
                </c:pt>
                <c:pt idx="24">
                  <c:v>109</c:v>
                </c:pt>
                <c:pt idx="25">
                  <c:v>109</c:v>
                </c:pt>
                <c:pt idx="26">
                  <c:v>109</c:v>
                </c:pt>
                <c:pt idx="27">
                  <c:v>111</c:v>
                </c:pt>
                <c:pt idx="28">
                  <c:v>111</c:v>
                </c:pt>
                <c:pt idx="29">
                  <c:v>111</c:v>
                </c:pt>
                <c:pt idx="30">
                  <c:v>122.125</c:v>
                </c:pt>
                <c:pt idx="31">
                  <c:v>122.125</c:v>
                </c:pt>
                <c:pt idx="32">
                  <c:v>122.125</c:v>
                </c:pt>
                <c:pt idx="33">
                  <c:v>113.5</c:v>
                </c:pt>
                <c:pt idx="34">
                  <c:v>113.5</c:v>
                </c:pt>
                <c:pt idx="35">
                  <c:v>113.5</c:v>
                </c:pt>
                <c:pt idx="36">
                  <c:v>117.25</c:v>
                </c:pt>
                <c:pt idx="37">
                  <c:v>117.25</c:v>
                </c:pt>
                <c:pt idx="38">
                  <c:v>117.25</c:v>
                </c:pt>
                <c:pt idx="39">
                  <c:v>116.125</c:v>
                </c:pt>
                <c:pt idx="40">
                  <c:v>116.125</c:v>
                </c:pt>
                <c:pt idx="41">
                  <c:v>116.125</c:v>
                </c:pt>
                <c:pt idx="42">
                  <c:v>116.125</c:v>
                </c:pt>
                <c:pt idx="43">
                  <c:v>117.5</c:v>
                </c:pt>
                <c:pt idx="44">
                  <c:v>117.5</c:v>
                </c:pt>
                <c:pt idx="45">
                  <c:v>117.5</c:v>
                </c:pt>
                <c:pt idx="46">
                  <c:v>114.75</c:v>
                </c:pt>
                <c:pt idx="47">
                  <c:v>114.75</c:v>
                </c:pt>
                <c:pt idx="48">
                  <c:v>114.75</c:v>
                </c:pt>
                <c:pt idx="49">
                  <c:v>114.75</c:v>
                </c:pt>
                <c:pt idx="50">
                  <c:v>114.75</c:v>
                </c:pt>
                <c:pt idx="51">
                  <c:v>114.75</c:v>
                </c:pt>
                <c:pt idx="52">
                  <c:v>128.5</c:v>
                </c:pt>
                <c:pt idx="53">
                  <c:v>128.5</c:v>
                </c:pt>
                <c:pt idx="54">
                  <c:v>128.5</c:v>
                </c:pt>
                <c:pt idx="55">
                  <c:v>119.75</c:v>
                </c:pt>
                <c:pt idx="56">
                  <c:v>119.75</c:v>
                </c:pt>
                <c:pt idx="57">
                  <c:v>119.75</c:v>
                </c:pt>
                <c:pt idx="58">
                  <c:v>127.75</c:v>
                </c:pt>
                <c:pt idx="59">
                  <c:v>127.75</c:v>
                </c:pt>
                <c:pt idx="60">
                  <c:v>127.75</c:v>
                </c:pt>
                <c:pt idx="61">
                  <c:v>115.25</c:v>
                </c:pt>
                <c:pt idx="62">
                  <c:v>115.25</c:v>
                </c:pt>
                <c:pt idx="63">
                  <c:v>115.25</c:v>
                </c:pt>
                <c:pt idx="64">
                  <c:v>123</c:v>
                </c:pt>
                <c:pt idx="65">
                  <c:v>123</c:v>
                </c:pt>
                <c:pt idx="66">
                  <c:v>123</c:v>
                </c:pt>
                <c:pt idx="67">
                  <c:v>117</c:v>
                </c:pt>
                <c:pt idx="68">
                  <c:v>117</c:v>
                </c:pt>
                <c:pt idx="69">
                  <c:v>117</c:v>
                </c:pt>
                <c:pt idx="70">
                  <c:v>104.25</c:v>
                </c:pt>
                <c:pt idx="71">
                  <c:v>104.25</c:v>
                </c:pt>
                <c:pt idx="72">
                  <c:v>104.25</c:v>
                </c:pt>
                <c:pt idx="73">
                  <c:v>132.5</c:v>
                </c:pt>
                <c:pt idx="74">
                  <c:v>132.5</c:v>
                </c:pt>
                <c:pt idx="75">
                  <c:v>132.5</c:v>
                </c:pt>
                <c:pt idx="76">
                  <c:v>116.5</c:v>
                </c:pt>
                <c:pt idx="77">
                  <c:v>116.5</c:v>
                </c:pt>
                <c:pt idx="78">
                  <c:v>116.5</c:v>
                </c:pt>
                <c:pt idx="79">
                  <c:v>115</c:v>
                </c:pt>
                <c:pt idx="80">
                  <c:v>115</c:v>
                </c:pt>
                <c:pt idx="81">
                  <c:v>115</c:v>
                </c:pt>
                <c:pt idx="82">
                  <c:v>118.5</c:v>
                </c:pt>
                <c:pt idx="83">
                  <c:v>118.5</c:v>
                </c:pt>
                <c:pt idx="84">
                  <c:v>118.5</c:v>
                </c:pt>
                <c:pt idx="85">
                  <c:v>116.167</c:v>
                </c:pt>
                <c:pt idx="86">
                  <c:v>116.167</c:v>
                </c:pt>
                <c:pt idx="87">
                  <c:v>116.167</c:v>
                </c:pt>
                <c:pt idx="88">
                  <c:v>116.25</c:v>
                </c:pt>
                <c:pt idx="89">
                  <c:v>116.25</c:v>
                </c:pt>
                <c:pt idx="90">
                  <c:v>116.25</c:v>
                </c:pt>
                <c:pt idx="91">
                  <c:v>119</c:v>
                </c:pt>
                <c:pt idx="92">
                  <c:v>119</c:v>
                </c:pt>
                <c:pt idx="93">
                  <c:v>119</c:v>
                </c:pt>
                <c:pt idx="94">
                  <c:v>114.75</c:v>
                </c:pt>
                <c:pt idx="95">
                  <c:v>114.75</c:v>
                </c:pt>
                <c:pt idx="96">
                  <c:v>114.75</c:v>
                </c:pt>
                <c:pt idx="97">
                  <c:v>119.75</c:v>
                </c:pt>
                <c:pt idx="98">
                  <c:v>119.75</c:v>
                </c:pt>
                <c:pt idx="99">
                  <c:v>119.75</c:v>
                </c:pt>
                <c:pt idx="100">
                  <c:v>117.8</c:v>
                </c:pt>
                <c:pt idx="101">
                  <c:v>117.8</c:v>
                </c:pt>
                <c:pt idx="102">
                  <c:v>117.8</c:v>
                </c:pt>
                <c:pt idx="103">
                  <c:v>129</c:v>
                </c:pt>
                <c:pt idx="104">
                  <c:v>129</c:v>
                </c:pt>
                <c:pt idx="105">
                  <c:v>129</c:v>
                </c:pt>
                <c:pt idx="106">
                  <c:v>114.75</c:v>
                </c:pt>
                <c:pt idx="107">
                  <c:v>114.75</c:v>
                </c:pt>
                <c:pt idx="108">
                  <c:v>114.75</c:v>
                </c:pt>
                <c:pt idx="109">
                  <c:v>125.25</c:v>
                </c:pt>
                <c:pt idx="110">
                  <c:v>125.25</c:v>
                </c:pt>
                <c:pt idx="111">
                  <c:v>125.25</c:v>
                </c:pt>
                <c:pt idx="112">
                  <c:v>124.6</c:v>
                </c:pt>
                <c:pt idx="113">
                  <c:v>124.6</c:v>
                </c:pt>
                <c:pt idx="114">
                  <c:v>124.6</c:v>
                </c:pt>
                <c:pt idx="115">
                  <c:v>116.5</c:v>
                </c:pt>
                <c:pt idx="116">
                  <c:v>116.5</c:v>
                </c:pt>
                <c:pt idx="117">
                  <c:v>116.5</c:v>
                </c:pt>
                <c:pt idx="118">
                  <c:v>111.25</c:v>
                </c:pt>
                <c:pt idx="119">
                  <c:v>111.25</c:v>
                </c:pt>
                <c:pt idx="120">
                  <c:v>111.25</c:v>
                </c:pt>
                <c:pt idx="121">
                  <c:v>109.5</c:v>
                </c:pt>
                <c:pt idx="122">
                  <c:v>109.5</c:v>
                </c:pt>
                <c:pt idx="123">
                  <c:v>109.5</c:v>
                </c:pt>
                <c:pt idx="124">
                  <c:v>130.75</c:v>
                </c:pt>
                <c:pt idx="125">
                  <c:v>130.75</c:v>
                </c:pt>
                <c:pt idx="126">
                  <c:v>130.75</c:v>
                </c:pt>
                <c:pt idx="127">
                  <c:v>116.75</c:v>
                </c:pt>
                <c:pt idx="128">
                  <c:v>116.75</c:v>
                </c:pt>
                <c:pt idx="129">
                  <c:v>116.75</c:v>
                </c:pt>
                <c:pt idx="130">
                  <c:v>116.25</c:v>
                </c:pt>
                <c:pt idx="131">
                  <c:v>116.25</c:v>
                </c:pt>
                <c:pt idx="132">
                  <c:v>116.25</c:v>
                </c:pt>
                <c:pt idx="133">
                  <c:v>125.5</c:v>
                </c:pt>
                <c:pt idx="134">
                  <c:v>125.5</c:v>
                </c:pt>
                <c:pt idx="135">
                  <c:v>125.5</c:v>
                </c:pt>
                <c:pt idx="136">
                  <c:v>131.25</c:v>
                </c:pt>
                <c:pt idx="137">
                  <c:v>131.25</c:v>
                </c:pt>
                <c:pt idx="138">
                  <c:v>131.25</c:v>
                </c:pt>
                <c:pt idx="139">
                  <c:v>130.333</c:v>
                </c:pt>
                <c:pt idx="140">
                  <c:v>130.333</c:v>
                </c:pt>
                <c:pt idx="141">
                  <c:v>130.333</c:v>
                </c:pt>
                <c:pt idx="142">
                  <c:v>147.75</c:v>
                </c:pt>
                <c:pt idx="143">
                  <c:v>147.75</c:v>
                </c:pt>
                <c:pt idx="144">
                  <c:v>147.75</c:v>
                </c:pt>
                <c:pt idx="145">
                  <c:v>118.25</c:v>
                </c:pt>
                <c:pt idx="146">
                  <c:v>118.25</c:v>
                </c:pt>
                <c:pt idx="147">
                  <c:v>118.25</c:v>
                </c:pt>
                <c:pt idx="148">
                  <c:v>118.75</c:v>
                </c:pt>
                <c:pt idx="149">
                  <c:v>118.75</c:v>
                </c:pt>
                <c:pt idx="150">
                  <c:v>118.75</c:v>
                </c:pt>
                <c:pt idx="151">
                  <c:v>137</c:v>
                </c:pt>
                <c:pt idx="152">
                  <c:v>137</c:v>
                </c:pt>
                <c:pt idx="153">
                  <c:v>137</c:v>
                </c:pt>
                <c:pt idx="154">
                  <c:v>117.25</c:v>
                </c:pt>
                <c:pt idx="155">
                  <c:v>117.25</c:v>
                </c:pt>
                <c:pt idx="156">
                  <c:v>117.25</c:v>
                </c:pt>
                <c:pt idx="157">
                  <c:v>131.333</c:v>
                </c:pt>
                <c:pt idx="158">
                  <c:v>131.333</c:v>
                </c:pt>
                <c:pt idx="159">
                  <c:v>131.333</c:v>
                </c:pt>
                <c:pt idx="160">
                  <c:v>129</c:v>
                </c:pt>
                <c:pt idx="161">
                  <c:v>129</c:v>
                </c:pt>
                <c:pt idx="162">
                  <c:v>129</c:v>
                </c:pt>
                <c:pt idx="163">
                  <c:v>119.667</c:v>
                </c:pt>
                <c:pt idx="164">
                  <c:v>119.667</c:v>
                </c:pt>
                <c:pt idx="165">
                  <c:v>119.667</c:v>
                </c:pt>
                <c:pt idx="166">
                  <c:v>117.75</c:v>
                </c:pt>
                <c:pt idx="167">
                  <c:v>117.75</c:v>
                </c:pt>
                <c:pt idx="168">
                  <c:v>117.75</c:v>
                </c:pt>
                <c:pt idx="169">
                  <c:v>113.5</c:v>
                </c:pt>
                <c:pt idx="170">
                  <c:v>113.5</c:v>
                </c:pt>
                <c:pt idx="171">
                  <c:v>113.5</c:v>
                </c:pt>
                <c:pt idx="172">
                  <c:v>115.5</c:v>
                </c:pt>
                <c:pt idx="173">
                  <c:v>115.5</c:v>
                </c:pt>
                <c:pt idx="174">
                  <c:v>115.5</c:v>
                </c:pt>
                <c:pt idx="175">
                  <c:v>110.75</c:v>
                </c:pt>
                <c:pt idx="176">
                  <c:v>110.75</c:v>
                </c:pt>
                <c:pt idx="177">
                  <c:v>110.75</c:v>
                </c:pt>
                <c:pt idx="178">
                  <c:v>115.25</c:v>
                </c:pt>
                <c:pt idx="179">
                  <c:v>115.25</c:v>
                </c:pt>
                <c:pt idx="180">
                  <c:v>115.25</c:v>
                </c:pt>
                <c:pt idx="181">
                  <c:v>116.25</c:v>
                </c:pt>
                <c:pt idx="182">
                  <c:v>116.25</c:v>
                </c:pt>
                <c:pt idx="183">
                  <c:v>116.25</c:v>
                </c:pt>
                <c:pt idx="184">
                  <c:v>116.333</c:v>
                </c:pt>
                <c:pt idx="185">
                  <c:v>116.333</c:v>
                </c:pt>
                <c:pt idx="186">
                  <c:v>116.333</c:v>
                </c:pt>
                <c:pt idx="187">
                  <c:v>115.375</c:v>
                </c:pt>
                <c:pt idx="188">
                  <c:v>115.375</c:v>
                </c:pt>
                <c:pt idx="189">
                  <c:v>115.375</c:v>
                </c:pt>
                <c:pt idx="190">
                  <c:v>113.25</c:v>
                </c:pt>
                <c:pt idx="191">
                  <c:v>113.25</c:v>
                </c:pt>
                <c:pt idx="192">
                  <c:v>113.25</c:v>
                </c:pt>
                <c:pt idx="193">
                  <c:v>111.25</c:v>
                </c:pt>
                <c:pt idx="194">
                  <c:v>111.25</c:v>
                </c:pt>
                <c:pt idx="195">
                  <c:v>111.25</c:v>
                </c:pt>
                <c:pt idx="196">
                  <c:v>124.5</c:v>
                </c:pt>
                <c:pt idx="197">
                  <c:v>124.5</c:v>
                </c:pt>
                <c:pt idx="198">
                  <c:v>124.5</c:v>
                </c:pt>
                <c:pt idx="199">
                  <c:v>115.5</c:v>
                </c:pt>
                <c:pt idx="200">
                  <c:v>115.5</c:v>
                </c:pt>
                <c:pt idx="201">
                  <c:v>115.5</c:v>
                </c:pt>
                <c:pt idx="202">
                  <c:v>125</c:v>
                </c:pt>
                <c:pt idx="203">
                  <c:v>125</c:v>
                </c:pt>
                <c:pt idx="204">
                  <c:v>125</c:v>
                </c:pt>
                <c:pt idx="205">
                  <c:v>114.25</c:v>
                </c:pt>
                <c:pt idx="206">
                  <c:v>114.25</c:v>
                </c:pt>
                <c:pt idx="207">
                  <c:v>114.25</c:v>
                </c:pt>
                <c:pt idx="208">
                  <c:v>116.25</c:v>
                </c:pt>
                <c:pt idx="209">
                  <c:v>116.25</c:v>
                </c:pt>
                <c:pt idx="210">
                  <c:v>116.25</c:v>
                </c:pt>
                <c:pt idx="212">
                  <c:v>116.75</c:v>
                </c:pt>
              </c:numCache>
            </c:numRef>
          </c:xVal>
          <c:yVal>
            <c:numRef>
              <c:f>Sheet1!$BS$2:$BS$227</c:f>
              <c:numCache>
                <c:formatCode>0</c:formatCode>
                <c:ptCount val="226"/>
                <c:pt idx="0">
                  <c:v>181.5</c:v>
                </c:pt>
                <c:pt idx="1">
                  <c:v>181.5</c:v>
                </c:pt>
                <c:pt idx="2">
                  <c:v>181.5</c:v>
                </c:pt>
                <c:pt idx="3">
                  <c:v>178.875</c:v>
                </c:pt>
                <c:pt idx="4">
                  <c:v>178.875</c:v>
                </c:pt>
                <c:pt idx="5">
                  <c:v>178.875</c:v>
                </c:pt>
                <c:pt idx="6">
                  <c:v>157.5</c:v>
                </c:pt>
                <c:pt idx="7">
                  <c:v>157.5</c:v>
                </c:pt>
                <c:pt idx="8">
                  <c:v>157.5</c:v>
                </c:pt>
                <c:pt idx="9">
                  <c:v>203</c:v>
                </c:pt>
                <c:pt idx="10">
                  <c:v>203</c:v>
                </c:pt>
                <c:pt idx="11">
                  <c:v>203</c:v>
                </c:pt>
                <c:pt idx="12">
                  <c:v>175</c:v>
                </c:pt>
                <c:pt idx="13">
                  <c:v>175</c:v>
                </c:pt>
                <c:pt idx="14">
                  <c:v>175</c:v>
                </c:pt>
                <c:pt idx="15">
                  <c:v>182.167</c:v>
                </c:pt>
                <c:pt idx="16">
                  <c:v>182.167</c:v>
                </c:pt>
                <c:pt idx="17">
                  <c:v>182.167</c:v>
                </c:pt>
                <c:pt idx="18">
                  <c:v>157.5</c:v>
                </c:pt>
                <c:pt idx="19">
                  <c:v>157.5</c:v>
                </c:pt>
                <c:pt idx="20">
                  <c:v>157.5</c:v>
                </c:pt>
                <c:pt idx="21">
                  <c:v>194.75</c:v>
                </c:pt>
                <c:pt idx="22">
                  <c:v>194.75</c:v>
                </c:pt>
                <c:pt idx="23">
                  <c:v>194.75</c:v>
                </c:pt>
                <c:pt idx="24">
                  <c:v>186</c:v>
                </c:pt>
                <c:pt idx="25">
                  <c:v>186</c:v>
                </c:pt>
                <c:pt idx="26">
                  <c:v>186</c:v>
                </c:pt>
                <c:pt idx="27">
                  <c:v>170</c:v>
                </c:pt>
                <c:pt idx="28">
                  <c:v>170</c:v>
                </c:pt>
                <c:pt idx="29">
                  <c:v>170</c:v>
                </c:pt>
                <c:pt idx="30">
                  <c:v>175.625</c:v>
                </c:pt>
                <c:pt idx="31">
                  <c:v>175.625</c:v>
                </c:pt>
                <c:pt idx="32">
                  <c:v>175.625</c:v>
                </c:pt>
                <c:pt idx="33">
                  <c:v>164.5</c:v>
                </c:pt>
                <c:pt idx="34">
                  <c:v>164.5</c:v>
                </c:pt>
                <c:pt idx="35">
                  <c:v>164.5</c:v>
                </c:pt>
                <c:pt idx="36">
                  <c:v>182.75</c:v>
                </c:pt>
                <c:pt idx="37">
                  <c:v>182.75</c:v>
                </c:pt>
                <c:pt idx="38">
                  <c:v>182.75</c:v>
                </c:pt>
                <c:pt idx="39">
                  <c:v>164.625</c:v>
                </c:pt>
                <c:pt idx="40">
                  <c:v>164.625</c:v>
                </c:pt>
                <c:pt idx="41">
                  <c:v>164.625</c:v>
                </c:pt>
                <c:pt idx="42">
                  <c:v>164.625</c:v>
                </c:pt>
                <c:pt idx="43">
                  <c:v>183.75</c:v>
                </c:pt>
                <c:pt idx="44">
                  <c:v>183.75</c:v>
                </c:pt>
                <c:pt idx="45">
                  <c:v>183.75</c:v>
                </c:pt>
                <c:pt idx="46">
                  <c:v>178.5</c:v>
                </c:pt>
                <c:pt idx="47">
                  <c:v>178.5</c:v>
                </c:pt>
                <c:pt idx="48">
                  <c:v>178.5</c:v>
                </c:pt>
                <c:pt idx="49">
                  <c:v>173.5</c:v>
                </c:pt>
                <c:pt idx="50">
                  <c:v>173.5</c:v>
                </c:pt>
                <c:pt idx="51">
                  <c:v>173.5</c:v>
                </c:pt>
                <c:pt idx="52">
                  <c:v>176.25</c:v>
                </c:pt>
                <c:pt idx="53">
                  <c:v>176.25</c:v>
                </c:pt>
                <c:pt idx="54">
                  <c:v>176.25</c:v>
                </c:pt>
                <c:pt idx="55">
                  <c:v>197.25</c:v>
                </c:pt>
                <c:pt idx="56">
                  <c:v>197.25</c:v>
                </c:pt>
                <c:pt idx="57">
                  <c:v>197.25</c:v>
                </c:pt>
                <c:pt idx="58">
                  <c:v>201</c:v>
                </c:pt>
                <c:pt idx="59">
                  <c:v>201</c:v>
                </c:pt>
                <c:pt idx="60">
                  <c:v>201</c:v>
                </c:pt>
                <c:pt idx="61">
                  <c:v>160.5</c:v>
                </c:pt>
                <c:pt idx="62">
                  <c:v>160.5</c:v>
                </c:pt>
                <c:pt idx="63">
                  <c:v>160.5</c:v>
                </c:pt>
                <c:pt idx="64">
                  <c:v>164.5</c:v>
                </c:pt>
                <c:pt idx="65">
                  <c:v>164.5</c:v>
                </c:pt>
                <c:pt idx="66">
                  <c:v>164.5</c:v>
                </c:pt>
                <c:pt idx="67">
                  <c:v>196</c:v>
                </c:pt>
                <c:pt idx="68">
                  <c:v>196</c:v>
                </c:pt>
                <c:pt idx="69">
                  <c:v>196</c:v>
                </c:pt>
                <c:pt idx="70">
                  <c:v>199.75</c:v>
                </c:pt>
                <c:pt idx="71">
                  <c:v>199.75</c:v>
                </c:pt>
                <c:pt idx="72">
                  <c:v>199.75</c:v>
                </c:pt>
                <c:pt idx="73">
                  <c:v>195.5</c:v>
                </c:pt>
                <c:pt idx="74">
                  <c:v>195.5</c:v>
                </c:pt>
                <c:pt idx="75">
                  <c:v>195.5</c:v>
                </c:pt>
                <c:pt idx="76">
                  <c:v>172.25</c:v>
                </c:pt>
                <c:pt idx="77">
                  <c:v>172.25</c:v>
                </c:pt>
                <c:pt idx="78">
                  <c:v>172.25</c:v>
                </c:pt>
                <c:pt idx="79">
                  <c:v>170</c:v>
                </c:pt>
                <c:pt idx="80">
                  <c:v>170</c:v>
                </c:pt>
                <c:pt idx="81">
                  <c:v>170</c:v>
                </c:pt>
                <c:pt idx="82">
                  <c:v>208</c:v>
                </c:pt>
                <c:pt idx="83">
                  <c:v>208</c:v>
                </c:pt>
                <c:pt idx="84">
                  <c:v>208</c:v>
                </c:pt>
                <c:pt idx="85">
                  <c:v>151.833</c:v>
                </c:pt>
                <c:pt idx="86">
                  <c:v>151.833</c:v>
                </c:pt>
                <c:pt idx="87">
                  <c:v>151.833</c:v>
                </c:pt>
                <c:pt idx="88">
                  <c:v>167</c:v>
                </c:pt>
                <c:pt idx="89">
                  <c:v>167</c:v>
                </c:pt>
                <c:pt idx="90">
                  <c:v>167</c:v>
                </c:pt>
                <c:pt idx="91">
                  <c:v>199.5</c:v>
                </c:pt>
                <c:pt idx="92">
                  <c:v>199.5</c:v>
                </c:pt>
                <c:pt idx="93">
                  <c:v>199.5</c:v>
                </c:pt>
                <c:pt idx="94">
                  <c:v>165</c:v>
                </c:pt>
                <c:pt idx="95">
                  <c:v>165</c:v>
                </c:pt>
                <c:pt idx="96">
                  <c:v>165</c:v>
                </c:pt>
                <c:pt idx="97">
                  <c:v>207.25</c:v>
                </c:pt>
                <c:pt idx="98">
                  <c:v>207.25</c:v>
                </c:pt>
                <c:pt idx="99">
                  <c:v>207.25</c:v>
                </c:pt>
                <c:pt idx="100">
                  <c:v>174.5</c:v>
                </c:pt>
                <c:pt idx="101">
                  <c:v>174.5</c:v>
                </c:pt>
                <c:pt idx="102">
                  <c:v>174.5</c:v>
                </c:pt>
                <c:pt idx="103">
                  <c:v>201.25</c:v>
                </c:pt>
                <c:pt idx="104">
                  <c:v>201.25</c:v>
                </c:pt>
                <c:pt idx="105">
                  <c:v>201.25</c:v>
                </c:pt>
                <c:pt idx="106">
                  <c:v>172.75</c:v>
                </c:pt>
                <c:pt idx="107">
                  <c:v>172.75</c:v>
                </c:pt>
                <c:pt idx="108">
                  <c:v>172.75</c:v>
                </c:pt>
                <c:pt idx="109">
                  <c:v>183.25</c:v>
                </c:pt>
                <c:pt idx="110">
                  <c:v>183.25</c:v>
                </c:pt>
                <c:pt idx="111">
                  <c:v>183.25</c:v>
                </c:pt>
                <c:pt idx="112">
                  <c:v>186.2</c:v>
                </c:pt>
                <c:pt idx="113">
                  <c:v>186.2</c:v>
                </c:pt>
                <c:pt idx="114">
                  <c:v>186.2</c:v>
                </c:pt>
                <c:pt idx="115">
                  <c:v>217</c:v>
                </c:pt>
                <c:pt idx="116">
                  <c:v>217</c:v>
                </c:pt>
                <c:pt idx="117">
                  <c:v>217</c:v>
                </c:pt>
                <c:pt idx="118">
                  <c:v>194.75</c:v>
                </c:pt>
                <c:pt idx="119">
                  <c:v>194.75</c:v>
                </c:pt>
                <c:pt idx="120">
                  <c:v>194.75</c:v>
                </c:pt>
                <c:pt idx="121">
                  <c:v>191.75</c:v>
                </c:pt>
                <c:pt idx="122">
                  <c:v>191.75</c:v>
                </c:pt>
                <c:pt idx="123">
                  <c:v>191.75</c:v>
                </c:pt>
                <c:pt idx="124">
                  <c:v>205.5</c:v>
                </c:pt>
                <c:pt idx="125">
                  <c:v>205.5</c:v>
                </c:pt>
                <c:pt idx="126">
                  <c:v>205.5</c:v>
                </c:pt>
                <c:pt idx="127">
                  <c:v>159.75</c:v>
                </c:pt>
                <c:pt idx="128">
                  <c:v>159.75</c:v>
                </c:pt>
                <c:pt idx="129">
                  <c:v>159.75</c:v>
                </c:pt>
                <c:pt idx="130">
                  <c:v>173</c:v>
                </c:pt>
                <c:pt idx="131">
                  <c:v>173</c:v>
                </c:pt>
                <c:pt idx="132">
                  <c:v>173</c:v>
                </c:pt>
                <c:pt idx="133">
                  <c:v>167.25</c:v>
                </c:pt>
                <c:pt idx="134">
                  <c:v>167.25</c:v>
                </c:pt>
                <c:pt idx="135">
                  <c:v>167.25</c:v>
                </c:pt>
                <c:pt idx="136">
                  <c:v>173</c:v>
                </c:pt>
                <c:pt idx="137">
                  <c:v>173</c:v>
                </c:pt>
                <c:pt idx="138">
                  <c:v>173</c:v>
                </c:pt>
                <c:pt idx="139">
                  <c:v>191</c:v>
                </c:pt>
                <c:pt idx="140">
                  <c:v>191</c:v>
                </c:pt>
                <c:pt idx="141">
                  <c:v>191</c:v>
                </c:pt>
                <c:pt idx="142">
                  <c:v>211.5</c:v>
                </c:pt>
                <c:pt idx="143">
                  <c:v>211.5</c:v>
                </c:pt>
                <c:pt idx="144">
                  <c:v>211.5</c:v>
                </c:pt>
                <c:pt idx="145">
                  <c:v>202.25</c:v>
                </c:pt>
                <c:pt idx="146">
                  <c:v>202.25</c:v>
                </c:pt>
                <c:pt idx="147">
                  <c:v>202.25</c:v>
                </c:pt>
                <c:pt idx="148">
                  <c:v>163.5</c:v>
                </c:pt>
                <c:pt idx="149">
                  <c:v>163.5</c:v>
                </c:pt>
                <c:pt idx="150">
                  <c:v>163.5</c:v>
                </c:pt>
                <c:pt idx="151">
                  <c:v>215.5</c:v>
                </c:pt>
                <c:pt idx="152">
                  <c:v>215.5</c:v>
                </c:pt>
                <c:pt idx="153">
                  <c:v>215.5</c:v>
                </c:pt>
                <c:pt idx="154">
                  <c:v>154.5</c:v>
                </c:pt>
                <c:pt idx="155">
                  <c:v>154.5</c:v>
                </c:pt>
                <c:pt idx="156">
                  <c:v>154.5</c:v>
                </c:pt>
                <c:pt idx="157">
                  <c:v>229.833</c:v>
                </c:pt>
                <c:pt idx="158">
                  <c:v>229.833</c:v>
                </c:pt>
                <c:pt idx="159">
                  <c:v>229.833</c:v>
                </c:pt>
                <c:pt idx="160">
                  <c:v>209.75</c:v>
                </c:pt>
                <c:pt idx="161">
                  <c:v>209.75</c:v>
                </c:pt>
                <c:pt idx="162">
                  <c:v>209.75</c:v>
                </c:pt>
                <c:pt idx="163">
                  <c:v>163.667</c:v>
                </c:pt>
                <c:pt idx="164">
                  <c:v>163.667</c:v>
                </c:pt>
                <c:pt idx="165">
                  <c:v>163.667</c:v>
                </c:pt>
                <c:pt idx="166">
                  <c:v>159.25</c:v>
                </c:pt>
                <c:pt idx="167">
                  <c:v>159.25</c:v>
                </c:pt>
                <c:pt idx="168">
                  <c:v>159.25</c:v>
                </c:pt>
                <c:pt idx="169">
                  <c:v>163.25</c:v>
                </c:pt>
                <c:pt idx="170">
                  <c:v>163.25</c:v>
                </c:pt>
                <c:pt idx="171">
                  <c:v>163.25</c:v>
                </c:pt>
                <c:pt idx="172">
                  <c:v>176</c:v>
                </c:pt>
                <c:pt idx="173">
                  <c:v>176</c:v>
                </c:pt>
                <c:pt idx="174">
                  <c:v>176</c:v>
                </c:pt>
                <c:pt idx="175">
                  <c:v>207.75</c:v>
                </c:pt>
                <c:pt idx="176">
                  <c:v>207.75</c:v>
                </c:pt>
                <c:pt idx="177">
                  <c:v>207.75</c:v>
                </c:pt>
                <c:pt idx="178">
                  <c:v>180</c:v>
                </c:pt>
                <c:pt idx="179">
                  <c:v>180</c:v>
                </c:pt>
                <c:pt idx="180">
                  <c:v>180</c:v>
                </c:pt>
                <c:pt idx="181">
                  <c:v>167.25</c:v>
                </c:pt>
                <c:pt idx="182">
                  <c:v>167.25</c:v>
                </c:pt>
                <c:pt idx="183">
                  <c:v>167.25</c:v>
                </c:pt>
                <c:pt idx="184">
                  <c:v>173</c:v>
                </c:pt>
                <c:pt idx="185">
                  <c:v>173</c:v>
                </c:pt>
                <c:pt idx="186">
                  <c:v>173</c:v>
                </c:pt>
                <c:pt idx="187">
                  <c:v>160</c:v>
                </c:pt>
                <c:pt idx="188">
                  <c:v>160</c:v>
                </c:pt>
                <c:pt idx="189">
                  <c:v>160</c:v>
                </c:pt>
                <c:pt idx="190">
                  <c:v>156.75</c:v>
                </c:pt>
                <c:pt idx="191">
                  <c:v>156.75</c:v>
                </c:pt>
                <c:pt idx="192">
                  <c:v>156.75</c:v>
                </c:pt>
                <c:pt idx="193">
                  <c:v>165.75</c:v>
                </c:pt>
                <c:pt idx="194">
                  <c:v>165.75</c:v>
                </c:pt>
                <c:pt idx="195">
                  <c:v>165.75</c:v>
                </c:pt>
                <c:pt idx="196">
                  <c:v>201.5</c:v>
                </c:pt>
                <c:pt idx="197">
                  <c:v>201.5</c:v>
                </c:pt>
                <c:pt idx="198">
                  <c:v>201.5</c:v>
                </c:pt>
                <c:pt idx="199">
                  <c:v>157.75</c:v>
                </c:pt>
                <c:pt idx="200">
                  <c:v>157.75</c:v>
                </c:pt>
                <c:pt idx="201">
                  <c:v>157.75</c:v>
                </c:pt>
                <c:pt idx="202">
                  <c:v>190.25</c:v>
                </c:pt>
                <c:pt idx="203">
                  <c:v>190.25</c:v>
                </c:pt>
                <c:pt idx="204">
                  <c:v>190.25</c:v>
                </c:pt>
                <c:pt idx="205">
                  <c:v>168.125</c:v>
                </c:pt>
                <c:pt idx="206">
                  <c:v>168.125</c:v>
                </c:pt>
                <c:pt idx="207">
                  <c:v>168.125</c:v>
                </c:pt>
                <c:pt idx="208">
                  <c:v>182.25</c:v>
                </c:pt>
                <c:pt idx="209">
                  <c:v>182.25</c:v>
                </c:pt>
                <c:pt idx="210">
                  <c:v>182.25</c:v>
                </c:pt>
                <c:pt idx="212">
                  <c:v>176.25</c:v>
                </c:pt>
              </c:numCache>
            </c:numRef>
          </c:yVal>
          <c:smooth val="0"/>
          <c:extLst>
            <c:ext xmlns:c16="http://schemas.microsoft.com/office/drawing/2014/chart" uri="{C3380CC4-5D6E-409C-BE32-E72D297353CC}">
              <c16:uniqueId val="{00000000-AD78-4A2A-8F2A-1B4EF585ECFA}"/>
            </c:ext>
          </c:extLst>
        </c:ser>
        <c:dLbls>
          <c:showLegendKey val="0"/>
          <c:showVal val="0"/>
          <c:showCatName val="0"/>
          <c:showSerName val="0"/>
          <c:showPercent val="0"/>
          <c:showBubbleSize val="0"/>
        </c:dLbls>
        <c:axId val="1837731952"/>
        <c:axId val="1837733200"/>
      </c:scatterChart>
      <c:valAx>
        <c:axId val="1837731952"/>
        <c:scaling>
          <c:orientation val="minMax"/>
          <c:max val="150"/>
          <c:min val="100"/>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CA"/>
                  <a:t>Stall width (cm)</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37733200"/>
        <c:crosses val="autoZero"/>
        <c:crossBetween val="midCat"/>
        <c:majorUnit val="10"/>
      </c:valAx>
      <c:valAx>
        <c:axId val="1837733200"/>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CA"/>
                  <a:t>Back of the stall to neck rail length (cm)</a:t>
                </a:r>
              </a:p>
            </c:rich>
          </c:tx>
          <c:layout>
            <c:manualLayout>
              <c:xMode val="edge"/>
              <c:yMode val="edge"/>
              <c:x val="1.7858823325143894E-2"/>
              <c:y val="1.1444922732662195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377319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1" ma:contentTypeDescription="Create a new document." ma:contentTypeScope="" ma:versionID="8c13f867c232427de1f2d17308066d51">
  <xsd:schema xmlns:xsd="http://www.w3.org/2001/XMLSchema" xmlns:xs="http://www.w3.org/2001/XMLSchema" xmlns:p="http://schemas.microsoft.com/office/2006/metadata/properties" xmlns:ns3="4152e4b0-9273-4eb3-9219-cbfd475533bd" xmlns:ns4="471cef36-82b7-4951-946c-7d484f1f0794" targetNamespace="http://schemas.microsoft.com/office/2006/metadata/properties" ma:root="true" ma:fieldsID="fb199044a1b4364ce9c136d4b69ed248" ns3:_="" ns4:_="">
    <xsd:import namespace="4152e4b0-9273-4eb3-9219-cbfd475533bd"/>
    <xsd:import namespace="471cef36-82b7-4951-946c-7d484f1f0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D230-4292-47B6-99A9-44EA3CBF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2e4b0-9273-4eb3-9219-cbfd475533bd"/>
    <ds:schemaRef ds:uri="471cef36-82b7-4951-946c-7d484f1f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04F1B-A6B0-42FB-9837-BFAD7FC299E6}">
  <ds:schemaRefs>
    <ds:schemaRef ds:uri="http://schemas.microsoft.com/sharepoint/v3/contenttype/forms"/>
  </ds:schemaRefs>
</ds:datastoreItem>
</file>

<file path=customXml/itemProps3.xml><?xml version="1.0" encoding="utf-8"?>
<ds:datastoreItem xmlns:ds="http://schemas.openxmlformats.org/officeDocument/2006/customXml" ds:itemID="{B93F6907-E67F-4D95-BC4B-D5FCC3FD9F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7028D-44FC-40D1-8B9D-3E00D15C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774</Words>
  <Characters>4418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DeVries</dc:creator>
  <cp:keywords/>
  <dc:description/>
  <cp:lastModifiedBy>ANM</cp:lastModifiedBy>
  <cp:revision>4</cp:revision>
  <dcterms:created xsi:type="dcterms:W3CDTF">2019-10-17T12:41:00Z</dcterms:created>
  <dcterms:modified xsi:type="dcterms:W3CDTF">2019-10-17T12:42:00Z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