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D5" w:rsidRPr="00700908" w:rsidRDefault="004404D5" w:rsidP="004404D5">
      <w:pPr>
        <w:spacing w:after="0"/>
        <w:rPr>
          <w:rFonts w:ascii="Arial" w:hAnsi="Arial" w:cs="Arial"/>
          <w:i/>
          <w:szCs w:val="24"/>
          <w:lang w:val="en-US"/>
        </w:rPr>
      </w:pPr>
      <w:r w:rsidRPr="00700908">
        <w:rPr>
          <w:rFonts w:ascii="Arial" w:hAnsi="Arial" w:cs="Arial"/>
          <w:i/>
          <w:szCs w:val="24"/>
          <w:lang w:val="en-US"/>
        </w:rPr>
        <w:t>Animal</w:t>
      </w:r>
    </w:p>
    <w:p w:rsidR="004404D5" w:rsidRPr="00700908" w:rsidRDefault="004404D5" w:rsidP="004404D5">
      <w:pPr>
        <w:spacing w:after="0"/>
        <w:rPr>
          <w:rFonts w:ascii="Arial" w:hAnsi="Arial" w:cs="Arial"/>
          <w:b/>
          <w:szCs w:val="24"/>
          <w:lang w:val="en-US"/>
        </w:rPr>
      </w:pPr>
      <w:r w:rsidRPr="00700908">
        <w:rPr>
          <w:rFonts w:ascii="Arial" w:hAnsi="Arial" w:cs="Arial"/>
          <w:b/>
          <w:szCs w:val="24"/>
          <w:lang w:val="en-US"/>
        </w:rPr>
        <w:t>Differential hepatic oxidative status in steers with divergent residual feed intake phenotype</w:t>
      </w:r>
    </w:p>
    <w:p w:rsidR="004404D5" w:rsidRPr="00700908" w:rsidRDefault="00B853F9" w:rsidP="004404D5">
      <w:pPr>
        <w:spacing w:after="0"/>
        <w:rPr>
          <w:rFonts w:ascii="Arial" w:hAnsi="Arial" w:cs="Arial"/>
          <w:szCs w:val="24"/>
          <w:vertAlign w:val="superscript"/>
          <w:lang w:val="pt-BR"/>
        </w:rPr>
      </w:pPr>
      <w:r w:rsidRPr="00700908">
        <w:rPr>
          <w:rFonts w:ascii="Arial" w:hAnsi="Arial" w:cs="Arial"/>
          <w:szCs w:val="24"/>
          <w:lang w:val="pt-BR"/>
        </w:rPr>
        <w:t>A. Casal; M. Garcia-Roche; E.A. Navajas; A. Cassina; M. Carriquiry</w:t>
      </w:r>
    </w:p>
    <w:p w:rsidR="006B2291" w:rsidRPr="00700908" w:rsidRDefault="006B2291">
      <w:pPr>
        <w:spacing w:after="0" w:line="240" w:lineRule="auto"/>
        <w:rPr>
          <w:rFonts w:ascii="Arial" w:hAnsi="Arial" w:cs="Arial"/>
          <w:sz w:val="22"/>
          <w:lang w:val="pt-BR"/>
        </w:rPr>
      </w:pPr>
    </w:p>
    <w:p w:rsidR="006B2291" w:rsidRPr="00700908" w:rsidRDefault="006B2291" w:rsidP="006B2291">
      <w:pPr>
        <w:spacing w:after="0"/>
        <w:rPr>
          <w:rFonts w:ascii="Arial" w:eastAsia="AdvOT863180fb" w:hAnsi="Arial" w:cs="Arial"/>
          <w:szCs w:val="24"/>
          <w:lang w:val="en-US"/>
        </w:rPr>
      </w:pPr>
      <w:r w:rsidRPr="00700908">
        <w:rPr>
          <w:rFonts w:ascii="Arial" w:eastAsia="AdvOT863180fb" w:hAnsi="Arial" w:cs="Arial"/>
          <w:b/>
          <w:szCs w:val="24"/>
          <w:lang w:val="en-US"/>
        </w:rPr>
        <w:t>Supplementary Material S</w:t>
      </w:r>
      <w:r w:rsidR="00D646B7" w:rsidRPr="00700908">
        <w:rPr>
          <w:rFonts w:ascii="Arial" w:eastAsia="AdvOT863180fb" w:hAnsi="Arial" w:cs="Arial"/>
          <w:b/>
          <w:szCs w:val="24"/>
          <w:lang w:val="en-US"/>
        </w:rPr>
        <w:t>1</w:t>
      </w:r>
    </w:p>
    <w:p w:rsidR="006B2291" w:rsidRPr="00700908" w:rsidRDefault="006B2291" w:rsidP="006B2291">
      <w:pPr>
        <w:spacing w:after="0"/>
        <w:rPr>
          <w:rFonts w:ascii="Arial" w:eastAsia="Calibri" w:hAnsi="Arial" w:cs="Arial"/>
          <w:bCs/>
          <w:i/>
          <w:szCs w:val="24"/>
          <w:lang w:val="en-US"/>
        </w:rPr>
      </w:pPr>
      <w:r w:rsidRPr="00700908">
        <w:rPr>
          <w:rFonts w:ascii="Arial" w:eastAsia="Calibri" w:hAnsi="Arial" w:cs="Arial"/>
          <w:bCs/>
          <w:i/>
          <w:szCs w:val="24"/>
          <w:lang w:val="en-US"/>
        </w:rPr>
        <w:t>Determination of lipid</w:t>
      </w:r>
      <w:r w:rsidRPr="00700908">
        <w:rPr>
          <w:rFonts w:ascii="Arial" w:hAnsi="Arial" w:cs="Arial"/>
          <w:bCs/>
          <w:i/>
          <w:szCs w:val="24"/>
          <w:lang w:val="en-US"/>
        </w:rPr>
        <w:t xml:space="preserve"> and protein</w:t>
      </w:r>
      <w:r w:rsidRPr="00700908">
        <w:rPr>
          <w:rFonts w:ascii="Arial" w:eastAsia="Calibri" w:hAnsi="Arial" w:cs="Arial"/>
          <w:bCs/>
          <w:i/>
          <w:szCs w:val="24"/>
          <w:lang w:val="en-US"/>
        </w:rPr>
        <w:t xml:space="preserve"> oxidation markers</w:t>
      </w:r>
    </w:p>
    <w:p w:rsidR="006B2291" w:rsidRPr="00700908" w:rsidRDefault="006B2291" w:rsidP="006B2291">
      <w:pPr>
        <w:pStyle w:val="Titre1"/>
        <w:spacing w:before="0" w:beforeAutospacing="0" w:after="0" w:afterAutospacing="0" w:line="480" w:lineRule="auto"/>
        <w:jc w:val="both"/>
        <w:rPr>
          <w:rFonts w:ascii="Arial" w:eastAsia="Calibri" w:hAnsi="Arial" w:cs="Arial"/>
          <w:b w:val="0"/>
          <w:kern w:val="0"/>
          <w:sz w:val="24"/>
          <w:szCs w:val="24"/>
          <w:lang w:val="en-US" w:eastAsia="en-US"/>
        </w:rPr>
      </w:pPr>
      <w:r w:rsidRPr="00700908">
        <w:rPr>
          <w:rFonts w:ascii="Arial" w:eastAsia="Calibri" w:hAnsi="Arial" w:cs="Arial"/>
          <w:b w:val="0"/>
          <w:kern w:val="0"/>
          <w:sz w:val="24"/>
          <w:szCs w:val="24"/>
          <w:lang w:val="en-US" w:eastAsia="en-US"/>
        </w:rPr>
        <w:t xml:space="preserve">Frozen liver samples (300 mg) were homogenized with an extraction buffer (1.5 mL; 150 </w:t>
      </w:r>
      <w:proofErr w:type="spellStart"/>
      <w:r w:rsidRPr="00700908">
        <w:rPr>
          <w:rFonts w:ascii="Arial" w:eastAsia="Calibri" w:hAnsi="Arial" w:cs="Arial"/>
          <w:b w:val="0"/>
          <w:kern w:val="0"/>
          <w:sz w:val="24"/>
          <w:szCs w:val="24"/>
          <w:lang w:val="en-US" w:eastAsia="en-US"/>
        </w:rPr>
        <w:t>m</w:t>
      </w:r>
      <w:r w:rsidRPr="00700908">
        <w:rPr>
          <w:rFonts w:ascii="Arial" w:eastAsia="Calibri" w:hAnsi="Arial" w:cs="Arial"/>
          <w:b w:val="0"/>
          <w:i/>
          <w:kern w:val="0"/>
          <w:sz w:val="24"/>
          <w:szCs w:val="24"/>
          <w:lang w:val="en-US" w:eastAsia="en-US"/>
        </w:rPr>
        <w:t>M</w:t>
      </w:r>
      <w:proofErr w:type="spellEnd"/>
      <w:r w:rsidR="00092882" w:rsidRPr="00700908">
        <w:rPr>
          <w:rFonts w:ascii="Arial" w:eastAsia="Calibri" w:hAnsi="Arial" w:cs="Arial"/>
          <w:b w:val="0"/>
          <w:i/>
          <w:kern w:val="0"/>
          <w:sz w:val="24"/>
          <w:szCs w:val="24"/>
          <w:lang w:val="en-US" w:eastAsia="en-US"/>
        </w:rPr>
        <w:t xml:space="preserve"> </w:t>
      </w:r>
      <w:proofErr w:type="spellStart"/>
      <w:r w:rsidRPr="00700908">
        <w:rPr>
          <w:rFonts w:ascii="Arial" w:eastAsia="Calibri" w:hAnsi="Arial" w:cs="Arial"/>
          <w:b w:val="0"/>
          <w:kern w:val="0"/>
          <w:sz w:val="24"/>
          <w:szCs w:val="24"/>
          <w:lang w:val="en-US" w:eastAsia="en-US"/>
        </w:rPr>
        <w:t>KCl</w:t>
      </w:r>
      <w:proofErr w:type="spellEnd"/>
      <w:r w:rsidRPr="00700908">
        <w:rPr>
          <w:rFonts w:ascii="Arial" w:eastAsia="Calibri" w:hAnsi="Arial" w:cs="Arial"/>
          <w:b w:val="0"/>
          <w:kern w:val="0"/>
          <w:sz w:val="24"/>
          <w:szCs w:val="24"/>
          <w:lang w:val="en-US" w:eastAsia="en-US"/>
        </w:rPr>
        <w:t xml:space="preserve">, 20 </w:t>
      </w:r>
      <w:proofErr w:type="spellStart"/>
      <w:r w:rsidRPr="00700908">
        <w:rPr>
          <w:rFonts w:ascii="Arial" w:eastAsia="Calibri" w:hAnsi="Arial" w:cs="Arial"/>
          <w:b w:val="0"/>
          <w:kern w:val="0"/>
          <w:sz w:val="24"/>
          <w:szCs w:val="24"/>
          <w:lang w:val="en-US" w:eastAsia="en-US"/>
        </w:rPr>
        <w:t>m</w:t>
      </w:r>
      <w:r w:rsidRPr="00700908">
        <w:rPr>
          <w:rFonts w:ascii="Arial" w:eastAsia="Calibri" w:hAnsi="Arial" w:cs="Arial"/>
          <w:b w:val="0"/>
          <w:i/>
          <w:kern w:val="0"/>
          <w:sz w:val="24"/>
          <w:szCs w:val="24"/>
          <w:lang w:val="en-US" w:eastAsia="en-US"/>
        </w:rPr>
        <w:t>M</w:t>
      </w:r>
      <w:proofErr w:type="spellEnd"/>
      <w:r w:rsidRPr="00700908">
        <w:rPr>
          <w:rFonts w:ascii="Arial" w:eastAsia="Calibri" w:hAnsi="Arial" w:cs="Arial"/>
          <w:b w:val="0"/>
          <w:kern w:val="0"/>
          <w:sz w:val="24"/>
          <w:szCs w:val="24"/>
          <w:lang w:val="en-US" w:eastAsia="en-US"/>
        </w:rPr>
        <w:t xml:space="preserve"> EDTA and 300 </w:t>
      </w:r>
      <w:proofErr w:type="spellStart"/>
      <w:r w:rsidRPr="00700908">
        <w:rPr>
          <w:rFonts w:ascii="Arial" w:eastAsia="Calibri" w:hAnsi="Arial" w:cs="Arial"/>
          <w:b w:val="0"/>
          <w:kern w:val="0"/>
          <w:sz w:val="24"/>
          <w:szCs w:val="24"/>
          <w:lang w:val="en-US" w:eastAsia="en-US"/>
        </w:rPr>
        <w:t>m</w:t>
      </w:r>
      <w:r w:rsidRPr="00700908">
        <w:rPr>
          <w:rFonts w:ascii="Arial" w:eastAsia="Calibri" w:hAnsi="Arial" w:cs="Arial"/>
          <w:b w:val="0"/>
          <w:i/>
          <w:kern w:val="0"/>
          <w:sz w:val="24"/>
          <w:szCs w:val="24"/>
          <w:lang w:val="en-US" w:eastAsia="en-US"/>
        </w:rPr>
        <w:t>M</w:t>
      </w:r>
      <w:proofErr w:type="spellEnd"/>
      <w:r w:rsidRPr="00700908">
        <w:rPr>
          <w:rFonts w:ascii="Arial" w:eastAsia="Calibri" w:hAnsi="Arial" w:cs="Arial"/>
          <w:b w:val="0"/>
          <w:kern w:val="0"/>
          <w:sz w:val="24"/>
          <w:szCs w:val="24"/>
          <w:lang w:val="en-US" w:eastAsia="en-US"/>
        </w:rPr>
        <w:t xml:space="preserve"> butyrate </w:t>
      </w:r>
      <w:proofErr w:type="spellStart"/>
      <w:r w:rsidRPr="00700908">
        <w:rPr>
          <w:rFonts w:ascii="Arial" w:eastAsia="Calibri" w:hAnsi="Arial" w:cs="Arial"/>
          <w:b w:val="0"/>
          <w:kern w:val="0"/>
          <w:sz w:val="24"/>
          <w:szCs w:val="24"/>
          <w:lang w:val="en-US" w:eastAsia="en-US"/>
        </w:rPr>
        <w:t>hydroxytoluene</w:t>
      </w:r>
      <w:proofErr w:type="spellEnd"/>
      <w:r w:rsidRPr="00700908">
        <w:rPr>
          <w:rFonts w:ascii="Arial" w:eastAsia="Calibri" w:hAnsi="Arial" w:cs="Arial"/>
          <w:b w:val="0"/>
          <w:kern w:val="0"/>
          <w:sz w:val="24"/>
          <w:szCs w:val="24"/>
          <w:lang w:val="en-US" w:eastAsia="en-US"/>
        </w:rPr>
        <w:t>) using a hand-held Pro200 homogenizer (Pro Scientific Inc, USA) at 10000 rpm during 1 min and the Bradford (Coomassie) assay was used to determine protein concentration of liver homogenates.</w:t>
      </w:r>
    </w:p>
    <w:p w:rsidR="006B2291" w:rsidRPr="00700908" w:rsidRDefault="006B2291" w:rsidP="006B2291">
      <w:pPr>
        <w:spacing w:after="0"/>
        <w:ind w:firstLine="708"/>
        <w:rPr>
          <w:rFonts w:ascii="Arial" w:eastAsia="Calibri" w:hAnsi="Arial" w:cs="Arial"/>
          <w:bCs/>
          <w:szCs w:val="24"/>
          <w:lang w:val="en-US"/>
        </w:rPr>
      </w:pPr>
      <w:r w:rsidRPr="00700908">
        <w:rPr>
          <w:rFonts w:ascii="Arial" w:eastAsia="Calibri" w:hAnsi="Arial" w:cs="Arial"/>
          <w:bCs/>
          <w:szCs w:val="24"/>
          <w:lang w:val="en-US"/>
        </w:rPr>
        <w:t xml:space="preserve">The </w:t>
      </w:r>
      <w:proofErr w:type="spellStart"/>
      <w:r w:rsidRPr="00700908">
        <w:rPr>
          <w:rFonts w:ascii="Arial" w:eastAsia="Calibri" w:hAnsi="Arial" w:cs="Arial"/>
          <w:bCs/>
          <w:szCs w:val="24"/>
          <w:lang w:val="en-US"/>
        </w:rPr>
        <w:t>thiobarbituric</w:t>
      </w:r>
      <w:proofErr w:type="spellEnd"/>
      <w:r w:rsidRPr="00700908">
        <w:rPr>
          <w:rFonts w:ascii="Arial" w:eastAsia="Calibri" w:hAnsi="Arial" w:cs="Arial"/>
          <w:bCs/>
          <w:szCs w:val="24"/>
          <w:lang w:val="en-US"/>
        </w:rPr>
        <w:t xml:space="preserve"> acid reactive species</w:t>
      </w:r>
      <w:r w:rsidRPr="00700908">
        <w:rPr>
          <w:rFonts w:ascii="Arial" w:hAnsi="Arial" w:cs="Arial"/>
          <w:bCs/>
          <w:szCs w:val="24"/>
          <w:lang w:val="en-US"/>
        </w:rPr>
        <w:t xml:space="preserve"> (</w:t>
      </w:r>
      <w:r w:rsidRPr="00700908">
        <w:rPr>
          <w:rFonts w:ascii="Arial" w:eastAsia="Calibri" w:hAnsi="Arial" w:cs="Arial"/>
          <w:b/>
          <w:bCs/>
          <w:szCs w:val="24"/>
          <w:lang w:val="en-US"/>
        </w:rPr>
        <w:t>TBARS</w:t>
      </w:r>
      <w:r w:rsidRPr="00700908">
        <w:rPr>
          <w:rFonts w:ascii="Arial" w:eastAsia="Calibri" w:hAnsi="Arial" w:cs="Arial"/>
          <w:bCs/>
          <w:szCs w:val="24"/>
          <w:lang w:val="en-US"/>
        </w:rPr>
        <w:t xml:space="preserve">) procedure for the determination of lipid </w:t>
      </w:r>
      <w:r w:rsidRPr="00700908">
        <w:rPr>
          <w:rFonts w:ascii="Arial" w:hAnsi="Arial" w:cs="Arial"/>
          <w:bCs/>
          <w:szCs w:val="24"/>
          <w:lang w:val="en-US"/>
        </w:rPr>
        <w:t>oxidation was adapted</w:t>
      </w:r>
      <w:r w:rsidRPr="00700908">
        <w:rPr>
          <w:rFonts w:ascii="Arial" w:eastAsia="Calibri" w:hAnsi="Arial" w:cs="Arial"/>
          <w:bCs/>
          <w:szCs w:val="24"/>
          <w:lang w:val="en-US"/>
        </w:rPr>
        <w:t xml:space="preserve"> from </w:t>
      </w:r>
      <w:proofErr w:type="spellStart"/>
      <w:r w:rsidRPr="00700908">
        <w:rPr>
          <w:rFonts w:ascii="Arial" w:eastAsia="Calibri" w:hAnsi="Arial" w:cs="Arial"/>
          <w:bCs/>
          <w:szCs w:val="24"/>
          <w:lang w:val="en-US"/>
        </w:rPr>
        <w:t>Gatellier</w:t>
      </w:r>
      <w:proofErr w:type="spellEnd"/>
      <w:r w:rsidRPr="00700908">
        <w:rPr>
          <w:rFonts w:ascii="Arial" w:eastAsia="Calibri" w:hAnsi="Arial" w:cs="Arial"/>
          <w:bCs/>
          <w:szCs w:val="24"/>
          <w:lang w:val="en-US"/>
        </w:rPr>
        <w:t xml:space="preserve"> </w:t>
      </w:r>
      <w:r w:rsidRPr="00700908">
        <w:rPr>
          <w:rFonts w:ascii="Arial" w:eastAsia="Calibri" w:hAnsi="Arial" w:cs="Arial"/>
          <w:bCs/>
          <w:i/>
          <w:szCs w:val="24"/>
          <w:lang w:val="en-US"/>
        </w:rPr>
        <w:t>et al.</w:t>
      </w:r>
      <w:r w:rsidRPr="00700908">
        <w:rPr>
          <w:rFonts w:ascii="Arial" w:eastAsia="Calibri" w:hAnsi="Arial" w:cs="Arial"/>
          <w:bCs/>
          <w:szCs w:val="24"/>
          <w:lang w:val="en-US"/>
        </w:rPr>
        <w:t xml:space="preserve"> (2004). </w:t>
      </w:r>
      <w:r w:rsidRPr="00700908">
        <w:rPr>
          <w:rFonts w:ascii="Arial" w:hAnsi="Arial" w:cs="Arial"/>
          <w:szCs w:val="24"/>
          <w:lang w:val="en-US"/>
        </w:rPr>
        <w:t>Briefly, 500 µL of</w:t>
      </w:r>
      <w:r w:rsidRPr="00700908">
        <w:rPr>
          <w:rFonts w:ascii="Arial" w:eastAsia="Calibri" w:hAnsi="Arial" w:cs="Arial"/>
          <w:bCs/>
          <w:szCs w:val="24"/>
          <w:lang w:val="en-US"/>
        </w:rPr>
        <w:t xml:space="preserve"> liver homogenate was centrifuged at 2000 </w:t>
      </w:r>
      <w:proofErr w:type="spellStart"/>
      <w:r w:rsidRPr="00700908">
        <w:rPr>
          <w:rFonts w:ascii="Arial" w:eastAsia="Calibri" w:hAnsi="Arial" w:cs="Arial"/>
          <w:bCs/>
          <w:i/>
          <w:szCs w:val="24"/>
          <w:lang w:val="en-US"/>
        </w:rPr>
        <w:t>xg</w:t>
      </w:r>
      <w:proofErr w:type="spellEnd"/>
      <w:r w:rsidRPr="00700908">
        <w:rPr>
          <w:rFonts w:ascii="Arial" w:hAnsi="Arial" w:cs="Arial"/>
          <w:bCs/>
          <w:szCs w:val="24"/>
          <w:lang w:val="en-US"/>
        </w:rPr>
        <w:t xml:space="preserve"> for 10 min</w:t>
      </w:r>
      <w:r w:rsidRPr="00700908">
        <w:rPr>
          <w:rFonts w:ascii="Arial" w:eastAsia="Calibri" w:hAnsi="Arial" w:cs="Arial"/>
          <w:bCs/>
          <w:szCs w:val="24"/>
          <w:lang w:val="en-US"/>
        </w:rPr>
        <w:t xml:space="preserve"> and 1</w:t>
      </w:r>
      <w:r w:rsidRPr="00700908">
        <w:rPr>
          <w:rFonts w:ascii="Arial" w:hAnsi="Arial" w:cs="Arial"/>
          <w:bCs/>
          <w:szCs w:val="24"/>
          <w:lang w:val="en-US"/>
        </w:rPr>
        <w:t>00 µL</w:t>
      </w:r>
      <w:r w:rsidRPr="00700908">
        <w:rPr>
          <w:rFonts w:ascii="Arial" w:eastAsia="Calibri" w:hAnsi="Arial" w:cs="Arial"/>
          <w:bCs/>
          <w:szCs w:val="24"/>
          <w:lang w:val="en-US"/>
        </w:rPr>
        <w:t xml:space="preserve"> of the supernatant was incubated with 1</w:t>
      </w:r>
      <w:r w:rsidRPr="00700908">
        <w:rPr>
          <w:rFonts w:ascii="Arial" w:hAnsi="Arial" w:cs="Arial"/>
          <w:bCs/>
          <w:szCs w:val="24"/>
          <w:lang w:val="en-US"/>
        </w:rPr>
        <w:t>00 µL</w:t>
      </w:r>
      <w:r w:rsidRPr="00700908">
        <w:rPr>
          <w:rFonts w:ascii="Arial" w:eastAsia="Calibri" w:hAnsi="Arial" w:cs="Arial"/>
          <w:bCs/>
          <w:szCs w:val="24"/>
          <w:lang w:val="en-US"/>
        </w:rPr>
        <w:t xml:space="preserve"> of a 2-thiobarbituric acid (</w:t>
      </w:r>
      <w:r w:rsidRPr="00700908">
        <w:rPr>
          <w:rFonts w:ascii="Arial" w:eastAsia="Calibri" w:hAnsi="Arial" w:cs="Arial"/>
          <w:b/>
          <w:bCs/>
          <w:szCs w:val="24"/>
          <w:lang w:val="en-US"/>
        </w:rPr>
        <w:t>TBA</w:t>
      </w:r>
      <w:r w:rsidRPr="00700908">
        <w:rPr>
          <w:rFonts w:ascii="Arial" w:eastAsia="Calibri" w:hAnsi="Arial" w:cs="Arial"/>
          <w:bCs/>
          <w:szCs w:val="24"/>
          <w:lang w:val="en-US"/>
        </w:rPr>
        <w:t>)-</w:t>
      </w:r>
      <w:proofErr w:type="spellStart"/>
      <w:r w:rsidRPr="00700908">
        <w:rPr>
          <w:rFonts w:ascii="Arial" w:eastAsia="Calibri" w:hAnsi="Arial" w:cs="Arial"/>
          <w:bCs/>
          <w:szCs w:val="24"/>
          <w:lang w:val="en-US"/>
        </w:rPr>
        <w:t>trichlor</w:t>
      </w:r>
      <w:r w:rsidRPr="00700908">
        <w:rPr>
          <w:rFonts w:ascii="Arial" w:hAnsi="Arial" w:cs="Arial"/>
          <w:bCs/>
          <w:szCs w:val="24"/>
          <w:lang w:val="en-US"/>
        </w:rPr>
        <w:t>oacetic</w:t>
      </w:r>
      <w:proofErr w:type="spellEnd"/>
      <w:r w:rsidRPr="00700908">
        <w:rPr>
          <w:rFonts w:ascii="Arial" w:hAnsi="Arial" w:cs="Arial"/>
          <w:bCs/>
          <w:szCs w:val="24"/>
          <w:lang w:val="en-US"/>
        </w:rPr>
        <w:t xml:space="preserve"> acid (</w:t>
      </w:r>
      <w:r w:rsidRPr="00700908">
        <w:rPr>
          <w:rFonts w:ascii="Arial" w:hAnsi="Arial" w:cs="Arial"/>
          <w:b/>
          <w:bCs/>
          <w:szCs w:val="24"/>
          <w:lang w:val="en-US"/>
        </w:rPr>
        <w:t>TCA</w:t>
      </w:r>
      <w:r w:rsidRPr="00700908">
        <w:rPr>
          <w:rFonts w:ascii="Arial" w:hAnsi="Arial" w:cs="Arial"/>
          <w:bCs/>
          <w:szCs w:val="24"/>
          <w:lang w:val="en-US"/>
        </w:rPr>
        <w:t xml:space="preserve">) solution (35 </w:t>
      </w:r>
      <w:proofErr w:type="spellStart"/>
      <w:r w:rsidRPr="00700908">
        <w:rPr>
          <w:rFonts w:ascii="Arial" w:hAnsi="Arial" w:cs="Arial"/>
          <w:bCs/>
          <w:szCs w:val="24"/>
          <w:lang w:val="en-US"/>
        </w:rPr>
        <w:t>m</w:t>
      </w:r>
      <w:r w:rsidRPr="00700908">
        <w:rPr>
          <w:rFonts w:ascii="Arial" w:hAnsi="Arial" w:cs="Arial"/>
          <w:bCs/>
          <w:i/>
          <w:szCs w:val="24"/>
          <w:lang w:val="en-US"/>
        </w:rPr>
        <w:t>M</w:t>
      </w:r>
      <w:proofErr w:type="spellEnd"/>
      <w:r w:rsidRPr="00700908">
        <w:rPr>
          <w:rFonts w:ascii="Arial" w:hAnsi="Arial" w:cs="Arial"/>
          <w:bCs/>
          <w:szCs w:val="24"/>
          <w:lang w:val="en-US"/>
        </w:rPr>
        <w:t xml:space="preserve"> TBA and 10% TCA in 125 </w:t>
      </w:r>
      <w:proofErr w:type="spellStart"/>
      <w:r w:rsidRPr="00700908">
        <w:rPr>
          <w:rFonts w:ascii="Arial" w:hAnsi="Arial" w:cs="Arial"/>
          <w:bCs/>
          <w:szCs w:val="24"/>
          <w:lang w:val="en-US"/>
        </w:rPr>
        <w:t>m</w:t>
      </w:r>
      <w:r w:rsidRPr="00700908">
        <w:rPr>
          <w:rFonts w:ascii="Arial" w:hAnsi="Arial" w:cs="Arial"/>
          <w:bCs/>
          <w:i/>
          <w:szCs w:val="24"/>
          <w:lang w:val="en-US"/>
        </w:rPr>
        <w:t>M</w:t>
      </w:r>
      <w:r w:rsidRPr="00700908">
        <w:rPr>
          <w:rFonts w:ascii="Arial" w:hAnsi="Arial" w:cs="Arial"/>
          <w:bCs/>
          <w:szCs w:val="24"/>
          <w:lang w:val="en-US"/>
        </w:rPr>
        <w:t>hydrochloric</w:t>
      </w:r>
      <w:proofErr w:type="spellEnd"/>
      <w:r w:rsidRPr="00700908">
        <w:rPr>
          <w:rFonts w:ascii="Arial" w:hAnsi="Arial" w:cs="Arial"/>
          <w:bCs/>
          <w:szCs w:val="24"/>
          <w:lang w:val="en-US"/>
        </w:rPr>
        <w:t xml:space="preserve"> acid</w:t>
      </w:r>
      <w:r w:rsidRPr="00700908">
        <w:rPr>
          <w:rStyle w:val="shorttext"/>
          <w:rFonts w:ascii="Arial" w:hAnsi="Arial" w:cs="Arial"/>
          <w:szCs w:val="24"/>
          <w:lang w:val="en-US"/>
        </w:rPr>
        <w:t xml:space="preserve">; </w:t>
      </w:r>
      <w:proofErr w:type="spellStart"/>
      <w:r w:rsidRPr="00700908">
        <w:rPr>
          <w:rFonts w:ascii="Arial" w:eastAsia="Calibri" w:hAnsi="Arial" w:cs="Arial"/>
          <w:b/>
          <w:bCs/>
          <w:szCs w:val="24"/>
          <w:lang w:val="en-US"/>
        </w:rPr>
        <w:t>HCl</w:t>
      </w:r>
      <w:proofErr w:type="spellEnd"/>
      <w:r w:rsidRPr="00700908">
        <w:rPr>
          <w:rFonts w:ascii="Arial" w:eastAsia="Calibri" w:hAnsi="Arial" w:cs="Arial"/>
          <w:bCs/>
          <w:szCs w:val="24"/>
          <w:lang w:val="en-US"/>
        </w:rPr>
        <w:t>) in a b</w:t>
      </w:r>
      <w:r w:rsidRPr="00700908">
        <w:rPr>
          <w:rFonts w:ascii="Arial" w:hAnsi="Arial" w:cs="Arial"/>
          <w:bCs/>
          <w:szCs w:val="24"/>
          <w:lang w:val="en-US"/>
        </w:rPr>
        <w:t>oiling water bath for 30 min</w:t>
      </w:r>
      <w:r w:rsidRPr="00700908">
        <w:rPr>
          <w:rFonts w:ascii="Arial" w:eastAsia="Calibri" w:hAnsi="Arial" w:cs="Arial"/>
          <w:bCs/>
          <w:szCs w:val="24"/>
          <w:lang w:val="en-US"/>
        </w:rPr>
        <w:t>. After cool</w:t>
      </w:r>
      <w:r w:rsidRPr="00700908">
        <w:rPr>
          <w:rFonts w:ascii="Arial" w:hAnsi="Arial" w:cs="Arial"/>
          <w:bCs/>
          <w:szCs w:val="24"/>
          <w:lang w:val="en-US"/>
        </w:rPr>
        <w:t>ing in an ice bath for 5 min</w:t>
      </w:r>
      <w:r w:rsidRPr="00700908">
        <w:rPr>
          <w:rFonts w:ascii="Arial" w:eastAsia="Calibri" w:hAnsi="Arial" w:cs="Arial"/>
          <w:bCs/>
          <w:szCs w:val="24"/>
          <w:lang w:val="en-US"/>
        </w:rPr>
        <w:t xml:space="preserve"> and kept at</w:t>
      </w:r>
      <w:r w:rsidRPr="00700908">
        <w:rPr>
          <w:rFonts w:ascii="Arial" w:hAnsi="Arial" w:cs="Arial"/>
          <w:bCs/>
          <w:szCs w:val="24"/>
          <w:lang w:val="en-US"/>
        </w:rPr>
        <w:t xml:space="preserve"> room temperature for 45 min</w:t>
      </w:r>
      <w:r w:rsidRPr="00700908">
        <w:rPr>
          <w:rFonts w:ascii="Arial" w:eastAsia="Calibri" w:hAnsi="Arial" w:cs="Arial"/>
          <w:bCs/>
          <w:szCs w:val="24"/>
          <w:lang w:val="en-US"/>
        </w:rPr>
        <w:t>, the pink chromogen was extracted with 4</w:t>
      </w:r>
      <w:r w:rsidRPr="00700908">
        <w:rPr>
          <w:rFonts w:ascii="Arial" w:hAnsi="Arial" w:cs="Arial"/>
          <w:bCs/>
          <w:szCs w:val="24"/>
          <w:lang w:val="en-US"/>
        </w:rPr>
        <w:t>00 µL</w:t>
      </w:r>
      <w:r w:rsidRPr="00700908">
        <w:rPr>
          <w:rFonts w:ascii="Arial" w:eastAsia="Calibri" w:hAnsi="Arial" w:cs="Arial"/>
          <w:bCs/>
          <w:szCs w:val="24"/>
          <w:lang w:val="en-US"/>
        </w:rPr>
        <w:t xml:space="preserve"> of n-butanol and phase separation by centrifugation at 3000 </w:t>
      </w:r>
      <w:r w:rsidRPr="00700908">
        <w:rPr>
          <w:rFonts w:ascii="Arial" w:eastAsia="Calibri" w:hAnsi="Arial" w:cs="Arial"/>
          <w:bCs/>
          <w:i/>
          <w:szCs w:val="24"/>
          <w:lang w:val="en-US"/>
        </w:rPr>
        <w:t>xg</w:t>
      </w:r>
      <w:r w:rsidRPr="00700908">
        <w:rPr>
          <w:rFonts w:ascii="Arial" w:hAnsi="Arial" w:cs="Arial"/>
          <w:bCs/>
          <w:szCs w:val="24"/>
          <w:lang w:val="en-US"/>
        </w:rPr>
        <w:t xml:space="preserve"> during 10 min</w:t>
      </w:r>
      <w:r w:rsidRPr="00700908">
        <w:rPr>
          <w:rFonts w:ascii="Arial" w:eastAsia="Calibri" w:hAnsi="Arial" w:cs="Arial"/>
          <w:bCs/>
          <w:szCs w:val="24"/>
          <w:lang w:val="en-US"/>
        </w:rPr>
        <w:t xml:space="preserve">. The absorbance of the supernatant was measured at 535 nm using a </w:t>
      </w:r>
      <w:proofErr w:type="spellStart"/>
      <w:r w:rsidRPr="00700908">
        <w:rPr>
          <w:rFonts w:ascii="Arial" w:eastAsia="Calibri" w:hAnsi="Arial" w:cs="Arial"/>
          <w:szCs w:val="24"/>
          <w:lang w:val="en-US"/>
        </w:rPr>
        <w:t>Varioskan</w:t>
      </w:r>
      <w:proofErr w:type="spellEnd"/>
      <w:r w:rsidRPr="00700908">
        <w:rPr>
          <w:rFonts w:ascii="Arial" w:eastAsia="Calibri" w:hAnsi="Arial" w:cs="Arial"/>
          <w:bCs/>
          <w:szCs w:val="24"/>
          <w:lang w:val="en-US"/>
        </w:rPr>
        <w:t xml:space="preserve"> Flash microplate reader (Thermo Electron Corp., Louisville, CO, USA). The concentration of malondialdehyde (</w:t>
      </w:r>
      <w:r w:rsidRPr="00700908">
        <w:rPr>
          <w:rFonts w:ascii="Arial" w:eastAsia="Calibri" w:hAnsi="Arial" w:cs="Arial"/>
          <w:b/>
          <w:bCs/>
          <w:szCs w:val="24"/>
          <w:lang w:val="en-US"/>
        </w:rPr>
        <w:t>MDA</w:t>
      </w:r>
      <w:r w:rsidRPr="00700908">
        <w:rPr>
          <w:rFonts w:ascii="Arial" w:eastAsia="Calibri" w:hAnsi="Arial" w:cs="Arial"/>
          <w:bCs/>
          <w:szCs w:val="24"/>
          <w:lang w:val="en-US"/>
        </w:rPr>
        <w:t xml:space="preserve">) was calculated using the molar extinction coefficient of the MDA (156000 </w:t>
      </w:r>
      <w:proofErr w:type="spellStart"/>
      <w:r w:rsidRPr="00700908">
        <w:rPr>
          <w:rFonts w:ascii="Arial" w:eastAsia="Calibri" w:hAnsi="Arial" w:cs="Arial"/>
          <w:bCs/>
          <w:szCs w:val="24"/>
          <w:lang w:val="en-US"/>
        </w:rPr>
        <w:t>mol</w:t>
      </w:r>
      <w:proofErr w:type="spellEnd"/>
      <w:r w:rsidRPr="00700908">
        <w:rPr>
          <w:rFonts w:ascii="Arial" w:eastAsia="Calibri" w:hAnsi="Arial" w:cs="Arial"/>
          <w:bCs/>
          <w:szCs w:val="24"/>
          <w:lang w:val="en-US"/>
        </w:rPr>
        <w:t>/cm; adjusted for the path length of the solution in the well). Results were expressed as µg MDA/mg of protein.</w:t>
      </w:r>
    </w:p>
    <w:p w:rsidR="006B2291" w:rsidRPr="00700908" w:rsidRDefault="006B2291" w:rsidP="006B2291">
      <w:pPr>
        <w:spacing w:after="0"/>
        <w:ind w:firstLine="708"/>
        <w:rPr>
          <w:rFonts w:ascii="Arial" w:hAnsi="Arial" w:cs="Arial"/>
          <w:i/>
          <w:szCs w:val="24"/>
          <w:lang w:val="en-US"/>
        </w:rPr>
      </w:pPr>
      <w:r w:rsidRPr="00700908">
        <w:rPr>
          <w:rFonts w:ascii="Arial" w:hAnsi="Arial" w:cs="Arial"/>
          <w:szCs w:val="24"/>
          <w:lang w:val="en-US"/>
        </w:rPr>
        <w:lastRenderedPageBreak/>
        <w:t>T</w:t>
      </w:r>
      <w:r w:rsidRPr="00700908">
        <w:rPr>
          <w:rFonts w:ascii="Arial" w:eastAsia="Calibri" w:hAnsi="Arial" w:cs="Arial"/>
          <w:szCs w:val="24"/>
          <w:lang w:val="en-US"/>
        </w:rPr>
        <w:t xml:space="preserve">he protein carbonyl assay, to evaluate protein oxidation, was performed according to </w:t>
      </w:r>
      <w:proofErr w:type="spellStart"/>
      <w:r w:rsidRPr="00700908">
        <w:rPr>
          <w:rFonts w:ascii="Arial" w:eastAsia="Calibri" w:hAnsi="Arial" w:cs="Arial"/>
          <w:szCs w:val="24"/>
          <w:lang w:val="en-US"/>
        </w:rPr>
        <w:t>Gatellier</w:t>
      </w:r>
      <w:proofErr w:type="spellEnd"/>
      <w:r w:rsidR="00092882" w:rsidRPr="00700908">
        <w:rPr>
          <w:rFonts w:ascii="Arial" w:eastAsia="Calibri" w:hAnsi="Arial" w:cs="Arial"/>
          <w:szCs w:val="24"/>
          <w:lang w:val="en-US"/>
        </w:rPr>
        <w:t xml:space="preserve"> </w:t>
      </w:r>
      <w:r w:rsidRPr="00700908">
        <w:rPr>
          <w:rFonts w:ascii="Arial" w:eastAsia="Calibri" w:hAnsi="Arial" w:cs="Arial"/>
          <w:bCs/>
          <w:i/>
          <w:szCs w:val="24"/>
          <w:lang w:val="en-US"/>
        </w:rPr>
        <w:t>et al.</w:t>
      </w:r>
      <w:r w:rsidRPr="00700908">
        <w:rPr>
          <w:rFonts w:ascii="Arial" w:eastAsia="Calibri" w:hAnsi="Arial" w:cs="Arial"/>
          <w:szCs w:val="24"/>
          <w:lang w:val="en-US"/>
        </w:rPr>
        <w:t xml:space="preserve"> (2004).</w:t>
      </w:r>
      <w:r w:rsidRPr="00700908">
        <w:rPr>
          <w:rFonts w:ascii="Arial" w:hAnsi="Arial" w:cs="Arial"/>
          <w:szCs w:val="24"/>
          <w:lang w:val="en-US"/>
        </w:rPr>
        <w:t>Briefly, t</w:t>
      </w:r>
      <w:r w:rsidRPr="00700908">
        <w:rPr>
          <w:rFonts w:ascii="Arial" w:eastAsia="Calibri" w:hAnsi="Arial" w:cs="Arial"/>
          <w:szCs w:val="24"/>
          <w:lang w:val="en-US"/>
        </w:rPr>
        <w:t>wo aliquots (2</w:t>
      </w:r>
      <w:r w:rsidRPr="00700908">
        <w:rPr>
          <w:rFonts w:ascii="Arial" w:hAnsi="Arial" w:cs="Arial"/>
          <w:szCs w:val="24"/>
          <w:lang w:val="en-US"/>
        </w:rPr>
        <w:t>00 µL each) of liver homogenates</w:t>
      </w:r>
      <w:r w:rsidRPr="00700908">
        <w:rPr>
          <w:rFonts w:ascii="Arial" w:eastAsia="Calibri" w:hAnsi="Arial" w:cs="Arial"/>
          <w:szCs w:val="24"/>
          <w:lang w:val="en-US"/>
        </w:rPr>
        <w:t xml:space="preserve"> were centrifuged at 2000 </w:t>
      </w:r>
      <w:r w:rsidRPr="00700908">
        <w:rPr>
          <w:rFonts w:ascii="Arial" w:eastAsia="Calibri" w:hAnsi="Arial" w:cs="Arial"/>
          <w:i/>
          <w:szCs w:val="24"/>
          <w:lang w:val="en-US"/>
        </w:rPr>
        <w:t>x g</w:t>
      </w:r>
      <w:r w:rsidRPr="00700908">
        <w:rPr>
          <w:rFonts w:ascii="Arial" w:hAnsi="Arial" w:cs="Arial"/>
          <w:szCs w:val="24"/>
          <w:lang w:val="en-US"/>
        </w:rPr>
        <w:t xml:space="preserve"> for 10 min</w:t>
      </w:r>
      <w:r w:rsidRPr="00700908">
        <w:rPr>
          <w:rFonts w:ascii="Arial" w:eastAsia="Calibri" w:hAnsi="Arial" w:cs="Arial"/>
          <w:szCs w:val="24"/>
          <w:lang w:val="en-US"/>
        </w:rPr>
        <w:t xml:space="preserve"> and incubated with 2</w:t>
      </w:r>
      <w:r w:rsidRPr="00700908">
        <w:rPr>
          <w:rFonts w:ascii="Arial" w:hAnsi="Arial" w:cs="Arial"/>
          <w:szCs w:val="24"/>
          <w:lang w:val="en-US"/>
        </w:rPr>
        <w:t xml:space="preserve">00 µL of 2 </w:t>
      </w:r>
      <w:r w:rsidRPr="00700908">
        <w:rPr>
          <w:rFonts w:ascii="Arial" w:hAnsi="Arial" w:cs="Arial"/>
          <w:i/>
          <w:szCs w:val="24"/>
          <w:lang w:val="en-US"/>
        </w:rPr>
        <w:t xml:space="preserve">N </w:t>
      </w:r>
      <w:proofErr w:type="spellStart"/>
      <w:r w:rsidRPr="00700908">
        <w:rPr>
          <w:rFonts w:ascii="Arial" w:eastAsia="Calibri" w:hAnsi="Arial" w:cs="Arial"/>
          <w:szCs w:val="24"/>
          <w:lang w:val="en-US"/>
        </w:rPr>
        <w:t>HCl</w:t>
      </w:r>
      <w:proofErr w:type="spellEnd"/>
      <w:r w:rsidRPr="00700908">
        <w:rPr>
          <w:rFonts w:ascii="Arial" w:eastAsia="Calibri" w:hAnsi="Arial" w:cs="Arial"/>
          <w:szCs w:val="24"/>
          <w:lang w:val="en-US"/>
        </w:rPr>
        <w:t xml:space="preserve"> (blank) or with 2</w:t>
      </w:r>
      <w:r w:rsidRPr="00700908">
        <w:rPr>
          <w:rFonts w:ascii="Arial" w:hAnsi="Arial" w:cs="Arial"/>
          <w:szCs w:val="24"/>
          <w:lang w:val="en-US"/>
        </w:rPr>
        <w:t xml:space="preserve">00 µL of 20 </w:t>
      </w:r>
      <w:proofErr w:type="spellStart"/>
      <w:r w:rsidRPr="00700908">
        <w:rPr>
          <w:rFonts w:ascii="Arial" w:hAnsi="Arial" w:cs="Arial"/>
          <w:szCs w:val="24"/>
          <w:lang w:val="en-US"/>
        </w:rPr>
        <w:t>m</w:t>
      </w:r>
      <w:r w:rsidRPr="00700908">
        <w:rPr>
          <w:rFonts w:ascii="Arial" w:hAnsi="Arial" w:cs="Arial"/>
          <w:i/>
          <w:szCs w:val="24"/>
          <w:lang w:val="en-US"/>
        </w:rPr>
        <w:t>M</w:t>
      </w:r>
      <w:proofErr w:type="spellEnd"/>
      <w:r w:rsidR="00092882" w:rsidRPr="00700908">
        <w:rPr>
          <w:rFonts w:ascii="Arial" w:hAnsi="Arial" w:cs="Arial"/>
          <w:i/>
          <w:szCs w:val="24"/>
          <w:lang w:val="en-US"/>
        </w:rPr>
        <w:t xml:space="preserve"> </w:t>
      </w:r>
      <w:proofErr w:type="spellStart"/>
      <w:r w:rsidRPr="00700908">
        <w:rPr>
          <w:rFonts w:ascii="Arial" w:eastAsia="Calibri" w:hAnsi="Arial" w:cs="Arial"/>
          <w:szCs w:val="24"/>
          <w:lang w:val="en-US"/>
        </w:rPr>
        <w:t>dinitr</w:t>
      </w:r>
      <w:r w:rsidRPr="00700908">
        <w:rPr>
          <w:rFonts w:ascii="Arial" w:hAnsi="Arial" w:cs="Arial"/>
          <w:szCs w:val="24"/>
          <w:lang w:val="en-US"/>
        </w:rPr>
        <w:t>ophenylhydrazine</w:t>
      </w:r>
      <w:proofErr w:type="spellEnd"/>
      <w:r w:rsidRPr="00700908">
        <w:rPr>
          <w:rFonts w:ascii="Arial" w:hAnsi="Arial" w:cs="Arial"/>
          <w:szCs w:val="24"/>
          <w:lang w:val="en-US"/>
        </w:rPr>
        <w:t xml:space="preserve"> (</w:t>
      </w:r>
      <w:r w:rsidRPr="00700908">
        <w:rPr>
          <w:rFonts w:ascii="Arial" w:hAnsi="Arial" w:cs="Arial"/>
          <w:b/>
          <w:szCs w:val="24"/>
          <w:lang w:val="en-US"/>
        </w:rPr>
        <w:t>DNPH</w:t>
      </w:r>
      <w:r w:rsidRPr="00700908">
        <w:rPr>
          <w:rFonts w:ascii="Arial" w:hAnsi="Arial" w:cs="Arial"/>
          <w:szCs w:val="24"/>
          <w:lang w:val="en-US"/>
        </w:rPr>
        <w:t xml:space="preserve">) in 2 </w:t>
      </w:r>
      <w:r w:rsidRPr="00700908">
        <w:rPr>
          <w:rFonts w:ascii="Arial" w:hAnsi="Arial" w:cs="Arial"/>
          <w:i/>
          <w:szCs w:val="24"/>
          <w:lang w:val="en-US"/>
        </w:rPr>
        <w:t>N</w:t>
      </w:r>
      <w:r w:rsidR="00092882" w:rsidRPr="00700908">
        <w:rPr>
          <w:rFonts w:ascii="Arial" w:hAnsi="Arial" w:cs="Arial"/>
          <w:i/>
          <w:szCs w:val="24"/>
          <w:lang w:val="en-US"/>
        </w:rPr>
        <w:t xml:space="preserve"> </w:t>
      </w:r>
      <w:proofErr w:type="spellStart"/>
      <w:r w:rsidRPr="00700908">
        <w:rPr>
          <w:rFonts w:ascii="Arial" w:eastAsia="Calibri" w:hAnsi="Arial" w:cs="Arial"/>
          <w:szCs w:val="24"/>
          <w:lang w:val="en-US"/>
        </w:rPr>
        <w:t>HCl</w:t>
      </w:r>
      <w:proofErr w:type="spellEnd"/>
      <w:r w:rsidRPr="00700908">
        <w:rPr>
          <w:rFonts w:ascii="Arial" w:eastAsia="Calibri" w:hAnsi="Arial" w:cs="Arial"/>
          <w:szCs w:val="24"/>
          <w:lang w:val="en-US"/>
        </w:rPr>
        <w:t>, for 1 h at room temperature w</w:t>
      </w:r>
      <w:r w:rsidRPr="00700908">
        <w:rPr>
          <w:rFonts w:ascii="Arial" w:hAnsi="Arial" w:cs="Arial"/>
          <w:szCs w:val="24"/>
          <w:lang w:val="en-US"/>
        </w:rPr>
        <w:t xml:space="preserve">ith regular stirring. </w:t>
      </w:r>
      <w:r w:rsidRPr="00700908">
        <w:rPr>
          <w:rFonts w:ascii="Arial" w:eastAsia="Calibri" w:hAnsi="Arial" w:cs="Arial"/>
          <w:szCs w:val="24"/>
          <w:lang w:val="en-US"/>
        </w:rPr>
        <w:t xml:space="preserve">After addition of 20% TCA (200 µL), aliquots were incubated at room temperature for 15 min with regular stirring and centrifuged at 2000 </w:t>
      </w:r>
      <w:r w:rsidRPr="00700908">
        <w:rPr>
          <w:rFonts w:ascii="Arial" w:eastAsia="Calibri" w:hAnsi="Arial" w:cs="Arial"/>
          <w:i/>
          <w:szCs w:val="24"/>
          <w:lang w:val="en-US"/>
        </w:rPr>
        <w:t>x g</w:t>
      </w:r>
      <w:r w:rsidRPr="00700908">
        <w:rPr>
          <w:rFonts w:ascii="Arial" w:eastAsia="Calibri" w:hAnsi="Arial" w:cs="Arial"/>
          <w:szCs w:val="24"/>
          <w:lang w:val="en-US"/>
        </w:rPr>
        <w:t xml:space="preserve"> for 10 min. Pellets were washed three times with 400 µL of </w:t>
      </w:r>
      <w:proofErr w:type="spellStart"/>
      <w:r w:rsidRPr="00700908">
        <w:rPr>
          <w:rFonts w:ascii="Arial" w:eastAsia="Calibri" w:hAnsi="Arial" w:cs="Arial"/>
          <w:szCs w:val="24"/>
          <w:lang w:val="en-US"/>
        </w:rPr>
        <w:t>ethanol:ethyl</w:t>
      </w:r>
      <w:proofErr w:type="spellEnd"/>
      <w:r w:rsidRPr="00700908">
        <w:rPr>
          <w:rFonts w:ascii="Arial" w:eastAsia="Calibri" w:hAnsi="Arial" w:cs="Arial"/>
          <w:szCs w:val="24"/>
          <w:lang w:val="en-US"/>
        </w:rPr>
        <w:t xml:space="preserve"> acetate (1:1), centrifuging each time, to eliminate traces of DNPH. Pellets were dissolved in 600 µL of 6 </w:t>
      </w:r>
      <w:r w:rsidRPr="00700908">
        <w:rPr>
          <w:rFonts w:ascii="Arial" w:eastAsia="Calibri" w:hAnsi="Arial" w:cs="Arial"/>
          <w:i/>
          <w:szCs w:val="24"/>
          <w:lang w:val="en-US"/>
        </w:rPr>
        <w:t>M</w:t>
      </w:r>
      <w:r w:rsidRPr="00700908">
        <w:rPr>
          <w:rFonts w:ascii="Arial" w:eastAsia="Calibri" w:hAnsi="Arial" w:cs="Arial"/>
          <w:szCs w:val="24"/>
          <w:lang w:val="en-US"/>
        </w:rPr>
        <w:t xml:space="preserve"> guanidine </w:t>
      </w:r>
      <w:proofErr w:type="spellStart"/>
      <w:r w:rsidRPr="00700908">
        <w:rPr>
          <w:rFonts w:ascii="Arial" w:eastAsia="Calibri" w:hAnsi="Arial" w:cs="Arial"/>
          <w:szCs w:val="24"/>
          <w:lang w:val="en-US"/>
        </w:rPr>
        <w:t>HCl</w:t>
      </w:r>
      <w:proofErr w:type="spellEnd"/>
      <w:r w:rsidRPr="00700908">
        <w:rPr>
          <w:rFonts w:ascii="Arial" w:eastAsia="Calibri" w:hAnsi="Arial" w:cs="Arial"/>
          <w:szCs w:val="24"/>
          <w:lang w:val="en-US"/>
        </w:rPr>
        <w:t xml:space="preserve"> with 20 </w:t>
      </w:r>
      <w:proofErr w:type="spellStart"/>
      <w:r w:rsidRPr="00700908">
        <w:rPr>
          <w:rFonts w:ascii="Arial" w:eastAsia="Calibri" w:hAnsi="Arial" w:cs="Arial"/>
          <w:szCs w:val="24"/>
          <w:lang w:val="en-US"/>
        </w:rPr>
        <w:t>m</w:t>
      </w:r>
      <w:r w:rsidRPr="00700908">
        <w:rPr>
          <w:rFonts w:ascii="Arial" w:eastAsia="Calibri" w:hAnsi="Arial" w:cs="Arial"/>
          <w:i/>
          <w:szCs w:val="24"/>
          <w:lang w:val="en-US"/>
        </w:rPr>
        <w:t>M</w:t>
      </w:r>
      <w:proofErr w:type="spellEnd"/>
      <w:r w:rsidRPr="00700908">
        <w:rPr>
          <w:rFonts w:ascii="Arial" w:eastAsia="Calibri" w:hAnsi="Arial" w:cs="Arial"/>
          <w:szCs w:val="24"/>
          <w:lang w:val="en-US"/>
        </w:rPr>
        <w:t xml:space="preserve"> KH</w:t>
      </w:r>
      <w:r w:rsidRPr="00700908">
        <w:rPr>
          <w:rFonts w:ascii="Arial" w:eastAsia="Calibri" w:hAnsi="Arial" w:cs="Arial"/>
          <w:szCs w:val="24"/>
          <w:vertAlign w:val="subscript"/>
          <w:lang w:val="en-US"/>
        </w:rPr>
        <w:t>2</w:t>
      </w:r>
      <w:r w:rsidRPr="00700908">
        <w:rPr>
          <w:rFonts w:ascii="Arial" w:eastAsia="Calibri" w:hAnsi="Arial" w:cs="Arial"/>
          <w:szCs w:val="24"/>
          <w:lang w:val="en-US"/>
        </w:rPr>
        <w:t>PO</w:t>
      </w:r>
      <w:r w:rsidRPr="00700908">
        <w:rPr>
          <w:rFonts w:ascii="Arial" w:eastAsia="Calibri" w:hAnsi="Arial" w:cs="Arial"/>
          <w:szCs w:val="24"/>
          <w:vertAlign w:val="subscript"/>
          <w:lang w:val="en-US"/>
        </w:rPr>
        <w:t>4</w:t>
      </w:r>
      <w:r w:rsidRPr="00700908">
        <w:rPr>
          <w:rFonts w:ascii="Arial" w:eastAsia="Calibri" w:hAnsi="Arial" w:cs="Arial"/>
          <w:szCs w:val="24"/>
          <w:lang w:val="en-US"/>
        </w:rPr>
        <w:t xml:space="preserve">, pH 2.5, incubated at room temperature for 15 min with regular stirring and </w:t>
      </w:r>
      <w:r w:rsidR="003B7002" w:rsidRPr="00700908">
        <w:rPr>
          <w:rFonts w:ascii="Arial" w:eastAsia="Calibri" w:hAnsi="Arial" w:cs="Arial"/>
          <w:szCs w:val="24"/>
          <w:lang w:val="en-US"/>
        </w:rPr>
        <w:t>centrifuged</w:t>
      </w:r>
      <w:r w:rsidRPr="00700908">
        <w:rPr>
          <w:rFonts w:ascii="Arial" w:eastAsia="Calibri" w:hAnsi="Arial" w:cs="Arial"/>
          <w:szCs w:val="24"/>
          <w:lang w:val="en-US"/>
        </w:rPr>
        <w:t xml:space="preserve">at 2400 </w:t>
      </w:r>
      <w:r w:rsidRPr="00700908">
        <w:rPr>
          <w:rFonts w:ascii="Arial" w:eastAsia="Calibri" w:hAnsi="Arial" w:cs="Arial"/>
          <w:i/>
          <w:szCs w:val="24"/>
          <w:lang w:val="en-US"/>
        </w:rPr>
        <w:t>x g</w:t>
      </w:r>
      <w:r w:rsidRPr="00700908">
        <w:rPr>
          <w:rFonts w:ascii="Arial" w:hAnsi="Arial" w:cs="Arial"/>
          <w:szCs w:val="24"/>
          <w:lang w:val="en-US"/>
        </w:rPr>
        <w:t xml:space="preserve"> for 10 min,</w:t>
      </w:r>
      <w:r w:rsidRPr="00700908">
        <w:rPr>
          <w:rFonts w:ascii="Arial" w:eastAsia="Calibri" w:hAnsi="Arial" w:cs="Arial"/>
          <w:szCs w:val="24"/>
          <w:lang w:val="en-US"/>
        </w:rPr>
        <w:t xml:space="preserve"> the absorbance of the supernatant was measured at 370 nm in </w:t>
      </w:r>
      <w:r w:rsidRPr="00700908">
        <w:rPr>
          <w:rStyle w:val="note"/>
          <w:rFonts w:ascii="Arial" w:hAnsi="Arial" w:cs="Arial"/>
          <w:szCs w:val="24"/>
          <w:lang w:val="en-US"/>
        </w:rPr>
        <w:t xml:space="preserve">a </w:t>
      </w:r>
      <w:proofErr w:type="spellStart"/>
      <w:r w:rsidRPr="00700908">
        <w:rPr>
          <w:rStyle w:val="lev"/>
          <w:rFonts w:ascii="Arial" w:hAnsi="Arial" w:cs="Arial"/>
          <w:b w:val="0"/>
          <w:szCs w:val="24"/>
          <w:lang w:val="en-US"/>
        </w:rPr>
        <w:t>Varioskan</w:t>
      </w:r>
      <w:proofErr w:type="spellEnd"/>
      <w:r w:rsidRPr="00700908">
        <w:rPr>
          <w:rStyle w:val="note"/>
          <w:rFonts w:ascii="Arial" w:hAnsi="Arial" w:cs="Arial"/>
          <w:szCs w:val="24"/>
          <w:lang w:val="en-US"/>
        </w:rPr>
        <w:t xml:space="preserve"> Flash microplate reader (Thermo), </w:t>
      </w:r>
      <w:r w:rsidRPr="00700908">
        <w:rPr>
          <w:rFonts w:ascii="Arial" w:eastAsia="Calibri" w:hAnsi="Arial" w:cs="Arial"/>
          <w:szCs w:val="24"/>
          <w:lang w:val="en-US"/>
        </w:rPr>
        <w:t xml:space="preserve">subtracting the blank and the concentration of DNPH was calculated using the DNPH molar extinction coefficient (22000 mol/cm; adjusted for the path length of the solution in the well). Results were expressed as nmol of DNPH/mg of protein. </w:t>
      </w:r>
      <w:r w:rsidRPr="00700908">
        <w:rPr>
          <w:rFonts w:ascii="Arial" w:hAnsi="Arial" w:cs="Arial"/>
          <w:i/>
          <w:szCs w:val="24"/>
          <w:lang w:val="en-US"/>
        </w:rPr>
        <w:tab/>
      </w:r>
    </w:p>
    <w:p w:rsidR="006B2291" w:rsidRPr="00700908" w:rsidRDefault="006B2291" w:rsidP="006B2291">
      <w:pPr>
        <w:spacing w:after="0"/>
        <w:ind w:firstLine="708"/>
        <w:rPr>
          <w:rFonts w:ascii="Arial" w:eastAsia="Calibri" w:hAnsi="Arial" w:cs="Arial"/>
          <w:b/>
          <w:szCs w:val="24"/>
          <w:lang w:val="en-US"/>
        </w:rPr>
      </w:pPr>
    </w:p>
    <w:p w:rsidR="006B2291" w:rsidRPr="00700908" w:rsidRDefault="006B2291" w:rsidP="006B2291">
      <w:pPr>
        <w:spacing w:after="0"/>
        <w:rPr>
          <w:rFonts w:ascii="Arial" w:eastAsia="AdvOT863180fb" w:hAnsi="Arial" w:cs="Arial"/>
          <w:szCs w:val="24"/>
          <w:lang w:val="en-US"/>
        </w:rPr>
      </w:pPr>
      <w:r w:rsidRPr="00700908">
        <w:rPr>
          <w:rFonts w:ascii="Arial" w:eastAsia="AdvOT863180fb" w:hAnsi="Arial" w:cs="Arial"/>
          <w:b/>
          <w:szCs w:val="24"/>
          <w:lang w:val="en-US"/>
        </w:rPr>
        <w:t>Supplementary Material S</w:t>
      </w:r>
      <w:r w:rsidR="00C76F37">
        <w:rPr>
          <w:rFonts w:ascii="Arial" w:eastAsia="AdvOT863180fb" w:hAnsi="Arial" w:cs="Arial"/>
          <w:b/>
          <w:szCs w:val="24"/>
          <w:lang w:val="en-US"/>
        </w:rPr>
        <w:t>2</w:t>
      </w:r>
    </w:p>
    <w:p w:rsidR="006B2291" w:rsidRPr="00700908" w:rsidRDefault="006B2291" w:rsidP="006B2291">
      <w:pPr>
        <w:spacing w:after="0"/>
        <w:rPr>
          <w:rFonts w:ascii="Arial" w:eastAsia="AdvOT863180fb" w:hAnsi="Arial" w:cs="Arial"/>
          <w:i/>
          <w:szCs w:val="24"/>
          <w:lang w:val="en-US"/>
        </w:rPr>
      </w:pPr>
      <w:r w:rsidRPr="00700908">
        <w:rPr>
          <w:rFonts w:ascii="Arial" w:hAnsi="Arial" w:cs="Arial"/>
          <w:i/>
          <w:szCs w:val="24"/>
          <w:lang w:val="en-US"/>
        </w:rPr>
        <w:t>Hepatic</w:t>
      </w:r>
      <w:r w:rsidRPr="00700908">
        <w:rPr>
          <w:rFonts w:ascii="Arial" w:eastAsia="AdvOT863180fb" w:hAnsi="Arial" w:cs="Arial"/>
          <w:i/>
          <w:szCs w:val="24"/>
          <w:lang w:val="en-US"/>
        </w:rPr>
        <w:t xml:space="preserve"> antioxidant enzyme activity</w:t>
      </w:r>
    </w:p>
    <w:p w:rsidR="006B2291" w:rsidRPr="00700908" w:rsidRDefault="006B2291" w:rsidP="006B2291">
      <w:pPr>
        <w:spacing w:after="0"/>
        <w:rPr>
          <w:rFonts w:ascii="Arial" w:eastAsia="AdvOT863180fb" w:hAnsi="Arial" w:cs="Arial"/>
          <w:szCs w:val="24"/>
          <w:lang w:val="en-US"/>
        </w:rPr>
      </w:pPr>
      <w:r w:rsidRPr="00700908">
        <w:rPr>
          <w:rFonts w:ascii="Arial" w:eastAsia="AdvOT863180fb" w:hAnsi="Arial" w:cs="Arial"/>
          <w:szCs w:val="24"/>
          <w:lang w:val="en-US"/>
        </w:rPr>
        <w:t>The hepatic enzyme activities of glutathione peroxidase (</w:t>
      </w:r>
      <w:r w:rsidRPr="00700908">
        <w:rPr>
          <w:rFonts w:ascii="Arial" w:eastAsia="AdvOT863180fb" w:hAnsi="Arial" w:cs="Arial"/>
          <w:b/>
          <w:szCs w:val="24"/>
          <w:lang w:val="en-US"/>
        </w:rPr>
        <w:t>GPX</w:t>
      </w:r>
      <w:r w:rsidRPr="00700908">
        <w:rPr>
          <w:rFonts w:ascii="Arial" w:eastAsia="AdvOT863180fb" w:hAnsi="Arial" w:cs="Arial"/>
          <w:szCs w:val="24"/>
          <w:lang w:val="en-US"/>
        </w:rPr>
        <w:t>) and total superoxide dismutase (</w:t>
      </w:r>
      <w:r w:rsidRPr="00700908">
        <w:rPr>
          <w:rFonts w:ascii="Arial" w:eastAsia="AdvOT863180fb" w:hAnsi="Arial" w:cs="Arial"/>
          <w:b/>
          <w:szCs w:val="24"/>
          <w:lang w:val="en-US"/>
        </w:rPr>
        <w:t>SOD</w:t>
      </w:r>
      <w:r w:rsidRPr="00700908">
        <w:rPr>
          <w:rFonts w:ascii="Arial" w:eastAsia="AdvOT863180fb" w:hAnsi="Arial" w:cs="Arial"/>
          <w:szCs w:val="24"/>
          <w:lang w:val="en-US"/>
        </w:rPr>
        <w:t>) were determined spectrophotometrically using commercially kits (</w:t>
      </w:r>
      <w:proofErr w:type="spellStart"/>
      <w:r w:rsidRPr="00700908">
        <w:rPr>
          <w:rFonts w:ascii="Arial" w:eastAsia="AdvOT863180fb" w:hAnsi="Arial" w:cs="Arial"/>
          <w:szCs w:val="24"/>
          <w:lang w:val="en-US"/>
        </w:rPr>
        <w:t>Ransel</w:t>
      </w:r>
      <w:proofErr w:type="spellEnd"/>
      <w:r w:rsidRPr="00700908">
        <w:rPr>
          <w:rFonts w:ascii="Arial" w:eastAsia="AdvOT863180fb" w:hAnsi="Arial" w:cs="Arial"/>
          <w:szCs w:val="24"/>
          <w:lang w:val="en-US"/>
        </w:rPr>
        <w:t xml:space="preserve"> for GPX and </w:t>
      </w:r>
      <w:proofErr w:type="spellStart"/>
      <w:r w:rsidRPr="00700908">
        <w:rPr>
          <w:rFonts w:ascii="Arial" w:eastAsia="AdvOT863180fb" w:hAnsi="Arial" w:cs="Arial"/>
          <w:szCs w:val="24"/>
          <w:lang w:val="en-US"/>
        </w:rPr>
        <w:t>Ransod</w:t>
      </w:r>
      <w:proofErr w:type="spellEnd"/>
      <w:r w:rsidRPr="00700908">
        <w:rPr>
          <w:rFonts w:ascii="Arial" w:eastAsia="AdvOT863180fb" w:hAnsi="Arial" w:cs="Arial"/>
          <w:szCs w:val="24"/>
          <w:lang w:val="en-US"/>
        </w:rPr>
        <w:t xml:space="preserve"> for SOD; </w:t>
      </w:r>
      <w:proofErr w:type="spellStart"/>
      <w:r w:rsidRPr="00700908">
        <w:rPr>
          <w:rFonts w:ascii="Arial" w:eastAsia="AdvOT863180fb" w:hAnsi="Arial" w:cs="Arial"/>
          <w:szCs w:val="24"/>
          <w:lang w:val="en-US"/>
        </w:rPr>
        <w:t>Randox</w:t>
      </w:r>
      <w:proofErr w:type="spellEnd"/>
      <w:r w:rsidRPr="00700908">
        <w:rPr>
          <w:rFonts w:ascii="Arial" w:eastAsia="AdvOT863180fb" w:hAnsi="Arial" w:cs="Arial"/>
          <w:szCs w:val="24"/>
          <w:lang w:val="en-US"/>
        </w:rPr>
        <w:t xml:space="preserve"> Laboratories, Antrim, UK) in</w:t>
      </w:r>
      <w:r w:rsidRPr="00700908">
        <w:rPr>
          <w:rFonts w:ascii="Arial" w:hAnsi="Arial" w:cs="Arial"/>
          <w:szCs w:val="24"/>
          <w:lang w:val="en-US"/>
        </w:rPr>
        <w:t xml:space="preserve"> a </w:t>
      </w:r>
      <w:proofErr w:type="spellStart"/>
      <w:r w:rsidRPr="00700908">
        <w:rPr>
          <w:rFonts w:ascii="Arial" w:hAnsi="Arial" w:cs="Arial"/>
          <w:szCs w:val="24"/>
          <w:lang w:val="en-US"/>
        </w:rPr>
        <w:t>Varioskan</w:t>
      </w:r>
      <w:proofErr w:type="spellEnd"/>
      <w:r w:rsidRPr="00700908">
        <w:rPr>
          <w:rFonts w:ascii="Arial" w:hAnsi="Arial" w:cs="Arial"/>
          <w:bCs/>
          <w:szCs w:val="24"/>
          <w:lang w:val="en-US"/>
        </w:rPr>
        <w:t xml:space="preserve"> Flash microplate reader (</w:t>
      </w:r>
      <w:proofErr w:type="spellStart"/>
      <w:r w:rsidRPr="00700908">
        <w:rPr>
          <w:rFonts w:ascii="Arial" w:hAnsi="Arial" w:cs="Arial"/>
          <w:bCs/>
          <w:szCs w:val="24"/>
          <w:lang w:val="en-US"/>
        </w:rPr>
        <w:t>Thermo</w:t>
      </w:r>
      <w:proofErr w:type="spellEnd"/>
      <w:r w:rsidRPr="00700908">
        <w:rPr>
          <w:rFonts w:ascii="Arial" w:hAnsi="Arial" w:cs="Arial"/>
          <w:bCs/>
          <w:szCs w:val="24"/>
          <w:lang w:val="en-US"/>
        </w:rPr>
        <w:t xml:space="preserve">) </w:t>
      </w:r>
      <w:r w:rsidRPr="00700908">
        <w:rPr>
          <w:rFonts w:ascii="Arial" w:eastAsia="AdvOT863180fb" w:hAnsi="Arial" w:cs="Arial"/>
          <w:szCs w:val="24"/>
          <w:lang w:val="en-US"/>
        </w:rPr>
        <w:t xml:space="preserve">according to </w:t>
      </w:r>
      <w:proofErr w:type="spellStart"/>
      <w:r w:rsidRPr="00700908">
        <w:rPr>
          <w:rFonts w:ascii="Arial" w:eastAsia="AdvOT863180fb" w:hAnsi="Arial" w:cs="Arial"/>
          <w:szCs w:val="24"/>
          <w:lang w:val="en-US"/>
        </w:rPr>
        <w:t>Reglero</w:t>
      </w:r>
      <w:proofErr w:type="spellEnd"/>
      <w:r w:rsidR="00092882" w:rsidRPr="00700908">
        <w:rPr>
          <w:rFonts w:ascii="Arial" w:eastAsia="AdvOT863180fb" w:hAnsi="Arial" w:cs="Arial"/>
          <w:szCs w:val="24"/>
          <w:lang w:val="en-US"/>
        </w:rPr>
        <w:t xml:space="preserve"> </w:t>
      </w:r>
      <w:r w:rsidRPr="00700908">
        <w:rPr>
          <w:rFonts w:ascii="Arial" w:eastAsia="AdvOT863180fb" w:hAnsi="Arial" w:cs="Arial"/>
          <w:i/>
          <w:szCs w:val="24"/>
          <w:lang w:val="en-US"/>
        </w:rPr>
        <w:t>et al</w:t>
      </w:r>
      <w:r w:rsidRPr="00700908">
        <w:rPr>
          <w:rFonts w:ascii="Arial" w:eastAsia="AdvOT863180fb" w:hAnsi="Arial" w:cs="Arial"/>
          <w:szCs w:val="24"/>
          <w:lang w:val="en-US"/>
        </w:rPr>
        <w:t>. (2009).</w:t>
      </w:r>
      <w:r w:rsidR="00092882" w:rsidRPr="00700908">
        <w:rPr>
          <w:rFonts w:ascii="Arial" w:eastAsia="AdvOT863180fb" w:hAnsi="Arial" w:cs="Arial"/>
          <w:szCs w:val="24"/>
          <w:lang w:val="en-US"/>
        </w:rPr>
        <w:t xml:space="preserve"> </w:t>
      </w:r>
      <w:r w:rsidRPr="00700908">
        <w:rPr>
          <w:rFonts w:ascii="Arial" w:eastAsia="AdvOT863180fb" w:hAnsi="Arial" w:cs="Arial"/>
          <w:szCs w:val="24"/>
          <w:lang w:val="en-US"/>
        </w:rPr>
        <w:t xml:space="preserve">Briefly, liver (200 mg) was homogenized with 2 mL of ice-cold buffer (1.15% </w:t>
      </w:r>
      <w:proofErr w:type="spellStart"/>
      <w:r w:rsidRPr="00700908">
        <w:rPr>
          <w:rFonts w:ascii="Arial" w:eastAsia="AdvOT863180fb" w:hAnsi="Arial" w:cs="Arial"/>
          <w:szCs w:val="24"/>
          <w:lang w:val="en-US"/>
        </w:rPr>
        <w:t>KCl</w:t>
      </w:r>
      <w:proofErr w:type="spellEnd"/>
      <w:r w:rsidRPr="00700908">
        <w:rPr>
          <w:rFonts w:ascii="Arial" w:eastAsia="AdvOT863180fb" w:hAnsi="Arial" w:cs="Arial"/>
          <w:szCs w:val="24"/>
          <w:lang w:val="en-US"/>
        </w:rPr>
        <w:t xml:space="preserve"> in 10 </w:t>
      </w:r>
      <w:proofErr w:type="spellStart"/>
      <w:r w:rsidRPr="00700908">
        <w:rPr>
          <w:rFonts w:ascii="Arial" w:eastAsia="AdvOT863180fb" w:hAnsi="Arial" w:cs="Arial"/>
          <w:szCs w:val="24"/>
          <w:lang w:val="en-US"/>
        </w:rPr>
        <w:t>m</w:t>
      </w:r>
      <w:r w:rsidRPr="00700908">
        <w:rPr>
          <w:rFonts w:ascii="Arial" w:eastAsia="AdvOT863180fb" w:hAnsi="Arial" w:cs="Arial"/>
          <w:i/>
          <w:szCs w:val="24"/>
          <w:lang w:val="en-US"/>
        </w:rPr>
        <w:t>M</w:t>
      </w:r>
      <w:proofErr w:type="spellEnd"/>
      <w:r w:rsidRPr="00700908">
        <w:rPr>
          <w:rFonts w:ascii="Arial" w:eastAsia="AdvOT863180fb" w:hAnsi="Arial" w:cs="Arial"/>
          <w:szCs w:val="24"/>
          <w:lang w:val="en-US"/>
        </w:rPr>
        <w:t xml:space="preserve"> Na-KH</w:t>
      </w:r>
      <w:r w:rsidRPr="00700908">
        <w:rPr>
          <w:rFonts w:ascii="Arial" w:eastAsia="AdvOT863180fb" w:hAnsi="Arial" w:cs="Arial"/>
          <w:szCs w:val="24"/>
          <w:vertAlign w:val="subscript"/>
          <w:lang w:val="en-US"/>
        </w:rPr>
        <w:t>2</w:t>
      </w:r>
      <w:r w:rsidRPr="00700908">
        <w:rPr>
          <w:rFonts w:ascii="Arial" w:eastAsia="AdvOT863180fb" w:hAnsi="Arial" w:cs="Arial"/>
          <w:szCs w:val="24"/>
          <w:lang w:val="en-US"/>
        </w:rPr>
        <w:t>PO</w:t>
      </w:r>
      <w:r w:rsidRPr="00700908">
        <w:rPr>
          <w:rFonts w:ascii="Arial" w:eastAsia="AdvOT863180fb" w:hAnsi="Arial" w:cs="Arial"/>
          <w:szCs w:val="24"/>
          <w:vertAlign w:val="subscript"/>
          <w:lang w:val="en-US"/>
        </w:rPr>
        <w:t>4</w:t>
      </w:r>
      <w:r w:rsidRPr="00700908">
        <w:rPr>
          <w:rFonts w:ascii="Arial" w:hAnsi="Arial" w:cs="Arial"/>
          <w:bCs/>
          <w:szCs w:val="24"/>
          <w:lang w:val="en-US"/>
        </w:rPr>
        <w:t xml:space="preserve">buffer, pH 7.4, with 20 </w:t>
      </w:r>
      <w:proofErr w:type="spellStart"/>
      <w:r w:rsidRPr="00700908">
        <w:rPr>
          <w:rFonts w:ascii="Arial" w:hAnsi="Arial" w:cs="Arial"/>
          <w:bCs/>
          <w:szCs w:val="24"/>
          <w:lang w:val="en-US"/>
        </w:rPr>
        <w:t>m</w:t>
      </w:r>
      <w:r w:rsidRPr="00700908">
        <w:rPr>
          <w:rFonts w:ascii="Arial" w:hAnsi="Arial" w:cs="Arial"/>
          <w:bCs/>
          <w:i/>
          <w:szCs w:val="24"/>
          <w:lang w:val="en-US"/>
        </w:rPr>
        <w:t>M</w:t>
      </w:r>
      <w:proofErr w:type="spellEnd"/>
      <w:r w:rsidRPr="00700908">
        <w:rPr>
          <w:rFonts w:ascii="Arial" w:hAnsi="Arial" w:cs="Arial"/>
          <w:bCs/>
          <w:szCs w:val="24"/>
          <w:lang w:val="en-US"/>
        </w:rPr>
        <w:t xml:space="preserve"> EDTA) </w:t>
      </w:r>
      <w:r w:rsidRPr="00700908">
        <w:rPr>
          <w:rFonts w:ascii="Arial" w:hAnsi="Arial" w:cs="Arial"/>
          <w:bCs/>
          <w:szCs w:val="24"/>
          <w:lang w:val="en-US"/>
        </w:rPr>
        <w:lastRenderedPageBreak/>
        <w:t xml:space="preserve">using a hand-held Pro200 homogenizer (PRO Scientific) at 10000 rpm during 1 min, centrifuged at 2000 </w:t>
      </w:r>
      <w:r w:rsidRPr="00700908">
        <w:rPr>
          <w:rFonts w:ascii="Arial" w:hAnsi="Arial" w:cs="Arial"/>
          <w:bCs/>
          <w:i/>
          <w:szCs w:val="24"/>
          <w:lang w:val="en-US"/>
        </w:rPr>
        <w:t>xg</w:t>
      </w:r>
      <w:r w:rsidRPr="00700908">
        <w:rPr>
          <w:rFonts w:ascii="Arial" w:hAnsi="Arial" w:cs="Arial"/>
          <w:bCs/>
          <w:szCs w:val="24"/>
          <w:lang w:val="en-US"/>
        </w:rPr>
        <w:t xml:space="preserve"> for 10 min and </w:t>
      </w:r>
      <w:r w:rsidRPr="00700908">
        <w:rPr>
          <w:rFonts w:ascii="Arial" w:eastAsia="AdvOT863180fb" w:hAnsi="Arial" w:cs="Arial"/>
          <w:szCs w:val="24"/>
          <w:lang w:val="en-US"/>
        </w:rPr>
        <w:t>supernatant collected. For GPX activity (</w:t>
      </w:r>
      <w:proofErr w:type="spellStart"/>
      <w:r w:rsidRPr="00700908">
        <w:rPr>
          <w:rFonts w:ascii="Arial" w:eastAsia="AdvOT863180fb" w:hAnsi="Arial" w:cs="Arial"/>
          <w:szCs w:val="24"/>
          <w:lang w:val="en-US"/>
        </w:rPr>
        <w:t>Ransel</w:t>
      </w:r>
      <w:proofErr w:type="spellEnd"/>
      <w:r w:rsidRPr="00700908">
        <w:rPr>
          <w:rFonts w:ascii="Arial" w:eastAsia="AdvOT863180fb" w:hAnsi="Arial" w:cs="Arial"/>
          <w:szCs w:val="24"/>
          <w:lang w:val="en-US"/>
        </w:rPr>
        <w:t xml:space="preserve"> assay, </w:t>
      </w:r>
      <w:proofErr w:type="spellStart"/>
      <w:r w:rsidRPr="00700908">
        <w:rPr>
          <w:rFonts w:ascii="Arial" w:eastAsia="AdvOT863180fb" w:hAnsi="Arial" w:cs="Arial"/>
          <w:szCs w:val="24"/>
          <w:lang w:val="en-US"/>
        </w:rPr>
        <w:t>Randox</w:t>
      </w:r>
      <w:proofErr w:type="spellEnd"/>
      <w:r w:rsidRPr="00700908">
        <w:rPr>
          <w:rFonts w:ascii="Arial" w:eastAsia="AdvOT863180fb" w:hAnsi="Arial" w:cs="Arial"/>
          <w:szCs w:val="24"/>
          <w:lang w:val="en-US"/>
        </w:rPr>
        <w:t xml:space="preserve"> Laboratories), 100 µL of supernatant of liver homogenate were diluted with 200 µL of diluting agent. In the reaction cell at 37°C, 220 µL of a reagent containing 4 </w:t>
      </w:r>
      <w:proofErr w:type="spellStart"/>
      <w:r w:rsidRPr="00700908">
        <w:rPr>
          <w:rFonts w:ascii="Arial" w:eastAsia="AdvOT863180fb" w:hAnsi="Arial" w:cs="Arial"/>
          <w:szCs w:val="24"/>
          <w:lang w:val="en-US"/>
        </w:rPr>
        <w:t>m</w:t>
      </w:r>
      <w:r w:rsidRPr="00700908">
        <w:rPr>
          <w:rFonts w:ascii="Arial" w:eastAsia="AdvOT863180fb" w:hAnsi="Arial" w:cs="Arial"/>
          <w:i/>
          <w:szCs w:val="24"/>
          <w:lang w:val="en-US"/>
        </w:rPr>
        <w:t>M</w:t>
      </w:r>
      <w:proofErr w:type="spellEnd"/>
      <w:r w:rsidRPr="00700908">
        <w:rPr>
          <w:rFonts w:ascii="Arial" w:eastAsia="AdvOT863180fb" w:hAnsi="Arial" w:cs="Arial"/>
          <w:szCs w:val="24"/>
          <w:lang w:val="en-US"/>
        </w:rPr>
        <w:t xml:space="preserve"> glutathione, 0.5 U/L glutathione reductase and 0.34 </w:t>
      </w:r>
      <w:proofErr w:type="spellStart"/>
      <w:r w:rsidRPr="00700908">
        <w:rPr>
          <w:rFonts w:ascii="Arial" w:eastAsia="AdvOT863180fb" w:hAnsi="Arial" w:cs="Arial"/>
          <w:szCs w:val="24"/>
          <w:lang w:val="en-US"/>
        </w:rPr>
        <w:t>m</w:t>
      </w:r>
      <w:r w:rsidRPr="00700908">
        <w:rPr>
          <w:rFonts w:ascii="Arial" w:eastAsia="AdvOT863180fb" w:hAnsi="Arial" w:cs="Arial"/>
          <w:i/>
          <w:szCs w:val="24"/>
          <w:lang w:val="en-US"/>
        </w:rPr>
        <w:t>M</w:t>
      </w:r>
      <w:proofErr w:type="spellEnd"/>
      <w:r w:rsidRPr="00700908">
        <w:rPr>
          <w:rFonts w:ascii="Arial" w:eastAsia="AdvOT863180fb" w:hAnsi="Arial" w:cs="Arial"/>
          <w:szCs w:val="24"/>
          <w:lang w:val="en-US"/>
        </w:rPr>
        <w:t xml:space="preserve"> NADPH (diluted in 0.05 </w:t>
      </w:r>
      <w:r w:rsidRPr="00700908">
        <w:rPr>
          <w:rFonts w:ascii="Arial" w:eastAsia="AdvOT863180fb" w:hAnsi="Arial" w:cs="Arial"/>
          <w:i/>
          <w:szCs w:val="24"/>
          <w:lang w:val="en-US"/>
        </w:rPr>
        <w:t>M</w:t>
      </w:r>
      <w:r w:rsidRPr="00700908">
        <w:rPr>
          <w:rFonts w:ascii="Arial" w:eastAsia="AdvOT863180fb" w:hAnsi="Arial" w:cs="Arial"/>
          <w:szCs w:val="24"/>
          <w:lang w:val="en-US"/>
        </w:rPr>
        <w:t xml:space="preserve"> phosphate buffer, pH 7.2, with 4.3 </w:t>
      </w:r>
      <w:proofErr w:type="spellStart"/>
      <w:r w:rsidRPr="00700908">
        <w:rPr>
          <w:rFonts w:ascii="Arial" w:eastAsia="AdvOT863180fb" w:hAnsi="Arial" w:cs="Arial"/>
          <w:szCs w:val="24"/>
          <w:lang w:val="en-US"/>
        </w:rPr>
        <w:t>m</w:t>
      </w:r>
      <w:r w:rsidRPr="00700908">
        <w:rPr>
          <w:rFonts w:ascii="Arial" w:eastAsia="AdvOT863180fb" w:hAnsi="Arial" w:cs="Arial"/>
          <w:i/>
          <w:szCs w:val="24"/>
          <w:lang w:val="en-US"/>
        </w:rPr>
        <w:t>M</w:t>
      </w:r>
      <w:proofErr w:type="spellEnd"/>
      <w:r w:rsidRPr="00700908">
        <w:rPr>
          <w:rFonts w:ascii="Arial" w:eastAsia="AdvOT863180fb" w:hAnsi="Arial" w:cs="Arial"/>
          <w:szCs w:val="24"/>
          <w:lang w:val="en-US"/>
        </w:rPr>
        <w:t xml:space="preserve"> EDTA) were mixed with 5 µL of diluted sample. Fifteen seconds later, 10 µL of 0.18 </w:t>
      </w:r>
      <w:proofErr w:type="spellStart"/>
      <w:r w:rsidRPr="00700908">
        <w:rPr>
          <w:rFonts w:ascii="Arial" w:eastAsia="AdvOT863180fb" w:hAnsi="Arial" w:cs="Arial"/>
          <w:szCs w:val="24"/>
          <w:lang w:val="en-US"/>
        </w:rPr>
        <w:t>m</w:t>
      </w:r>
      <w:r w:rsidRPr="00700908">
        <w:rPr>
          <w:rFonts w:ascii="Arial" w:eastAsia="AdvOT863180fb" w:hAnsi="Arial" w:cs="Arial"/>
          <w:i/>
          <w:szCs w:val="24"/>
          <w:lang w:val="en-US"/>
        </w:rPr>
        <w:t>M</w:t>
      </w:r>
      <w:proofErr w:type="spellEnd"/>
      <w:r w:rsidR="00092882" w:rsidRPr="00700908">
        <w:rPr>
          <w:rFonts w:ascii="Arial" w:eastAsia="AdvOT863180fb" w:hAnsi="Arial" w:cs="Arial"/>
          <w:i/>
          <w:szCs w:val="24"/>
          <w:lang w:val="en-US"/>
        </w:rPr>
        <w:t xml:space="preserve"> </w:t>
      </w:r>
      <w:proofErr w:type="spellStart"/>
      <w:r w:rsidRPr="00700908">
        <w:rPr>
          <w:rFonts w:ascii="Arial" w:eastAsia="AdvOT863180fb" w:hAnsi="Arial" w:cs="Arial"/>
          <w:szCs w:val="24"/>
          <w:lang w:val="en-US"/>
        </w:rPr>
        <w:t>cumene</w:t>
      </w:r>
      <w:proofErr w:type="spellEnd"/>
      <w:r w:rsidR="00092882" w:rsidRPr="00700908">
        <w:rPr>
          <w:rFonts w:ascii="Arial" w:eastAsia="AdvOT863180fb" w:hAnsi="Arial" w:cs="Arial"/>
          <w:szCs w:val="24"/>
          <w:lang w:val="en-US"/>
        </w:rPr>
        <w:t xml:space="preserve"> </w:t>
      </w:r>
      <w:proofErr w:type="spellStart"/>
      <w:r w:rsidRPr="00700908">
        <w:rPr>
          <w:rFonts w:ascii="Arial" w:eastAsia="AdvOT863180fb" w:hAnsi="Arial" w:cs="Arial"/>
          <w:szCs w:val="24"/>
          <w:lang w:val="en-US"/>
        </w:rPr>
        <w:t>hydroperoxide</w:t>
      </w:r>
      <w:proofErr w:type="spellEnd"/>
      <w:r w:rsidRPr="00700908">
        <w:rPr>
          <w:rFonts w:ascii="Arial" w:eastAsia="AdvOT863180fb" w:hAnsi="Arial" w:cs="Arial"/>
          <w:szCs w:val="24"/>
          <w:lang w:val="en-US"/>
        </w:rPr>
        <w:t xml:space="preserve"> was added, and the absorbance was read at 340 nm between 75 and 195 seconds after sample addition. The enzyme activity was calculated by multiplying the increase in the absorbance per min by a factor of 8412. </w:t>
      </w:r>
    </w:p>
    <w:p w:rsidR="00A74E62" w:rsidRPr="00700908" w:rsidRDefault="006B2291" w:rsidP="006B2291">
      <w:pPr>
        <w:spacing w:after="0"/>
        <w:ind w:firstLine="708"/>
        <w:rPr>
          <w:rFonts w:ascii="Arial" w:eastAsia="AdvOT863180fb" w:hAnsi="Arial" w:cs="Arial"/>
          <w:szCs w:val="24"/>
          <w:lang w:val="en-US"/>
        </w:rPr>
      </w:pPr>
      <w:r w:rsidRPr="00700908">
        <w:rPr>
          <w:rFonts w:ascii="Arial" w:eastAsia="AdvOT863180fb" w:hAnsi="Arial" w:cs="Arial"/>
          <w:szCs w:val="24"/>
          <w:lang w:val="en-US"/>
        </w:rPr>
        <w:t>For SOD activity (</w:t>
      </w:r>
      <w:proofErr w:type="spellStart"/>
      <w:r w:rsidRPr="00700908">
        <w:rPr>
          <w:rFonts w:ascii="Arial" w:eastAsia="AdvOT863180fb" w:hAnsi="Arial" w:cs="Arial"/>
          <w:szCs w:val="24"/>
          <w:lang w:val="en-US"/>
        </w:rPr>
        <w:t>Ransod</w:t>
      </w:r>
      <w:proofErr w:type="spellEnd"/>
      <w:r w:rsidRPr="00700908">
        <w:rPr>
          <w:rFonts w:ascii="Arial" w:eastAsia="AdvOT863180fb" w:hAnsi="Arial" w:cs="Arial"/>
          <w:szCs w:val="24"/>
          <w:lang w:val="en-US"/>
        </w:rPr>
        <w:t xml:space="preserve"> assay, </w:t>
      </w:r>
      <w:proofErr w:type="spellStart"/>
      <w:r w:rsidRPr="00700908">
        <w:rPr>
          <w:rFonts w:ascii="Arial" w:eastAsia="AdvOT863180fb" w:hAnsi="Arial" w:cs="Arial"/>
          <w:szCs w:val="24"/>
          <w:lang w:val="en-US"/>
        </w:rPr>
        <w:t>Randox</w:t>
      </w:r>
      <w:proofErr w:type="spellEnd"/>
      <w:r w:rsidRPr="00700908">
        <w:rPr>
          <w:rFonts w:ascii="Arial" w:eastAsia="AdvOT863180fb" w:hAnsi="Arial" w:cs="Arial"/>
          <w:szCs w:val="24"/>
          <w:lang w:val="en-US"/>
        </w:rPr>
        <w:t xml:space="preserve"> Laboratories), 20 µL supernatant of liver homogenates were diluted with 300 µL of 0.01 </w:t>
      </w:r>
      <w:r w:rsidRPr="00700908">
        <w:rPr>
          <w:rFonts w:ascii="Arial" w:eastAsia="AdvOT863180fb" w:hAnsi="Arial" w:cs="Arial"/>
          <w:i/>
          <w:szCs w:val="24"/>
          <w:lang w:val="en-US"/>
        </w:rPr>
        <w:t>M</w:t>
      </w:r>
      <w:r w:rsidRPr="00700908">
        <w:rPr>
          <w:rFonts w:ascii="Arial" w:eastAsia="AdvOT863180fb" w:hAnsi="Arial" w:cs="Arial"/>
          <w:szCs w:val="24"/>
          <w:lang w:val="en-US"/>
        </w:rPr>
        <w:t xml:space="preserve"> phosphate buffer, pH 7.0. In the reaction cell at 37 °C, 170 µL of mixed substrate (containing 0.05 </w:t>
      </w:r>
      <w:proofErr w:type="spellStart"/>
      <w:r w:rsidRPr="00700908">
        <w:rPr>
          <w:rFonts w:ascii="Arial" w:eastAsia="AdvOT863180fb" w:hAnsi="Arial" w:cs="Arial"/>
          <w:szCs w:val="24"/>
          <w:lang w:val="en-US"/>
        </w:rPr>
        <w:t>m</w:t>
      </w:r>
      <w:r w:rsidRPr="00700908">
        <w:rPr>
          <w:rFonts w:ascii="Arial" w:eastAsia="AdvOT863180fb" w:hAnsi="Arial" w:cs="Arial"/>
          <w:i/>
          <w:szCs w:val="24"/>
          <w:lang w:val="en-US"/>
        </w:rPr>
        <w:t>M</w:t>
      </w:r>
      <w:proofErr w:type="spellEnd"/>
      <w:r w:rsidRPr="00700908">
        <w:rPr>
          <w:rFonts w:ascii="Arial" w:eastAsia="AdvOT863180fb" w:hAnsi="Arial" w:cs="Arial"/>
          <w:szCs w:val="24"/>
          <w:lang w:val="en-US"/>
        </w:rPr>
        <w:t xml:space="preserve"> xanthine and 0.025 </w:t>
      </w:r>
      <w:proofErr w:type="spellStart"/>
      <w:r w:rsidRPr="00700908">
        <w:rPr>
          <w:rFonts w:ascii="Arial" w:eastAsia="AdvOT863180fb" w:hAnsi="Arial" w:cs="Arial"/>
          <w:szCs w:val="24"/>
          <w:lang w:val="en-US"/>
        </w:rPr>
        <w:t>m</w:t>
      </w:r>
      <w:r w:rsidRPr="00700908">
        <w:rPr>
          <w:rFonts w:ascii="Arial" w:eastAsia="AdvOT863180fb" w:hAnsi="Arial" w:cs="Arial"/>
          <w:i/>
          <w:szCs w:val="24"/>
          <w:lang w:val="en-US"/>
        </w:rPr>
        <w:t>M</w:t>
      </w:r>
      <w:proofErr w:type="spellEnd"/>
      <w:r w:rsidRPr="00700908">
        <w:rPr>
          <w:rFonts w:ascii="Arial" w:eastAsia="AdvOT863180fb" w:hAnsi="Arial" w:cs="Arial"/>
          <w:szCs w:val="24"/>
          <w:lang w:val="en-US"/>
        </w:rPr>
        <w:t xml:space="preserve"> INT (</w:t>
      </w:r>
      <w:r w:rsidRPr="00700908">
        <w:rPr>
          <w:rFonts w:ascii="Arial" w:eastAsia="AdvOT863180fb" w:hAnsi="Arial" w:cs="Arial"/>
          <w:iCs/>
          <w:szCs w:val="24"/>
          <w:lang w:val="en-US"/>
        </w:rPr>
        <w:t>2-(4</w:t>
      </w:r>
      <w:r w:rsidRPr="00700908">
        <w:rPr>
          <w:rFonts w:ascii="Arial" w:eastAsia="AdvOT863180fb" w:hAnsi="Arial" w:cs="Arial"/>
          <w:szCs w:val="24"/>
          <w:lang w:val="en-US"/>
        </w:rPr>
        <w:t>-</w:t>
      </w:r>
      <w:r w:rsidRPr="00700908">
        <w:rPr>
          <w:rFonts w:ascii="Arial" w:eastAsia="AdvOT863180fb" w:hAnsi="Arial" w:cs="Arial"/>
          <w:iCs/>
          <w:szCs w:val="24"/>
          <w:lang w:val="en-US"/>
        </w:rPr>
        <w:t>Iodophenyl)-3</w:t>
      </w:r>
      <w:r w:rsidRPr="00700908">
        <w:rPr>
          <w:rFonts w:ascii="Arial" w:eastAsia="AdvOT863180fb" w:hAnsi="Arial" w:cs="Arial"/>
          <w:szCs w:val="24"/>
          <w:lang w:val="en-US"/>
        </w:rPr>
        <w:t>-(</w:t>
      </w:r>
      <w:r w:rsidRPr="00700908">
        <w:rPr>
          <w:rFonts w:ascii="Arial" w:eastAsia="AdvOT863180fb" w:hAnsi="Arial" w:cs="Arial"/>
          <w:iCs/>
          <w:szCs w:val="24"/>
          <w:lang w:val="en-US"/>
        </w:rPr>
        <w:t>4</w:t>
      </w:r>
      <w:r w:rsidRPr="00700908">
        <w:rPr>
          <w:rFonts w:ascii="Arial" w:eastAsia="AdvOT863180fb" w:hAnsi="Arial" w:cs="Arial"/>
          <w:szCs w:val="24"/>
          <w:lang w:val="en-US"/>
        </w:rPr>
        <w:t>-</w:t>
      </w:r>
      <w:r w:rsidRPr="00700908">
        <w:rPr>
          <w:rFonts w:ascii="Arial" w:eastAsia="AdvOT863180fb" w:hAnsi="Arial" w:cs="Arial"/>
          <w:iCs/>
          <w:szCs w:val="24"/>
          <w:lang w:val="en-US"/>
        </w:rPr>
        <w:t>Nitrophenyl)-5</w:t>
      </w:r>
      <w:r w:rsidRPr="00700908">
        <w:rPr>
          <w:rFonts w:ascii="Arial" w:eastAsia="AdvOT863180fb" w:hAnsi="Arial" w:cs="Arial"/>
          <w:szCs w:val="24"/>
          <w:lang w:val="en-US"/>
        </w:rPr>
        <w:t>-(</w:t>
      </w:r>
      <w:r w:rsidRPr="00700908">
        <w:rPr>
          <w:rFonts w:ascii="Arial" w:eastAsia="AdvOT863180fb" w:hAnsi="Arial" w:cs="Arial"/>
          <w:iCs/>
          <w:szCs w:val="24"/>
          <w:lang w:val="en-US"/>
        </w:rPr>
        <w:t>Phenyl</w:t>
      </w:r>
      <w:r w:rsidRPr="00700908">
        <w:rPr>
          <w:rFonts w:ascii="Arial" w:eastAsia="AdvOT863180fb" w:hAnsi="Arial" w:cs="Arial"/>
          <w:szCs w:val="24"/>
          <w:lang w:val="en-US"/>
        </w:rPr>
        <w:t xml:space="preserve">) </w:t>
      </w:r>
      <w:r w:rsidRPr="00700908">
        <w:rPr>
          <w:rFonts w:ascii="Arial" w:eastAsia="AdvOT863180fb" w:hAnsi="Arial" w:cs="Arial"/>
          <w:iCs/>
          <w:szCs w:val="24"/>
          <w:lang w:val="en-US"/>
        </w:rPr>
        <w:t>Tetrazolium Chloride</w:t>
      </w:r>
      <w:r w:rsidRPr="00700908">
        <w:rPr>
          <w:rFonts w:ascii="Arial" w:eastAsia="AdvOT863180fb" w:hAnsi="Arial" w:cs="Arial"/>
          <w:szCs w:val="24"/>
          <w:lang w:val="en-US"/>
        </w:rPr>
        <w:t xml:space="preserve">) was mixed with 5 µL of diluted sample, and 15 s later, 25 µL of 80 U/L of xanthine oxidase was added. The mixed substrate was prepared in 40 </w:t>
      </w:r>
      <w:proofErr w:type="spellStart"/>
      <w:r w:rsidRPr="00700908">
        <w:rPr>
          <w:rFonts w:ascii="Arial" w:eastAsia="AdvOT863180fb" w:hAnsi="Arial" w:cs="Arial"/>
          <w:szCs w:val="24"/>
          <w:lang w:val="en-US"/>
        </w:rPr>
        <w:t>m</w:t>
      </w:r>
      <w:r w:rsidRPr="00700908">
        <w:rPr>
          <w:rFonts w:ascii="Arial" w:eastAsia="AdvOT863180fb" w:hAnsi="Arial" w:cs="Arial"/>
          <w:i/>
          <w:szCs w:val="24"/>
          <w:lang w:val="en-US"/>
        </w:rPr>
        <w:t>M</w:t>
      </w:r>
      <w:proofErr w:type="spellEnd"/>
      <w:r w:rsidRPr="00700908">
        <w:rPr>
          <w:rFonts w:ascii="Arial" w:eastAsia="AdvOT863180fb" w:hAnsi="Arial" w:cs="Arial"/>
          <w:szCs w:val="24"/>
          <w:lang w:val="en-US"/>
        </w:rPr>
        <w:t xml:space="preserve"> of N-cyclohexyl-3-aminopropane-sulfonic acid buffer, pH 10.2, with 0.94 </w:t>
      </w:r>
      <w:proofErr w:type="spellStart"/>
      <w:r w:rsidRPr="00700908">
        <w:rPr>
          <w:rFonts w:ascii="Arial" w:eastAsia="AdvOT863180fb" w:hAnsi="Arial" w:cs="Arial"/>
          <w:szCs w:val="24"/>
          <w:lang w:val="en-US"/>
        </w:rPr>
        <w:t>m</w:t>
      </w:r>
      <w:r w:rsidRPr="00700908">
        <w:rPr>
          <w:rFonts w:ascii="Arial" w:eastAsia="AdvOT863180fb" w:hAnsi="Arial" w:cs="Arial"/>
          <w:i/>
          <w:szCs w:val="24"/>
          <w:lang w:val="en-US"/>
        </w:rPr>
        <w:t>M</w:t>
      </w:r>
      <w:proofErr w:type="spellEnd"/>
      <w:r w:rsidRPr="00700908">
        <w:rPr>
          <w:rFonts w:ascii="Arial" w:eastAsia="AdvOT863180fb" w:hAnsi="Arial" w:cs="Arial"/>
          <w:szCs w:val="24"/>
          <w:lang w:val="en-US"/>
        </w:rPr>
        <w:t xml:space="preserve"> EDTA. The absorbance was read at 505 nm between 45 and 225 seconds after sample addition and the kinetics of the enzyme activity were calculated based on a calibration curve performed with SOD standards at concentrations ranging from 0.21 to 5.7 UI/mL in 0.01 </w:t>
      </w:r>
      <w:r w:rsidRPr="00700908">
        <w:rPr>
          <w:rFonts w:ascii="Arial" w:eastAsia="AdvOT863180fb" w:hAnsi="Arial" w:cs="Arial"/>
          <w:i/>
          <w:szCs w:val="24"/>
          <w:lang w:val="en-US"/>
        </w:rPr>
        <w:t>M</w:t>
      </w:r>
      <w:r w:rsidRPr="00700908">
        <w:rPr>
          <w:rFonts w:ascii="Arial" w:eastAsia="AdvOT863180fb" w:hAnsi="Arial" w:cs="Arial"/>
          <w:szCs w:val="24"/>
          <w:lang w:val="en-US"/>
        </w:rPr>
        <w:t xml:space="preserve"> phosphate buffer, pH 7. Activity of </w:t>
      </w:r>
      <w:proofErr w:type="spellStart"/>
      <w:r w:rsidRPr="00700908">
        <w:rPr>
          <w:rFonts w:ascii="Arial" w:eastAsia="AdvOT863180fb" w:hAnsi="Arial" w:cs="Arial"/>
          <w:szCs w:val="24"/>
          <w:lang w:val="en-US"/>
        </w:rPr>
        <w:t>MnSOD</w:t>
      </w:r>
      <w:proofErr w:type="spellEnd"/>
      <w:r w:rsidRPr="00700908">
        <w:rPr>
          <w:rFonts w:ascii="Arial" w:eastAsia="AdvOT863180fb" w:hAnsi="Arial" w:cs="Arial"/>
          <w:szCs w:val="24"/>
          <w:lang w:val="en-US"/>
        </w:rPr>
        <w:t xml:space="preserve"> was determined by inhibiting </w:t>
      </w:r>
      <w:proofErr w:type="spellStart"/>
      <w:r w:rsidRPr="00700908">
        <w:rPr>
          <w:rFonts w:ascii="Arial" w:eastAsia="AdvOT863180fb" w:hAnsi="Arial" w:cs="Arial"/>
          <w:szCs w:val="24"/>
          <w:lang w:val="en-US"/>
        </w:rPr>
        <w:t>CuZnSOD</w:t>
      </w:r>
      <w:proofErr w:type="spellEnd"/>
      <w:r w:rsidRPr="00700908">
        <w:rPr>
          <w:rFonts w:ascii="Arial" w:eastAsia="AdvOT863180fb" w:hAnsi="Arial" w:cs="Arial"/>
          <w:szCs w:val="24"/>
          <w:lang w:val="en-US"/>
        </w:rPr>
        <w:t xml:space="preserve"> activity with 3 </w:t>
      </w:r>
      <w:proofErr w:type="spellStart"/>
      <w:r w:rsidRPr="00700908">
        <w:rPr>
          <w:rFonts w:ascii="Arial" w:eastAsia="AdvOT863180fb" w:hAnsi="Arial" w:cs="Arial"/>
          <w:szCs w:val="24"/>
          <w:lang w:val="en-US"/>
        </w:rPr>
        <w:t>m</w:t>
      </w:r>
      <w:r w:rsidRPr="00700908">
        <w:rPr>
          <w:rFonts w:ascii="Arial" w:eastAsia="AdvOT863180fb" w:hAnsi="Arial" w:cs="Arial"/>
          <w:i/>
          <w:szCs w:val="24"/>
          <w:lang w:val="en-US"/>
        </w:rPr>
        <w:t>M</w:t>
      </w:r>
      <w:proofErr w:type="spellEnd"/>
      <w:r w:rsidR="00092882" w:rsidRPr="00700908">
        <w:rPr>
          <w:rFonts w:ascii="Arial" w:eastAsia="AdvOT863180fb" w:hAnsi="Arial" w:cs="Arial"/>
          <w:i/>
          <w:szCs w:val="24"/>
          <w:lang w:val="en-US"/>
        </w:rPr>
        <w:t xml:space="preserve"> </w:t>
      </w:r>
      <w:r w:rsidRPr="00700908">
        <w:rPr>
          <w:rFonts w:ascii="Arial" w:eastAsia="AdvOT863180fb" w:hAnsi="Arial" w:cs="Arial"/>
          <w:szCs w:val="24"/>
          <w:lang w:val="en-US"/>
        </w:rPr>
        <w:t xml:space="preserve">potassium cyanide; </w:t>
      </w:r>
      <w:proofErr w:type="spellStart"/>
      <w:r w:rsidRPr="00700908">
        <w:rPr>
          <w:rFonts w:ascii="Arial" w:eastAsia="AdvOT863180fb" w:hAnsi="Arial" w:cs="Arial"/>
          <w:szCs w:val="24"/>
          <w:lang w:val="en-US"/>
        </w:rPr>
        <w:t>CuZnSOD</w:t>
      </w:r>
      <w:proofErr w:type="spellEnd"/>
      <w:r w:rsidRPr="00700908">
        <w:rPr>
          <w:rFonts w:ascii="Arial" w:eastAsia="AdvOT863180fb" w:hAnsi="Arial" w:cs="Arial"/>
          <w:szCs w:val="24"/>
          <w:lang w:val="en-US"/>
        </w:rPr>
        <w:t xml:space="preserve"> was subsequently determined by subtracting </w:t>
      </w:r>
      <w:proofErr w:type="spellStart"/>
      <w:r w:rsidRPr="00700908">
        <w:rPr>
          <w:rFonts w:ascii="Arial" w:eastAsia="AdvOT863180fb" w:hAnsi="Arial" w:cs="Arial"/>
          <w:szCs w:val="24"/>
          <w:lang w:val="en-US"/>
        </w:rPr>
        <w:t>MnSOD</w:t>
      </w:r>
      <w:proofErr w:type="spellEnd"/>
      <w:r w:rsidRPr="00700908">
        <w:rPr>
          <w:rFonts w:ascii="Arial" w:eastAsia="AdvOT863180fb" w:hAnsi="Arial" w:cs="Arial"/>
          <w:szCs w:val="24"/>
          <w:lang w:val="en-US"/>
        </w:rPr>
        <w:t xml:space="preserve"> activity from total SOD activity.</w:t>
      </w:r>
    </w:p>
    <w:p w:rsidR="00D646B7" w:rsidRPr="00700908" w:rsidRDefault="00A74E62" w:rsidP="00D646B7">
      <w:pPr>
        <w:rPr>
          <w:rFonts w:ascii="Arial" w:hAnsi="Arial" w:cs="Arial"/>
          <w:i/>
          <w:sz w:val="22"/>
          <w:lang w:val="en-US"/>
        </w:rPr>
      </w:pPr>
      <w:r w:rsidRPr="00700908">
        <w:rPr>
          <w:rFonts w:ascii="Arial" w:eastAsia="AdvOT863180fb" w:hAnsi="Arial" w:cs="Arial"/>
          <w:szCs w:val="24"/>
          <w:lang w:val="en-US"/>
        </w:rPr>
        <w:br w:type="page"/>
      </w:r>
      <w:r w:rsidR="00D646B7" w:rsidRPr="00700908">
        <w:rPr>
          <w:rFonts w:ascii="Arial" w:eastAsia="AdvOT863180fb" w:hAnsi="Arial" w:cs="Arial"/>
          <w:b/>
          <w:szCs w:val="24"/>
          <w:lang w:val="en-US"/>
        </w:rPr>
        <w:lastRenderedPageBreak/>
        <w:t>Supplementary</w:t>
      </w:r>
      <w:r w:rsidR="00D646B7" w:rsidRPr="00700908">
        <w:rPr>
          <w:rFonts w:ascii="Arial" w:eastAsia="Calibri" w:hAnsi="Arial" w:cs="Arial"/>
          <w:b/>
          <w:i/>
          <w:sz w:val="22"/>
          <w:lang w:val="en-US"/>
        </w:rPr>
        <w:t xml:space="preserve"> Table S1</w:t>
      </w:r>
      <w:r w:rsidR="00D646B7" w:rsidRPr="00700908">
        <w:rPr>
          <w:rFonts w:ascii="Arial" w:eastAsia="Calibri" w:hAnsi="Arial" w:cs="Arial"/>
          <w:i/>
          <w:sz w:val="22"/>
          <w:lang w:val="en-US"/>
        </w:rPr>
        <w:t xml:space="preserve"> Primers used for real time qPCR quantification.</w:t>
      </w:r>
    </w:p>
    <w:tbl>
      <w:tblPr>
        <w:tblW w:w="5828" w:type="pct"/>
        <w:jc w:val="center"/>
        <w:tblLayout w:type="fixed"/>
        <w:tblCellMar>
          <w:left w:w="70" w:type="dxa"/>
          <w:right w:w="70" w:type="dxa"/>
        </w:tblCellMar>
        <w:tblLook w:val="04A0" w:firstRow="1" w:lastRow="0" w:firstColumn="1" w:lastColumn="0" w:noHBand="0" w:noVBand="1"/>
      </w:tblPr>
      <w:tblGrid>
        <w:gridCol w:w="1212"/>
        <w:gridCol w:w="2118"/>
        <w:gridCol w:w="286"/>
        <w:gridCol w:w="3718"/>
        <w:gridCol w:w="1439"/>
        <w:gridCol w:w="1302"/>
      </w:tblGrid>
      <w:tr w:rsidR="00D646B7" w:rsidRPr="00700908" w:rsidTr="00195DBB">
        <w:trPr>
          <w:jc w:val="center"/>
        </w:trPr>
        <w:tc>
          <w:tcPr>
            <w:tcW w:w="602" w:type="pct"/>
            <w:tcBorders>
              <w:top w:val="double" w:sz="4" w:space="0" w:color="auto"/>
              <w:left w:val="nil"/>
              <w:bottom w:val="single" w:sz="4" w:space="0" w:color="auto"/>
              <w:right w:val="nil"/>
            </w:tcBorders>
            <w:shd w:val="clear" w:color="auto" w:fill="auto"/>
            <w:noWrap/>
          </w:tcPr>
          <w:p w:rsidR="00D646B7" w:rsidRPr="00700908" w:rsidRDefault="00D646B7" w:rsidP="00195DBB">
            <w:pPr>
              <w:spacing w:after="0" w:line="240" w:lineRule="auto"/>
              <w:rPr>
                <w:rFonts w:ascii="Arial" w:hAnsi="Arial" w:cs="Arial"/>
                <w:lang w:val="en-US"/>
              </w:rPr>
            </w:pPr>
            <w:r w:rsidRPr="00700908">
              <w:rPr>
                <w:rFonts w:ascii="Arial" w:hAnsi="Arial" w:cs="Arial"/>
                <w:sz w:val="22"/>
                <w:lang w:val="en-US"/>
              </w:rPr>
              <w:t>Gene</w:t>
            </w:r>
          </w:p>
        </w:tc>
        <w:tc>
          <w:tcPr>
            <w:tcW w:w="1051" w:type="pct"/>
            <w:tcBorders>
              <w:top w:val="double" w:sz="4" w:space="0" w:color="auto"/>
              <w:left w:val="nil"/>
              <w:bottom w:val="single" w:sz="4" w:space="0" w:color="auto"/>
              <w:right w:val="nil"/>
            </w:tcBorders>
            <w:shd w:val="clear" w:color="auto" w:fill="auto"/>
            <w:noWrap/>
          </w:tcPr>
          <w:p w:rsidR="00D646B7" w:rsidRPr="00700908" w:rsidRDefault="00D646B7" w:rsidP="00195DBB">
            <w:pPr>
              <w:spacing w:after="0" w:line="240" w:lineRule="auto"/>
              <w:rPr>
                <w:rFonts w:ascii="Arial" w:hAnsi="Arial" w:cs="Arial"/>
                <w:lang w:val="en-US"/>
              </w:rPr>
            </w:pPr>
            <w:r w:rsidRPr="00700908">
              <w:rPr>
                <w:rFonts w:ascii="Arial" w:hAnsi="Arial" w:cs="Arial"/>
                <w:sz w:val="22"/>
                <w:lang w:val="en-US"/>
              </w:rPr>
              <w:t>Accession#</w:t>
            </w:r>
            <w:r w:rsidRPr="00700908">
              <w:rPr>
                <w:rFonts w:ascii="Arial" w:hAnsi="Arial" w:cs="Arial"/>
                <w:sz w:val="22"/>
                <w:vertAlign w:val="superscript"/>
                <w:lang w:val="en-US"/>
              </w:rPr>
              <w:t>1</w:t>
            </w:r>
          </w:p>
        </w:tc>
        <w:tc>
          <w:tcPr>
            <w:tcW w:w="142" w:type="pct"/>
            <w:tcBorders>
              <w:top w:val="double" w:sz="4" w:space="0" w:color="auto"/>
              <w:left w:val="nil"/>
              <w:bottom w:val="single" w:sz="4" w:space="0" w:color="auto"/>
              <w:right w:val="nil"/>
            </w:tcBorders>
            <w:shd w:val="clear" w:color="auto" w:fill="auto"/>
            <w:noWrap/>
          </w:tcPr>
          <w:p w:rsidR="00D646B7" w:rsidRPr="00700908" w:rsidRDefault="00D646B7" w:rsidP="00195DBB">
            <w:pPr>
              <w:spacing w:after="0" w:line="240" w:lineRule="auto"/>
              <w:rPr>
                <w:rFonts w:ascii="Arial" w:hAnsi="Arial" w:cs="Arial"/>
                <w:lang w:val="en-US"/>
              </w:rPr>
            </w:pPr>
          </w:p>
        </w:tc>
        <w:tc>
          <w:tcPr>
            <w:tcW w:w="1845" w:type="pct"/>
            <w:tcBorders>
              <w:top w:val="double" w:sz="4" w:space="0" w:color="auto"/>
              <w:left w:val="nil"/>
              <w:bottom w:val="single" w:sz="4" w:space="0" w:color="auto"/>
              <w:right w:val="nil"/>
            </w:tcBorders>
            <w:shd w:val="clear" w:color="auto" w:fill="auto"/>
            <w:noWrap/>
          </w:tcPr>
          <w:p w:rsidR="00D646B7" w:rsidRPr="00700908" w:rsidRDefault="00D646B7" w:rsidP="00195DBB">
            <w:pPr>
              <w:spacing w:after="0" w:line="240" w:lineRule="auto"/>
              <w:jc w:val="center"/>
              <w:rPr>
                <w:rFonts w:ascii="Arial" w:hAnsi="Arial" w:cs="Arial"/>
                <w:lang w:val="en-US"/>
              </w:rPr>
            </w:pPr>
            <w:r w:rsidRPr="00700908">
              <w:rPr>
                <w:rFonts w:ascii="Arial" w:hAnsi="Arial" w:cs="Arial"/>
                <w:sz w:val="22"/>
                <w:lang w:val="en-US"/>
              </w:rPr>
              <w:t>Primer sequence</w:t>
            </w:r>
            <w:r w:rsidRPr="00700908">
              <w:rPr>
                <w:rFonts w:ascii="Arial" w:hAnsi="Arial" w:cs="Arial"/>
                <w:sz w:val="22"/>
                <w:vertAlign w:val="superscript"/>
                <w:lang w:val="en-US"/>
              </w:rPr>
              <w:t>2</w:t>
            </w:r>
          </w:p>
        </w:tc>
        <w:tc>
          <w:tcPr>
            <w:tcW w:w="714" w:type="pct"/>
            <w:tcBorders>
              <w:top w:val="double" w:sz="4" w:space="0" w:color="auto"/>
              <w:left w:val="nil"/>
              <w:bottom w:val="single" w:sz="4" w:space="0" w:color="auto"/>
              <w:right w:val="nil"/>
            </w:tcBorders>
            <w:shd w:val="clear" w:color="auto" w:fill="auto"/>
            <w:noWrap/>
          </w:tcPr>
          <w:p w:rsidR="00D646B7" w:rsidRPr="00700908" w:rsidRDefault="00D646B7" w:rsidP="00195DBB">
            <w:pPr>
              <w:spacing w:after="0" w:line="240" w:lineRule="auto"/>
              <w:rPr>
                <w:rFonts w:ascii="Arial" w:hAnsi="Arial" w:cs="Arial"/>
                <w:lang w:val="en-US"/>
              </w:rPr>
            </w:pPr>
            <w:r w:rsidRPr="00700908">
              <w:rPr>
                <w:rFonts w:ascii="Arial" w:hAnsi="Arial" w:cs="Arial"/>
                <w:sz w:val="22"/>
                <w:lang w:val="en-US"/>
              </w:rPr>
              <w:t>Length(</w:t>
            </w:r>
            <w:proofErr w:type="spellStart"/>
            <w:r w:rsidRPr="00700908">
              <w:rPr>
                <w:rFonts w:ascii="Arial" w:hAnsi="Arial" w:cs="Arial"/>
                <w:sz w:val="22"/>
                <w:lang w:val="en-US"/>
              </w:rPr>
              <w:t>bp</w:t>
            </w:r>
            <w:proofErr w:type="spellEnd"/>
            <w:r w:rsidRPr="00700908">
              <w:rPr>
                <w:rFonts w:ascii="Arial" w:hAnsi="Arial" w:cs="Arial"/>
                <w:sz w:val="22"/>
                <w:lang w:val="en-US"/>
              </w:rPr>
              <w:t>)</w:t>
            </w:r>
          </w:p>
        </w:tc>
        <w:tc>
          <w:tcPr>
            <w:tcW w:w="647" w:type="pct"/>
            <w:tcBorders>
              <w:top w:val="double" w:sz="4" w:space="0" w:color="auto"/>
              <w:left w:val="nil"/>
              <w:bottom w:val="single" w:sz="4" w:space="0" w:color="auto"/>
              <w:right w:val="nil"/>
            </w:tcBorders>
          </w:tcPr>
          <w:p w:rsidR="00D646B7" w:rsidRPr="00700908" w:rsidRDefault="00D646B7" w:rsidP="00195DBB">
            <w:pPr>
              <w:spacing w:after="0" w:line="240" w:lineRule="auto"/>
              <w:rPr>
                <w:rFonts w:ascii="Arial" w:hAnsi="Arial" w:cs="Arial"/>
                <w:lang w:val="en-US"/>
              </w:rPr>
            </w:pPr>
            <w:r w:rsidRPr="00700908">
              <w:rPr>
                <w:rFonts w:ascii="Arial" w:hAnsi="Arial" w:cs="Arial"/>
                <w:sz w:val="22"/>
                <w:lang w:val="en-US"/>
              </w:rPr>
              <w:t>Efficiency</w:t>
            </w: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lang w:val="en-US"/>
              </w:rPr>
            </w:pPr>
            <w:r w:rsidRPr="00700908">
              <w:rPr>
                <w:rFonts w:ascii="Arial" w:hAnsi="Arial" w:cs="Arial"/>
                <w:i/>
                <w:sz w:val="22"/>
                <w:lang w:val="en-US"/>
              </w:rPr>
              <w:t>ACTB</w:t>
            </w: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lang w:val="en-US"/>
              </w:rPr>
            </w:pPr>
            <w:r w:rsidRPr="00700908">
              <w:rPr>
                <w:rFonts w:ascii="Arial" w:hAnsi="Arial" w:cs="Arial"/>
                <w:sz w:val="22"/>
                <w:lang w:val="en-US"/>
              </w:rPr>
              <w:t>BT030480</w:t>
            </w: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lang w:val="en-US"/>
              </w:rPr>
            </w:pPr>
            <w:r w:rsidRPr="00700908">
              <w:rPr>
                <w:rFonts w:ascii="Arial" w:hAnsi="Arial" w:cs="Arial"/>
                <w:sz w:val="22"/>
                <w:lang w:val="en-US"/>
              </w:rPr>
              <w:t>F</w:t>
            </w:r>
          </w:p>
        </w:tc>
        <w:tc>
          <w:tcPr>
            <w:tcW w:w="1845" w:type="pct"/>
            <w:tcBorders>
              <w:top w:val="nil"/>
              <w:left w:val="nil"/>
              <w:bottom w:val="nil"/>
              <w:right w:val="nil"/>
            </w:tcBorders>
            <w:shd w:val="clear" w:color="auto" w:fill="auto"/>
            <w:noWrap/>
            <w:vAlign w:val="bottom"/>
          </w:tcPr>
          <w:p w:rsidR="00D646B7" w:rsidRPr="00700908" w:rsidRDefault="00D646B7" w:rsidP="00195DBB">
            <w:pPr>
              <w:spacing w:after="0" w:line="240" w:lineRule="auto"/>
              <w:rPr>
                <w:rFonts w:ascii="Arial" w:hAnsi="Arial" w:cs="Arial"/>
                <w:lang w:val="en-US"/>
              </w:rPr>
            </w:pPr>
            <w:r w:rsidRPr="00700908">
              <w:rPr>
                <w:rFonts w:ascii="Arial" w:hAnsi="Arial" w:cs="Arial"/>
                <w:sz w:val="22"/>
                <w:lang w:val="en-US"/>
              </w:rPr>
              <w:t>CTCTTCCAGCCTTCCTTCCT</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lang w:val="en-US"/>
              </w:rPr>
            </w:pPr>
            <w:r w:rsidRPr="00700908">
              <w:rPr>
                <w:rFonts w:ascii="Arial" w:hAnsi="Arial" w:cs="Arial"/>
                <w:sz w:val="22"/>
                <w:lang w:val="en-US"/>
              </w:rPr>
              <w:t>178</w:t>
            </w: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lang w:val="en-US"/>
              </w:rPr>
            </w:pPr>
            <w:r w:rsidRPr="00700908">
              <w:rPr>
                <w:rFonts w:ascii="Arial" w:hAnsi="Arial" w:cs="Arial"/>
                <w:sz w:val="22"/>
                <w:lang w:val="en-US"/>
              </w:rPr>
              <w:t>1.02</w:t>
            </w: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lang w:val="en-US"/>
              </w:rPr>
            </w:pP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lang w:val="en-US"/>
              </w:rPr>
            </w:pP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lang w:val="en-US"/>
              </w:rPr>
            </w:pPr>
            <w:r w:rsidRPr="00700908">
              <w:rPr>
                <w:rFonts w:ascii="Arial" w:hAnsi="Arial" w:cs="Arial"/>
                <w:sz w:val="22"/>
                <w:lang w:val="en-US"/>
              </w:rPr>
              <w:t>R</w:t>
            </w:r>
          </w:p>
        </w:tc>
        <w:tc>
          <w:tcPr>
            <w:tcW w:w="1845" w:type="pct"/>
            <w:tcBorders>
              <w:top w:val="nil"/>
              <w:left w:val="nil"/>
              <w:bottom w:val="nil"/>
              <w:right w:val="nil"/>
            </w:tcBorders>
            <w:shd w:val="clear" w:color="auto" w:fill="auto"/>
            <w:noWrap/>
            <w:vAlign w:val="bottom"/>
          </w:tcPr>
          <w:p w:rsidR="00D646B7" w:rsidRPr="00700908" w:rsidRDefault="00D646B7" w:rsidP="00195DBB">
            <w:pPr>
              <w:spacing w:after="0" w:line="240" w:lineRule="auto"/>
              <w:rPr>
                <w:rFonts w:ascii="Arial" w:hAnsi="Arial" w:cs="Arial"/>
              </w:rPr>
            </w:pPr>
            <w:r w:rsidRPr="00700908">
              <w:rPr>
                <w:rFonts w:ascii="Arial" w:hAnsi="Arial" w:cs="Arial"/>
                <w:sz w:val="22"/>
                <w:lang w:val="en-US"/>
              </w:rPr>
              <w:t>GGGCAGTGATCTCTTTCT</w:t>
            </w:r>
            <w:r w:rsidRPr="00700908">
              <w:rPr>
                <w:rFonts w:ascii="Arial" w:hAnsi="Arial" w:cs="Arial"/>
                <w:sz w:val="22"/>
              </w:rPr>
              <w:t>GC</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r w:rsidRPr="00700908">
              <w:rPr>
                <w:rFonts w:ascii="Arial" w:hAnsi="Arial" w:cs="Arial"/>
                <w:i/>
                <w:sz w:val="22"/>
              </w:rPr>
              <w:t>GCLC</w:t>
            </w: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NM_001083674</w:t>
            </w: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F</w:t>
            </w:r>
          </w:p>
        </w:tc>
        <w:tc>
          <w:tcPr>
            <w:tcW w:w="1845" w:type="pct"/>
            <w:tcBorders>
              <w:top w:val="nil"/>
              <w:left w:val="nil"/>
              <w:bottom w:val="nil"/>
              <w:right w:val="nil"/>
            </w:tcBorders>
            <w:shd w:val="clear" w:color="auto" w:fill="auto"/>
            <w:noWrap/>
            <w:vAlign w:val="bottom"/>
          </w:tcPr>
          <w:p w:rsidR="00D646B7" w:rsidRPr="00700908" w:rsidRDefault="00D646B7" w:rsidP="00195DBB">
            <w:pPr>
              <w:spacing w:after="0" w:line="240" w:lineRule="auto"/>
              <w:rPr>
                <w:rFonts w:ascii="Arial" w:hAnsi="Arial" w:cs="Arial"/>
              </w:rPr>
            </w:pPr>
            <w:r w:rsidRPr="00700908">
              <w:rPr>
                <w:rFonts w:ascii="Arial" w:hAnsi="Arial" w:cs="Arial"/>
                <w:sz w:val="22"/>
              </w:rPr>
              <w:t>CACAAATTGGCAGACAATGC</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r w:rsidRPr="00700908">
              <w:rPr>
                <w:rFonts w:ascii="Arial" w:hAnsi="Arial" w:cs="Arial"/>
                <w:sz w:val="22"/>
              </w:rPr>
              <w:t>211</w:t>
            </w: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1.20</w:t>
            </w: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R</w:t>
            </w:r>
          </w:p>
        </w:tc>
        <w:tc>
          <w:tcPr>
            <w:tcW w:w="1845" w:type="pct"/>
            <w:tcBorders>
              <w:top w:val="nil"/>
              <w:left w:val="nil"/>
              <w:bottom w:val="nil"/>
              <w:right w:val="nil"/>
            </w:tcBorders>
            <w:shd w:val="clear" w:color="auto" w:fill="auto"/>
            <w:noWrap/>
            <w:vAlign w:val="bottom"/>
          </w:tcPr>
          <w:p w:rsidR="00D646B7" w:rsidRPr="00700908" w:rsidRDefault="00D646B7" w:rsidP="00195DBB">
            <w:pPr>
              <w:spacing w:after="0" w:line="240" w:lineRule="auto"/>
              <w:rPr>
                <w:rFonts w:ascii="Arial" w:hAnsi="Arial" w:cs="Arial"/>
              </w:rPr>
            </w:pPr>
            <w:r w:rsidRPr="00700908">
              <w:rPr>
                <w:rFonts w:ascii="Arial" w:hAnsi="Arial" w:cs="Arial"/>
                <w:sz w:val="22"/>
              </w:rPr>
              <w:t>GGCGACCTTCATGTTCTCAT</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r w:rsidRPr="00700908">
              <w:rPr>
                <w:rFonts w:ascii="Arial" w:hAnsi="Arial" w:cs="Arial"/>
                <w:i/>
                <w:sz w:val="22"/>
              </w:rPr>
              <w:t>GPX1</w:t>
            </w: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NM_17407</w:t>
            </w: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F</w:t>
            </w:r>
          </w:p>
        </w:tc>
        <w:tc>
          <w:tcPr>
            <w:tcW w:w="1845" w:type="pct"/>
            <w:tcBorders>
              <w:top w:val="nil"/>
              <w:left w:val="nil"/>
              <w:bottom w:val="nil"/>
              <w:right w:val="nil"/>
            </w:tcBorders>
            <w:shd w:val="clear" w:color="auto" w:fill="auto"/>
            <w:noWrap/>
            <w:vAlign w:val="bottom"/>
          </w:tcPr>
          <w:p w:rsidR="00D646B7" w:rsidRPr="00700908" w:rsidRDefault="00D646B7" w:rsidP="00195DBB">
            <w:pPr>
              <w:spacing w:after="0" w:line="240" w:lineRule="auto"/>
              <w:rPr>
                <w:rFonts w:ascii="Arial" w:hAnsi="Arial" w:cs="Arial"/>
              </w:rPr>
            </w:pPr>
            <w:r w:rsidRPr="00700908">
              <w:rPr>
                <w:rFonts w:ascii="Arial" w:hAnsi="Arial" w:cs="Arial"/>
                <w:sz w:val="22"/>
              </w:rPr>
              <w:t>ACATTGAAACCCTGCTGTCC</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r w:rsidRPr="00700908">
              <w:rPr>
                <w:rFonts w:ascii="Arial" w:hAnsi="Arial" w:cs="Arial"/>
                <w:sz w:val="22"/>
              </w:rPr>
              <w:t>216</w:t>
            </w: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1.17</w:t>
            </w: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R</w:t>
            </w:r>
          </w:p>
        </w:tc>
        <w:tc>
          <w:tcPr>
            <w:tcW w:w="1845" w:type="pct"/>
            <w:tcBorders>
              <w:top w:val="nil"/>
              <w:left w:val="nil"/>
              <w:bottom w:val="nil"/>
              <w:right w:val="nil"/>
            </w:tcBorders>
            <w:shd w:val="clear" w:color="auto" w:fill="auto"/>
            <w:noWrap/>
            <w:vAlign w:val="bottom"/>
          </w:tcPr>
          <w:p w:rsidR="00D646B7" w:rsidRPr="00700908" w:rsidRDefault="00D646B7" w:rsidP="00195DBB">
            <w:pPr>
              <w:spacing w:after="0" w:line="240" w:lineRule="auto"/>
              <w:rPr>
                <w:rFonts w:ascii="Arial" w:hAnsi="Arial" w:cs="Arial"/>
              </w:rPr>
            </w:pPr>
            <w:r w:rsidRPr="00700908">
              <w:rPr>
                <w:rFonts w:ascii="Arial" w:hAnsi="Arial" w:cs="Arial"/>
                <w:sz w:val="22"/>
              </w:rPr>
              <w:t>TCATGAGGAGCTGTGGTCTG</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r w:rsidRPr="00700908">
              <w:rPr>
                <w:rFonts w:ascii="Arial" w:hAnsi="Arial" w:cs="Arial"/>
                <w:i/>
                <w:sz w:val="22"/>
              </w:rPr>
              <w:t>GPX3</w:t>
            </w: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NM_174077</w:t>
            </w: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F</w:t>
            </w:r>
          </w:p>
        </w:tc>
        <w:tc>
          <w:tcPr>
            <w:tcW w:w="1845" w:type="pct"/>
            <w:tcBorders>
              <w:top w:val="nil"/>
              <w:left w:val="nil"/>
              <w:bottom w:val="nil"/>
              <w:right w:val="nil"/>
            </w:tcBorders>
            <w:shd w:val="clear" w:color="auto" w:fill="auto"/>
            <w:noWrap/>
            <w:vAlign w:val="bottom"/>
          </w:tcPr>
          <w:p w:rsidR="00D646B7" w:rsidRPr="00700908" w:rsidRDefault="00D646B7" w:rsidP="00195DBB">
            <w:pPr>
              <w:spacing w:after="0" w:line="240" w:lineRule="auto"/>
              <w:rPr>
                <w:rFonts w:ascii="Arial" w:hAnsi="Arial" w:cs="Arial"/>
              </w:rPr>
            </w:pPr>
            <w:r w:rsidRPr="00700908">
              <w:rPr>
                <w:rFonts w:ascii="Arial" w:hAnsi="Arial" w:cs="Arial"/>
                <w:sz w:val="22"/>
              </w:rPr>
              <w:t>TGCAACCAATTTGGAAAACA</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r w:rsidRPr="00700908">
              <w:rPr>
                <w:rFonts w:ascii="Arial" w:hAnsi="Arial" w:cs="Arial"/>
                <w:sz w:val="22"/>
              </w:rPr>
              <w:t>224</w:t>
            </w: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1.11</w:t>
            </w: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R</w:t>
            </w:r>
          </w:p>
        </w:tc>
        <w:tc>
          <w:tcPr>
            <w:tcW w:w="1845" w:type="pct"/>
            <w:tcBorders>
              <w:top w:val="nil"/>
              <w:left w:val="nil"/>
              <w:bottom w:val="nil"/>
              <w:right w:val="nil"/>
            </w:tcBorders>
            <w:shd w:val="clear" w:color="auto" w:fill="auto"/>
            <w:noWrap/>
            <w:vAlign w:val="bottom"/>
          </w:tcPr>
          <w:p w:rsidR="00D646B7" w:rsidRPr="00700908" w:rsidRDefault="00D646B7" w:rsidP="00195DBB">
            <w:pPr>
              <w:spacing w:after="0" w:line="240" w:lineRule="auto"/>
              <w:rPr>
                <w:rFonts w:ascii="Arial" w:hAnsi="Arial" w:cs="Arial"/>
              </w:rPr>
            </w:pPr>
            <w:r w:rsidRPr="00700908">
              <w:rPr>
                <w:rFonts w:ascii="Arial" w:hAnsi="Arial" w:cs="Arial"/>
                <w:sz w:val="22"/>
              </w:rPr>
              <w:t>TTCATGGGTTCCCAGAAAAG</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r w:rsidRPr="00700908">
              <w:rPr>
                <w:rFonts w:ascii="Arial" w:hAnsi="Arial" w:cs="Arial"/>
                <w:i/>
                <w:sz w:val="22"/>
              </w:rPr>
              <w:t>GPX4</w:t>
            </w:r>
          </w:p>
        </w:tc>
        <w:tc>
          <w:tcPr>
            <w:tcW w:w="1051" w:type="pct"/>
            <w:tcBorders>
              <w:top w:val="nil"/>
              <w:left w:val="nil"/>
              <w:bottom w:val="nil"/>
              <w:right w:val="nil"/>
            </w:tcBorders>
            <w:shd w:val="clear" w:color="auto" w:fill="auto"/>
            <w:noWrap/>
          </w:tcPr>
          <w:p w:rsidR="00D646B7" w:rsidRPr="00700908" w:rsidRDefault="00C76F37" w:rsidP="00195DBB">
            <w:pPr>
              <w:spacing w:after="0" w:line="240" w:lineRule="auto"/>
              <w:rPr>
                <w:rFonts w:ascii="Arial" w:hAnsi="Arial" w:cs="Arial"/>
              </w:rPr>
            </w:pPr>
            <w:hyperlink r:id="rId4" w:tgtFrame="new_entrez" w:history="1">
              <w:r w:rsidR="00D646B7" w:rsidRPr="00700908">
                <w:rPr>
                  <w:rFonts w:ascii="Arial" w:hAnsi="Arial" w:cs="Arial"/>
                  <w:sz w:val="22"/>
                </w:rPr>
                <w:t>NM_001346431.1</w:t>
              </w:r>
            </w:hyperlink>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F</w:t>
            </w:r>
          </w:p>
        </w:tc>
        <w:tc>
          <w:tcPr>
            <w:tcW w:w="1845"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AGCCAGGGAGTAATGCAGAG</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r w:rsidRPr="00700908">
              <w:rPr>
                <w:rFonts w:ascii="Arial" w:hAnsi="Arial" w:cs="Arial"/>
                <w:sz w:val="22"/>
              </w:rPr>
              <w:t>203</w:t>
            </w: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1.14</w:t>
            </w: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R</w:t>
            </w:r>
          </w:p>
        </w:tc>
        <w:tc>
          <w:tcPr>
            <w:tcW w:w="1845"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CACACAGCCGTTCTTGTCAA</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r w:rsidRPr="00700908">
              <w:rPr>
                <w:rFonts w:ascii="Arial" w:hAnsi="Arial" w:cs="Arial"/>
                <w:i/>
                <w:sz w:val="22"/>
              </w:rPr>
              <w:t>HPRT1</w:t>
            </w: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XM_580802</w:t>
            </w: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F</w:t>
            </w:r>
          </w:p>
        </w:tc>
        <w:tc>
          <w:tcPr>
            <w:tcW w:w="1845"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TGGAGAAGGTGTTTATTCCTC</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105</w:t>
            </w: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1.03</w:t>
            </w: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R</w:t>
            </w:r>
          </w:p>
        </w:tc>
        <w:tc>
          <w:tcPr>
            <w:tcW w:w="1845"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CACAGAGGGCCACAATGTGA</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r w:rsidRPr="00700908">
              <w:rPr>
                <w:rFonts w:ascii="Arial" w:hAnsi="Arial" w:cs="Arial"/>
                <w:i/>
                <w:sz w:val="22"/>
              </w:rPr>
              <w:t>PRDX3</w:t>
            </w:r>
          </w:p>
        </w:tc>
        <w:tc>
          <w:tcPr>
            <w:tcW w:w="1051" w:type="pct"/>
            <w:tcBorders>
              <w:top w:val="nil"/>
              <w:left w:val="nil"/>
              <w:bottom w:val="nil"/>
              <w:right w:val="nil"/>
            </w:tcBorders>
            <w:shd w:val="clear" w:color="auto" w:fill="auto"/>
            <w:noWrap/>
          </w:tcPr>
          <w:p w:rsidR="00D646B7" w:rsidRPr="00700908" w:rsidRDefault="00C76F37" w:rsidP="00195DBB">
            <w:pPr>
              <w:spacing w:after="0" w:line="240" w:lineRule="auto"/>
              <w:rPr>
                <w:rFonts w:ascii="Arial" w:hAnsi="Arial" w:cs="Arial"/>
              </w:rPr>
            </w:pPr>
            <w:hyperlink r:id="rId5" w:tgtFrame="new_entrez" w:history="1">
              <w:r w:rsidR="00D646B7" w:rsidRPr="00700908">
                <w:rPr>
                  <w:rFonts w:ascii="Arial" w:hAnsi="Arial" w:cs="Arial"/>
                  <w:sz w:val="22"/>
                </w:rPr>
                <w:t>NM_174432.2</w:t>
              </w:r>
            </w:hyperlink>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F</w:t>
            </w:r>
          </w:p>
        </w:tc>
        <w:tc>
          <w:tcPr>
            <w:tcW w:w="1845"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CACACCAGAAAAGAGCCACA</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r w:rsidRPr="00700908">
              <w:rPr>
                <w:rFonts w:ascii="Arial" w:hAnsi="Arial" w:cs="Arial"/>
                <w:sz w:val="22"/>
              </w:rPr>
              <w:t>210</w:t>
            </w: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1.13</w:t>
            </w: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R</w:t>
            </w:r>
          </w:p>
        </w:tc>
        <w:tc>
          <w:tcPr>
            <w:tcW w:w="1845"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CTAGCCATCCATCCACACCT</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r w:rsidRPr="00700908">
              <w:rPr>
                <w:rFonts w:ascii="Arial" w:hAnsi="Arial" w:cs="Arial"/>
                <w:i/>
                <w:sz w:val="22"/>
              </w:rPr>
              <w:t>PRDX5</w:t>
            </w:r>
          </w:p>
        </w:tc>
        <w:tc>
          <w:tcPr>
            <w:tcW w:w="1051" w:type="pct"/>
            <w:tcBorders>
              <w:top w:val="nil"/>
              <w:left w:val="nil"/>
              <w:bottom w:val="nil"/>
              <w:right w:val="nil"/>
            </w:tcBorders>
            <w:shd w:val="clear" w:color="auto" w:fill="auto"/>
            <w:noWrap/>
          </w:tcPr>
          <w:p w:rsidR="00D646B7" w:rsidRPr="00700908" w:rsidRDefault="00C76F37" w:rsidP="00195DBB">
            <w:pPr>
              <w:spacing w:after="0" w:line="240" w:lineRule="auto"/>
              <w:rPr>
                <w:rFonts w:ascii="Arial" w:hAnsi="Arial" w:cs="Arial"/>
              </w:rPr>
            </w:pPr>
            <w:hyperlink r:id="rId6" w:tgtFrame="new_entrez" w:history="1">
              <w:r w:rsidR="00D646B7" w:rsidRPr="00700908">
                <w:rPr>
                  <w:rFonts w:ascii="Arial" w:hAnsi="Arial" w:cs="Arial"/>
                  <w:sz w:val="22"/>
                </w:rPr>
                <w:t>NM_174749.2</w:t>
              </w:r>
            </w:hyperlink>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F</w:t>
            </w:r>
          </w:p>
        </w:tc>
        <w:tc>
          <w:tcPr>
            <w:tcW w:w="1845"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CCTTCTACCTCAGCCTCGAG</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r w:rsidRPr="00700908">
              <w:rPr>
                <w:rFonts w:ascii="Arial" w:hAnsi="Arial" w:cs="Arial"/>
                <w:sz w:val="22"/>
              </w:rPr>
              <w:t>245</w:t>
            </w: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1.15</w:t>
            </w: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R</w:t>
            </w:r>
          </w:p>
        </w:tc>
        <w:tc>
          <w:tcPr>
            <w:tcW w:w="1845"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CAACCTTAATCGGGGCCATG</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r w:rsidRPr="00700908">
              <w:rPr>
                <w:rFonts w:ascii="Arial" w:hAnsi="Arial" w:cs="Arial"/>
                <w:i/>
                <w:sz w:val="22"/>
              </w:rPr>
              <w:t>RPL19</w:t>
            </w: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NM_001040516.1</w:t>
            </w: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F</w:t>
            </w:r>
          </w:p>
        </w:tc>
        <w:tc>
          <w:tcPr>
            <w:tcW w:w="1845"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CCCCAATGAGACCAATGAAATC</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156</w:t>
            </w: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1.09</w:t>
            </w: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R</w:t>
            </w:r>
          </w:p>
        </w:tc>
        <w:tc>
          <w:tcPr>
            <w:tcW w:w="1845"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CAGCCCATCTTTGATCAGCTT</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r w:rsidRPr="00700908">
              <w:rPr>
                <w:rFonts w:ascii="Arial" w:hAnsi="Arial" w:cs="Arial"/>
                <w:i/>
                <w:sz w:val="22"/>
              </w:rPr>
              <w:t>SOD1</w:t>
            </w: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NM_174615</w:t>
            </w: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F</w:t>
            </w:r>
          </w:p>
        </w:tc>
        <w:tc>
          <w:tcPr>
            <w:tcW w:w="1845" w:type="pct"/>
            <w:tcBorders>
              <w:top w:val="nil"/>
              <w:left w:val="nil"/>
              <w:bottom w:val="nil"/>
              <w:right w:val="nil"/>
            </w:tcBorders>
            <w:shd w:val="clear" w:color="auto" w:fill="auto"/>
            <w:noWrap/>
            <w:vAlign w:val="bottom"/>
          </w:tcPr>
          <w:p w:rsidR="00D646B7" w:rsidRPr="00700908" w:rsidRDefault="00D646B7" w:rsidP="00195DBB">
            <w:pPr>
              <w:spacing w:after="0" w:line="240" w:lineRule="auto"/>
              <w:rPr>
                <w:rFonts w:ascii="Arial" w:hAnsi="Arial" w:cs="Arial"/>
              </w:rPr>
            </w:pPr>
            <w:r w:rsidRPr="00700908">
              <w:rPr>
                <w:rFonts w:ascii="Arial" w:hAnsi="Arial" w:cs="Arial"/>
                <w:sz w:val="22"/>
              </w:rPr>
              <w:t>AGAGGCATGTTGGAGACCTG</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189</w:t>
            </w: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1.14</w:t>
            </w: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p>
        </w:tc>
        <w:tc>
          <w:tcPr>
            <w:tcW w:w="1051"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R</w:t>
            </w:r>
          </w:p>
        </w:tc>
        <w:tc>
          <w:tcPr>
            <w:tcW w:w="1845" w:type="pct"/>
            <w:tcBorders>
              <w:top w:val="nil"/>
              <w:left w:val="nil"/>
              <w:bottom w:val="nil"/>
              <w:right w:val="nil"/>
            </w:tcBorders>
            <w:shd w:val="clear" w:color="auto" w:fill="auto"/>
            <w:noWrap/>
            <w:vAlign w:val="bottom"/>
          </w:tcPr>
          <w:p w:rsidR="00D646B7" w:rsidRPr="00700908" w:rsidRDefault="00D646B7" w:rsidP="00195DBB">
            <w:pPr>
              <w:spacing w:after="0" w:line="240" w:lineRule="auto"/>
              <w:rPr>
                <w:rFonts w:ascii="Arial" w:hAnsi="Arial" w:cs="Arial"/>
              </w:rPr>
            </w:pPr>
            <w:r w:rsidRPr="00700908">
              <w:rPr>
                <w:rFonts w:ascii="Arial" w:hAnsi="Arial" w:cs="Arial"/>
                <w:sz w:val="22"/>
              </w:rPr>
              <w:t>CAGCGTTGCCAGTCTTTGTA</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p>
        </w:tc>
      </w:tr>
      <w:tr w:rsidR="00D646B7" w:rsidRPr="00700908" w:rsidTr="00195DBB">
        <w:trPr>
          <w:jc w:val="center"/>
        </w:trPr>
        <w:tc>
          <w:tcPr>
            <w:tcW w:w="60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i/>
              </w:rPr>
            </w:pPr>
            <w:r w:rsidRPr="00700908">
              <w:rPr>
                <w:rFonts w:ascii="Arial" w:hAnsi="Arial" w:cs="Arial"/>
                <w:i/>
                <w:sz w:val="22"/>
              </w:rPr>
              <w:t>SOD2</w:t>
            </w:r>
          </w:p>
        </w:tc>
        <w:tc>
          <w:tcPr>
            <w:tcW w:w="1051" w:type="pct"/>
            <w:tcBorders>
              <w:top w:val="nil"/>
              <w:left w:val="nil"/>
              <w:bottom w:val="nil"/>
              <w:right w:val="nil"/>
            </w:tcBorders>
            <w:shd w:val="clear" w:color="auto" w:fill="auto"/>
            <w:noWrap/>
          </w:tcPr>
          <w:p w:rsidR="00D646B7" w:rsidRPr="00700908" w:rsidRDefault="00C76F37" w:rsidP="00195DBB">
            <w:pPr>
              <w:spacing w:after="0" w:line="240" w:lineRule="auto"/>
              <w:rPr>
                <w:rFonts w:ascii="Arial" w:hAnsi="Arial" w:cs="Arial"/>
              </w:rPr>
            </w:pPr>
            <w:hyperlink r:id="rId7" w:tgtFrame="new_entrez" w:history="1">
              <w:r w:rsidR="00D646B7" w:rsidRPr="00700908">
                <w:rPr>
                  <w:rFonts w:ascii="Arial" w:hAnsi="Arial" w:cs="Arial"/>
                  <w:sz w:val="22"/>
                </w:rPr>
                <w:t>NM_201527.2</w:t>
              </w:r>
            </w:hyperlink>
          </w:p>
        </w:tc>
        <w:tc>
          <w:tcPr>
            <w:tcW w:w="142"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F</w:t>
            </w:r>
          </w:p>
        </w:tc>
        <w:tc>
          <w:tcPr>
            <w:tcW w:w="1845" w:type="pct"/>
            <w:tcBorders>
              <w:top w:val="nil"/>
              <w:left w:val="nil"/>
              <w:bottom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CAGGGACGCTTACAGATTGC</w:t>
            </w:r>
          </w:p>
        </w:tc>
        <w:tc>
          <w:tcPr>
            <w:tcW w:w="714" w:type="pct"/>
            <w:tcBorders>
              <w:top w:val="nil"/>
              <w:left w:val="nil"/>
              <w:bottom w:val="nil"/>
              <w:right w:val="nil"/>
            </w:tcBorders>
            <w:shd w:val="clear" w:color="auto" w:fill="auto"/>
            <w:noWrap/>
          </w:tcPr>
          <w:p w:rsidR="00D646B7" w:rsidRPr="00700908" w:rsidRDefault="00D646B7" w:rsidP="00195DBB">
            <w:pPr>
              <w:spacing w:after="0" w:line="240" w:lineRule="auto"/>
              <w:jc w:val="center"/>
              <w:rPr>
                <w:rFonts w:ascii="Arial" w:hAnsi="Arial" w:cs="Arial"/>
              </w:rPr>
            </w:pPr>
            <w:r w:rsidRPr="00700908">
              <w:rPr>
                <w:rFonts w:ascii="Arial" w:hAnsi="Arial" w:cs="Arial"/>
                <w:sz w:val="22"/>
              </w:rPr>
              <w:t>212</w:t>
            </w:r>
          </w:p>
        </w:tc>
        <w:tc>
          <w:tcPr>
            <w:tcW w:w="647" w:type="pct"/>
            <w:tcBorders>
              <w:top w:val="nil"/>
              <w:left w:val="nil"/>
              <w:bottom w:val="nil"/>
              <w:right w:val="nil"/>
            </w:tcBorders>
          </w:tcPr>
          <w:p w:rsidR="00D646B7" w:rsidRPr="00700908" w:rsidRDefault="00D646B7" w:rsidP="00195DBB">
            <w:pPr>
              <w:spacing w:after="0" w:line="240" w:lineRule="auto"/>
              <w:jc w:val="center"/>
              <w:rPr>
                <w:rFonts w:ascii="Arial" w:hAnsi="Arial" w:cs="Arial"/>
              </w:rPr>
            </w:pPr>
            <w:r w:rsidRPr="00700908">
              <w:rPr>
                <w:rFonts w:ascii="Arial" w:hAnsi="Arial" w:cs="Arial"/>
                <w:sz w:val="22"/>
              </w:rPr>
              <w:t>1.03</w:t>
            </w:r>
          </w:p>
        </w:tc>
      </w:tr>
      <w:tr w:rsidR="00D646B7" w:rsidRPr="00700908" w:rsidTr="00195DBB">
        <w:trPr>
          <w:jc w:val="center"/>
        </w:trPr>
        <w:tc>
          <w:tcPr>
            <w:tcW w:w="602" w:type="pct"/>
            <w:tcBorders>
              <w:top w:val="nil"/>
              <w:left w:val="nil"/>
              <w:right w:val="nil"/>
            </w:tcBorders>
            <w:shd w:val="clear" w:color="auto" w:fill="auto"/>
            <w:noWrap/>
          </w:tcPr>
          <w:p w:rsidR="00D646B7" w:rsidRPr="00700908" w:rsidRDefault="00D646B7" w:rsidP="00195DBB">
            <w:pPr>
              <w:spacing w:after="0" w:line="240" w:lineRule="auto"/>
              <w:rPr>
                <w:rFonts w:ascii="Arial" w:hAnsi="Arial" w:cs="Arial"/>
                <w:i/>
              </w:rPr>
            </w:pPr>
          </w:p>
        </w:tc>
        <w:tc>
          <w:tcPr>
            <w:tcW w:w="1051" w:type="pct"/>
            <w:tcBorders>
              <w:top w:val="nil"/>
              <w:left w:val="nil"/>
              <w:right w:val="nil"/>
            </w:tcBorders>
            <w:shd w:val="clear" w:color="auto" w:fill="auto"/>
            <w:noWrap/>
          </w:tcPr>
          <w:p w:rsidR="00D646B7" w:rsidRPr="00700908" w:rsidRDefault="00D646B7" w:rsidP="00195DBB">
            <w:pPr>
              <w:spacing w:after="0" w:line="240" w:lineRule="auto"/>
              <w:rPr>
                <w:rFonts w:ascii="Arial" w:hAnsi="Arial" w:cs="Arial"/>
              </w:rPr>
            </w:pPr>
          </w:p>
        </w:tc>
        <w:tc>
          <w:tcPr>
            <w:tcW w:w="142" w:type="pct"/>
            <w:tcBorders>
              <w:top w:val="nil"/>
              <w:left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R</w:t>
            </w:r>
          </w:p>
        </w:tc>
        <w:tc>
          <w:tcPr>
            <w:tcW w:w="1845" w:type="pct"/>
            <w:tcBorders>
              <w:top w:val="nil"/>
              <w:left w:val="nil"/>
              <w:right w:val="nil"/>
            </w:tcBorders>
            <w:shd w:val="clear" w:color="auto" w:fill="auto"/>
            <w:noWrap/>
          </w:tcPr>
          <w:p w:rsidR="00D646B7" w:rsidRPr="00700908" w:rsidRDefault="00D646B7" w:rsidP="00195DBB">
            <w:pPr>
              <w:spacing w:after="0" w:line="240" w:lineRule="auto"/>
              <w:rPr>
                <w:rFonts w:ascii="Arial" w:hAnsi="Arial" w:cs="Arial"/>
              </w:rPr>
            </w:pPr>
            <w:r w:rsidRPr="00700908">
              <w:rPr>
                <w:rFonts w:ascii="Arial" w:hAnsi="Arial" w:cs="Arial"/>
                <w:sz w:val="22"/>
              </w:rPr>
              <w:t>CTGACGGTTTACTTGCTGCA</w:t>
            </w:r>
          </w:p>
        </w:tc>
        <w:tc>
          <w:tcPr>
            <w:tcW w:w="714" w:type="pct"/>
            <w:tcBorders>
              <w:top w:val="nil"/>
              <w:left w:val="nil"/>
              <w:right w:val="nil"/>
            </w:tcBorders>
            <w:shd w:val="clear" w:color="auto" w:fill="auto"/>
            <w:noWrap/>
          </w:tcPr>
          <w:p w:rsidR="00D646B7" w:rsidRPr="00700908" w:rsidRDefault="00D646B7" w:rsidP="00195DBB">
            <w:pPr>
              <w:spacing w:after="0" w:line="240" w:lineRule="auto"/>
              <w:jc w:val="center"/>
              <w:rPr>
                <w:rFonts w:ascii="Arial" w:hAnsi="Arial" w:cs="Arial"/>
              </w:rPr>
            </w:pPr>
          </w:p>
        </w:tc>
        <w:tc>
          <w:tcPr>
            <w:tcW w:w="647" w:type="pct"/>
            <w:tcBorders>
              <w:top w:val="nil"/>
              <w:left w:val="nil"/>
              <w:right w:val="nil"/>
            </w:tcBorders>
          </w:tcPr>
          <w:p w:rsidR="00D646B7" w:rsidRPr="00700908" w:rsidRDefault="00D646B7" w:rsidP="00195DBB">
            <w:pPr>
              <w:spacing w:after="0" w:line="240" w:lineRule="auto"/>
              <w:jc w:val="center"/>
              <w:rPr>
                <w:rFonts w:ascii="Arial" w:hAnsi="Arial" w:cs="Arial"/>
              </w:rPr>
            </w:pPr>
          </w:p>
        </w:tc>
      </w:tr>
      <w:tr w:rsidR="00D646B7" w:rsidRPr="00700908" w:rsidTr="00195DBB">
        <w:trPr>
          <w:jc w:val="center"/>
        </w:trPr>
        <w:tc>
          <w:tcPr>
            <w:tcW w:w="602" w:type="pct"/>
            <w:tcBorders>
              <w:top w:val="nil"/>
              <w:left w:val="nil"/>
              <w:bottom w:val="double" w:sz="4" w:space="0" w:color="auto"/>
              <w:right w:val="nil"/>
            </w:tcBorders>
            <w:shd w:val="clear" w:color="auto" w:fill="auto"/>
            <w:noWrap/>
          </w:tcPr>
          <w:p w:rsidR="00D646B7" w:rsidRPr="00700908" w:rsidRDefault="00D646B7" w:rsidP="00195DBB">
            <w:pPr>
              <w:spacing w:after="0" w:line="240" w:lineRule="auto"/>
              <w:rPr>
                <w:rFonts w:ascii="Arial" w:hAnsi="Arial" w:cs="Arial"/>
              </w:rPr>
            </w:pPr>
          </w:p>
        </w:tc>
        <w:tc>
          <w:tcPr>
            <w:tcW w:w="1051" w:type="pct"/>
            <w:tcBorders>
              <w:top w:val="nil"/>
              <w:left w:val="nil"/>
              <w:bottom w:val="double" w:sz="4" w:space="0" w:color="auto"/>
              <w:right w:val="nil"/>
            </w:tcBorders>
            <w:shd w:val="clear" w:color="auto" w:fill="auto"/>
            <w:noWrap/>
          </w:tcPr>
          <w:p w:rsidR="00D646B7" w:rsidRPr="00700908" w:rsidRDefault="00D646B7" w:rsidP="00195DBB">
            <w:pPr>
              <w:spacing w:after="0" w:line="240" w:lineRule="auto"/>
              <w:rPr>
                <w:rFonts w:ascii="Arial" w:hAnsi="Arial" w:cs="Arial"/>
              </w:rPr>
            </w:pPr>
          </w:p>
        </w:tc>
        <w:tc>
          <w:tcPr>
            <w:tcW w:w="142" w:type="pct"/>
            <w:tcBorders>
              <w:top w:val="nil"/>
              <w:left w:val="nil"/>
              <w:bottom w:val="double" w:sz="4" w:space="0" w:color="auto"/>
              <w:right w:val="nil"/>
            </w:tcBorders>
            <w:shd w:val="clear" w:color="auto" w:fill="auto"/>
            <w:noWrap/>
          </w:tcPr>
          <w:p w:rsidR="00D646B7" w:rsidRPr="00700908" w:rsidRDefault="00D646B7" w:rsidP="00195DBB">
            <w:pPr>
              <w:spacing w:after="0" w:line="240" w:lineRule="auto"/>
              <w:rPr>
                <w:rFonts w:ascii="Arial" w:hAnsi="Arial" w:cs="Arial"/>
              </w:rPr>
            </w:pPr>
          </w:p>
        </w:tc>
        <w:tc>
          <w:tcPr>
            <w:tcW w:w="1845" w:type="pct"/>
            <w:tcBorders>
              <w:top w:val="nil"/>
              <w:left w:val="nil"/>
              <w:bottom w:val="double" w:sz="4" w:space="0" w:color="auto"/>
              <w:right w:val="nil"/>
            </w:tcBorders>
            <w:shd w:val="clear" w:color="auto" w:fill="auto"/>
            <w:noWrap/>
          </w:tcPr>
          <w:p w:rsidR="00D646B7" w:rsidRPr="00700908" w:rsidRDefault="00D646B7" w:rsidP="00195DBB">
            <w:pPr>
              <w:spacing w:after="0" w:line="240" w:lineRule="auto"/>
              <w:rPr>
                <w:rFonts w:ascii="Arial" w:hAnsi="Arial" w:cs="Arial"/>
              </w:rPr>
            </w:pPr>
          </w:p>
        </w:tc>
        <w:tc>
          <w:tcPr>
            <w:tcW w:w="714" w:type="pct"/>
            <w:tcBorders>
              <w:top w:val="nil"/>
              <w:left w:val="nil"/>
              <w:bottom w:val="double" w:sz="4" w:space="0" w:color="auto"/>
              <w:right w:val="nil"/>
            </w:tcBorders>
            <w:shd w:val="clear" w:color="auto" w:fill="auto"/>
            <w:noWrap/>
          </w:tcPr>
          <w:p w:rsidR="00D646B7" w:rsidRPr="00700908" w:rsidRDefault="00D646B7" w:rsidP="00195DBB">
            <w:pPr>
              <w:spacing w:after="0" w:line="240" w:lineRule="auto"/>
              <w:jc w:val="center"/>
              <w:rPr>
                <w:rFonts w:ascii="Arial" w:hAnsi="Arial" w:cs="Arial"/>
              </w:rPr>
            </w:pPr>
          </w:p>
        </w:tc>
        <w:tc>
          <w:tcPr>
            <w:tcW w:w="647" w:type="pct"/>
            <w:tcBorders>
              <w:top w:val="nil"/>
              <w:left w:val="nil"/>
              <w:bottom w:val="double" w:sz="4" w:space="0" w:color="auto"/>
              <w:right w:val="nil"/>
            </w:tcBorders>
          </w:tcPr>
          <w:p w:rsidR="00D646B7" w:rsidRPr="00700908" w:rsidRDefault="00D646B7" w:rsidP="00195DBB">
            <w:pPr>
              <w:spacing w:after="0" w:line="240" w:lineRule="auto"/>
              <w:jc w:val="center"/>
              <w:rPr>
                <w:rFonts w:ascii="Arial" w:hAnsi="Arial" w:cs="Arial"/>
              </w:rPr>
            </w:pPr>
          </w:p>
        </w:tc>
      </w:tr>
    </w:tbl>
    <w:p w:rsidR="00D646B7" w:rsidRPr="00700908" w:rsidRDefault="00D646B7" w:rsidP="00D646B7">
      <w:pPr>
        <w:spacing w:after="0"/>
        <w:rPr>
          <w:rFonts w:ascii="Arial" w:hAnsi="Arial" w:cs="Arial"/>
          <w:sz w:val="22"/>
        </w:rPr>
      </w:pPr>
      <w:r w:rsidRPr="00700908">
        <w:rPr>
          <w:rFonts w:ascii="Arial" w:hAnsi="Arial" w:cs="Arial"/>
          <w:i/>
          <w:sz w:val="22"/>
        </w:rPr>
        <w:t>ACT</w:t>
      </w:r>
      <w:r w:rsidR="00EB2B92" w:rsidRPr="00700908">
        <w:rPr>
          <w:rFonts w:ascii="Arial" w:hAnsi="Arial" w:cs="Arial"/>
          <w:i/>
          <w:sz w:val="22"/>
        </w:rPr>
        <w:t>B</w:t>
      </w:r>
      <w:r w:rsidRPr="00700908">
        <w:rPr>
          <w:rFonts w:ascii="Arial" w:hAnsi="Arial" w:cs="Arial"/>
          <w:sz w:val="22"/>
        </w:rPr>
        <w:t xml:space="preserve"> = </w:t>
      </w:r>
      <w:r w:rsidRPr="00700908">
        <w:rPr>
          <w:rFonts w:ascii="Arial" w:hAnsi="Arial" w:cs="Arial"/>
          <w:sz w:val="22"/>
          <w:lang w:val="en-US"/>
        </w:rPr>
        <w:t>β</w:t>
      </w:r>
      <w:r w:rsidRPr="00700908">
        <w:rPr>
          <w:rFonts w:ascii="Arial" w:hAnsi="Arial" w:cs="Arial"/>
          <w:sz w:val="22"/>
        </w:rPr>
        <w:t xml:space="preserve">-actin; </w:t>
      </w:r>
      <w:r w:rsidRPr="00700908">
        <w:rPr>
          <w:rFonts w:ascii="Arial" w:hAnsi="Arial" w:cs="Arial"/>
          <w:i/>
          <w:sz w:val="22"/>
        </w:rPr>
        <w:t>GCLC =</w:t>
      </w:r>
      <w:r w:rsidRPr="00700908">
        <w:rPr>
          <w:rFonts w:ascii="Arial" w:hAnsi="Arial" w:cs="Arial"/>
          <w:sz w:val="22"/>
        </w:rPr>
        <w:t xml:space="preserve">glutamate-cysteine ligase catalyticsubunit; </w:t>
      </w:r>
      <w:r w:rsidRPr="00700908">
        <w:rPr>
          <w:rFonts w:ascii="Arial" w:hAnsi="Arial" w:cs="Arial"/>
          <w:i/>
          <w:sz w:val="22"/>
        </w:rPr>
        <w:t>GPX =</w:t>
      </w:r>
      <w:r w:rsidRPr="00700908">
        <w:rPr>
          <w:rFonts w:ascii="Arial" w:hAnsi="Arial" w:cs="Arial"/>
          <w:sz w:val="22"/>
        </w:rPr>
        <w:t xml:space="preserve">glutathioneperoxidase 1; </w:t>
      </w:r>
      <w:r w:rsidRPr="00700908">
        <w:rPr>
          <w:rFonts w:ascii="Arial" w:hAnsi="Arial" w:cs="Arial"/>
          <w:i/>
          <w:sz w:val="22"/>
        </w:rPr>
        <w:t xml:space="preserve">GPX3 = </w:t>
      </w:r>
      <w:r w:rsidRPr="00700908">
        <w:rPr>
          <w:rFonts w:ascii="Arial" w:hAnsi="Arial" w:cs="Arial"/>
          <w:sz w:val="22"/>
        </w:rPr>
        <w:t xml:space="preserve">glutathioneperoxidase 3; </w:t>
      </w:r>
      <w:r w:rsidRPr="00700908">
        <w:rPr>
          <w:rFonts w:ascii="Arial" w:hAnsi="Arial" w:cs="Arial"/>
          <w:i/>
          <w:sz w:val="22"/>
        </w:rPr>
        <w:t>GPX4 =</w:t>
      </w:r>
      <w:r w:rsidRPr="00700908">
        <w:rPr>
          <w:rFonts w:ascii="Arial" w:hAnsi="Arial" w:cs="Arial"/>
          <w:sz w:val="22"/>
        </w:rPr>
        <w:t xml:space="preserve">glutathioneperoxidase 4;  </w:t>
      </w:r>
      <w:r w:rsidRPr="00700908">
        <w:rPr>
          <w:rFonts w:ascii="Arial" w:hAnsi="Arial" w:cs="Arial"/>
          <w:i/>
          <w:sz w:val="22"/>
        </w:rPr>
        <w:t xml:space="preserve">HPRT1 = </w:t>
      </w:r>
      <w:r w:rsidRPr="00700908">
        <w:rPr>
          <w:rFonts w:ascii="Arial" w:hAnsi="Arial" w:cs="Arial"/>
          <w:sz w:val="22"/>
        </w:rPr>
        <w:t xml:space="preserve">hypoxanthinephosphoribosyltransferase; </w:t>
      </w:r>
      <w:r w:rsidRPr="00700908">
        <w:rPr>
          <w:rFonts w:ascii="Arial" w:eastAsia="Times New Roman" w:hAnsi="Arial" w:cs="Arial"/>
          <w:i/>
          <w:sz w:val="22"/>
          <w:lang w:eastAsia="es-UY"/>
        </w:rPr>
        <w:t>PRDX3</w:t>
      </w:r>
      <w:r w:rsidRPr="00700908">
        <w:rPr>
          <w:rFonts w:ascii="Arial" w:eastAsia="Times New Roman" w:hAnsi="Arial" w:cs="Arial"/>
          <w:sz w:val="22"/>
          <w:lang w:eastAsia="es-UY"/>
        </w:rPr>
        <w:t xml:space="preserve"> =peroxiredoxin 3; </w:t>
      </w:r>
      <w:r w:rsidRPr="00700908">
        <w:rPr>
          <w:rFonts w:ascii="Arial" w:eastAsia="Times New Roman" w:hAnsi="Arial" w:cs="Arial"/>
          <w:i/>
          <w:sz w:val="22"/>
          <w:lang w:eastAsia="es-UY"/>
        </w:rPr>
        <w:t>PRDX5 =</w:t>
      </w:r>
      <w:r w:rsidRPr="00700908">
        <w:rPr>
          <w:rFonts w:ascii="Arial" w:eastAsia="Times New Roman" w:hAnsi="Arial" w:cs="Arial"/>
          <w:sz w:val="22"/>
          <w:lang w:eastAsia="es-UY"/>
        </w:rPr>
        <w:t xml:space="preserve">peroxiredoxin 5; </w:t>
      </w:r>
      <w:r w:rsidRPr="00700908">
        <w:rPr>
          <w:rFonts w:ascii="Arial" w:hAnsi="Arial" w:cs="Arial"/>
          <w:i/>
          <w:sz w:val="22"/>
        </w:rPr>
        <w:t>RPL19 =</w:t>
      </w:r>
      <w:r w:rsidRPr="00700908">
        <w:rPr>
          <w:rFonts w:ascii="Arial" w:hAnsi="Arial" w:cs="Arial"/>
          <w:sz w:val="22"/>
        </w:rPr>
        <w:t xml:space="preserve">ribosomalprotein L19; </w:t>
      </w:r>
      <w:r w:rsidRPr="00700908">
        <w:rPr>
          <w:rFonts w:ascii="Arial" w:hAnsi="Arial" w:cs="Arial"/>
          <w:i/>
          <w:sz w:val="22"/>
        </w:rPr>
        <w:t>SOD1 =</w:t>
      </w:r>
      <w:r w:rsidRPr="00700908">
        <w:rPr>
          <w:rFonts w:ascii="Arial" w:hAnsi="Arial" w:cs="Arial"/>
          <w:sz w:val="22"/>
        </w:rPr>
        <w:t xml:space="preserve">copper zinc superoxidedismutase 1, </w:t>
      </w:r>
      <w:r w:rsidRPr="00700908">
        <w:rPr>
          <w:rFonts w:ascii="Arial" w:hAnsi="Arial" w:cs="Arial"/>
          <w:i/>
          <w:sz w:val="22"/>
        </w:rPr>
        <w:t xml:space="preserve">SOD2 = </w:t>
      </w:r>
      <w:r w:rsidRPr="00700908">
        <w:rPr>
          <w:rFonts w:ascii="Arial" w:hAnsi="Arial" w:cs="Arial"/>
          <w:sz w:val="22"/>
        </w:rPr>
        <w:t>soluble manganesesuperoxidedismutase 2, mitochondrial</w:t>
      </w:r>
    </w:p>
    <w:p w:rsidR="00D646B7" w:rsidRPr="00700908" w:rsidRDefault="00D646B7" w:rsidP="00D646B7">
      <w:pPr>
        <w:spacing w:after="0"/>
        <w:rPr>
          <w:rFonts w:ascii="Arial" w:hAnsi="Arial" w:cs="Arial"/>
          <w:sz w:val="22"/>
          <w:lang w:val="en-US"/>
        </w:rPr>
      </w:pPr>
      <w:r w:rsidRPr="00700908">
        <w:rPr>
          <w:rFonts w:ascii="Arial" w:hAnsi="Arial" w:cs="Arial"/>
          <w:sz w:val="22"/>
          <w:vertAlign w:val="superscript"/>
          <w:lang w:val="en-US"/>
        </w:rPr>
        <w:t>1</w:t>
      </w:r>
      <w:r w:rsidRPr="00700908">
        <w:rPr>
          <w:rFonts w:ascii="Arial" w:hAnsi="Arial" w:cs="Arial"/>
          <w:sz w:val="22"/>
          <w:lang w:val="en-US"/>
        </w:rPr>
        <w:t xml:space="preserve">Gene bank sequences. </w:t>
      </w:r>
      <w:r w:rsidRPr="00700908">
        <w:rPr>
          <w:rFonts w:ascii="Arial" w:hAnsi="Arial" w:cs="Arial"/>
          <w:sz w:val="22"/>
          <w:vertAlign w:val="superscript"/>
          <w:lang w:val="en-US"/>
        </w:rPr>
        <w:t>2</w:t>
      </w:r>
      <w:r w:rsidRPr="00700908">
        <w:rPr>
          <w:rFonts w:ascii="Arial" w:hAnsi="Arial" w:cs="Arial"/>
          <w:sz w:val="22"/>
          <w:lang w:val="en-US"/>
        </w:rPr>
        <w:t>F = foreword; R = reverse</w:t>
      </w:r>
    </w:p>
    <w:p w:rsidR="00ED448E" w:rsidRPr="00700908" w:rsidRDefault="00366C58" w:rsidP="00D646B7">
      <w:pPr>
        <w:spacing w:after="0" w:line="240" w:lineRule="auto"/>
        <w:jc w:val="center"/>
        <w:rPr>
          <w:rFonts w:ascii="Arial" w:eastAsia="AdvOT863180fb" w:hAnsi="Arial" w:cs="Arial"/>
          <w:b/>
          <w:szCs w:val="24"/>
          <w:lang w:val="en-US"/>
        </w:rPr>
      </w:pPr>
      <w:r w:rsidRPr="00700908">
        <w:rPr>
          <w:rFonts w:ascii="Arial" w:eastAsia="AdvOT863180fb" w:hAnsi="Arial" w:cs="Arial"/>
          <w:b/>
          <w:noProof/>
          <w:szCs w:val="24"/>
          <w:lang w:val="en-GB" w:eastAsia="en-GB"/>
        </w:rPr>
        <w:lastRenderedPageBreak/>
        <w:drawing>
          <wp:inline distT="0" distB="0" distL="0" distR="0">
            <wp:extent cx="4448068" cy="4068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48813" cy="4068971"/>
                    </a:xfrm>
                    <a:prstGeom prst="rect">
                      <a:avLst/>
                    </a:prstGeom>
                    <a:noFill/>
                  </pic:spPr>
                </pic:pic>
              </a:graphicData>
            </a:graphic>
          </wp:inline>
        </w:drawing>
      </w:r>
    </w:p>
    <w:p w:rsidR="00D646B7" w:rsidRPr="00700908" w:rsidRDefault="00D646B7" w:rsidP="00D646B7">
      <w:pPr>
        <w:spacing w:after="0" w:line="240" w:lineRule="auto"/>
        <w:jc w:val="center"/>
        <w:rPr>
          <w:rFonts w:ascii="Arial" w:eastAsia="AdvOT863180fb" w:hAnsi="Arial" w:cs="Arial"/>
          <w:b/>
          <w:szCs w:val="24"/>
          <w:lang w:val="en-US"/>
        </w:rPr>
      </w:pPr>
    </w:p>
    <w:p w:rsidR="00A74E62" w:rsidRPr="00700908" w:rsidRDefault="00A74E62" w:rsidP="00A74E62">
      <w:pPr>
        <w:autoSpaceDE w:val="0"/>
        <w:autoSpaceDN w:val="0"/>
        <w:adjustRightInd w:val="0"/>
        <w:spacing w:after="0"/>
        <w:rPr>
          <w:rFonts w:ascii="Arial" w:hAnsi="Arial" w:cs="Arial"/>
          <w:szCs w:val="24"/>
          <w:lang w:val="en-US"/>
        </w:rPr>
      </w:pPr>
      <w:r w:rsidRPr="00700908">
        <w:rPr>
          <w:rFonts w:ascii="Arial" w:eastAsia="AdvOT863180fb" w:hAnsi="Arial" w:cs="Arial"/>
          <w:b/>
          <w:szCs w:val="24"/>
          <w:lang w:val="en-US"/>
        </w:rPr>
        <w:t>Supplementary</w:t>
      </w:r>
      <w:r w:rsidRPr="00700908">
        <w:rPr>
          <w:rFonts w:ascii="Arial" w:hAnsi="Arial" w:cs="Arial"/>
          <w:b/>
          <w:szCs w:val="24"/>
          <w:lang w:val="en-US"/>
        </w:rPr>
        <w:t xml:space="preserve"> Figure S1:</w:t>
      </w:r>
      <w:r w:rsidR="00700908" w:rsidRPr="00700908">
        <w:rPr>
          <w:rFonts w:ascii="Arial" w:hAnsi="Arial" w:cs="Arial"/>
          <w:b/>
          <w:szCs w:val="24"/>
          <w:lang w:val="en-US"/>
        </w:rPr>
        <w:t xml:space="preserve"> </w:t>
      </w:r>
      <w:r w:rsidR="00134845" w:rsidRPr="00700908">
        <w:rPr>
          <w:rFonts w:ascii="Arial" w:hAnsi="Arial" w:cs="Arial"/>
          <w:szCs w:val="24"/>
          <w:lang w:val="en-US"/>
        </w:rPr>
        <w:t>Representative</w:t>
      </w:r>
      <w:r w:rsidR="00092882" w:rsidRPr="00700908">
        <w:rPr>
          <w:rFonts w:ascii="Arial" w:hAnsi="Arial" w:cs="Arial"/>
          <w:szCs w:val="24"/>
          <w:lang w:val="en-US"/>
        </w:rPr>
        <w:t xml:space="preserve"> </w:t>
      </w:r>
      <w:r w:rsidR="00134845" w:rsidRPr="00700908">
        <w:rPr>
          <w:rFonts w:ascii="Arial" w:hAnsi="Arial" w:cs="Arial"/>
          <w:szCs w:val="24"/>
          <w:lang w:val="en-US"/>
        </w:rPr>
        <w:t>western</w:t>
      </w:r>
      <w:r w:rsidRPr="00700908">
        <w:rPr>
          <w:rFonts w:ascii="Arial" w:hAnsi="Arial" w:cs="Arial"/>
          <w:szCs w:val="24"/>
          <w:lang w:val="en-US"/>
        </w:rPr>
        <w:t xml:space="preserve"> blot analysis of 4-hydroxynonenal protein adduct (4-HNE) in liver. </w:t>
      </w:r>
      <w:r w:rsidR="00ED448E" w:rsidRPr="00700908">
        <w:rPr>
          <w:rFonts w:ascii="Arial" w:hAnsi="Arial" w:cs="Arial"/>
          <w:szCs w:val="24"/>
          <w:lang w:val="en-US"/>
        </w:rPr>
        <w:t xml:space="preserve">Expressed according to steer residual feed intake (RFI) phenotype. </w:t>
      </w:r>
      <w:r w:rsidRPr="00700908">
        <w:rPr>
          <w:rFonts w:ascii="Arial" w:hAnsi="Arial" w:cs="Arial"/>
          <w:szCs w:val="24"/>
          <w:lang w:val="en-US"/>
        </w:rPr>
        <w:t xml:space="preserve">A quantity of 30 </w:t>
      </w:r>
      <w:proofErr w:type="spellStart"/>
      <w:r w:rsidRPr="00700908">
        <w:rPr>
          <w:rFonts w:ascii="Arial" w:hAnsi="Arial" w:cs="Arial"/>
          <w:szCs w:val="24"/>
          <w:lang w:val="en-US"/>
        </w:rPr>
        <w:t>μg</w:t>
      </w:r>
      <w:proofErr w:type="spellEnd"/>
      <w:r w:rsidRPr="00700908">
        <w:rPr>
          <w:rFonts w:ascii="Arial" w:hAnsi="Arial" w:cs="Arial"/>
          <w:szCs w:val="24"/>
          <w:lang w:val="en-US"/>
        </w:rPr>
        <w:t xml:space="preserve"> of proteins were loaded and separated by SDS-PAGE. Immunoblotting was performed with apolyclonal antibody thatrecognized 4-HNE. Data were normalized with β-actin density and normalized values for high-RFI were expressed as a percentage relative to the low-RFI group (Control). </w:t>
      </w:r>
      <w:r w:rsidR="00B03D69" w:rsidRPr="00700908">
        <w:rPr>
          <w:rFonts w:ascii="Arial" w:hAnsi="Arial" w:cs="Arial"/>
          <w:szCs w:val="24"/>
          <w:lang w:val="en-US"/>
        </w:rPr>
        <w:t>Images of 4-</w:t>
      </w:r>
      <w:r w:rsidR="00ED448E" w:rsidRPr="00700908">
        <w:rPr>
          <w:rFonts w:ascii="Arial" w:hAnsi="Arial" w:cs="Arial"/>
          <w:szCs w:val="24"/>
          <w:lang w:val="en-US"/>
        </w:rPr>
        <w:t>HNE</w:t>
      </w:r>
      <w:r w:rsidR="00B03D69" w:rsidRPr="00700908">
        <w:rPr>
          <w:rFonts w:ascii="Arial" w:hAnsi="Arial" w:cs="Arial"/>
          <w:szCs w:val="24"/>
          <w:lang w:val="en-US"/>
        </w:rPr>
        <w:t xml:space="preserve"> (800 nm)</w:t>
      </w:r>
      <w:r w:rsidR="00ED448E" w:rsidRPr="00700908">
        <w:rPr>
          <w:rFonts w:ascii="Arial" w:hAnsi="Arial" w:cs="Arial"/>
          <w:szCs w:val="24"/>
          <w:lang w:val="en-US"/>
        </w:rPr>
        <w:t xml:space="preserve"> and β-actin</w:t>
      </w:r>
      <w:r w:rsidR="00B03D69" w:rsidRPr="00700908">
        <w:rPr>
          <w:rFonts w:ascii="Arial" w:hAnsi="Arial" w:cs="Arial"/>
          <w:szCs w:val="24"/>
          <w:lang w:val="en-US"/>
        </w:rPr>
        <w:t xml:space="preserve"> (680 nm)</w:t>
      </w:r>
      <w:r w:rsidR="00C76F37">
        <w:rPr>
          <w:rFonts w:ascii="Arial" w:hAnsi="Arial" w:cs="Arial"/>
          <w:szCs w:val="24"/>
          <w:lang w:val="en-US"/>
        </w:rPr>
        <w:t xml:space="preserve"> </w:t>
      </w:r>
      <w:bookmarkStart w:id="0" w:name="_GoBack"/>
      <w:bookmarkEnd w:id="0"/>
      <w:r w:rsidR="00A95816" w:rsidRPr="00700908">
        <w:rPr>
          <w:rFonts w:ascii="Arial" w:hAnsi="Arial" w:cs="Arial"/>
          <w:szCs w:val="24"/>
          <w:lang w:val="en-US"/>
        </w:rPr>
        <w:t xml:space="preserve">are </w:t>
      </w:r>
      <w:r w:rsidR="00ED448E" w:rsidRPr="00700908">
        <w:rPr>
          <w:rFonts w:ascii="Arial" w:hAnsi="Arial" w:cs="Arial"/>
          <w:szCs w:val="24"/>
          <w:lang w:val="en-US"/>
        </w:rPr>
        <w:t>from the same membrane.</w:t>
      </w:r>
      <w:r w:rsidR="00366C58" w:rsidRPr="00700908">
        <w:rPr>
          <w:rFonts w:ascii="Arial" w:hAnsi="Arial" w:cs="Arial"/>
          <w:szCs w:val="24"/>
          <w:lang w:val="en-US"/>
        </w:rPr>
        <w:t>To check the specificity of the anti 4-HNE antibody, a dot blot was performed using liver homogenates incubated with different concentrations of 2</w:t>
      </w:r>
      <w:proofErr w:type="gramStart"/>
      <w:r w:rsidR="00366C58" w:rsidRPr="00700908">
        <w:rPr>
          <w:rFonts w:ascii="Arial" w:hAnsi="Arial" w:cs="Arial"/>
          <w:szCs w:val="24"/>
          <w:lang w:val="en-US"/>
        </w:rPr>
        <w:t>,2'</w:t>
      </w:r>
      <w:proofErr w:type="gramEnd"/>
      <w:r w:rsidR="00366C58" w:rsidRPr="00700908">
        <w:rPr>
          <w:rFonts w:ascii="Arial" w:hAnsi="Arial" w:cs="Arial"/>
          <w:szCs w:val="24"/>
          <w:lang w:val="en-US"/>
        </w:rPr>
        <w:t xml:space="preserve">-azobis (2-amidinopropane) (ABAP, </w:t>
      </w:r>
      <w:r w:rsidR="00A95816" w:rsidRPr="00700908">
        <w:rPr>
          <w:rFonts w:ascii="Arial" w:hAnsi="Arial" w:cs="Arial"/>
          <w:szCs w:val="24"/>
          <w:lang w:val="en-US"/>
        </w:rPr>
        <w:t xml:space="preserve">lipid peroxidation </w:t>
      </w:r>
      <w:r w:rsidR="00366C58" w:rsidRPr="00700908">
        <w:rPr>
          <w:rFonts w:ascii="Arial" w:hAnsi="Arial" w:cs="Arial"/>
          <w:szCs w:val="24"/>
          <w:lang w:val="en-US"/>
        </w:rPr>
        <w:t>promoter).</w:t>
      </w:r>
    </w:p>
    <w:p w:rsidR="00A74E62" w:rsidRPr="00700908" w:rsidRDefault="00A74E62" w:rsidP="00A74E62">
      <w:pPr>
        <w:spacing w:after="0"/>
        <w:jc w:val="left"/>
        <w:rPr>
          <w:rFonts w:ascii="Arial" w:hAnsi="Arial" w:cs="Arial"/>
          <w:szCs w:val="24"/>
          <w:lang w:val="en-US"/>
        </w:rPr>
      </w:pPr>
    </w:p>
    <w:p w:rsidR="00065078" w:rsidRPr="00700908" w:rsidRDefault="00065078">
      <w:pPr>
        <w:spacing w:after="0" w:line="240" w:lineRule="auto"/>
        <w:rPr>
          <w:rFonts w:ascii="Arial" w:eastAsia="AdvOT863180fb" w:hAnsi="Arial" w:cs="Arial"/>
          <w:b/>
          <w:szCs w:val="24"/>
          <w:lang w:val="en-US"/>
        </w:rPr>
      </w:pPr>
      <w:r w:rsidRPr="00700908">
        <w:rPr>
          <w:rFonts w:ascii="Arial" w:eastAsia="AdvOT863180fb" w:hAnsi="Arial" w:cs="Arial"/>
          <w:b/>
          <w:szCs w:val="24"/>
          <w:lang w:val="en-US"/>
        </w:rPr>
        <w:br w:type="page"/>
      </w:r>
    </w:p>
    <w:p w:rsidR="00CA5558" w:rsidRPr="00700908" w:rsidRDefault="00B03D69" w:rsidP="00CA5558">
      <w:pPr>
        <w:autoSpaceDE w:val="0"/>
        <w:autoSpaceDN w:val="0"/>
        <w:adjustRightInd w:val="0"/>
        <w:spacing w:after="0"/>
        <w:jc w:val="center"/>
        <w:rPr>
          <w:rFonts w:ascii="Arial" w:eastAsia="AdvOT863180fb" w:hAnsi="Arial" w:cs="Arial"/>
          <w:b/>
          <w:szCs w:val="24"/>
          <w:lang w:val="en-US"/>
        </w:rPr>
      </w:pPr>
      <w:r w:rsidRPr="00700908">
        <w:rPr>
          <w:rFonts w:ascii="Arial" w:eastAsia="AdvOT863180fb" w:hAnsi="Arial" w:cs="Arial"/>
          <w:b/>
          <w:noProof/>
          <w:szCs w:val="24"/>
          <w:lang w:val="en-GB" w:eastAsia="en-GB"/>
        </w:rPr>
        <w:lastRenderedPageBreak/>
        <w:drawing>
          <wp:inline distT="0" distB="0" distL="0" distR="0">
            <wp:extent cx="2900196" cy="2099918"/>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01253" cy="2100683"/>
                    </a:xfrm>
                    <a:prstGeom prst="rect">
                      <a:avLst/>
                    </a:prstGeom>
                    <a:noFill/>
                  </pic:spPr>
                </pic:pic>
              </a:graphicData>
            </a:graphic>
          </wp:inline>
        </w:drawing>
      </w:r>
    </w:p>
    <w:p w:rsidR="00CA5558" w:rsidRPr="00700908" w:rsidRDefault="00A74E62" w:rsidP="00CA5558">
      <w:pPr>
        <w:autoSpaceDE w:val="0"/>
        <w:autoSpaceDN w:val="0"/>
        <w:adjustRightInd w:val="0"/>
        <w:spacing w:after="0"/>
        <w:rPr>
          <w:rFonts w:ascii="Arial" w:hAnsi="Arial" w:cs="Arial"/>
          <w:szCs w:val="24"/>
          <w:lang w:val="en-US"/>
        </w:rPr>
      </w:pPr>
      <w:r w:rsidRPr="00700908">
        <w:rPr>
          <w:rFonts w:ascii="Arial" w:hAnsi="Arial" w:cs="Arial"/>
          <w:szCs w:val="24"/>
          <w:lang w:val="en-US"/>
        </w:rPr>
        <w:t>Supplementary Figure S2:</w:t>
      </w:r>
      <w:r w:rsidR="00700908">
        <w:rPr>
          <w:rFonts w:ascii="Arial" w:hAnsi="Arial" w:cs="Arial"/>
          <w:szCs w:val="24"/>
          <w:lang w:val="en-US"/>
        </w:rPr>
        <w:t xml:space="preserve"> </w:t>
      </w:r>
      <w:r w:rsidR="00134845" w:rsidRPr="00700908">
        <w:rPr>
          <w:rFonts w:ascii="Arial" w:hAnsi="Arial" w:cs="Arial"/>
          <w:szCs w:val="24"/>
          <w:lang w:val="en-US"/>
        </w:rPr>
        <w:t>Representative</w:t>
      </w:r>
      <w:r w:rsidR="00700908">
        <w:rPr>
          <w:rFonts w:ascii="Arial" w:hAnsi="Arial" w:cs="Arial"/>
          <w:szCs w:val="24"/>
          <w:lang w:val="en-US"/>
        </w:rPr>
        <w:t xml:space="preserve"> </w:t>
      </w:r>
      <w:r w:rsidR="00134845" w:rsidRPr="00700908">
        <w:rPr>
          <w:rFonts w:ascii="Arial" w:hAnsi="Arial" w:cs="Arial"/>
          <w:szCs w:val="24"/>
          <w:lang w:val="en-US"/>
        </w:rPr>
        <w:t>w</w:t>
      </w:r>
      <w:r w:rsidR="00CA5558" w:rsidRPr="00700908">
        <w:rPr>
          <w:rFonts w:ascii="Arial" w:hAnsi="Arial" w:cs="Arial"/>
          <w:szCs w:val="24"/>
          <w:lang w:val="en-US"/>
        </w:rPr>
        <w:t>estern blot analysis of manganese superoxide dismutase (</w:t>
      </w:r>
      <w:proofErr w:type="spellStart"/>
      <w:r w:rsidR="00CA5558" w:rsidRPr="00700908">
        <w:rPr>
          <w:rFonts w:ascii="Arial" w:hAnsi="Arial" w:cs="Arial"/>
          <w:szCs w:val="24"/>
          <w:lang w:val="en-US"/>
        </w:rPr>
        <w:t>MnSOD</w:t>
      </w:r>
      <w:proofErr w:type="spellEnd"/>
      <w:r w:rsidR="00CA5558" w:rsidRPr="00700908">
        <w:rPr>
          <w:rFonts w:ascii="Arial" w:hAnsi="Arial" w:cs="Arial"/>
          <w:szCs w:val="24"/>
          <w:lang w:val="en-US"/>
        </w:rPr>
        <w:t xml:space="preserve">) in liver. Expressed according to steer residual feed intake (RFI) phenotype. A quantity of 30 </w:t>
      </w:r>
      <w:proofErr w:type="spellStart"/>
      <w:r w:rsidR="00CA5558" w:rsidRPr="00700908">
        <w:rPr>
          <w:rFonts w:ascii="Arial" w:hAnsi="Arial" w:cs="Arial"/>
          <w:szCs w:val="24"/>
          <w:lang w:val="en-US"/>
        </w:rPr>
        <w:t>μg</w:t>
      </w:r>
      <w:proofErr w:type="spellEnd"/>
      <w:r w:rsidR="00CA5558" w:rsidRPr="00700908">
        <w:rPr>
          <w:rFonts w:ascii="Arial" w:hAnsi="Arial" w:cs="Arial"/>
          <w:szCs w:val="24"/>
          <w:lang w:val="en-US"/>
        </w:rPr>
        <w:t xml:space="preserve"> of proteins were loaded and separated by SDS-PAGE. Immunoblotting was performed with a</w:t>
      </w:r>
      <w:r w:rsidR="00700908">
        <w:rPr>
          <w:rFonts w:ascii="Arial" w:hAnsi="Arial" w:cs="Arial"/>
          <w:szCs w:val="24"/>
          <w:lang w:val="en-US"/>
        </w:rPr>
        <w:t xml:space="preserve"> </w:t>
      </w:r>
      <w:r w:rsidR="00CA5558" w:rsidRPr="00700908">
        <w:rPr>
          <w:rFonts w:ascii="Arial" w:hAnsi="Arial" w:cs="Arial"/>
          <w:szCs w:val="24"/>
          <w:lang w:val="en-US"/>
        </w:rPr>
        <w:t>monoclonal</w:t>
      </w:r>
      <w:r w:rsidR="00700908">
        <w:rPr>
          <w:rFonts w:ascii="Arial" w:hAnsi="Arial" w:cs="Arial"/>
          <w:szCs w:val="24"/>
          <w:lang w:val="en-US"/>
        </w:rPr>
        <w:t xml:space="preserve"> </w:t>
      </w:r>
      <w:r w:rsidR="00CA5558" w:rsidRPr="00700908">
        <w:rPr>
          <w:rFonts w:ascii="Arial" w:hAnsi="Arial" w:cs="Arial"/>
          <w:szCs w:val="24"/>
          <w:lang w:val="en-US"/>
        </w:rPr>
        <w:t>antibody that</w:t>
      </w:r>
      <w:r w:rsidR="00700908">
        <w:rPr>
          <w:rFonts w:ascii="Arial" w:hAnsi="Arial" w:cs="Arial"/>
          <w:szCs w:val="24"/>
          <w:lang w:val="en-US"/>
        </w:rPr>
        <w:t xml:space="preserve"> </w:t>
      </w:r>
      <w:r w:rsidR="00CA5558" w:rsidRPr="00700908">
        <w:rPr>
          <w:rFonts w:ascii="Arial" w:hAnsi="Arial" w:cs="Arial"/>
          <w:szCs w:val="24"/>
          <w:lang w:val="en-US"/>
        </w:rPr>
        <w:t>recognized</w:t>
      </w:r>
      <w:r w:rsidR="00700908">
        <w:rPr>
          <w:rFonts w:ascii="Arial" w:hAnsi="Arial" w:cs="Arial"/>
          <w:szCs w:val="24"/>
          <w:lang w:val="en-US"/>
        </w:rPr>
        <w:t xml:space="preserve"> </w:t>
      </w:r>
      <w:proofErr w:type="spellStart"/>
      <w:r w:rsidR="00CA5558" w:rsidRPr="00700908">
        <w:rPr>
          <w:rFonts w:ascii="Arial" w:hAnsi="Arial" w:cs="Arial"/>
          <w:szCs w:val="24"/>
          <w:lang w:val="en-US"/>
        </w:rPr>
        <w:t>MnSOD</w:t>
      </w:r>
      <w:proofErr w:type="spellEnd"/>
      <w:r w:rsidR="00CA5558" w:rsidRPr="00700908">
        <w:rPr>
          <w:rFonts w:ascii="Arial" w:hAnsi="Arial" w:cs="Arial"/>
          <w:szCs w:val="24"/>
          <w:lang w:val="en-US"/>
        </w:rPr>
        <w:t xml:space="preserve">. Data were normalized with β-actin density and normalized values for high-RFI were expressed as a percentage relative to the low-RFI group (Control). Images of </w:t>
      </w:r>
      <w:proofErr w:type="spellStart"/>
      <w:r w:rsidR="00CA5558" w:rsidRPr="00700908">
        <w:rPr>
          <w:rFonts w:ascii="Arial" w:hAnsi="Arial" w:cs="Arial"/>
          <w:szCs w:val="24"/>
          <w:lang w:val="en-US"/>
        </w:rPr>
        <w:t>MnSOD</w:t>
      </w:r>
      <w:proofErr w:type="spellEnd"/>
      <w:r w:rsidR="00CA5558" w:rsidRPr="00700908">
        <w:rPr>
          <w:rFonts w:ascii="Arial" w:hAnsi="Arial" w:cs="Arial"/>
          <w:szCs w:val="24"/>
          <w:lang w:val="en-US"/>
        </w:rPr>
        <w:t xml:space="preserve"> and β-actin</w:t>
      </w:r>
      <w:r w:rsidR="00B03D69" w:rsidRPr="00700908">
        <w:rPr>
          <w:rFonts w:ascii="Arial" w:hAnsi="Arial" w:cs="Arial"/>
          <w:szCs w:val="24"/>
          <w:lang w:val="en-US"/>
        </w:rPr>
        <w:t xml:space="preserve"> (both 680 nm)</w:t>
      </w:r>
      <w:r w:rsidR="00CA5558" w:rsidRPr="00700908">
        <w:rPr>
          <w:rFonts w:ascii="Arial" w:hAnsi="Arial" w:cs="Arial"/>
          <w:szCs w:val="24"/>
          <w:lang w:val="en-US"/>
        </w:rPr>
        <w:t xml:space="preserve"> from of the same membrane.</w:t>
      </w:r>
    </w:p>
    <w:p w:rsidR="00A74E62" w:rsidRPr="00700908" w:rsidRDefault="00A74E62" w:rsidP="00A74E62">
      <w:pPr>
        <w:autoSpaceDE w:val="0"/>
        <w:autoSpaceDN w:val="0"/>
        <w:adjustRightInd w:val="0"/>
        <w:spacing w:after="0"/>
        <w:rPr>
          <w:rFonts w:ascii="Arial" w:hAnsi="Arial" w:cs="Arial"/>
          <w:szCs w:val="24"/>
          <w:lang w:val="en-US"/>
        </w:rPr>
      </w:pPr>
    </w:p>
    <w:p w:rsidR="006B2291" w:rsidRPr="00700908" w:rsidRDefault="006B2291" w:rsidP="00A74E62">
      <w:pPr>
        <w:spacing w:after="0"/>
        <w:rPr>
          <w:rFonts w:ascii="Arial" w:eastAsia="AdvOT863180fb" w:hAnsi="Arial" w:cs="Arial"/>
          <w:szCs w:val="24"/>
          <w:lang w:val="en-US"/>
        </w:rPr>
      </w:pPr>
    </w:p>
    <w:p w:rsidR="004404D5" w:rsidRPr="00700908" w:rsidRDefault="004404D5" w:rsidP="004404D5">
      <w:pPr>
        <w:spacing w:after="0"/>
        <w:rPr>
          <w:rFonts w:ascii="Arial" w:hAnsi="Arial" w:cs="Arial"/>
          <w:sz w:val="22"/>
          <w:lang w:val="en-US"/>
        </w:rPr>
      </w:pPr>
    </w:p>
    <w:p w:rsidR="00B15AD8" w:rsidRPr="00700908" w:rsidRDefault="00B15AD8">
      <w:pPr>
        <w:rPr>
          <w:lang w:val="en-US"/>
        </w:rPr>
      </w:pPr>
    </w:p>
    <w:sectPr w:rsidR="00B15AD8" w:rsidRPr="00700908" w:rsidSect="00B15A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OT863180fb">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n-US" w:vendorID="64" w:dllVersion="6" w:nlCheck="1" w:checkStyle="1"/>
  <w:activeWritingStyle w:appName="MSWord" w:lang="es-UY"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UY" w:vendorID="64" w:dllVersion="131078" w:nlCheck="1" w:checkStyle="1"/>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DQzNDE1MTAyNLI0N7FQ0lEKTi0uzszPAykwrAUAdq7CcSwAAAA="/>
  </w:docVars>
  <w:rsids>
    <w:rsidRoot w:val="004404D5"/>
    <w:rsid w:val="00065078"/>
    <w:rsid w:val="00092882"/>
    <w:rsid w:val="000F363D"/>
    <w:rsid w:val="00134845"/>
    <w:rsid w:val="002D543C"/>
    <w:rsid w:val="00366C58"/>
    <w:rsid w:val="003B7002"/>
    <w:rsid w:val="004404D5"/>
    <w:rsid w:val="00581CEA"/>
    <w:rsid w:val="005F6F34"/>
    <w:rsid w:val="006B2291"/>
    <w:rsid w:val="00700908"/>
    <w:rsid w:val="0077447A"/>
    <w:rsid w:val="007D3C93"/>
    <w:rsid w:val="009730CE"/>
    <w:rsid w:val="009A55CB"/>
    <w:rsid w:val="00A74E62"/>
    <w:rsid w:val="00A95816"/>
    <w:rsid w:val="00B03D69"/>
    <w:rsid w:val="00B15AD8"/>
    <w:rsid w:val="00B853F9"/>
    <w:rsid w:val="00BE24F4"/>
    <w:rsid w:val="00C76F37"/>
    <w:rsid w:val="00CA5558"/>
    <w:rsid w:val="00CC32AE"/>
    <w:rsid w:val="00D646B7"/>
    <w:rsid w:val="00E36AD1"/>
    <w:rsid w:val="00E60ED5"/>
    <w:rsid w:val="00EB2B92"/>
    <w:rsid w:val="00ED448E"/>
    <w:rsid w:val="00F067AE"/>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3F87"/>
  <w15:docId w15:val="{FA9AF6E0-CF36-46C8-B459-2FF417A0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4D5"/>
    <w:pPr>
      <w:spacing w:after="200" w:line="480" w:lineRule="auto"/>
    </w:pPr>
    <w:rPr>
      <w:rFonts w:ascii="Times New Roman" w:hAnsi="Times New Roman"/>
      <w:sz w:val="24"/>
    </w:rPr>
  </w:style>
  <w:style w:type="paragraph" w:styleId="Titre1">
    <w:name w:val="heading 1"/>
    <w:basedOn w:val="Normal"/>
    <w:link w:val="Titre1Car"/>
    <w:uiPriority w:val="9"/>
    <w:qFormat/>
    <w:rsid w:val="006B2291"/>
    <w:pPr>
      <w:spacing w:before="100" w:beforeAutospacing="1" w:after="100" w:afterAutospacing="1" w:line="240" w:lineRule="auto"/>
      <w:jc w:val="left"/>
      <w:outlineLvl w:val="0"/>
    </w:pPr>
    <w:rPr>
      <w:rFonts w:eastAsia="Times New Roman" w:cs="Times New Roman"/>
      <w:b/>
      <w:bCs/>
      <w:kern w:val="36"/>
      <w:sz w:val="48"/>
      <w:szCs w:val="48"/>
      <w:lang w:eastAsia="es-UY"/>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2291"/>
    <w:rPr>
      <w:rFonts w:ascii="Times New Roman" w:eastAsia="Times New Roman" w:hAnsi="Times New Roman" w:cs="Times New Roman"/>
      <w:b/>
      <w:bCs/>
      <w:kern w:val="36"/>
      <w:sz w:val="48"/>
      <w:szCs w:val="48"/>
      <w:lang w:eastAsia="es-UY"/>
    </w:rPr>
  </w:style>
  <w:style w:type="character" w:customStyle="1" w:styleId="shorttext">
    <w:name w:val="short_text"/>
    <w:basedOn w:val="Policepardfaut"/>
    <w:rsid w:val="006B2291"/>
  </w:style>
  <w:style w:type="character" w:customStyle="1" w:styleId="note">
    <w:name w:val="note"/>
    <w:basedOn w:val="Policepardfaut"/>
    <w:rsid w:val="006B2291"/>
  </w:style>
  <w:style w:type="character" w:styleId="lev">
    <w:name w:val="Strong"/>
    <w:basedOn w:val="Policepardfaut"/>
    <w:uiPriority w:val="22"/>
    <w:qFormat/>
    <w:rsid w:val="006B2291"/>
    <w:rPr>
      <w:b/>
      <w:bCs/>
    </w:rPr>
  </w:style>
  <w:style w:type="paragraph" w:styleId="Textedebulles">
    <w:name w:val="Balloon Text"/>
    <w:basedOn w:val="Normal"/>
    <w:link w:val="TextedebullesCar"/>
    <w:uiPriority w:val="99"/>
    <w:semiHidden/>
    <w:unhideWhenUsed/>
    <w:rsid w:val="00ED44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448E"/>
    <w:rPr>
      <w:rFonts w:ascii="Tahoma" w:hAnsi="Tahoma" w:cs="Tahoma"/>
      <w:sz w:val="16"/>
      <w:szCs w:val="16"/>
    </w:rPr>
  </w:style>
  <w:style w:type="character" w:customStyle="1" w:styleId="tlid-translation">
    <w:name w:val="tlid-translation"/>
    <w:basedOn w:val="Policepardfaut"/>
    <w:rsid w:val="00366C58"/>
  </w:style>
  <w:style w:type="character" w:styleId="Marquedecommentaire">
    <w:name w:val="annotation reference"/>
    <w:basedOn w:val="Policepardfaut"/>
    <w:uiPriority w:val="99"/>
    <w:semiHidden/>
    <w:unhideWhenUsed/>
    <w:rsid w:val="003B7002"/>
    <w:rPr>
      <w:sz w:val="16"/>
      <w:szCs w:val="16"/>
    </w:rPr>
  </w:style>
  <w:style w:type="paragraph" w:styleId="Commentaire">
    <w:name w:val="annotation text"/>
    <w:basedOn w:val="Normal"/>
    <w:link w:val="CommentaireCar"/>
    <w:uiPriority w:val="99"/>
    <w:semiHidden/>
    <w:unhideWhenUsed/>
    <w:rsid w:val="003B7002"/>
    <w:pPr>
      <w:spacing w:line="240" w:lineRule="auto"/>
    </w:pPr>
    <w:rPr>
      <w:sz w:val="20"/>
      <w:szCs w:val="20"/>
    </w:rPr>
  </w:style>
  <w:style w:type="character" w:customStyle="1" w:styleId="CommentaireCar">
    <w:name w:val="Commentaire Car"/>
    <w:basedOn w:val="Policepardfaut"/>
    <w:link w:val="Commentaire"/>
    <w:uiPriority w:val="99"/>
    <w:semiHidden/>
    <w:rsid w:val="003B7002"/>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B7002"/>
    <w:rPr>
      <w:b/>
      <w:bCs/>
    </w:rPr>
  </w:style>
  <w:style w:type="character" w:customStyle="1" w:styleId="ObjetducommentaireCar">
    <w:name w:val="Objet du commentaire Car"/>
    <w:basedOn w:val="CommentaireCar"/>
    <w:link w:val="Objetducommentaire"/>
    <w:uiPriority w:val="99"/>
    <w:semiHidden/>
    <w:rsid w:val="003B700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entrez/viewer.fcgi?db=nucleotide&amp;id=888538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entrez/viewer.fcgi?db=nucleotide&amp;id=31340842" TargetMode="External"/><Relationship Id="rId11" Type="http://schemas.openxmlformats.org/officeDocument/2006/relationships/theme" Target="theme/theme1.xml"/><Relationship Id="rId5" Type="http://schemas.openxmlformats.org/officeDocument/2006/relationships/hyperlink" Target="https://www.ncbi.nlm.nih.gov/entrez/viewer.fcgi?db=nucleotide&amp;id=31342017" TargetMode="External"/><Relationship Id="rId10" Type="http://schemas.openxmlformats.org/officeDocument/2006/relationships/fontTable" Target="fontTable.xml"/><Relationship Id="rId4" Type="http://schemas.openxmlformats.org/officeDocument/2006/relationships/hyperlink" Target="https://www.ncbi.nlm.nih.gov/entrez/viewer.fcgi?db=nucleotide&amp;id=1078286163" TargetMode="Externa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7031</Characters>
  <Application>Microsoft Office Word</Application>
  <DocSecurity>0</DocSecurity>
  <Lines>58</Lines>
  <Paragraphs>16</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casal spera</dc:creator>
  <cp:lastModifiedBy>ANM</cp:lastModifiedBy>
  <cp:revision>2</cp:revision>
  <dcterms:created xsi:type="dcterms:W3CDTF">2019-05-06T11:09:00Z</dcterms:created>
  <dcterms:modified xsi:type="dcterms:W3CDTF">2019-05-06T11:09:00Z</dcterms:modified>
</cp:coreProperties>
</file>