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F7" w:rsidRPr="00DC142F" w:rsidRDefault="00A346D3" w:rsidP="004E6278">
      <w:pPr>
        <w:spacing w:after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A346D3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GENETIC PARAMETERS AND DIRECT, MATERNAL, AND HETEROSIS EFFECTS ON LITTER SIZE IN A DIALLEL CROSS AMONG THREE COMMERCIAL VARIETIES OF IBERIAN PIG</w:t>
      </w:r>
      <w:r w:rsidR="003E6AF7" w:rsidRPr="00A346D3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.</w:t>
      </w:r>
      <w:r w:rsidR="003E6AF7" w:rsidRPr="00DC142F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E6AF7" w:rsidRPr="00DC142F">
        <w:rPr>
          <w:rFonts w:ascii="Arial" w:hAnsi="Arial"/>
          <w:b/>
          <w:bCs/>
          <w:color w:val="000000" w:themeColor="text1"/>
          <w:sz w:val="24"/>
          <w:szCs w:val="24"/>
        </w:rPr>
        <w:t>J. L. Noguera, N. Ibáñez-</w:t>
      </w:r>
      <w:proofErr w:type="spellStart"/>
      <w:r w:rsidR="003E6AF7" w:rsidRPr="00DC142F">
        <w:rPr>
          <w:rFonts w:ascii="Arial" w:hAnsi="Arial"/>
          <w:b/>
          <w:bCs/>
          <w:color w:val="000000" w:themeColor="text1"/>
          <w:sz w:val="24"/>
          <w:szCs w:val="24"/>
        </w:rPr>
        <w:t>Escriche</w:t>
      </w:r>
      <w:proofErr w:type="spellEnd"/>
      <w:r w:rsidR="003E6AF7" w:rsidRPr="00DC142F">
        <w:rPr>
          <w:rFonts w:ascii="Arial" w:hAnsi="Arial"/>
          <w:b/>
          <w:bCs/>
          <w:color w:val="000000" w:themeColor="text1"/>
          <w:sz w:val="24"/>
          <w:szCs w:val="24"/>
        </w:rPr>
        <w:t>, J. Casellas, J. P. Rosas, L. Varona. ANIMAL JOURNAL</w:t>
      </w:r>
    </w:p>
    <w:p w:rsidR="004E6278" w:rsidRPr="00DC142F" w:rsidRDefault="004E6278" w:rsidP="004E6278">
      <w:pPr>
        <w:spacing w:after="0"/>
        <w:rPr>
          <w:rFonts w:ascii="Arial" w:hAnsi="Arial" w:cs="Arial"/>
          <w:b/>
          <w:color w:val="000000" w:themeColor="text1"/>
        </w:rPr>
      </w:pPr>
    </w:p>
    <w:p w:rsidR="00130A01" w:rsidRPr="00DC142F" w:rsidRDefault="00130A01" w:rsidP="00DC142F">
      <w:pPr>
        <w:spacing w:after="0"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C142F">
        <w:rPr>
          <w:rFonts w:ascii="Arial" w:hAnsi="Arial" w:cs="Arial"/>
          <w:b/>
          <w:color w:val="000000" w:themeColor="text1"/>
          <w:lang w:val="en-US"/>
        </w:rPr>
        <w:t xml:space="preserve">Supplementary Table </w:t>
      </w:r>
      <w:r w:rsidR="0029080F" w:rsidRPr="00DC142F">
        <w:rPr>
          <w:rFonts w:ascii="Arial" w:hAnsi="Arial" w:cs="Arial"/>
          <w:b/>
          <w:color w:val="000000" w:themeColor="text1"/>
          <w:lang w:val="en-US"/>
        </w:rPr>
        <w:t>S</w:t>
      </w:r>
      <w:r w:rsidR="00B07324" w:rsidRPr="00DC142F">
        <w:rPr>
          <w:rFonts w:ascii="Arial" w:hAnsi="Arial" w:cs="Arial"/>
          <w:b/>
          <w:color w:val="000000" w:themeColor="text1"/>
          <w:lang w:val="en-US"/>
        </w:rPr>
        <w:t>1</w:t>
      </w:r>
      <w:r w:rsidRPr="00DC142F">
        <w:rPr>
          <w:rFonts w:ascii="Arial" w:hAnsi="Arial" w:cs="Arial"/>
          <w:b/>
          <w:color w:val="000000" w:themeColor="text1"/>
          <w:lang w:val="en-US"/>
        </w:rPr>
        <w:t xml:space="preserve">. </w:t>
      </w:r>
      <w:r w:rsidR="000407C8" w:rsidRPr="00DC142F">
        <w:rPr>
          <w:rFonts w:ascii="Arial" w:hAnsi="Arial" w:cs="Arial"/>
          <w:color w:val="000000" w:themeColor="text1"/>
          <w:lang w:val="en-GB"/>
        </w:rPr>
        <w:t xml:space="preserve">Posterior </w:t>
      </w:r>
      <w:r w:rsidR="000407C8" w:rsidRPr="00DC142F">
        <w:rPr>
          <w:rFonts w:ascii="Arial" w:hAnsi="Arial" w:cs="Arial"/>
          <w:color w:val="000000" w:themeColor="text1"/>
          <w:lang w:val="en-US"/>
        </w:rPr>
        <w:t>Mean (and Standard Deviation) estimates of the</w:t>
      </w:r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additive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aR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 and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aT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>)</w:t>
      </w:r>
      <w:r w:rsidR="000407C8" w:rsidRPr="00DC142F">
        <w:rPr>
          <w:rFonts w:ascii="Arial" w:hAnsi="Arial" w:cs="Arial"/>
          <w:color w:val="000000" w:themeColor="text1"/>
          <w:lang w:val="en-GB"/>
        </w:rPr>
        <w:t>, permanent environmental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p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  <m:r>
          <w:rPr>
            <w:rFonts w:ascii="Cambria Math" w:hAnsi="Cambria Math" w:cs="Arial"/>
            <w:color w:val="000000" w:themeColor="text1"/>
            <w:lang w:val="en-US"/>
          </w:rPr>
          <m:t xml:space="preserve"> )</m:t>
        </m:r>
      </m:oMath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and residual variance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hAnsi="Arial" w:cs="Arial"/>
          <w:color w:val="000000" w:themeColor="text1"/>
          <w:lang w:val="en-GB"/>
        </w:rPr>
        <w:t xml:space="preserve">) components and population specific </w:t>
      </w:r>
      <w:proofErr w:type="spellStart"/>
      <w:r w:rsidR="000407C8" w:rsidRPr="00DC142F">
        <w:rPr>
          <w:rFonts w:ascii="Arial" w:hAnsi="Arial" w:cs="Arial"/>
          <w:color w:val="000000" w:themeColor="text1"/>
          <w:lang w:val="en-GB"/>
        </w:rPr>
        <w:t>heritabilities</w:t>
      </w:r>
      <w:proofErr w:type="spellEnd"/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GB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R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>,</w:t>
      </w:r>
      <m:oMath>
        <m:r>
          <w:rPr>
            <w:rFonts w:ascii="Cambria Math" w:eastAsiaTheme="minorEastAsia" w:hAnsi="Cambria Math" w:cs="Arial"/>
            <w:color w:val="000000" w:themeColor="text1"/>
            <w:lang w:val="en-US"/>
          </w:rPr>
          <m:t xml:space="preserve"> </m:t>
        </m:r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T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) </w:t>
      </w:r>
      <w:r w:rsidR="000407C8" w:rsidRPr="00DC142F">
        <w:rPr>
          <w:rFonts w:ascii="Arial" w:hAnsi="Arial" w:cs="Arial"/>
          <w:color w:val="000000" w:themeColor="text1"/>
          <w:lang w:val="en-GB"/>
        </w:rPr>
        <w:t>for Number Born Alive (NBA) with models MH, LH, LM, L, M, H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8D42F5">
        <w:rPr>
          <w:rFonts w:ascii="Arial" w:hAnsi="Arial" w:cs="Arial"/>
          <w:color w:val="000000" w:themeColor="text1"/>
          <w:lang w:val="en-GB"/>
        </w:rPr>
        <w:t>among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A346D3" w:rsidRPr="00A346D3">
        <w:rPr>
          <w:rFonts w:ascii="Arial" w:hAnsi="Arial"/>
          <w:bCs/>
          <w:color w:val="000000" w:themeColor="text1"/>
          <w:sz w:val="24"/>
          <w:szCs w:val="24"/>
          <w:lang w:val="en-US"/>
        </w:rPr>
        <w:t>three commercial varieties of Iberian pig</w:t>
      </w:r>
      <w:r w:rsidR="000407C8" w:rsidRPr="00DC142F">
        <w:rPr>
          <w:rFonts w:ascii="Arial" w:hAnsi="Arial" w:cs="Arial"/>
          <w:color w:val="000000" w:themeColor="text1"/>
          <w:lang w:val="en-GB"/>
        </w:rPr>
        <w:t>.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191"/>
        <w:gridCol w:w="2410"/>
        <w:gridCol w:w="2126"/>
        <w:gridCol w:w="2268"/>
        <w:gridCol w:w="1843"/>
        <w:gridCol w:w="1984"/>
      </w:tblGrid>
      <w:tr w:rsidR="00130A01" w:rsidRPr="00DC142F" w:rsidTr="001649AD"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ind w:left="-30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MH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LH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0.673 (0.124)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0.693 (0.126)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0.658 (0.123)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0.674 (0.125)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0.660 (0.123)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0.711 (0.127)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aR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0.466 (0.094)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0.390 (0.087)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0.393 (0.090)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0.387 (0.089)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0.442 (0.094)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0.469 (0.094)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aT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0.423 (0.110)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0.362 (0.104)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0.382 (0.109)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0.385 (0.109)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0.430 (0.112)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0.454 (0.111)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0.339 (0.051)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0.367 (0.052)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0.385 (0.053)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0.387 (0.052)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0.368 (0.052)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0.332 (0.051)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4.019 (0.048)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4.020 (0.047)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4.022 (0.047)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4.022 (0.047)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4.022 (0.048)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4.020 (0.047)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0.133 (0.022)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0.136 (0.022)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0.130 (0.022)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0.132 (0.022)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0.130 (0.022)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0.140 (0.022)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0.096 (0.018)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0.081 (0.017)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0.082 (0.017)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0.080 (0.017)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0.091 (0.018)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0.097 (0.018)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0.088 (0.021)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0.076 (0.021)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0.080 (0.021)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0.080 (0.021)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0.089 (0.021)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0.094 (0.021)</w:t>
            </w:r>
          </w:p>
        </w:tc>
      </w:tr>
    </w:tbl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hAnsi="Arial"/>
          <w:color w:val="000000" w:themeColor="text1"/>
          <w:lang w:val="pt-PT"/>
        </w:rPr>
      </w:pPr>
    </w:p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C142F">
        <w:rPr>
          <w:rFonts w:ascii="Arial" w:hAnsi="Arial"/>
          <w:color w:val="000000" w:themeColor="text1"/>
          <w:lang w:val="pt-PT"/>
        </w:rPr>
        <w:t>MH: Reduced model with maternal and heterosis effects, LH: Reduced model with direct line and heterosis effects, LM: Reduced model with direct line and maternal effects, L: Reduced model with direct line effects, M: Reduced model with maternal effects, H: Reduced model with Heterosis effects.</w:t>
      </w:r>
    </w:p>
    <w:p w:rsidR="00130A01" w:rsidRPr="00DC142F" w:rsidRDefault="00130A01" w:rsidP="00130A01">
      <w:pPr>
        <w:spacing w:after="0"/>
        <w:ind w:left="-284"/>
        <w:rPr>
          <w:rFonts w:ascii="Arial" w:hAnsi="Arial" w:cs="Arial"/>
          <w:color w:val="000000" w:themeColor="text1"/>
          <w:lang w:val="en-US"/>
        </w:rPr>
      </w:pPr>
    </w:p>
    <w:p w:rsidR="004E6278" w:rsidRPr="00DC142F" w:rsidRDefault="004E6278" w:rsidP="00130A01">
      <w:pPr>
        <w:spacing w:after="0"/>
        <w:ind w:left="-284"/>
        <w:rPr>
          <w:rFonts w:ascii="Arial" w:hAnsi="Arial" w:cs="Arial"/>
          <w:color w:val="000000" w:themeColor="text1"/>
          <w:lang w:val="en-US"/>
        </w:rPr>
      </w:pPr>
    </w:p>
    <w:p w:rsidR="00130A01" w:rsidRPr="00DC142F" w:rsidRDefault="00130A01" w:rsidP="00DC142F">
      <w:pPr>
        <w:spacing w:after="0"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C142F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Supplementary Table </w:t>
      </w:r>
      <w:r w:rsidR="0029080F" w:rsidRPr="00DC142F">
        <w:rPr>
          <w:rFonts w:ascii="Arial" w:hAnsi="Arial" w:cs="Arial"/>
          <w:b/>
          <w:color w:val="000000" w:themeColor="text1"/>
          <w:lang w:val="en-US"/>
        </w:rPr>
        <w:t>S</w:t>
      </w:r>
      <w:r w:rsidR="00B07324" w:rsidRPr="00DC142F">
        <w:rPr>
          <w:rFonts w:ascii="Arial" w:hAnsi="Arial" w:cs="Arial"/>
          <w:b/>
          <w:color w:val="000000" w:themeColor="text1"/>
          <w:lang w:val="en-US"/>
        </w:rPr>
        <w:t>2</w:t>
      </w:r>
      <w:r w:rsidRPr="00DC142F">
        <w:rPr>
          <w:rFonts w:ascii="Arial" w:hAnsi="Arial" w:cs="Arial"/>
          <w:b/>
          <w:color w:val="000000" w:themeColor="text1"/>
          <w:lang w:val="en-US"/>
        </w:rPr>
        <w:t>.</w:t>
      </w:r>
      <w:r w:rsidRPr="00DC142F">
        <w:rPr>
          <w:rFonts w:ascii="Arial" w:hAnsi="Arial" w:cs="Arial"/>
          <w:color w:val="000000" w:themeColor="text1"/>
          <w:lang w:val="en-GB"/>
        </w:rPr>
        <w:t xml:space="preserve"> Posterior </w:t>
      </w:r>
      <w:r w:rsidRPr="00DC142F">
        <w:rPr>
          <w:rFonts w:ascii="Arial" w:hAnsi="Arial" w:cs="Arial"/>
          <w:color w:val="000000" w:themeColor="text1"/>
          <w:lang w:val="en-US"/>
        </w:rPr>
        <w:t>Mean (and Standard Deviation) estimates</w:t>
      </w:r>
      <w:r w:rsidR="000407C8" w:rsidRPr="00DC142F">
        <w:rPr>
          <w:rFonts w:ascii="Arial" w:hAnsi="Arial" w:cs="Arial"/>
          <w:color w:val="000000" w:themeColor="text1"/>
          <w:lang w:val="en-US"/>
        </w:rPr>
        <w:t xml:space="preserve"> of</w:t>
      </w:r>
      <w:r w:rsidRPr="00DC142F">
        <w:rPr>
          <w:rFonts w:ascii="Arial" w:hAnsi="Arial" w:cs="Arial"/>
          <w:color w:val="000000" w:themeColor="text1"/>
          <w:lang w:val="en-US"/>
        </w:rPr>
        <w:t xml:space="preserve"> </w:t>
      </w:r>
      <w:r w:rsidR="000407C8" w:rsidRPr="00DC142F">
        <w:rPr>
          <w:rFonts w:ascii="Arial" w:hAnsi="Arial" w:cs="Arial"/>
          <w:color w:val="000000" w:themeColor="text1"/>
          <w:lang w:val="en-US"/>
        </w:rPr>
        <w:t>the</w:t>
      </w:r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additive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aR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 and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aT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>)</w:t>
      </w:r>
      <w:r w:rsidR="000407C8" w:rsidRPr="00DC142F">
        <w:rPr>
          <w:rFonts w:ascii="Arial" w:hAnsi="Arial" w:cs="Arial"/>
          <w:color w:val="000000" w:themeColor="text1"/>
          <w:lang w:val="en-GB"/>
        </w:rPr>
        <w:t>, permanent environmental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p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  <m:r>
          <w:rPr>
            <w:rFonts w:ascii="Cambria Math" w:hAnsi="Cambria Math" w:cs="Arial"/>
            <w:color w:val="000000" w:themeColor="text1"/>
            <w:lang w:val="en-US"/>
          </w:rPr>
          <m:t xml:space="preserve"> )</m:t>
        </m:r>
      </m:oMath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and residual variance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hAnsi="Arial" w:cs="Arial"/>
          <w:color w:val="000000" w:themeColor="text1"/>
          <w:lang w:val="en-GB"/>
        </w:rPr>
        <w:t xml:space="preserve">) components and population specific </w:t>
      </w:r>
      <w:proofErr w:type="spellStart"/>
      <w:r w:rsidR="000407C8" w:rsidRPr="00DC142F">
        <w:rPr>
          <w:rFonts w:ascii="Arial" w:hAnsi="Arial" w:cs="Arial"/>
          <w:color w:val="000000" w:themeColor="text1"/>
          <w:lang w:val="en-GB"/>
        </w:rPr>
        <w:t>heritabilities</w:t>
      </w:r>
      <w:proofErr w:type="spellEnd"/>
      <w:r w:rsidR="000407C8" w:rsidRPr="00DC142F">
        <w:rPr>
          <w:rFonts w:ascii="Arial" w:hAnsi="Arial" w:cs="Arial"/>
          <w:color w:val="000000" w:themeColor="text1"/>
          <w:lang w:val="en-GB"/>
        </w:rPr>
        <w:t xml:space="preserve"> (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E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GB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R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>,</w:t>
      </w:r>
      <m:oMath>
        <m:r>
          <w:rPr>
            <w:rFonts w:ascii="Cambria Math" w:eastAsiaTheme="minorEastAsia" w:hAnsi="Cambria Math" w:cs="Arial"/>
            <w:color w:val="000000" w:themeColor="text1"/>
            <w:lang w:val="en-US"/>
          </w:rPr>
          <m:t xml:space="preserve"> </m:t>
        </m:r>
        <m:sSubSup>
          <m:sSub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T</m:t>
            </m:r>
          </m:sub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2</m:t>
            </m:r>
          </m:sup>
        </m:sSubSup>
      </m:oMath>
      <w:r w:rsidR="000407C8" w:rsidRPr="00DC142F">
        <w:rPr>
          <w:rFonts w:ascii="Arial" w:eastAsiaTheme="minorEastAsia" w:hAnsi="Arial" w:cs="Arial"/>
          <w:color w:val="000000" w:themeColor="text1"/>
          <w:lang w:val="en-US"/>
        </w:rPr>
        <w:t xml:space="preserve">) </w:t>
      </w:r>
      <w:r w:rsidRPr="00DC142F">
        <w:rPr>
          <w:rFonts w:ascii="Arial" w:hAnsi="Arial" w:cs="Arial"/>
          <w:color w:val="000000" w:themeColor="text1"/>
          <w:lang w:val="en-GB"/>
        </w:rPr>
        <w:t>for Total Number Born (TNB) with models MH, LH, LM, L, M, H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8D42F5">
        <w:rPr>
          <w:rFonts w:ascii="Arial" w:hAnsi="Arial" w:cs="Arial"/>
          <w:color w:val="000000" w:themeColor="text1"/>
          <w:lang w:val="en-GB"/>
        </w:rPr>
        <w:t>among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A346D3" w:rsidRPr="00A346D3">
        <w:rPr>
          <w:rFonts w:ascii="Arial" w:hAnsi="Arial"/>
          <w:bCs/>
          <w:color w:val="000000" w:themeColor="text1"/>
          <w:sz w:val="24"/>
          <w:szCs w:val="24"/>
          <w:lang w:val="en-US"/>
        </w:rPr>
        <w:t>three commercial varieties of Iberian pig</w:t>
      </w:r>
      <w:r w:rsidRPr="00DC142F">
        <w:rPr>
          <w:rFonts w:ascii="Arial" w:hAnsi="Arial" w:cs="Arial"/>
          <w:color w:val="000000" w:themeColor="text1"/>
          <w:lang w:val="en-GB"/>
        </w:rPr>
        <w:t>.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191"/>
        <w:gridCol w:w="2410"/>
        <w:gridCol w:w="2126"/>
        <w:gridCol w:w="2268"/>
        <w:gridCol w:w="1843"/>
        <w:gridCol w:w="1984"/>
      </w:tblGrid>
      <w:tr w:rsidR="00130A01" w:rsidRPr="00DC142F" w:rsidTr="001649AD"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ind w:left="-302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MH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LH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LM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H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0.734 (0.128)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0.753 (0.130)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0.709 (0.126)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0.730 (0.128)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0.718 (0.127)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0.771 (0.132)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aR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0.516 (0.097)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0.430 (0.090)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0.436 (0.093)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0.431 (0.092)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0.498 (0.098)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0.511 (0.097)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aT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0.483 (0.119)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0.413 (0.115)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0.427 (0.117)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0.434 (0.118)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0.487 (0.121)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0.514 (0.121)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0.343 (0.052)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0.376 (0.053)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0.395 (0.053)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0.396 (0.053)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0.372 (0.053)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0.339 (0.052)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4.028 (0.047)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4.029 (0.047)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4.031 (0.047)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4.031 (0.048)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4.031 (0.048)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4.030 (0.048)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0.143 (0.022)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0.146 (0.022)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0.138 (0.022)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0.141 (0.022)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0.139 (0.022)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0.150 (0.022)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0.105 (0.018)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0.089 (0.017)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0.089 (0.018)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0.089 (0.018)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0.101 (0.019)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0.104 (0.018)</w:t>
            </w:r>
          </w:p>
        </w:tc>
      </w:tr>
      <w:tr w:rsidR="00130A01" w:rsidRPr="00DC142F" w:rsidTr="001649AD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8D42F5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0.099 (0.022)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0.085 (0.022)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0.088 (0.022)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0.089 (0.022)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0.099 (0.023)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30A01" w:rsidRPr="00DC142F" w:rsidRDefault="00130A01" w:rsidP="004E627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142F">
              <w:rPr>
                <w:rFonts w:ascii="Arial" w:hAnsi="Arial" w:cs="Arial"/>
                <w:color w:val="000000" w:themeColor="text1"/>
                <w:sz w:val="22"/>
                <w:szCs w:val="22"/>
              </w:rPr>
              <w:t>0.105 (0.022)</w:t>
            </w:r>
          </w:p>
        </w:tc>
      </w:tr>
    </w:tbl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hAnsi="Arial"/>
          <w:color w:val="000000" w:themeColor="text1"/>
          <w:lang w:val="pt-PT"/>
        </w:rPr>
      </w:pPr>
    </w:p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C142F">
        <w:rPr>
          <w:rFonts w:ascii="Arial" w:hAnsi="Arial"/>
          <w:color w:val="000000" w:themeColor="text1"/>
          <w:lang w:val="pt-PT"/>
        </w:rPr>
        <w:t>MH: Reduced model with maternal and heterosis effects, LH: Reduced model with direct line and heterosis effects, LM: Reduced model with direct line and maternal effects, L: Reduced model with direct line effects, M: Reduced model with maternal effects, H: Reduced model with Heterosis effects.</w:t>
      </w:r>
    </w:p>
    <w:p w:rsidR="004E6278" w:rsidRPr="00DC142F" w:rsidRDefault="004E6278" w:rsidP="004E6278">
      <w:pPr>
        <w:spacing w:after="0"/>
        <w:ind w:left="-284"/>
        <w:rPr>
          <w:rFonts w:ascii="Arial" w:hAnsi="Arial" w:cs="Arial"/>
          <w:color w:val="000000" w:themeColor="text1"/>
          <w:lang w:val="en-US"/>
        </w:rPr>
      </w:pPr>
    </w:p>
    <w:p w:rsidR="00130A01" w:rsidRPr="00DC142F" w:rsidRDefault="00130A01" w:rsidP="00130A01">
      <w:pPr>
        <w:spacing w:after="0"/>
        <w:ind w:left="-284"/>
        <w:rPr>
          <w:rFonts w:ascii="Arial" w:hAnsi="Arial" w:cs="Arial"/>
          <w:color w:val="000000" w:themeColor="text1"/>
          <w:lang w:val="en-US"/>
        </w:rPr>
      </w:pPr>
      <w:r w:rsidRPr="00DC142F">
        <w:rPr>
          <w:rFonts w:ascii="Arial" w:hAnsi="Arial" w:cs="Arial"/>
          <w:color w:val="000000" w:themeColor="text1"/>
          <w:lang w:val="en-US"/>
        </w:rPr>
        <w:br w:type="page"/>
      </w:r>
    </w:p>
    <w:p w:rsidR="00130A01" w:rsidRPr="00DC142F" w:rsidRDefault="00130A01" w:rsidP="00DC142F">
      <w:pPr>
        <w:spacing w:line="48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C142F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Supplementary Table </w:t>
      </w:r>
      <w:r w:rsidR="0029080F" w:rsidRPr="00DC142F">
        <w:rPr>
          <w:rFonts w:ascii="Arial" w:hAnsi="Arial" w:cs="Arial"/>
          <w:b/>
          <w:color w:val="000000" w:themeColor="text1"/>
          <w:lang w:val="en-US"/>
        </w:rPr>
        <w:t>S</w:t>
      </w:r>
      <w:r w:rsidR="00B07324" w:rsidRPr="00DC142F">
        <w:rPr>
          <w:rFonts w:ascii="Arial" w:hAnsi="Arial" w:cs="Arial"/>
          <w:b/>
          <w:color w:val="000000" w:themeColor="text1"/>
          <w:lang w:val="en-US"/>
        </w:rPr>
        <w:t>3</w:t>
      </w:r>
      <w:r w:rsidRPr="00DC142F">
        <w:rPr>
          <w:rFonts w:ascii="Arial" w:hAnsi="Arial" w:cs="Arial"/>
          <w:b/>
          <w:color w:val="000000" w:themeColor="text1"/>
          <w:lang w:val="en-US"/>
        </w:rPr>
        <w:t>.</w:t>
      </w:r>
      <w:r w:rsidRPr="00DC142F">
        <w:rPr>
          <w:rFonts w:ascii="Arial" w:hAnsi="Arial" w:cs="Arial"/>
          <w:color w:val="000000" w:themeColor="text1"/>
          <w:lang w:val="en-US"/>
        </w:rPr>
        <w:t xml:space="preserve"> Po</w:t>
      </w:r>
      <w:proofErr w:type="spellStart"/>
      <w:r w:rsidRPr="00DC142F">
        <w:rPr>
          <w:rFonts w:ascii="Arial" w:hAnsi="Arial" w:cs="Arial"/>
          <w:color w:val="000000" w:themeColor="text1"/>
          <w:lang w:val="en-GB"/>
        </w:rPr>
        <w:t>sterior</w:t>
      </w:r>
      <w:proofErr w:type="spellEnd"/>
      <w:r w:rsidRPr="00DC142F">
        <w:rPr>
          <w:rFonts w:ascii="Arial" w:hAnsi="Arial" w:cs="Arial"/>
          <w:color w:val="000000" w:themeColor="text1"/>
          <w:lang w:val="en-GB"/>
        </w:rPr>
        <w:t xml:space="preserve"> Mean (and Standard Deviation) estimates of the contrast between direct line </w:t>
      </w:r>
      <w:r w:rsidR="001649AD" w:rsidRPr="00DC142F">
        <w:rPr>
          <w:rFonts w:ascii="Arial" w:hAnsi="Arial"/>
          <w:color w:val="000000" w:themeColor="text1"/>
          <w:lang w:val="en-US"/>
        </w:rPr>
        <w:t>(L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E</w:t>
      </w:r>
      <w:r w:rsidR="001649AD" w:rsidRPr="00DC142F">
        <w:rPr>
          <w:rFonts w:ascii="Arial" w:hAnsi="Arial"/>
          <w:color w:val="000000" w:themeColor="text1"/>
          <w:lang w:val="en-US"/>
        </w:rPr>
        <w:t>, L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R</w:t>
      </w:r>
      <w:r w:rsidR="001649AD" w:rsidRPr="00DC142F">
        <w:rPr>
          <w:rFonts w:ascii="Arial" w:hAnsi="Arial"/>
          <w:color w:val="000000" w:themeColor="text1"/>
          <w:lang w:val="en-US"/>
        </w:rPr>
        <w:t xml:space="preserve"> and L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T</w:t>
      </w:r>
      <w:r w:rsidR="001649AD" w:rsidRPr="00DC142F">
        <w:rPr>
          <w:rFonts w:ascii="Arial" w:hAnsi="Arial"/>
          <w:color w:val="000000" w:themeColor="text1"/>
          <w:lang w:val="en-US"/>
        </w:rPr>
        <w:t xml:space="preserve">) and </w:t>
      </w:r>
      <w:r w:rsidRPr="00DC142F">
        <w:rPr>
          <w:rFonts w:ascii="Arial" w:hAnsi="Arial" w:cs="Arial"/>
          <w:color w:val="000000" w:themeColor="text1"/>
          <w:lang w:val="en-GB"/>
        </w:rPr>
        <w:t xml:space="preserve">maternal effects </w:t>
      </w:r>
      <w:r w:rsidR="001649AD" w:rsidRPr="00DC142F">
        <w:rPr>
          <w:rFonts w:ascii="Arial" w:hAnsi="Arial"/>
          <w:color w:val="000000" w:themeColor="text1"/>
          <w:lang w:val="en-US"/>
        </w:rPr>
        <w:t>(M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E</w:t>
      </w:r>
      <w:r w:rsidR="001649AD" w:rsidRPr="00DC142F">
        <w:rPr>
          <w:rFonts w:ascii="Arial" w:hAnsi="Arial"/>
          <w:color w:val="000000" w:themeColor="text1"/>
          <w:lang w:val="en-US"/>
        </w:rPr>
        <w:t>, M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R</w:t>
      </w:r>
      <w:r w:rsidR="001649AD" w:rsidRPr="00DC142F">
        <w:rPr>
          <w:rFonts w:ascii="Arial" w:hAnsi="Arial"/>
          <w:color w:val="000000" w:themeColor="text1"/>
          <w:lang w:val="en-US"/>
        </w:rPr>
        <w:t xml:space="preserve"> and M</w:t>
      </w:r>
      <w:r w:rsidR="001649AD" w:rsidRPr="00DC142F">
        <w:rPr>
          <w:rFonts w:ascii="Arial" w:hAnsi="Arial"/>
          <w:color w:val="000000" w:themeColor="text1"/>
          <w:vertAlign w:val="subscript"/>
          <w:lang w:val="en-US"/>
        </w:rPr>
        <w:t>T</w:t>
      </w:r>
      <w:r w:rsidR="001649AD" w:rsidRPr="00DC142F">
        <w:rPr>
          <w:rFonts w:ascii="Arial" w:hAnsi="Arial"/>
          <w:color w:val="000000" w:themeColor="text1"/>
          <w:lang w:val="en-US"/>
        </w:rPr>
        <w:t xml:space="preserve">) </w:t>
      </w:r>
      <w:r w:rsidRPr="00DC142F">
        <w:rPr>
          <w:rFonts w:ascii="Arial" w:hAnsi="Arial" w:cs="Arial"/>
          <w:color w:val="000000" w:themeColor="text1"/>
          <w:lang w:val="en-GB"/>
        </w:rPr>
        <w:t xml:space="preserve">and the </w:t>
      </w:r>
      <w:proofErr w:type="spellStart"/>
      <w:r w:rsidRPr="00DC142F">
        <w:rPr>
          <w:rFonts w:ascii="Arial" w:hAnsi="Arial" w:cs="Arial"/>
          <w:color w:val="000000" w:themeColor="text1"/>
          <w:lang w:val="en-GB"/>
        </w:rPr>
        <w:t>heterosis</w:t>
      </w:r>
      <w:proofErr w:type="spellEnd"/>
      <w:r w:rsidR="00DC142F" w:rsidRPr="00DC142F">
        <w:rPr>
          <w:rFonts w:ascii="Arial" w:hAnsi="Arial" w:cs="Arial"/>
          <w:color w:val="000000" w:themeColor="text1"/>
          <w:lang w:val="en-GB"/>
        </w:rPr>
        <w:t xml:space="preserve"> </w:t>
      </w:r>
      <w:r w:rsidR="00DC142F" w:rsidRPr="00DC142F">
        <w:rPr>
          <w:rFonts w:ascii="Arial" w:hAnsi="Arial"/>
          <w:color w:val="000000" w:themeColor="text1"/>
          <w:lang w:val="en-US"/>
        </w:rPr>
        <w:t>(H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ER</w:t>
      </w:r>
      <w:r w:rsidR="00DC142F" w:rsidRPr="00DC142F">
        <w:rPr>
          <w:rFonts w:ascii="Arial" w:hAnsi="Arial"/>
          <w:color w:val="000000" w:themeColor="text1"/>
          <w:lang w:val="en-US"/>
        </w:rPr>
        <w:t>, 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 and 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RT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) </w:t>
      </w:r>
      <w:r w:rsidRPr="00DC142F">
        <w:rPr>
          <w:rFonts w:ascii="Arial" w:hAnsi="Arial" w:cs="Arial"/>
          <w:color w:val="000000" w:themeColor="text1"/>
          <w:lang w:val="en-GB"/>
        </w:rPr>
        <w:t>effects for Number Born Alive (NBA) with models MH, LH, LM, L, M, H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8D42F5">
        <w:rPr>
          <w:rFonts w:ascii="Arial" w:hAnsi="Arial" w:cs="Arial"/>
          <w:color w:val="000000" w:themeColor="text1"/>
          <w:lang w:val="en-GB"/>
        </w:rPr>
        <w:t>among</w:t>
      </w:r>
      <w:r w:rsidR="00A346D3" w:rsidRPr="00A346D3">
        <w:rPr>
          <w:rFonts w:ascii="Arial" w:hAnsi="Arial" w:cs="Arial"/>
          <w:color w:val="000000" w:themeColor="text1"/>
          <w:lang w:val="en-GB"/>
        </w:rPr>
        <w:t xml:space="preserve"> three commercial varieties of Iberian pig</w:t>
      </w:r>
      <w:r w:rsidRPr="00DC142F">
        <w:rPr>
          <w:rFonts w:ascii="Arial" w:hAnsi="Arial" w:cs="Arial"/>
          <w:color w:val="000000" w:themeColor="text1"/>
          <w:lang w:val="en-GB"/>
        </w:rPr>
        <w:t>.</w:t>
      </w:r>
    </w:p>
    <w:tbl>
      <w:tblPr>
        <w:tblStyle w:val="Grilledutableau"/>
        <w:tblW w:w="13950" w:type="dxa"/>
        <w:tblLook w:val="04A0" w:firstRow="1" w:lastRow="0" w:firstColumn="1" w:lastColumn="0" w:noHBand="0" w:noVBand="1"/>
      </w:tblPr>
      <w:tblGrid>
        <w:gridCol w:w="1795"/>
        <w:gridCol w:w="1771"/>
        <w:gridCol w:w="1654"/>
        <w:gridCol w:w="1746"/>
        <w:gridCol w:w="1746"/>
        <w:gridCol w:w="1746"/>
        <w:gridCol w:w="1746"/>
        <w:gridCol w:w="1746"/>
      </w:tblGrid>
      <w:tr w:rsidR="00130A01" w:rsidRPr="00DC142F" w:rsidTr="001649AD">
        <w:tc>
          <w:tcPr>
            <w:tcW w:w="1795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71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54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MH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LH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LM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M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H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Direct Line</w:t>
            </w:r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E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</w:t>
            </w:r>
          </w:p>
        </w:tc>
        <w:tc>
          <w:tcPr>
            <w:tcW w:w="1654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-0.241 (0.294)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-0.567 (0.311)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-0.250 (0.290)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E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T</w:t>
            </w:r>
          </w:p>
        </w:tc>
        <w:tc>
          <w:tcPr>
            <w:tcW w:w="1654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0.557 (0.295)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0.197 (0.318)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0.464 (0.290)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T</w:t>
            </w:r>
          </w:p>
        </w:tc>
        <w:tc>
          <w:tcPr>
            <w:tcW w:w="1654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0.798 (0.170)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0.761 (0.210)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0.715 (0.170)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Maternal</w:t>
            </w:r>
          </w:p>
        </w:tc>
        <w:tc>
          <w:tcPr>
            <w:tcW w:w="1771" w:type="dxa"/>
          </w:tcPr>
          <w:p w:rsidR="001649AD" w:rsidRPr="00DC142F" w:rsidRDefault="00297421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R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0.333 (0.115)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0.326 (0.119)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0.235 (0.111)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1649AD" w:rsidRPr="00DC142F" w:rsidRDefault="00297421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T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0.564 (0.130)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0.294 (0.137)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0.409 (0.124)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1649AD" w:rsidRPr="00DC142F" w:rsidRDefault="00297421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R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1649AD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T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0.231 (0.088)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-0.032 (0.098)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0.174 (0.082)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C142F">
              <w:rPr>
                <w:rFonts w:ascii="Arial" w:hAnsi="Arial" w:cs="Arial"/>
                <w:color w:val="000000" w:themeColor="text1"/>
              </w:rPr>
              <w:t>Heterosis</w:t>
            </w:r>
            <w:proofErr w:type="spellEnd"/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  <w:lang w:val="es-ES_tradnl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ER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0.629 (0.097)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0.579 (0.095)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0.598 (0.096)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  <w:lang w:val="es-ES_tradnl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ET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0.611 (0.129)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0.493 (0.123)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0.439 (0.123)</w:t>
            </w:r>
          </w:p>
        </w:tc>
      </w:tr>
      <w:tr w:rsidR="001649AD" w:rsidRPr="00DC142F" w:rsidTr="001649AD">
        <w:tc>
          <w:tcPr>
            <w:tcW w:w="1795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71" w:type="dxa"/>
          </w:tcPr>
          <w:p w:rsidR="001649AD" w:rsidRPr="00DC142F" w:rsidRDefault="001649AD" w:rsidP="001649AD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RT</w:t>
            </w:r>
          </w:p>
        </w:tc>
        <w:tc>
          <w:tcPr>
            <w:tcW w:w="1654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0.693 (0.093)</w:t>
            </w:r>
          </w:p>
        </w:tc>
        <w:tc>
          <w:tcPr>
            <w:tcW w:w="1746" w:type="dxa"/>
            <w:vAlign w:val="center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0.674 (0.091)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1649AD" w:rsidRPr="00DC142F" w:rsidRDefault="001649AD" w:rsidP="001649AD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0.629 (0.091)</w:t>
            </w:r>
          </w:p>
        </w:tc>
      </w:tr>
    </w:tbl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C142F" w:rsidRPr="00DC142F" w:rsidRDefault="004E6278" w:rsidP="00DC142F">
      <w:pPr>
        <w:pStyle w:val="Body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C142F">
        <w:rPr>
          <w:rFonts w:ascii="Arial" w:hAnsi="Arial"/>
          <w:color w:val="000000" w:themeColor="text1"/>
          <w:lang w:val="pt-PT"/>
        </w:rPr>
        <w:t>MH: Reduced model with maternal and heterosis effects, LH: Reduced model with direct line and heterosis effects, LM: Reduced model with direct line and maternal effects, L: Reduced model with direct line effects, M: Reduced model with maternal effects, H: Reduced model with Heterosis effects.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</w:t>
      </w:r>
      <w:r w:rsidR="00DC142F" w:rsidRPr="00DC142F">
        <w:rPr>
          <w:rFonts w:ascii="Arial" w:hAnsi="Arial"/>
          <w:color w:val="000000" w:themeColor="text1"/>
          <w:lang w:val="pt-PT"/>
        </w:rPr>
        <w:t>,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direct line effects for Entrepelado, Retinto and Torbiscal, respectively.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</w:t>
      </w:r>
      <w:r w:rsidR="00DC142F" w:rsidRPr="00DC142F">
        <w:rPr>
          <w:rFonts w:ascii="Arial" w:hAnsi="Arial"/>
          <w:color w:val="000000" w:themeColor="text1"/>
          <w:lang w:val="pt-PT"/>
        </w:rPr>
        <w:t>,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maternal line effects for Entrepelado, Retinto and Torbiscal.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ER</w:t>
      </w:r>
      <w:r w:rsidR="00DC142F" w:rsidRPr="00DC142F">
        <w:rPr>
          <w:rFonts w:ascii="Arial" w:hAnsi="Arial"/>
          <w:color w:val="000000" w:themeColor="text1"/>
          <w:lang w:val="pt-PT"/>
        </w:rPr>
        <w:t>,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heterosis effects between Entrepelado and Retinto, Entrepelado and Torbiscal and Retinto and Torbiscal, respectively.</w:t>
      </w:r>
    </w:p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:rsidR="00130A01" w:rsidRPr="00DC142F" w:rsidRDefault="00130A01" w:rsidP="00DC142F">
      <w:pPr>
        <w:spacing w:line="48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C142F">
        <w:rPr>
          <w:rFonts w:ascii="Arial" w:hAnsi="Arial" w:cs="Arial"/>
          <w:b/>
          <w:color w:val="000000" w:themeColor="text1"/>
          <w:lang w:val="en-US"/>
        </w:rPr>
        <w:t xml:space="preserve">Supplementary Table </w:t>
      </w:r>
      <w:r w:rsidR="0029080F" w:rsidRPr="00DC142F">
        <w:rPr>
          <w:rFonts w:ascii="Arial" w:hAnsi="Arial" w:cs="Arial"/>
          <w:b/>
          <w:color w:val="000000" w:themeColor="text1"/>
          <w:lang w:val="en-US"/>
        </w:rPr>
        <w:t>S</w:t>
      </w:r>
      <w:r w:rsidR="00B07324" w:rsidRPr="00DC142F">
        <w:rPr>
          <w:rFonts w:ascii="Arial" w:hAnsi="Arial" w:cs="Arial"/>
          <w:b/>
          <w:color w:val="000000" w:themeColor="text1"/>
          <w:lang w:val="en-US"/>
        </w:rPr>
        <w:t>4</w:t>
      </w:r>
      <w:r w:rsidRPr="00DC142F">
        <w:rPr>
          <w:rFonts w:ascii="Arial" w:hAnsi="Arial" w:cs="Arial"/>
          <w:b/>
          <w:color w:val="000000" w:themeColor="text1"/>
          <w:lang w:val="en-US"/>
        </w:rPr>
        <w:t>.</w:t>
      </w:r>
      <w:r w:rsidRPr="00DC142F">
        <w:rPr>
          <w:rFonts w:ascii="Arial" w:hAnsi="Arial" w:cs="Arial"/>
          <w:color w:val="000000" w:themeColor="text1"/>
          <w:lang w:val="en-US"/>
        </w:rPr>
        <w:t xml:space="preserve"> </w:t>
      </w:r>
      <w:r w:rsidR="00DC142F" w:rsidRPr="00DC142F">
        <w:rPr>
          <w:rFonts w:ascii="Arial" w:hAnsi="Arial" w:cs="Arial"/>
          <w:color w:val="000000" w:themeColor="text1"/>
          <w:lang w:val="en-US"/>
        </w:rPr>
        <w:t>Po</w:t>
      </w:r>
      <w:proofErr w:type="spellStart"/>
      <w:r w:rsidR="00DC142F" w:rsidRPr="00DC142F">
        <w:rPr>
          <w:rFonts w:ascii="Arial" w:hAnsi="Arial" w:cs="Arial"/>
          <w:color w:val="000000" w:themeColor="text1"/>
          <w:lang w:val="en-GB"/>
        </w:rPr>
        <w:t>sterior</w:t>
      </w:r>
      <w:proofErr w:type="spellEnd"/>
      <w:r w:rsidR="00DC142F" w:rsidRPr="00DC142F">
        <w:rPr>
          <w:rFonts w:ascii="Arial" w:hAnsi="Arial" w:cs="Arial"/>
          <w:color w:val="000000" w:themeColor="text1"/>
          <w:lang w:val="en-GB"/>
        </w:rPr>
        <w:t xml:space="preserve"> Mean (and Standard Deviation) estimates of the contrast between direct line </w:t>
      </w:r>
      <w:r w:rsidR="00DC142F" w:rsidRPr="00DC142F">
        <w:rPr>
          <w:rFonts w:ascii="Arial" w:hAnsi="Arial"/>
          <w:color w:val="000000" w:themeColor="text1"/>
          <w:lang w:val="en-US"/>
        </w:rPr>
        <w:t>(L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</w:t>
      </w:r>
      <w:r w:rsidR="00DC142F" w:rsidRPr="00DC142F">
        <w:rPr>
          <w:rFonts w:ascii="Arial" w:hAnsi="Arial"/>
          <w:color w:val="000000" w:themeColor="text1"/>
          <w:lang w:val="en-US"/>
        </w:rPr>
        <w:t>, L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R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 and L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) and </w:t>
      </w:r>
      <w:r w:rsidR="00DC142F" w:rsidRPr="00DC142F">
        <w:rPr>
          <w:rFonts w:ascii="Arial" w:hAnsi="Arial" w:cs="Arial"/>
          <w:color w:val="000000" w:themeColor="text1"/>
          <w:lang w:val="en-GB"/>
        </w:rPr>
        <w:t xml:space="preserve">maternal effects </w:t>
      </w:r>
      <w:r w:rsidR="00DC142F" w:rsidRPr="00DC142F">
        <w:rPr>
          <w:rFonts w:ascii="Arial" w:hAnsi="Arial"/>
          <w:color w:val="000000" w:themeColor="text1"/>
          <w:lang w:val="en-US"/>
        </w:rPr>
        <w:t>(M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</w:t>
      </w:r>
      <w:r w:rsidR="00DC142F" w:rsidRPr="00DC142F">
        <w:rPr>
          <w:rFonts w:ascii="Arial" w:hAnsi="Arial"/>
          <w:color w:val="000000" w:themeColor="text1"/>
          <w:lang w:val="en-US"/>
        </w:rPr>
        <w:t>, M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R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 and M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) </w:t>
      </w:r>
      <w:r w:rsidR="00DC142F" w:rsidRPr="00DC142F">
        <w:rPr>
          <w:rFonts w:ascii="Arial" w:hAnsi="Arial" w:cs="Arial"/>
          <w:color w:val="000000" w:themeColor="text1"/>
          <w:lang w:val="en-GB"/>
        </w:rPr>
        <w:t xml:space="preserve">and the </w:t>
      </w:r>
      <w:proofErr w:type="spellStart"/>
      <w:r w:rsidR="00DC142F" w:rsidRPr="00DC142F">
        <w:rPr>
          <w:rFonts w:ascii="Arial" w:hAnsi="Arial" w:cs="Arial"/>
          <w:color w:val="000000" w:themeColor="text1"/>
          <w:lang w:val="en-GB"/>
        </w:rPr>
        <w:t>heterosis</w:t>
      </w:r>
      <w:proofErr w:type="spellEnd"/>
      <w:r w:rsidR="00DC142F" w:rsidRPr="00DC142F">
        <w:rPr>
          <w:rFonts w:ascii="Arial" w:hAnsi="Arial" w:cs="Arial"/>
          <w:color w:val="000000" w:themeColor="text1"/>
          <w:lang w:val="en-GB"/>
        </w:rPr>
        <w:t xml:space="preserve"> </w:t>
      </w:r>
      <w:r w:rsidR="00DC142F" w:rsidRPr="00DC142F">
        <w:rPr>
          <w:rFonts w:ascii="Arial" w:hAnsi="Arial"/>
          <w:color w:val="000000" w:themeColor="text1"/>
          <w:lang w:val="en-US"/>
        </w:rPr>
        <w:t>(H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ER</w:t>
      </w:r>
      <w:r w:rsidR="00DC142F" w:rsidRPr="00DC142F">
        <w:rPr>
          <w:rFonts w:ascii="Arial" w:hAnsi="Arial"/>
          <w:color w:val="000000" w:themeColor="text1"/>
          <w:lang w:val="en-US"/>
        </w:rPr>
        <w:t>, 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ET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 and H</w:t>
      </w:r>
      <w:r w:rsidR="00DC142F" w:rsidRPr="00DC142F">
        <w:rPr>
          <w:rFonts w:ascii="Arial" w:hAnsi="Arial"/>
          <w:color w:val="000000" w:themeColor="text1"/>
          <w:vertAlign w:val="subscript"/>
          <w:lang w:val="en-US"/>
        </w:rPr>
        <w:t>RT</w:t>
      </w:r>
      <w:r w:rsidR="00DC142F" w:rsidRPr="00DC142F">
        <w:rPr>
          <w:rFonts w:ascii="Arial" w:hAnsi="Arial"/>
          <w:color w:val="000000" w:themeColor="text1"/>
          <w:lang w:val="en-US"/>
        </w:rPr>
        <w:t xml:space="preserve">) </w:t>
      </w:r>
      <w:r w:rsidR="00DC142F" w:rsidRPr="00DC142F">
        <w:rPr>
          <w:rFonts w:ascii="Arial" w:hAnsi="Arial" w:cs="Arial"/>
          <w:color w:val="000000" w:themeColor="text1"/>
          <w:lang w:val="en-GB"/>
        </w:rPr>
        <w:t>effects for Total Number Born (TNB) with models MH, LH, LM, L, M, H</w:t>
      </w:r>
      <w:r w:rsidR="00A346D3">
        <w:rPr>
          <w:rFonts w:ascii="Arial" w:hAnsi="Arial" w:cs="Arial"/>
          <w:color w:val="000000" w:themeColor="text1"/>
          <w:lang w:val="en-GB"/>
        </w:rPr>
        <w:t xml:space="preserve"> </w:t>
      </w:r>
      <w:r w:rsidR="008D42F5">
        <w:rPr>
          <w:rFonts w:ascii="Arial" w:hAnsi="Arial" w:cs="Arial"/>
          <w:color w:val="000000" w:themeColor="text1"/>
          <w:lang w:val="en-GB"/>
        </w:rPr>
        <w:t>among</w:t>
      </w:r>
      <w:bookmarkStart w:id="0" w:name="_GoBack"/>
      <w:bookmarkEnd w:id="0"/>
      <w:r w:rsidR="00A346D3" w:rsidRPr="00A346D3">
        <w:rPr>
          <w:rFonts w:ascii="Arial" w:hAnsi="Arial" w:cs="Arial"/>
          <w:color w:val="000000" w:themeColor="text1"/>
          <w:lang w:val="en-GB"/>
        </w:rPr>
        <w:t xml:space="preserve"> three commercial varieties of Iberian pig</w:t>
      </w:r>
      <w:r w:rsidR="00DC142F" w:rsidRPr="00DC142F">
        <w:rPr>
          <w:rFonts w:ascii="Arial" w:hAnsi="Arial" w:cs="Arial"/>
          <w:color w:val="000000" w:themeColor="text1"/>
          <w:lang w:val="en-GB"/>
        </w:rPr>
        <w:t>.</w:t>
      </w:r>
    </w:p>
    <w:tbl>
      <w:tblPr>
        <w:tblStyle w:val="Grilledutableau"/>
        <w:tblW w:w="13950" w:type="dxa"/>
        <w:tblLook w:val="04A0" w:firstRow="1" w:lastRow="0" w:firstColumn="1" w:lastColumn="0" w:noHBand="0" w:noVBand="1"/>
      </w:tblPr>
      <w:tblGrid>
        <w:gridCol w:w="1795"/>
        <w:gridCol w:w="1771"/>
        <w:gridCol w:w="1654"/>
        <w:gridCol w:w="1746"/>
        <w:gridCol w:w="1746"/>
        <w:gridCol w:w="1746"/>
        <w:gridCol w:w="1746"/>
        <w:gridCol w:w="1746"/>
      </w:tblGrid>
      <w:tr w:rsidR="00130A01" w:rsidRPr="00DC142F" w:rsidTr="001649AD">
        <w:tc>
          <w:tcPr>
            <w:tcW w:w="1795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71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654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MH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LH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LM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M</w:t>
            </w:r>
          </w:p>
        </w:tc>
        <w:tc>
          <w:tcPr>
            <w:tcW w:w="1746" w:type="dxa"/>
          </w:tcPr>
          <w:p w:rsidR="00130A01" w:rsidRPr="00DC142F" w:rsidRDefault="00130A01" w:rsidP="004E6278">
            <w:pPr>
              <w:spacing w:after="0"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H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C142F">
              <w:rPr>
                <w:rFonts w:ascii="Arial" w:hAnsi="Arial" w:cs="Arial"/>
                <w:color w:val="000000" w:themeColor="text1"/>
                <w:lang w:val="en-GB"/>
              </w:rPr>
              <w:t>Direct Line</w:t>
            </w:r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E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</w:t>
            </w:r>
          </w:p>
        </w:tc>
        <w:tc>
          <w:tcPr>
            <w:tcW w:w="1654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-0.318 (0.305)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-0.733 (0.321)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-0.318 (0.300)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E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T</w:t>
            </w:r>
          </w:p>
        </w:tc>
        <w:tc>
          <w:tcPr>
            <w:tcW w:w="1654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0.499 (0.306)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0.089 (0.329)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0.418 (0.301)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</w:t>
            </w:r>
            <w:r w:rsidRPr="00DC142F">
              <w:rPr>
                <w:rFonts w:ascii="Arial" w:hAnsi="Arial"/>
                <w:color w:val="000000" w:themeColor="text1"/>
              </w:rPr>
              <w:t xml:space="preserve"> vs. L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T</w:t>
            </w:r>
          </w:p>
        </w:tc>
        <w:tc>
          <w:tcPr>
            <w:tcW w:w="1654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0.817 (0.178)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0.822 (0.217)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0.735 (0.176)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Maternal</w:t>
            </w:r>
          </w:p>
        </w:tc>
        <w:tc>
          <w:tcPr>
            <w:tcW w:w="1771" w:type="dxa"/>
          </w:tcPr>
          <w:p w:rsidR="00DC142F" w:rsidRPr="00DC142F" w:rsidRDefault="00297421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R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0.417 (0.117)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0.427 (0.121)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0.314 (0.114)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DC142F" w:rsidRPr="00DC142F" w:rsidRDefault="00297421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T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0.629 (0.133)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0.365 (0.140)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0.468 (0.127)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DC142F" w:rsidRPr="00DC142F" w:rsidRDefault="00297421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es-ES_tradnl"/>
              </w:rPr>
              <w:t>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R</w:t>
            </w:r>
            <w:r>
              <w:rPr>
                <w:rFonts w:ascii="Arial" w:hAnsi="Arial"/>
                <w:color w:val="000000" w:themeColor="text1"/>
                <w:lang w:val="es-ES_tradnl"/>
              </w:rPr>
              <w:t xml:space="preserve"> vs. M</w:t>
            </w:r>
            <w:r w:rsidR="00DC142F"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T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0.212 (0.091)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-0.061 (0.100)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0.154 (0.084)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C142F">
              <w:rPr>
                <w:rFonts w:ascii="Arial" w:hAnsi="Arial" w:cs="Arial"/>
                <w:color w:val="000000" w:themeColor="text1"/>
              </w:rPr>
              <w:t>Heterosis</w:t>
            </w:r>
            <w:proofErr w:type="spellEnd"/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  <w:lang w:val="es-ES_tradnl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ER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0.630 (0.099)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0.568 (0.097)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142F">
              <w:rPr>
                <w:rFonts w:ascii="Arial" w:hAnsi="Arial" w:cs="Arial"/>
                <w:color w:val="000000" w:themeColor="text1"/>
              </w:rPr>
              <w:t>0.585 (0.097)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  <w:lang w:val="es-ES_tradnl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  <w:lang w:val="es-ES_tradnl"/>
              </w:rPr>
              <w:t>ET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0.628 (0.131)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0.501 (0.125)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0.448 (0.125)</w:t>
            </w:r>
          </w:p>
        </w:tc>
      </w:tr>
      <w:tr w:rsidR="00DC142F" w:rsidRPr="00DC142F" w:rsidTr="001649AD">
        <w:tc>
          <w:tcPr>
            <w:tcW w:w="1795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71" w:type="dxa"/>
          </w:tcPr>
          <w:p w:rsidR="00DC142F" w:rsidRPr="00DC142F" w:rsidRDefault="00DC142F" w:rsidP="00DC142F">
            <w:pPr>
              <w:pStyle w:val="Body"/>
              <w:spacing w:after="0" w:line="480" w:lineRule="auto"/>
              <w:jc w:val="center"/>
              <w:rPr>
                <w:color w:val="000000" w:themeColor="text1"/>
              </w:rPr>
            </w:pPr>
            <w:r w:rsidRPr="00DC142F">
              <w:rPr>
                <w:rFonts w:ascii="Arial" w:hAnsi="Arial"/>
                <w:color w:val="000000" w:themeColor="text1"/>
              </w:rPr>
              <w:t>H</w:t>
            </w:r>
            <w:r w:rsidRPr="00DC142F">
              <w:rPr>
                <w:rFonts w:ascii="Arial" w:hAnsi="Arial"/>
                <w:color w:val="000000" w:themeColor="text1"/>
                <w:vertAlign w:val="subscript"/>
              </w:rPr>
              <w:t>RT</w:t>
            </w:r>
          </w:p>
        </w:tc>
        <w:tc>
          <w:tcPr>
            <w:tcW w:w="1654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0.672 (0.094)</w:t>
            </w:r>
          </w:p>
        </w:tc>
        <w:tc>
          <w:tcPr>
            <w:tcW w:w="1746" w:type="dxa"/>
            <w:vAlign w:val="center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0.649 (0.092)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746" w:type="dxa"/>
          </w:tcPr>
          <w:p w:rsidR="00DC142F" w:rsidRPr="00DC142F" w:rsidRDefault="00DC142F" w:rsidP="00DC142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C142F">
              <w:rPr>
                <w:rFonts w:ascii="Arial" w:hAnsi="Arial" w:cs="Arial"/>
                <w:color w:val="000000" w:themeColor="text1"/>
                <w:lang w:val="en-US"/>
              </w:rPr>
              <w:t>0.607 (0.092)</w:t>
            </w:r>
          </w:p>
        </w:tc>
      </w:tr>
    </w:tbl>
    <w:p w:rsidR="004E6278" w:rsidRPr="00DC142F" w:rsidRDefault="004E6278" w:rsidP="004E6278">
      <w:pPr>
        <w:pStyle w:val="Bod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407C8" w:rsidRPr="0097062E" w:rsidRDefault="004E6278" w:rsidP="0097062E">
      <w:pPr>
        <w:pStyle w:val="Body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DC142F">
        <w:rPr>
          <w:rFonts w:ascii="Arial" w:hAnsi="Arial"/>
          <w:color w:val="000000" w:themeColor="text1"/>
          <w:lang w:val="pt-PT"/>
        </w:rPr>
        <w:t>MH: Reduced model with maternal and heterosis effects, LH: Reduced model with direct line and heterosis effects, LM: Reduced model with direct line and maternal effects, L: Reduced model with direct line effects, M: Reduced model with maternal effects, H: Reduced model with Heterosis effects.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</w:t>
      </w:r>
      <w:r w:rsidR="00DC142F" w:rsidRPr="00DC142F">
        <w:rPr>
          <w:rFonts w:ascii="Arial" w:hAnsi="Arial"/>
          <w:color w:val="000000" w:themeColor="text1"/>
          <w:lang w:val="pt-PT"/>
        </w:rPr>
        <w:t>,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L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direct line effects for Entrepelado, Retinto and Torbiscal, respectively.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</w:t>
      </w:r>
      <w:r w:rsidR="00DC142F" w:rsidRPr="00DC142F">
        <w:rPr>
          <w:rFonts w:ascii="Arial" w:hAnsi="Arial"/>
          <w:color w:val="000000" w:themeColor="text1"/>
          <w:lang w:val="pt-PT"/>
        </w:rPr>
        <w:t>,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M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maternal line effects for Entrepelado, Retinto and Torbiscal.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ER</w:t>
      </w:r>
      <w:r w:rsidR="00DC142F" w:rsidRPr="00DC142F">
        <w:rPr>
          <w:rFonts w:ascii="Arial" w:hAnsi="Arial"/>
          <w:color w:val="000000" w:themeColor="text1"/>
          <w:lang w:val="pt-PT"/>
        </w:rPr>
        <w:t>,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ET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and H</w:t>
      </w:r>
      <w:r w:rsidR="00DC142F" w:rsidRPr="00DC142F">
        <w:rPr>
          <w:rFonts w:ascii="Arial" w:hAnsi="Arial"/>
          <w:color w:val="000000" w:themeColor="text1"/>
          <w:vertAlign w:val="subscript"/>
          <w:lang w:val="pt-PT"/>
        </w:rPr>
        <w:t>RT</w:t>
      </w:r>
      <w:r w:rsidR="00DC142F" w:rsidRPr="00DC142F">
        <w:rPr>
          <w:rFonts w:ascii="Arial" w:hAnsi="Arial"/>
          <w:color w:val="000000" w:themeColor="text1"/>
          <w:lang w:val="pt-PT"/>
        </w:rPr>
        <w:t xml:space="preserve"> are the heterosis effects between Entrepelado and Retinto, Entrepelado and Torbiscal and Retinto and Torbiscal, respectively.</w:t>
      </w:r>
    </w:p>
    <w:sectPr w:rsidR="000407C8" w:rsidRPr="0097062E" w:rsidSect="00130A01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NDA2NDa1NLUwNTJR0lEKTi0uzszPAykwqgUAImDryCwAAAA="/>
  </w:docVars>
  <w:rsids>
    <w:rsidRoot w:val="00130A01"/>
    <w:rsid w:val="000407C8"/>
    <w:rsid w:val="00113AC4"/>
    <w:rsid w:val="00130A01"/>
    <w:rsid w:val="001649AD"/>
    <w:rsid w:val="001A717B"/>
    <w:rsid w:val="0029080F"/>
    <w:rsid w:val="00297421"/>
    <w:rsid w:val="003E6AF7"/>
    <w:rsid w:val="004E6278"/>
    <w:rsid w:val="008D42F5"/>
    <w:rsid w:val="0097062E"/>
    <w:rsid w:val="00A346D3"/>
    <w:rsid w:val="00B07324"/>
    <w:rsid w:val="00D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CD73"/>
  <w15:chartTrackingRefBased/>
  <w15:docId w15:val="{66DBEF54-DAB1-43E0-B395-EE78E1B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0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Grilledutableau">
    <w:name w:val="Table Grid"/>
    <w:basedOn w:val="TableauNormal"/>
    <w:uiPriority w:val="39"/>
    <w:rsid w:val="0013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E62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ANM</cp:lastModifiedBy>
  <cp:revision>3</cp:revision>
  <dcterms:created xsi:type="dcterms:W3CDTF">2019-04-15T08:38:00Z</dcterms:created>
  <dcterms:modified xsi:type="dcterms:W3CDTF">2019-04-15T09:12:00Z</dcterms:modified>
</cp:coreProperties>
</file>